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001F22" w14:textId="181F3D99" w:rsidR="00F943FD" w:rsidRDefault="00504F53" w:rsidP="005F5CA8">
      <w:pPr>
        <w:ind w:right="-1416"/>
        <w:rPr>
          <w:rFonts w:cs="Segoe UI"/>
        </w:rPr>
      </w:pPr>
      <w:bookmarkStart w:id="0" w:name="_Hlk169739770"/>
      <w:bookmarkEnd w:id="0"/>
      <w:r w:rsidRPr="005C6FCA">
        <w:rPr>
          <w:noProof/>
        </w:rPr>
        <w:drawing>
          <wp:inline distT="0" distB="0" distL="0" distR="0" wp14:anchorId="7E22576C" wp14:editId="0680CB44">
            <wp:extent cx="7554350" cy="10690118"/>
            <wp:effectExtent l="0" t="0" r="8890" b="0"/>
            <wp:docPr id="19" name="Picture 19" descr="Title page. Title: Accelerating Access to the Best Medicines for Australians Now and into the Future. &#10;&#10;Sub-title: A review of Australia's health technology assessment policies and methods for the Australian Government. &#10;&#10;Plain language summary">
              <a:extLst xmlns:a="http://schemas.openxmlformats.org/drawingml/2006/main">
                <a:ext uri="{FF2B5EF4-FFF2-40B4-BE49-F238E27FC236}">
                  <a16:creationId xmlns:a16="http://schemas.microsoft.com/office/drawing/2014/main" id="{7B16904E-7317-2F5C-0B6A-DE7F1F7F6F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itle page. Title: Accelerating Access to the Best Medicines for Australians Now and into the Future. &#10;&#10;Sub-title: A review of Australia's health technology assessment policies and methods for the Australian Government. &#10;&#10;Plain language summary">
                      <a:extLst>
                        <a:ext uri="{FF2B5EF4-FFF2-40B4-BE49-F238E27FC236}">
                          <a16:creationId xmlns:a16="http://schemas.microsoft.com/office/drawing/2014/main" id="{7B16904E-7317-2F5C-0B6A-DE7F1F7F6F97}"/>
                        </a:ext>
                      </a:extLst>
                    </pic:cNvPr>
                    <pic:cNvPicPr>
                      <a:picLocks noChangeAspect="1"/>
                    </pic:cNvPicPr>
                  </pic:nvPicPr>
                  <pic:blipFill>
                    <a:blip r:embed="rId11"/>
                    <a:stretch>
                      <a:fillRect/>
                    </a:stretch>
                  </pic:blipFill>
                  <pic:spPr>
                    <a:xfrm>
                      <a:off x="0" y="0"/>
                      <a:ext cx="7568347" cy="10709925"/>
                    </a:xfrm>
                    <a:prstGeom prst="rect">
                      <a:avLst/>
                    </a:prstGeom>
                  </pic:spPr>
                </pic:pic>
              </a:graphicData>
            </a:graphic>
          </wp:inline>
        </w:drawing>
      </w:r>
      <w:bookmarkStart w:id="1" w:name="_Ref164782064"/>
      <w:bookmarkEnd w:id="1"/>
    </w:p>
    <w:p w14:paraId="3C9E0A07" w14:textId="18451AEF" w:rsidR="004F0960" w:rsidRDefault="004F0960" w:rsidP="00DA3C82">
      <w:pPr>
        <w:ind w:right="-1416"/>
        <w:rPr>
          <w:rFonts w:cs="Segoe UI"/>
        </w:rPr>
        <w:sectPr w:rsidR="004F0960" w:rsidSect="00DA3C82">
          <w:footerReference w:type="default" r:id="rId12"/>
          <w:type w:val="continuous"/>
          <w:pgSz w:w="11906" w:h="16838"/>
          <w:pgMar w:top="0" w:right="0" w:bottom="0" w:left="0" w:header="0" w:footer="709" w:gutter="0"/>
          <w:cols w:space="708"/>
          <w:docGrid w:linePitch="360"/>
        </w:sectPr>
      </w:pPr>
    </w:p>
    <w:p w14:paraId="217B9E23" w14:textId="5200C876" w:rsidR="0049066C" w:rsidRPr="007E3EEF" w:rsidRDefault="0049066C" w:rsidP="0049066C">
      <w:pPr>
        <w:rPr>
          <w:color w:val="193A6E"/>
          <w:sz w:val="56"/>
          <w:szCs w:val="56"/>
        </w:rPr>
      </w:pPr>
      <w:bookmarkStart w:id="2" w:name="_Hlk106733203"/>
      <w:r w:rsidRPr="007E3EEF">
        <w:rPr>
          <w:color w:val="193A6E"/>
          <w:sz w:val="56"/>
          <w:szCs w:val="56"/>
        </w:rPr>
        <w:lastRenderedPageBreak/>
        <w:t>Cover artwork</w:t>
      </w:r>
    </w:p>
    <w:p w14:paraId="1E6E5891" w14:textId="1C3D26CA" w:rsidR="0049066C" w:rsidRDefault="0049066C" w:rsidP="0049066C">
      <w:pPr>
        <w:rPr>
          <w:lang w:val="en-US"/>
        </w:rPr>
      </w:pPr>
      <w:r>
        <w:rPr>
          <w:lang w:val="en-US"/>
        </w:rPr>
        <w:t>These four designs represent culture, family, body and mind.</w:t>
      </w:r>
    </w:p>
    <w:p w14:paraId="0A4880D4" w14:textId="527CE3D4" w:rsidR="0049066C" w:rsidRDefault="0049066C" w:rsidP="0049066C">
      <w:pPr>
        <w:rPr>
          <w:lang w:val="en-US"/>
        </w:rPr>
      </w:pPr>
      <w:r>
        <w:rPr>
          <w:lang w:val="en-US"/>
        </w:rPr>
        <w:t>Family – Family holds a great importance in Aboriginal culture. It extends beyond the immediate family to include extended mob and community members forming a stronger kinship system to establish responsibilities and connection.</w:t>
      </w:r>
    </w:p>
    <w:p w14:paraId="1A8309CD" w14:textId="75EE4FEB" w:rsidR="0049066C" w:rsidRDefault="0049066C" w:rsidP="0049066C">
      <w:pPr>
        <w:rPr>
          <w:lang w:val="en-US"/>
        </w:rPr>
      </w:pPr>
      <w:r>
        <w:rPr>
          <w:lang w:val="en-US"/>
        </w:rPr>
        <w:t>Community – Community provides a support system for our mob to ensure we are connected and have access to services we require. Within our communities they provide a network where traditions, cultural practices and knowledge is shared and passed down to our younger generation.</w:t>
      </w:r>
    </w:p>
    <w:p w14:paraId="301BCD93" w14:textId="0A7BE01E" w:rsidR="0049066C" w:rsidRDefault="0049066C" w:rsidP="0049066C">
      <w:pPr>
        <w:rPr>
          <w:lang w:val="en-US"/>
        </w:rPr>
      </w:pPr>
      <w:r>
        <w:rPr>
          <w:lang w:val="en-US"/>
        </w:rPr>
        <w:t>Body – Ensuring our Aboriginal people have a healthy body, which supports active participation in community life and the transmission of cultural practices and knowledge. Promoting and maintaining a healthy body for Aboriginal people is not just for individual wellbeing but it is also deeply connected to cultural care, social cohesion and historical resilience.</w:t>
      </w:r>
    </w:p>
    <w:p w14:paraId="35AA3A8C" w14:textId="7105E700" w:rsidR="0049066C" w:rsidRDefault="0049066C" w:rsidP="0049066C">
      <w:pPr>
        <w:rPr>
          <w:lang w:val="en-US"/>
        </w:rPr>
      </w:pPr>
      <w:r>
        <w:rPr>
          <w:lang w:val="en-US"/>
        </w:rPr>
        <w:t>Mind – Engaging in cultural practices, language, art, dancing and hunting fosters a strong sense of identity and belonging, which are crucial for mental wellbeing.</w:t>
      </w:r>
    </w:p>
    <w:p w14:paraId="5E94E4E6" w14:textId="4D518EC7" w:rsidR="0049066C" w:rsidRDefault="0049066C" w:rsidP="0049066C">
      <w:r>
        <w:rPr>
          <w:noProof/>
          <w:bdr w:val="none" w:sz="0" w:space="0" w:color="auto" w:frame="1"/>
        </w:rPr>
        <w:drawing>
          <wp:anchor distT="0" distB="0" distL="114300" distR="114300" simplePos="0" relativeHeight="251658241" behindDoc="0" locked="0" layoutInCell="1" allowOverlap="1" wp14:anchorId="24DC57DA" wp14:editId="0BFEB579">
            <wp:simplePos x="0" y="0"/>
            <wp:positionH relativeFrom="column">
              <wp:posOffset>0</wp:posOffset>
            </wp:positionH>
            <wp:positionV relativeFrom="paragraph">
              <wp:posOffset>1987</wp:posOffset>
            </wp:positionV>
            <wp:extent cx="1466850" cy="1955800"/>
            <wp:effectExtent l="0" t="0" r="0" b="6350"/>
            <wp:wrapSquare wrapText="bothSides"/>
            <wp:docPr id="1623536896" name="Picture 16235368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536896" name="Picture 1623536896">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66850" cy="195580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en-US"/>
        </w:rPr>
        <w:t xml:space="preserve">Kaya (Hello), my name is Jacinta </w:t>
      </w:r>
      <w:proofErr w:type="gramStart"/>
      <w:r>
        <w:rPr>
          <w:lang w:val="en-US"/>
        </w:rPr>
        <w:t>Anderson</w:t>
      </w:r>
      <w:proofErr w:type="gramEnd"/>
      <w:r>
        <w:rPr>
          <w:lang w:val="en-US"/>
        </w:rPr>
        <w:t xml:space="preserve"> and I am a proud </w:t>
      </w:r>
      <w:proofErr w:type="spellStart"/>
      <w:r>
        <w:rPr>
          <w:lang w:val="en-US"/>
        </w:rPr>
        <w:t>Noongar</w:t>
      </w:r>
      <w:proofErr w:type="spellEnd"/>
      <w:r>
        <w:rPr>
          <w:lang w:val="en-US"/>
        </w:rPr>
        <w:t xml:space="preserve"> </w:t>
      </w:r>
      <w:proofErr w:type="spellStart"/>
      <w:r>
        <w:rPr>
          <w:lang w:val="en-US"/>
        </w:rPr>
        <w:t>Yorga</w:t>
      </w:r>
      <w:proofErr w:type="spellEnd"/>
      <w:r>
        <w:rPr>
          <w:lang w:val="en-US"/>
        </w:rPr>
        <w:t xml:space="preserve"> with family connections to the </w:t>
      </w:r>
      <w:proofErr w:type="spellStart"/>
      <w:r>
        <w:rPr>
          <w:lang w:val="en-US"/>
        </w:rPr>
        <w:t>Mineng</w:t>
      </w:r>
      <w:proofErr w:type="spellEnd"/>
      <w:r>
        <w:rPr>
          <w:lang w:val="en-US"/>
        </w:rPr>
        <w:t xml:space="preserve"> area in the Great Southern, the </w:t>
      </w:r>
      <w:proofErr w:type="spellStart"/>
      <w:r>
        <w:rPr>
          <w:lang w:val="en-US"/>
        </w:rPr>
        <w:t>Yuet</w:t>
      </w:r>
      <w:proofErr w:type="spellEnd"/>
      <w:r>
        <w:rPr>
          <w:lang w:val="en-US"/>
        </w:rPr>
        <w:t xml:space="preserve"> area in the Wheatbelt region and </w:t>
      </w:r>
      <w:proofErr w:type="spellStart"/>
      <w:r>
        <w:rPr>
          <w:lang w:val="en-US"/>
        </w:rPr>
        <w:t>Whadjuk</w:t>
      </w:r>
      <w:proofErr w:type="spellEnd"/>
      <w:r>
        <w:rPr>
          <w:lang w:val="en-US"/>
        </w:rPr>
        <w:t xml:space="preserve"> area.</w:t>
      </w:r>
    </w:p>
    <w:p w14:paraId="111E35CE" w14:textId="77777777" w:rsidR="0049066C" w:rsidRDefault="0049066C" w:rsidP="0049066C">
      <w:pPr>
        <w:rPr>
          <w:lang w:val="en-US"/>
        </w:rPr>
      </w:pPr>
      <w:r>
        <w:rPr>
          <w:lang w:val="en-US"/>
        </w:rPr>
        <w:t xml:space="preserve">Within my job role as a mentor, we used art as a way for the girls to connect with culture, storytelling and to build positive relationships. Creating art with the girls inspired me to get more creative and to start creating my own art. I first started painting on wooden serving boards, which led to a few commission pieces for family and friends to now creating artwork for companies, creating digital art, and running art workshops. </w:t>
      </w:r>
      <w:r>
        <w:t>I love expressing my culture throughout my art, especially using Aboriginal symbols.</w:t>
      </w:r>
    </w:p>
    <w:p w14:paraId="4F02E90A" w14:textId="23726C5F" w:rsidR="0049066C" w:rsidRDefault="0049066C" w:rsidP="0049066C">
      <w:r>
        <w:t>I create commissioned pieces, both acrylic paint on a canvas and digital.</w:t>
      </w:r>
    </w:p>
    <w:p w14:paraId="3DB3103B" w14:textId="77777777" w:rsidR="0049066C" w:rsidRDefault="0049066C" w:rsidP="0049066C">
      <w:r>
        <w:t xml:space="preserve">Instagram page – </w:t>
      </w:r>
      <w:proofErr w:type="spellStart"/>
      <w:r>
        <w:t>artby_cinta</w:t>
      </w:r>
      <w:proofErr w:type="spellEnd"/>
    </w:p>
    <w:bookmarkEnd w:id="2"/>
    <w:p w14:paraId="7ADBF3D9" w14:textId="475CEEAA" w:rsidR="009E6708" w:rsidRPr="00A6168C" w:rsidRDefault="0049066C" w:rsidP="00A6168C">
      <w:r>
        <w:rPr>
          <w:noProof/>
          <w:lang w:val="en-US"/>
        </w:rPr>
        <w:drawing>
          <wp:inline distT="0" distB="0" distL="0" distR="0" wp14:anchorId="41297B1B" wp14:editId="64B9D1DE">
            <wp:extent cx="1190625" cy="1154745"/>
            <wp:effectExtent l="0" t="0" r="0" b="7620"/>
            <wp:docPr id="181368922" name="Picture 181368922" descr="Art by Cinta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368922" name="Picture 181368922" descr="Art by Cinta logo">
                      <a:extLst>
                        <a:ext uri="{C183D7F6-B498-43B3-948B-1728B52AA6E4}">
                          <adec:decorative xmlns:adec="http://schemas.microsoft.com/office/drawing/2017/decorative" val="0"/>
                        </a:ext>
                      </a:extLst>
                    </pic:cNvPr>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195075" cy="1159061"/>
                    </a:xfrm>
                    <a:prstGeom prst="rect">
                      <a:avLst/>
                    </a:prstGeom>
                  </pic:spPr>
                </pic:pic>
              </a:graphicData>
            </a:graphic>
          </wp:inline>
        </w:drawing>
      </w:r>
      <w:r w:rsidR="00F41DDF" w:rsidRPr="006647C5">
        <w:rPr>
          <w:rFonts w:cs="Segoe UI"/>
        </w:rPr>
        <w:br w:type="page"/>
      </w:r>
      <w:r w:rsidR="009E6708">
        <w:rPr>
          <w:rFonts w:ascii="Times New Roman" w:eastAsia="Times New Roman" w:hAnsi="Times New Roman"/>
          <w:noProof/>
          <w:lang w:eastAsia="en-AU"/>
        </w:rPr>
        <w:lastRenderedPageBreak/>
        <w:drawing>
          <wp:inline distT="0" distB="0" distL="0" distR="0" wp14:anchorId="52F746CC" wp14:editId="78F40A99">
            <wp:extent cx="6230326" cy="9000000"/>
            <wp:effectExtent l="38100" t="38100" r="94615" b="86995"/>
            <wp:docPr id="1" name="Picture 1" descr="Letter from Adjunct Professor Debora Picone AO, Independent Chair of the HTA Review, to the Minister of Health a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etter from Adjunct Professor Debora Picone AO, Independent Chair of the HTA Review, to the Minister of Health and Aged Car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30326" cy="9000000"/>
                    </a:xfrm>
                    <a:prstGeom prst="rect">
                      <a:avLst/>
                    </a:prstGeom>
                    <a:noFill/>
                    <a:effectLst>
                      <a:outerShdw blurRad="50800" dist="38100" dir="2700000" algn="tl" rotWithShape="0">
                        <a:prstClr val="black">
                          <a:alpha val="40000"/>
                        </a:prstClr>
                      </a:outerShdw>
                    </a:effectLst>
                  </pic:spPr>
                </pic:pic>
              </a:graphicData>
            </a:graphic>
          </wp:inline>
        </w:drawing>
      </w:r>
    </w:p>
    <w:p w14:paraId="1E868135" w14:textId="707B6CA6" w:rsidR="009E6708" w:rsidRDefault="009E6708" w:rsidP="009E6708">
      <w:pPr>
        <w:ind w:left="-426"/>
        <w:jc w:val="left"/>
        <w:rPr>
          <w:rFonts w:ascii="Times New Roman" w:eastAsia="Times New Roman" w:hAnsi="Times New Roman"/>
          <w:lang w:eastAsia="en-AU"/>
        </w:rPr>
      </w:pPr>
      <w:r>
        <w:rPr>
          <w:rFonts w:ascii="Times New Roman" w:eastAsia="Times New Roman" w:hAnsi="Times New Roman"/>
          <w:lang w:eastAsia="en-AU"/>
        </w:rPr>
        <w:br w:type="page"/>
      </w:r>
      <w:r>
        <w:rPr>
          <w:rFonts w:ascii="Times New Roman" w:eastAsia="Times New Roman" w:hAnsi="Times New Roman"/>
          <w:noProof/>
          <w:lang w:eastAsia="en-AU"/>
        </w:rPr>
        <w:lastRenderedPageBreak/>
        <w:drawing>
          <wp:inline distT="0" distB="0" distL="0" distR="0" wp14:anchorId="627406C2" wp14:editId="374E2651">
            <wp:extent cx="6230326" cy="9000000"/>
            <wp:effectExtent l="38100" t="38100" r="94615" b="86995"/>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30326" cy="9000000"/>
                    </a:xfrm>
                    <a:prstGeom prst="rect">
                      <a:avLst/>
                    </a:prstGeom>
                    <a:noFill/>
                    <a:effectLst>
                      <a:outerShdw blurRad="50800" dist="38100" dir="2700000" algn="tl" rotWithShape="0">
                        <a:prstClr val="black">
                          <a:alpha val="40000"/>
                        </a:prstClr>
                      </a:outerShdw>
                    </a:effectLst>
                  </pic:spPr>
                </pic:pic>
              </a:graphicData>
            </a:graphic>
          </wp:inline>
        </w:drawing>
      </w:r>
    </w:p>
    <w:p w14:paraId="6D2A94A3" w14:textId="1AC8FC3E" w:rsidR="009E6708" w:rsidRDefault="009E6708" w:rsidP="009E6708">
      <w:pPr>
        <w:ind w:left="-426"/>
        <w:jc w:val="left"/>
        <w:rPr>
          <w:rFonts w:ascii="Times New Roman" w:eastAsia="Times New Roman" w:hAnsi="Times New Roman"/>
          <w:lang w:eastAsia="en-AU"/>
        </w:rPr>
      </w:pPr>
      <w:r>
        <w:rPr>
          <w:rFonts w:ascii="Times New Roman" w:eastAsia="Times New Roman" w:hAnsi="Times New Roman"/>
          <w:noProof/>
          <w:lang w:eastAsia="en-AU"/>
        </w:rPr>
        <w:lastRenderedPageBreak/>
        <w:drawing>
          <wp:inline distT="0" distB="0" distL="0" distR="0" wp14:anchorId="481A6C87" wp14:editId="54889985">
            <wp:extent cx="6211251" cy="9000000"/>
            <wp:effectExtent l="38100" t="38100" r="94615" b="86995"/>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11251" cy="9000000"/>
                    </a:xfrm>
                    <a:prstGeom prst="rect">
                      <a:avLst/>
                    </a:prstGeom>
                    <a:noFill/>
                    <a:effectLst>
                      <a:outerShdw blurRad="50800" dist="38100" dir="2700000" algn="tl" rotWithShape="0">
                        <a:prstClr val="black">
                          <a:alpha val="40000"/>
                        </a:prstClr>
                      </a:outerShdw>
                    </a:effectLst>
                  </pic:spPr>
                </pic:pic>
              </a:graphicData>
            </a:graphic>
          </wp:inline>
        </w:drawing>
      </w:r>
    </w:p>
    <w:p w14:paraId="0B5067CF" w14:textId="07B72E92" w:rsidR="00F41DDF" w:rsidRPr="007C6085" w:rsidRDefault="007C6085" w:rsidP="00F41DDF">
      <w:pPr>
        <w:rPr>
          <w:rFonts w:cs="Segoe UI"/>
          <w:color w:val="002060"/>
          <w:sz w:val="56"/>
          <w:szCs w:val="56"/>
          <w:shd w:val="clear" w:color="auto" w:fill="FFFFFF"/>
        </w:rPr>
      </w:pPr>
      <w:r w:rsidRPr="007C6085">
        <w:rPr>
          <w:rFonts w:cs="Segoe UI"/>
          <w:color w:val="002060"/>
          <w:sz w:val="56"/>
          <w:szCs w:val="56"/>
          <w:shd w:val="clear" w:color="auto" w:fill="FFFFFF"/>
        </w:rPr>
        <w:lastRenderedPageBreak/>
        <w:t xml:space="preserve">Table of </w:t>
      </w:r>
      <w:r w:rsidR="003A4757">
        <w:rPr>
          <w:rFonts w:cs="Segoe UI"/>
          <w:color w:val="002060"/>
          <w:sz w:val="56"/>
          <w:szCs w:val="56"/>
          <w:shd w:val="clear" w:color="auto" w:fill="FFFFFF"/>
        </w:rPr>
        <w:t>c</w:t>
      </w:r>
      <w:r w:rsidRPr="007C6085">
        <w:rPr>
          <w:rFonts w:cs="Segoe UI"/>
          <w:color w:val="002060"/>
          <w:sz w:val="56"/>
          <w:szCs w:val="56"/>
          <w:shd w:val="clear" w:color="auto" w:fill="FFFFFF"/>
        </w:rPr>
        <w:t>ontents</w:t>
      </w:r>
    </w:p>
    <w:sdt>
      <w:sdtPr>
        <w:id w:val="1622262096"/>
        <w:docPartObj>
          <w:docPartGallery w:val="Table of Contents"/>
          <w:docPartUnique/>
        </w:docPartObj>
      </w:sdtPr>
      <w:sdtEndPr/>
      <w:sdtContent>
        <w:p w14:paraId="4EC9569F" w14:textId="1B4638D5" w:rsidR="00067C30" w:rsidRDefault="00EC17CD">
          <w:pPr>
            <w:pStyle w:val="TOC1"/>
            <w:rPr>
              <w:rFonts w:asciiTheme="minorHAnsi" w:eastAsiaTheme="minorEastAsia" w:hAnsiTheme="minorHAnsi" w:cstheme="minorBidi"/>
              <w:bCs w:val="0"/>
              <w:noProof/>
              <w:kern w:val="2"/>
              <w:sz w:val="22"/>
              <w:szCs w:val="22"/>
              <w:lang w:eastAsia="en-AU"/>
              <w14:ligatures w14:val="standardContextual"/>
            </w:rPr>
          </w:pPr>
          <w:r>
            <w:fldChar w:fldCharType="begin" w:fldLock="1"/>
          </w:r>
          <w:r>
            <w:instrText xml:space="preserve"> TOC \o "1-2" \h \z \u </w:instrText>
          </w:r>
          <w:r>
            <w:fldChar w:fldCharType="separate"/>
          </w:r>
          <w:hyperlink w:anchor="_Toc171935840" w:history="1">
            <w:r w:rsidR="00067C30" w:rsidRPr="002C4C7C">
              <w:rPr>
                <w:rStyle w:val="Hyperlink"/>
                <w:noProof/>
              </w:rPr>
              <w:t>Preamble</w:t>
            </w:r>
            <w:r w:rsidR="00067C30">
              <w:rPr>
                <w:noProof/>
                <w:webHidden/>
              </w:rPr>
              <w:tab/>
            </w:r>
            <w:r w:rsidR="00067C30">
              <w:rPr>
                <w:noProof/>
                <w:webHidden/>
              </w:rPr>
              <w:fldChar w:fldCharType="begin" w:fldLock="1"/>
            </w:r>
            <w:r w:rsidR="00067C30">
              <w:rPr>
                <w:noProof/>
                <w:webHidden/>
              </w:rPr>
              <w:instrText xml:space="preserve"> PAGEREF _Toc171935840 \h </w:instrText>
            </w:r>
            <w:r w:rsidR="00067C30">
              <w:rPr>
                <w:noProof/>
                <w:webHidden/>
              </w:rPr>
            </w:r>
            <w:r w:rsidR="00067C30">
              <w:rPr>
                <w:noProof/>
                <w:webHidden/>
              </w:rPr>
              <w:fldChar w:fldCharType="separate"/>
            </w:r>
            <w:r w:rsidR="00067C30">
              <w:rPr>
                <w:noProof/>
                <w:webHidden/>
              </w:rPr>
              <w:t>9</w:t>
            </w:r>
            <w:r w:rsidR="00067C30">
              <w:rPr>
                <w:noProof/>
                <w:webHidden/>
              </w:rPr>
              <w:fldChar w:fldCharType="end"/>
            </w:r>
          </w:hyperlink>
        </w:p>
        <w:p w14:paraId="1D0CEB9A" w14:textId="6427AC67"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1" w:history="1">
            <w:r w:rsidR="00067C30" w:rsidRPr="002C4C7C">
              <w:rPr>
                <w:rStyle w:val="Hyperlink"/>
                <w:noProof/>
              </w:rPr>
              <w:t>Acknowledgement of Country</w:t>
            </w:r>
            <w:r w:rsidR="00067C30">
              <w:rPr>
                <w:noProof/>
                <w:webHidden/>
              </w:rPr>
              <w:tab/>
            </w:r>
            <w:r w:rsidR="00067C30">
              <w:rPr>
                <w:noProof/>
                <w:webHidden/>
              </w:rPr>
              <w:fldChar w:fldCharType="begin" w:fldLock="1"/>
            </w:r>
            <w:r w:rsidR="00067C30">
              <w:rPr>
                <w:noProof/>
                <w:webHidden/>
              </w:rPr>
              <w:instrText xml:space="preserve"> PAGEREF _Toc171935841 \h </w:instrText>
            </w:r>
            <w:r w:rsidR="00067C30">
              <w:rPr>
                <w:noProof/>
                <w:webHidden/>
              </w:rPr>
            </w:r>
            <w:r w:rsidR="00067C30">
              <w:rPr>
                <w:noProof/>
                <w:webHidden/>
              </w:rPr>
              <w:fldChar w:fldCharType="separate"/>
            </w:r>
            <w:r w:rsidR="00067C30">
              <w:rPr>
                <w:noProof/>
                <w:webHidden/>
              </w:rPr>
              <w:t>9</w:t>
            </w:r>
            <w:r w:rsidR="00067C30">
              <w:rPr>
                <w:noProof/>
                <w:webHidden/>
              </w:rPr>
              <w:fldChar w:fldCharType="end"/>
            </w:r>
          </w:hyperlink>
        </w:p>
        <w:p w14:paraId="13B7449F" w14:textId="6E2A59C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2" w:history="1">
            <w:r w:rsidR="00067C30" w:rsidRPr="002C4C7C">
              <w:rPr>
                <w:rStyle w:val="Hyperlink"/>
                <w:noProof/>
              </w:rPr>
              <w:t>Health Technology Assessment Policy and Methods Review Reference Committee</w:t>
            </w:r>
            <w:r w:rsidR="00067C30">
              <w:rPr>
                <w:noProof/>
                <w:webHidden/>
              </w:rPr>
              <w:tab/>
            </w:r>
            <w:r w:rsidR="00067C30">
              <w:rPr>
                <w:noProof/>
                <w:webHidden/>
              </w:rPr>
              <w:fldChar w:fldCharType="begin" w:fldLock="1"/>
            </w:r>
            <w:r w:rsidR="00067C30">
              <w:rPr>
                <w:noProof/>
                <w:webHidden/>
              </w:rPr>
              <w:instrText xml:space="preserve"> PAGEREF _Toc171935842 \h </w:instrText>
            </w:r>
            <w:r w:rsidR="00067C30">
              <w:rPr>
                <w:noProof/>
                <w:webHidden/>
              </w:rPr>
            </w:r>
            <w:r w:rsidR="00067C30">
              <w:rPr>
                <w:noProof/>
                <w:webHidden/>
              </w:rPr>
              <w:fldChar w:fldCharType="separate"/>
            </w:r>
            <w:r w:rsidR="00067C30">
              <w:rPr>
                <w:noProof/>
                <w:webHidden/>
              </w:rPr>
              <w:t>9</w:t>
            </w:r>
            <w:r w:rsidR="00067C30">
              <w:rPr>
                <w:noProof/>
                <w:webHidden/>
              </w:rPr>
              <w:fldChar w:fldCharType="end"/>
            </w:r>
          </w:hyperlink>
        </w:p>
        <w:p w14:paraId="78D03AC9" w14:textId="6D37562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3" w:history="1">
            <w:r w:rsidR="00067C30" w:rsidRPr="002C4C7C">
              <w:rPr>
                <w:rStyle w:val="Hyperlink"/>
                <w:noProof/>
              </w:rPr>
              <w:t>Acknowledgements</w:t>
            </w:r>
            <w:r w:rsidR="00067C30">
              <w:rPr>
                <w:noProof/>
                <w:webHidden/>
              </w:rPr>
              <w:tab/>
            </w:r>
            <w:r w:rsidR="00067C30">
              <w:rPr>
                <w:noProof/>
                <w:webHidden/>
              </w:rPr>
              <w:fldChar w:fldCharType="begin" w:fldLock="1"/>
            </w:r>
            <w:r w:rsidR="00067C30">
              <w:rPr>
                <w:noProof/>
                <w:webHidden/>
              </w:rPr>
              <w:instrText xml:space="preserve"> PAGEREF _Toc171935843 \h </w:instrText>
            </w:r>
            <w:r w:rsidR="00067C30">
              <w:rPr>
                <w:noProof/>
                <w:webHidden/>
              </w:rPr>
            </w:r>
            <w:r w:rsidR="00067C30">
              <w:rPr>
                <w:noProof/>
                <w:webHidden/>
              </w:rPr>
              <w:fldChar w:fldCharType="separate"/>
            </w:r>
            <w:r w:rsidR="00067C30">
              <w:rPr>
                <w:noProof/>
                <w:webHidden/>
              </w:rPr>
              <w:t>9</w:t>
            </w:r>
            <w:r w:rsidR="00067C30">
              <w:rPr>
                <w:noProof/>
                <w:webHidden/>
              </w:rPr>
              <w:fldChar w:fldCharType="end"/>
            </w:r>
          </w:hyperlink>
        </w:p>
        <w:p w14:paraId="676C259B" w14:textId="082230CB"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44" w:history="1">
            <w:r w:rsidR="00067C30" w:rsidRPr="002C4C7C">
              <w:rPr>
                <w:rStyle w:val="Hyperlink"/>
                <w:noProof/>
              </w:rPr>
              <w:t>Executive summary</w:t>
            </w:r>
            <w:r w:rsidR="00067C30">
              <w:rPr>
                <w:noProof/>
                <w:webHidden/>
              </w:rPr>
              <w:tab/>
            </w:r>
            <w:r w:rsidR="00067C30">
              <w:rPr>
                <w:noProof/>
                <w:webHidden/>
              </w:rPr>
              <w:fldChar w:fldCharType="begin" w:fldLock="1"/>
            </w:r>
            <w:r w:rsidR="00067C30">
              <w:rPr>
                <w:noProof/>
                <w:webHidden/>
              </w:rPr>
              <w:instrText xml:space="preserve"> PAGEREF _Toc171935844 \h </w:instrText>
            </w:r>
            <w:r w:rsidR="00067C30">
              <w:rPr>
                <w:noProof/>
                <w:webHidden/>
              </w:rPr>
            </w:r>
            <w:r w:rsidR="00067C30">
              <w:rPr>
                <w:noProof/>
                <w:webHidden/>
              </w:rPr>
              <w:fldChar w:fldCharType="separate"/>
            </w:r>
            <w:r w:rsidR="00067C30">
              <w:rPr>
                <w:noProof/>
                <w:webHidden/>
              </w:rPr>
              <w:t>10</w:t>
            </w:r>
            <w:r w:rsidR="00067C30">
              <w:rPr>
                <w:noProof/>
                <w:webHidden/>
              </w:rPr>
              <w:fldChar w:fldCharType="end"/>
            </w:r>
          </w:hyperlink>
        </w:p>
        <w:p w14:paraId="3AEB9D6D" w14:textId="678E60B5"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5" w:history="1">
            <w:r w:rsidR="00067C30" w:rsidRPr="002C4C7C">
              <w:rPr>
                <w:rStyle w:val="Hyperlink"/>
                <w:noProof/>
              </w:rPr>
              <w:t>Australia’s health system and health technology assessment processes</w:t>
            </w:r>
            <w:r w:rsidR="00067C30">
              <w:rPr>
                <w:noProof/>
                <w:webHidden/>
              </w:rPr>
              <w:tab/>
            </w:r>
            <w:r w:rsidR="00067C30">
              <w:rPr>
                <w:noProof/>
                <w:webHidden/>
              </w:rPr>
              <w:fldChar w:fldCharType="begin" w:fldLock="1"/>
            </w:r>
            <w:r w:rsidR="00067C30">
              <w:rPr>
                <w:noProof/>
                <w:webHidden/>
              </w:rPr>
              <w:instrText xml:space="preserve"> PAGEREF _Toc171935845 \h </w:instrText>
            </w:r>
            <w:r w:rsidR="00067C30">
              <w:rPr>
                <w:noProof/>
                <w:webHidden/>
              </w:rPr>
            </w:r>
            <w:r w:rsidR="00067C30">
              <w:rPr>
                <w:noProof/>
                <w:webHidden/>
              </w:rPr>
              <w:fldChar w:fldCharType="separate"/>
            </w:r>
            <w:r w:rsidR="00067C30">
              <w:rPr>
                <w:noProof/>
                <w:webHidden/>
              </w:rPr>
              <w:t>10</w:t>
            </w:r>
            <w:r w:rsidR="00067C30">
              <w:rPr>
                <w:noProof/>
                <w:webHidden/>
              </w:rPr>
              <w:fldChar w:fldCharType="end"/>
            </w:r>
          </w:hyperlink>
        </w:p>
        <w:p w14:paraId="7C032A92" w14:textId="1AAD284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6" w:history="1">
            <w:r w:rsidR="00067C30" w:rsidRPr="002C4C7C">
              <w:rPr>
                <w:rStyle w:val="Hyperlink"/>
                <w:noProof/>
              </w:rPr>
              <w:t>The Review</w:t>
            </w:r>
            <w:r w:rsidR="00067C30">
              <w:rPr>
                <w:noProof/>
                <w:webHidden/>
              </w:rPr>
              <w:tab/>
            </w:r>
            <w:r w:rsidR="00067C30">
              <w:rPr>
                <w:noProof/>
                <w:webHidden/>
              </w:rPr>
              <w:fldChar w:fldCharType="begin" w:fldLock="1"/>
            </w:r>
            <w:r w:rsidR="00067C30">
              <w:rPr>
                <w:noProof/>
                <w:webHidden/>
              </w:rPr>
              <w:instrText xml:space="preserve"> PAGEREF _Toc171935846 \h </w:instrText>
            </w:r>
            <w:r w:rsidR="00067C30">
              <w:rPr>
                <w:noProof/>
                <w:webHidden/>
              </w:rPr>
            </w:r>
            <w:r w:rsidR="00067C30">
              <w:rPr>
                <w:noProof/>
                <w:webHidden/>
              </w:rPr>
              <w:fldChar w:fldCharType="separate"/>
            </w:r>
            <w:r w:rsidR="00067C30">
              <w:rPr>
                <w:noProof/>
                <w:webHidden/>
              </w:rPr>
              <w:t>11</w:t>
            </w:r>
            <w:r w:rsidR="00067C30">
              <w:rPr>
                <w:noProof/>
                <w:webHidden/>
              </w:rPr>
              <w:fldChar w:fldCharType="end"/>
            </w:r>
          </w:hyperlink>
        </w:p>
        <w:p w14:paraId="20852A49" w14:textId="571E2F6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7" w:history="1">
            <w:r w:rsidR="00067C30" w:rsidRPr="002C4C7C">
              <w:rPr>
                <w:rStyle w:val="Hyperlink"/>
                <w:noProof/>
              </w:rPr>
              <w:t>Objectives of the Review’s recommendations</w:t>
            </w:r>
            <w:r w:rsidR="00067C30">
              <w:rPr>
                <w:noProof/>
                <w:webHidden/>
              </w:rPr>
              <w:tab/>
            </w:r>
            <w:r w:rsidR="00067C30">
              <w:rPr>
                <w:noProof/>
                <w:webHidden/>
              </w:rPr>
              <w:fldChar w:fldCharType="begin" w:fldLock="1"/>
            </w:r>
            <w:r w:rsidR="00067C30">
              <w:rPr>
                <w:noProof/>
                <w:webHidden/>
              </w:rPr>
              <w:instrText xml:space="preserve"> PAGEREF _Toc171935847 \h </w:instrText>
            </w:r>
            <w:r w:rsidR="00067C30">
              <w:rPr>
                <w:noProof/>
                <w:webHidden/>
              </w:rPr>
            </w:r>
            <w:r w:rsidR="00067C30">
              <w:rPr>
                <w:noProof/>
                <w:webHidden/>
              </w:rPr>
              <w:fldChar w:fldCharType="separate"/>
            </w:r>
            <w:r w:rsidR="00067C30">
              <w:rPr>
                <w:noProof/>
                <w:webHidden/>
              </w:rPr>
              <w:t>13</w:t>
            </w:r>
            <w:r w:rsidR="00067C30">
              <w:rPr>
                <w:noProof/>
                <w:webHidden/>
              </w:rPr>
              <w:fldChar w:fldCharType="end"/>
            </w:r>
          </w:hyperlink>
        </w:p>
        <w:p w14:paraId="2FB4071D" w14:textId="3568495B"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8" w:history="1">
            <w:r w:rsidR="00067C30" w:rsidRPr="002C4C7C">
              <w:rPr>
                <w:rStyle w:val="Hyperlink"/>
                <w:noProof/>
              </w:rPr>
              <w:t>Addressing inequities in access</w:t>
            </w:r>
            <w:r w:rsidR="00067C30">
              <w:rPr>
                <w:noProof/>
                <w:webHidden/>
              </w:rPr>
              <w:tab/>
            </w:r>
            <w:r w:rsidR="00067C30">
              <w:rPr>
                <w:noProof/>
                <w:webHidden/>
              </w:rPr>
              <w:fldChar w:fldCharType="begin" w:fldLock="1"/>
            </w:r>
            <w:r w:rsidR="00067C30">
              <w:rPr>
                <w:noProof/>
                <w:webHidden/>
              </w:rPr>
              <w:instrText xml:space="preserve"> PAGEREF _Toc171935848 \h </w:instrText>
            </w:r>
            <w:r w:rsidR="00067C30">
              <w:rPr>
                <w:noProof/>
                <w:webHidden/>
              </w:rPr>
            </w:r>
            <w:r w:rsidR="00067C30">
              <w:rPr>
                <w:noProof/>
                <w:webHidden/>
              </w:rPr>
              <w:fldChar w:fldCharType="separate"/>
            </w:r>
            <w:r w:rsidR="00067C30">
              <w:rPr>
                <w:noProof/>
                <w:webHidden/>
              </w:rPr>
              <w:t>13</w:t>
            </w:r>
            <w:r w:rsidR="00067C30">
              <w:rPr>
                <w:noProof/>
                <w:webHidden/>
              </w:rPr>
              <w:fldChar w:fldCharType="end"/>
            </w:r>
          </w:hyperlink>
        </w:p>
        <w:p w14:paraId="2881C026" w14:textId="3099611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49" w:history="1">
            <w:r w:rsidR="00067C30" w:rsidRPr="002C4C7C">
              <w:rPr>
                <w:rStyle w:val="Hyperlink"/>
                <w:noProof/>
              </w:rPr>
              <w:t>Reducing wait times for access to affordable medications</w:t>
            </w:r>
            <w:r w:rsidR="00067C30">
              <w:rPr>
                <w:noProof/>
                <w:webHidden/>
              </w:rPr>
              <w:tab/>
            </w:r>
            <w:r w:rsidR="00067C30">
              <w:rPr>
                <w:noProof/>
                <w:webHidden/>
              </w:rPr>
              <w:fldChar w:fldCharType="begin" w:fldLock="1"/>
            </w:r>
            <w:r w:rsidR="00067C30">
              <w:rPr>
                <w:noProof/>
                <w:webHidden/>
              </w:rPr>
              <w:instrText xml:space="preserve"> PAGEREF _Toc171935849 \h </w:instrText>
            </w:r>
            <w:r w:rsidR="00067C30">
              <w:rPr>
                <w:noProof/>
                <w:webHidden/>
              </w:rPr>
            </w:r>
            <w:r w:rsidR="00067C30">
              <w:rPr>
                <w:noProof/>
                <w:webHidden/>
              </w:rPr>
              <w:fldChar w:fldCharType="separate"/>
            </w:r>
            <w:r w:rsidR="00067C30">
              <w:rPr>
                <w:noProof/>
                <w:webHidden/>
              </w:rPr>
              <w:t>14</w:t>
            </w:r>
            <w:r w:rsidR="00067C30">
              <w:rPr>
                <w:noProof/>
                <w:webHidden/>
              </w:rPr>
              <w:fldChar w:fldCharType="end"/>
            </w:r>
          </w:hyperlink>
        </w:p>
        <w:p w14:paraId="14B538C4" w14:textId="606502CA"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0" w:history="1">
            <w:r w:rsidR="00067C30" w:rsidRPr="002C4C7C">
              <w:rPr>
                <w:rStyle w:val="Hyperlink"/>
                <w:noProof/>
              </w:rPr>
              <w:t>Improving transparency and engagement</w:t>
            </w:r>
            <w:r w:rsidR="00067C30">
              <w:rPr>
                <w:noProof/>
                <w:webHidden/>
              </w:rPr>
              <w:tab/>
            </w:r>
            <w:r w:rsidR="00067C30">
              <w:rPr>
                <w:noProof/>
                <w:webHidden/>
              </w:rPr>
              <w:fldChar w:fldCharType="begin" w:fldLock="1"/>
            </w:r>
            <w:r w:rsidR="00067C30">
              <w:rPr>
                <w:noProof/>
                <w:webHidden/>
              </w:rPr>
              <w:instrText xml:space="preserve"> PAGEREF _Toc171935850 \h </w:instrText>
            </w:r>
            <w:r w:rsidR="00067C30">
              <w:rPr>
                <w:noProof/>
                <w:webHidden/>
              </w:rPr>
            </w:r>
            <w:r w:rsidR="00067C30">
              <w:rPr>
                <w:noProof/>
                <w:webHidden/>
              </w:rPr>
              <w:fldChar w:fldCharType="separate"/>
            </w:r>
            <w:r w:rsidR="00067C30">
              <w:rPr>
                <w:noProof/>
                <w:webHidden/>
              </w:rPr>
              <w:t>17</w:t>
            </w:r>
            <w:r w:rsidR="00067C30">
              <w:rPr>
                <w:noProof/>
                <w:webHidden/>
              </w:rPr>
              <w:fldChar w:fldCharType="end"/>
            </w:r>
          </w:hyperlink>
        </w:p>
        <w:p w14:paraId="074F6B35" w14:textId="67961EE9"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1" w:history="1">
            <w:r w:rsidR="00067C30" w:rsidRPr="002C4C7C">
              <w:rPr>
                <w:rStyle w:val="Hyperlink"/>
                <w:noProof/>
              </w:rPr>
              <w:t>Investing in HTA capability to be adaptable and futureproof</w:t>
            </w:r>
            <w:r w:rsidR="00067C30">
              <w:rPr>
                <w:noProof/>
                <w:webHidden/>
              </w:rPr>
              <w:tab/>
            </w:r>
            <w:r w:rsidR="00067C30">
              <w:rPr>
                <w:noProof/>
                <w:webHidden/>
              </w:rPr>
              <w:fldChar w:fldCharType="begin" w:fldLock="1"/>
            </w:r>
            <w:r w:rsidR="00067C30">
              <w:rPr>
                <w:noProof/>
                <w:webHidden/>
              </w:rPr>
              <w:instrText xml:space="preserve"> PAGEREF _Toc171935851 \h </w:instrText>
            </w:r>
            <w:r w:rsidR="00067C30">
              <w:rPr>
                <w:noProof/>
                <w:webHidden/>
              </w:rPr>
            </w:r>
            <w:r w:rsidR="00067C30">
              <w:rPr>
                <w:noProof/>
                <w:webHidden/>
              </w:rPr>
              <w:fldChar w:fldCharType="separate"/>
            </w:r>
            <w:r w:rsidR="00067C30">
              <w:rPr>
                <w:noProof/>
                <w:webHidden/>
              </w:rPr>
              <w:t>19</w:t>
            </w:r>
            <w:r w:rsidR="00067C30">
              <w:rPr>
                <w:noProof/>
                <w:webHidden/>
              </w:rPr>
              <w:fldChar w:fldCharType="end"/>
            </w:r>
          </w:hyperlink>
        </w:p>
        <w:p w14:paraId="0CD085FB" w14:textId="64A3DB0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2" w:history="1">
            <w:r w:rsidR="00067C30" w:rsidRPr="002C4C7C">
              <w:rPr>
                <w:rStyle w:val="Hyperlink"/>
                <w:noProof/>
              </w:rPr>
              <w:t>Conclusion</w:t>
            </w:r>
            <w:r w:rsidR="00067C30">
              <w:rPr>
                <w:noProof/>
                <w:webHidden/>
              </w:rPr>
              <w:tab/>
            </w:r>
            <w:r w:rsidR="00067C30">
              <w:rPr>
                <w:noProof/>
                <w:webHidden/>
              </w:rPr>
              <w:fldChar w:fldCharType="begin" w:fldLock="1"/>
            </w:r>
            <w:r w:rsidR="00067C30">
              <w:rPr>
                <w:noProof/>
                <w:webHidden/>
              </w:rPr>
              <w:instrText xml:space="preserve"> PAGEREF _Toc171935852 \h </w:instrText>
            </w:r>
            <w:r w:rsidR="00067C30">
              <w:rPr>
                <w:noProof/>
                <w:webHidden/>
              </w:rPr>
            </w:r>
            <w:r w:rsidR="00067C30">
              <w:rPr>
                <w:noProof/>
                <w:webHidden/>
              </w:rPr>
              <w:fldChar w:fldCharType="separate"/>
            </w:r>
            <w:r w:rsidR="00067C30">
              <w:rPr>
                <w:noProof/>
                <w:webHidden/>
              </w:rPr>
              <w:t>20</w:t>
            </w:r>
            <w:r w:rsidR="00067C30">
              <w:rPr>
                <w:noProof/>
                <w:webHidden/>
              </w:rPr>
              <w:fldChar w:fldCharType="end"/>
            </w:r>
          </w:hyperlink>
        </w:p>
        <w:p w14:paraId="36B0AABA" w14:textId="52376104"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3" w:history="1">
            <w:r w:rsidR="00067C30" w:rsidRPr="002C4C7C">
              <w:rPr>
                <w:rStyle w:val="Hyperlink"/>
                <w:noProof/>
              </w:rPr>
              <w:t>Summary of recommendations</w:t>
            </w:r>
            <w:r w:rsidR="00067C30">
              <w:rPr>
                <w:noProof/>
                <w:webHidden/>
              </w:rPr>
              <w:tab/>
            </w:r>
            <w:r w:rsidR="00067C30">
              <w:rPr>
                <w:noProof/>
                <w:webHidden/>
              </w:rPr>
              <w:fldChar w:fldCharType="begin" w:fldLock="1"/>
            </w:r>
            <w:r w:rsidR="00067C30">
              <w:rPr>
                <w:noProof/>
                <w:webHidden/>
              </w:rPr>
              <w:instrText xml:space="preserve"> PAGEREF _Toc171935853 \h </w:instrText>
            </w:r>
            <w:r w:rsidR="00067C30">
              <w:rPr>
                <w:noProof/>
                <w:webHidden/>
              </w:rPr>
            </w:r>
            <w:r w:rsidR="00067C30">
              <w:rPr>
                <w:noProof/>
                <w:webHidden/>
              </w:rPr>
              <w:fldChar w:fldCharType="separate"/>
            </w:r>
            <w:r w:rsidR="00067C30">
              <w:rPr>
                <w:noProof/>
                <w:webHidden/>
              </w:rPr>
              <w:t>21</w:t>
            </w:r>
            <w:r w:rsidR="00067C30">
              <w:rPr>
                <w:noProof/>
                <w:webHidden/>
              </w:rPr>
              <w:fldChar w:fldCharType="end"/>
            </w:r>
          </w:hyperlink>
        </w:p>
        <w:p w14:paraId="3292726B" w14:textId="2F6FC859"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54" w:history="1">
            <w:r w:rsidR="00067C30" w:rsidRPr="002C4C7C">
              <w:rPr>
                <w:rStyle w:val="Hyperlink"/>
                <w:noProof/>
              </w:rPr>
              <w:t>Chapter 1: Introduction</w:t>
            </w:r>
            <w:r w:rsidR="00067C30">
              <w:rPr>
                <w:noProof/>
                <w:webHidden/>
              </w:rPr>
              <w:tab/>
            </w:r>
            <w:r w:rsidR="00067C30">
              <w:rPr>
                <w:noProof/>
                <w:webHidden/>
              </w:rPr>
              <w:fldChar w:fldCharType="begin" w:fldLock="1"/>
            </w:r>
            <w:r w:rsidR="00067C30">
              <w:rPr>
                <w:noProof/>
                <w:webHidden/>
              </w:rPr>
              <w:instrText xml:space="preserve"> PAGEREF _Toc171935854 \h </w:instrText>
            </w:r>
            <w:r w:rsidR="00067C30">
              <w:rPr>
                <w:noProof/>
                <w:webHidden/>
              </w:rPr>
            </w:r>
            <w:r w:rsidR="00067C30">
              <w:rPr>
                <w:noProof/>
                <w:webHidden/>
              </w:rPr>
              <w:fldChar w:fldCharType="separate"/>
            </w:r>
            <w:r w:rsidR="00067C30">
              <w:rPr>
                <w:noProof/>
                <w:webHidden/>
              </w:rPr>
              <w:t>31</w:t>
            </w:r>
            <w:r w:rsidR="00067C30">
              <w:rPr>
                <w:noProof/>
                <w:webHidden/>
              </w:rPr>
              <w:fldChar w:fldCharType="end"/>
            </w:r>
          </w:hyperlink>
        </w:p>
        <w:p w14:paraId="373C4C56" w14:textId="0D72512E"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5" w:history="1">
            <w:r w:rsidR="00067C30" w:rsidRPr="002C4C7C">
              <w:rPr>
                <w:rStyle w:val="Hyperlink"/>
                <w:rFonts w:eastAsia="Segoe UI"/>
                <w:noProof/>
              </w:rPr>
              <w:t>Policy context</w:t>
            </w:r>
            <w:r w:rsidR="00067C30">
              <w:rPr>
                <w:noProof/>
                <w:webHidden/>
              </w:rPr>
              <w:tab/>
            </w:r>
            <w:r w:rsidR="00067C30">
              <w:rPr>
                <w:noProof/>
                <w:webHidden/>
              </w:rPr>
              <w:fldChar w:fldCharType="begin" w:fldLock="1"/>
            </w:r>
            <w:r w:rsidR="00067C30">
              <w:rPr>
                <w:noProof/>
                <w:webHidden/>
              </w:rPr>
              <w:instrText xml:space="preserve"> PAGEREF _Toc171935855 \h </w:instrText>
            </w:r>
            <w:r w:rsidR="00067C30">
              <w:rPr>
                <w:noProof/>
                <w:webHidden/>
              </w:rPr>
            </w:r>
            <w:r w:rsidR="00067C30">
              <w:rPr>
                <w:noProof/>
                <w:webHidden/>
              </w:rPr>
              <w:fldChar w:fldCharType="separate"/>
            </w:r>
            <w:r w:rsidR="00067C30">
              <w:rPr>
                <w:noProof/>
                <w:webHidden/>
              </w:rPr>
              <w:t>31</w:t>
            </w:r>
            <w:r w:rsidR="00067C30">
              <w:rPr>
                <w:noProof/>
                <w:webHidden/>
              </w:rPr>
              <w:fldChar w:fldCharType="end"/>
            </w:r>
          </w:hyperlink>
        </w:p>
        <w:p w14:paraId="1F495470" w14:textId="7358F464"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6" w:history="1">
            <w:r w:rsidR="00067C30" w:rsidRPr="002C4C7C">
              <w:rPr>
                <w:rStyle w:val="Hyperlink"/>
                <w:rFonts w:eastAsia="Segoe UI"/>
                <w:noProof/>
              </w:rPr>
              <w:t>How the Review was conducted</w:t>
            </w:r>
            <w:r w:rsidR="00067C30">
              <w:rPr>
                <w:noProof/>
                <w:webHidden/>
              </w:rPr>
              <w:tab/>
            </w:r>
            <w:r w:rsidR="00067C30">
              <w:rPr>
                <w:noProof/>
                <w:webHidden/>
              </w:rPr>
              <w:fldChar w:fldCharType="begin" w:fldLock="1"/>
            </w:r>
            <w:r w:rsidR="00067C30">
              <w:rPr>
                <w:noProof/>
                <w:webHidden/>
              </w:rPr>
              <w:instrText xml:space="preserve"> PAGEREF _Toc171935856 \h </w:instrText>
            </w:r>
            <w:r w:rsidR="00067C30">
              <w:rPr>
                <w:noProof/>
                <w:webHidden/>
              </w:rPr>
            </w:r>
            <w:r w:rsidR="00067C30">
              <w:rPr>
                <w:noProof/>
                <w:webHidden/>
              </w:rPr>
              <w:fldChar w:fldCharType="separate"/>
            </w:r>
            <w:r w:rsidR="00067C30">
              <w:rPr>
                <w:noProof/>
                <w:webHidden/>
              </w:rPr>
              <w:t>31</w:t>
            </w:r>
            <w:r w:rsidR="00067C30">
              <w:rPr>
                <w:noProof/>
                <w:webHidden/>
              </w:rPr>
              <w:fldChar w:fldCharType="end"/>
            </w:r>
          </w:hyperlink>
        </w:p>
        <w:p w14:paraId="5B391451" w14:textId="4C013A65"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7" w:history="1">
            <w:r w:rsidR="00067C30" w:rsidRPr="002C4C7C">
              <w:rPr>
                <w:rStyle w:val="Hyperlink"/>
                <w:rFonts w:eastAsia="Segoe UI"/>
                <w:noProof/>
              </w:rPr>
              <w:t>The structure of this report</w:t>
            </w:r>
            <w:r w:rsidR="00067C30">
              <w:rPr>
                <w:noProof/>
                <w:webHidden/>
              </w:rPr>
              <w:tab/>
            </w:r>
            <w:r w:rsidR="00067C30">
              <w:rPr>
                <w:noProof/>
                <w:webHidden/>
              </w:rPr>
              <w:fldChar w:fldCharType="begin" w:fldLock="1"/>
            </w:r>
            <w:r w:rsidR="00067C30">
              <w:rPr>
                <w:noProof/>
                <w:webHidden/>
              </w:rPr>
              <w:instrText xml:space="preserve"> PAGEREF _Toc171935857 \h </w:instrText>
            </w:r>
            <w:r w:rsidR="00067C30">
              <w:rPr>
                <w:noProof/>
                <w:webHidden/>
              </w:rPr>
            </w:r>
            <w:r w:rsidR="00067C30">
              <w:rPr>
                <w:noProof/>
                <w:webHidden/>
              </w:rPr>
              <w:fldChar w:fldCharType="separate"/>
            </w:r>
            <w:r w:rsidR="00067C30">
              <w:rPr>
                <w:noProof/>
                <w:webHidden/>
              </w:rPr>
              <w:t>33</w:t>
            </w:r>
            <w:r w:rsidR="00067C30">
              <w:rPr>
                <w:noProof/>
                <w:webHidden/>
              </w:rPr>
              <w:fldChar w:fldCharType="end"/>
            </w:r>
          </w:hyperlink>
        </w:p>
        <w:p w14:paraId="37CD5A24" w14:textId="10DF2C14"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58" w:history="1">
            <w:r w:rsidR="00067C30" w:rsidRPr="002C4C7C">
              <w:rPr>
                <w:rStyle w:val="Hyperlink"/>
                <w:noProof/>
              </w:rPr>
              <w:t>Chapter 2: Overview of Australia’s health system and HTA</w:t>
            </w:r>
            <w:r w:rsidR="00067C30">
              <w:rPr>
                <w:noProof/>
                <w:webHidden/>
              </w:rPr>
              <w:tab/>
            </w:r>
            <w:r w:rsidR="00067C30">
              <w:rPr>
                <w:noProof/>
                <w:webHidden/>
              </w:rPr>
              <w:fldChar w:fldCharType="begin" w:fldLock="1"/>
            </w:r>
            <w:r w:rsidR="00067C30">
              <w:rPr>
                <w:noProof/>
                <w:webHidden/>
              </w:rPr>
              <w:instrText xml:space="preserve"> PAGEREF _Toc171935858 \h </w:instrText>
            </w:r>
            <w:r w:rsidR="00067C30">
              <w:rPr>
                <w:noProof/>
                <w:webHidden/>
              </w:rPr>
            </w:r>
            <w:r w:rsidR="00067C30">
              <w:rPr>
                <w:noProof/>
                <w:webHidden/>
              </w:rPr>
              <w:fldChar w:fldCharType="separate"/>
            </w:r>
            <w:r w:rsidR="00067C30">
              <w:rPr>
                <w:noProof/>
                <w:webHidden/>
              </w:rPr>
              <w:t>35</w:t>
            </w:r>
            <w:r w:rsidR="00067C30">
              <w:rPr>
                <w:noProof/>
                <w:webHidden/>
              </w:rPr>
              <w:fldChar w:fldCharType="end"/>
            </w:r>
          </w:hyperlink>
        </w:p>
        <w:p w14:paraId="5C07F470" w14:textId="408092D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59" w:history="1">
            <w:r w:rsidR="00067C30" w:rsidRPr="002C4C7C">
              <w:rPr>
                <w:rStyle w:val="Hyperlink"/>
                <w:noProof/>
              </w:rPr>
              <w:t>Australia’s health system and access to health technologies</w:t>
            </w:r>
            <w:r w:rsidR="00067C30">
              <w:rPr>
                <w:noProof/>
                <w:webHidden/>
              </w:rPr>
              <w:tab/>
            </w:r>
            <w:r w:rsidR="00067C30">
              <w:rPr>
                <w:noProof/>
                <w:webHidden/>
              </w:rPr>
              <w:fldChar w:fldCharType="begin" w:fldLock="1"/>
            </w:r>
            <w:r w:rsidR="00067C30">
              <w:rPr>
                <w:noProof/>
                <w:webHidden/>
              </w:rPr>
              <w:instrText xml:space="preserve"> PAGEREF _Toc171935859 \h </w:instrText>
            </w:r>
            <w:r w:rsidR="00067C30">
              <w:rPr>
                <w:noProof/>
                <w:webHidden/>
              </w:rPr>
            </w:r>
            <w:r w:rsidR="00067C30">
              <w:rPr>
                <w:noProof/>
                <w:webHidden/>
              </w:rPr>
              <w:fldChar w:fldCharType="separate"/>
            </w:r>
            <w:r w:rsidR="00067C30">
              <w:rPr>
                <w:noProof/>
                <w:webHidden/>
              </w:rPr>
              <w:t>35</w:t>
            </w:r>
            <w:r w:rsidR="00067C30">
              <w:rPr>
                <w:noProof/>
                <w:webHidden/>
              </w:rPr>
              <w:fldChar w:fldCharType="end"/>
            </w:r>
          </w:hyperlink>
        </w:p>
        <w:p w14:paraId="383952F7" w14:textId="4196FD3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0" w:history="1">
            <w:r w:rsidR="00067C30" w:rsidRPr="002C4C7C">
              <w:rPr>
                <w:rStyle w:val="Hyperlink"/>
                <w:noProof/>
              </w:rPr>
              <w:t>Health expenditure and funding</w:t>
            </w:r>
            <w:r w:rsidR="00067C30">
              <w:rPr>
                <w:noProof/>
                <w:webHidden/>
              </w:rPr>
              <w:tab/>
            </w:r>
            <w:r w:rsidR="00067C30">
              <w:rPr>
                <w:noProof/>
                <w:webHidden/>
              </w:rPr>
              <w:fldChar w:fldCharType="begin" w:fldLock="1"/>
            </w:r>
            <w:r w:rsidR="00067C30">
              <w:rPr>
                <w:noProof/>
                <w:webHidden/>
              </w:rPr>
              <w:instrText xml:space="preserve"> PAGEREF _Toc171935860 \h </w:instrText>
            </w:r>
            <w:r w:rsidR="00067C30">
              <w:rPr>
                <w:noProof/>
                <w:webHidden/>
              </w:rPr>
            </w:r>
            <w:r w:rsidR="00067C30">
              <w:rPr>
                <w:noProof/>
                <w:webHidden/>
              </w:rPr>
              <w:fldChar w:fldCharType="separate"/>
            </w:r>
            <w:r w:rsidR="00067C30">
              <w:rPr>
                <w:noProof/>
                <w:webHidden/>
              </w:rPr>
              <w:t>36</w:t>
            </w:r>
            <w:r w:rsidR="00067C30">
              <w:rPr>
                <w:noProof/>
                <w:webHidden/>
              </w:rPr>
              <w:fldChar w:fldCharType="end"/>
            </w:r>
          </w:hyperlink>
        </w:p>
        <w:p w14:paraId="0A30A540" w14:textId="609B53DD"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1" w:history="1">
            <w:r w:rsidR="00067C30" w:rsidRPr="002C4C7C">
              <w:rPr>
                <w:rStyle w:val="Hyperlink"/>
                <w:noProof/>
              </w:rPr>
              <w:t>What is HTA and why is it important?</w:t>
            </w:r>
            <w:r w:rsidR="00067C30">
              <w:rPr>
                <w:noProof/>
                <w:webHidden/>
              </w:rPr>
              <w:tab/>
            </w:r>
            <w:r w:rsidR="00067C30">
              <w:rPr>
                <w:noProof/>
                <w:webHidden/>
              </w:rPr>
              <w:fldChar w:fldCharType="begin" w:fldLock="1"/>
            </w:r>
            <w:r w:rsidR="00067C30">
              <w:rPr>
                <w:noProof/>
                <w:webHidden/>
              </w:rPr>
              <w:instrText xml:space="preserve"> PAGEREF _Toc171935861 \h </w:instrText>
            </w:r>
            <w:r w:rsidR="00067C30">
              <w:rPr>
                <w:noProof/>
                <w:webHidden/>
              </w:rPr>
            </w:r>
            <w:r w:rsidR="00067C30">
              <w:rPr>
                <w:noProof/>
                <w:webHidden/>
              </w:rPr>
              <w:fldChar w:fldCharType="separate"/>
            </w:r>
            <w:r w:rsidR="00067C30">
              <w:rPr>
                <w:noProof/>
                <w:webHidden/>
              </w:rPr>
              <w:t>36</w:t>
            </w:r>
            <w:r w:rsidR="00067C30">
              <w:rPr>
                <w:noProof/>
                <w:webHidden/>
              </w:rPr>
              <w:fldChar w:fldCharType="end"/>
            </w:r>
          </w:hyperlink>
        </w:p>
        <w:p w14:paraId="074041B9" w14:textId="762DC0E6"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2" w:history="1">
            <w:r w:rsidR="00067C30" w:rsidRPr="002C4C7C">
              <w:rPr>
                <w:rStyle w:val="Hyperlink"/>
                <w:noProof/>
              </w:rPr>
              <w:t>How does Australia do HTAs?</w:t>
            </w:r>
            <w:r w:rsidR="00067C30">
              <w:rPr>
                <w:noProof/>
                <w:webHidden/>
              </w:rPr>
              <w:tab/>
            </w:r>
            <w:r w:rsidR="00067C30">
              <w:rPr>
                <w:noProof/>
                <w:webHidden/>
              </w:rPr>
              <w:fldChar w:fldCharType="begin" w:fldLock="1"/>
            </w:r>
            <w:r w:rsidR="00067C30">
              <w:rPr>
                <w:noProof/>
                <w:webHidden/>
              </w:rPr>
              <w:instrText xml:space="preserve"> PAGEREF _Toc171935862 \h </w:instrText>
            </w:r>
            <w:r w:rsidR="00067C30">
              <w:rPr>
                <w:noProof/>
                <w:webHidden/>
              </w:rPr>
            </w:r>
            <w:r w:rsidR="00067C30">
              <w:rPr>
                <w:noProof/>
                <w:webHidden/>
              </w:rPr>
              <w:fldChar w:fldCharType="separate"/>
            </w:r>
            <w:r w:rsidR="00067C30">
              <w:rPr>
                <w:noProof/>
                <w:webHidden/>
              </w:rPr>
              <w:t>37</w:t>
            </w:r>
            <w:r w:rsidR="00067C30">
              <w:rPr>
                <w:noProof/>
                <w:webHidden/>
              </w:rPr>
              <w:fldChar w:fldCharType="end"/>
            </w:r>
          </w:hyperlink>
        </w:p>
        <w:p w14:paraId="472615E5" w14:textId="2111A04B"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3" w:history="1">
            <w:r w:rsidR="00067C30" w:rsidRPr="002C4C7C">
              <w:rPr>
                <w:rStyle w:val="Hyperlink"/>
                <w:noProof/>
              </w:rPr>
              <w:t>Why is Australia’s approach to HTAs being reviewed?</w:t>
            </w:r>
            <w:r w:rsidR="00067C30">
              <w:rPr>
                <w:noProof/>
                <w:webHidden/>
              </w:rPr>
              <w:tab/>
            </w:r>
            <w:r w:rsidR="00067C30">
              <w:rPr>
                <w:noProof/>
                <w:webHidden/>
              </w:rPr>
              <w:fldChar w:fldCharType="begin" w:fldLock="1"/>
            </w:r>
            <w:r w:rsidR="00067C30">
              <w:rPr>
                <w:noProof/>
                <w:webHidden/>
              </w:rPr>
              <w:instrText xml:space="preserve"> PAGEREF _Toc171935863 \h </w:instrText>
            </w:r>
            <w:r w:rsidR="00067C30">
              <w:rPr>
                <w:noProof/>
                <w:webHidden/>
              </w:rPr>
            </w:r>
            <w:r w:rsidR="00067C30">
              <w:rPr>
                <w:noProof/>
                <w:webHidden/>
              </w:rPr>
              <w:fldChar w:fldCharType="separate"/>
            </w:r>
            <w:r w:rsidR="00067C30">
              <w:rPr>
                <w:noProof/>
                <w:webHidden/>
              </w:rPr>
              <w:t>37</w:t>
            </w:r>
            <w:r w:rsidR="00067C30">
              <w:rPr>
                <w:noProof/>
                <w:webHidden/>
              </w:rPr>
              <w:fldChar w:fldCharType="end"/>
            </w:r>
          </w:hyperlink>
        </w:p>
        <w:p w14:paraId="1B22DB2B" w14:textId="4FF287D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4" w:history="1">
            <w:r w:rsidR="00067C30" w:rsidRPr="002C4C7C">
              <w:rPr>
                <w:rStyle w:val="Hyperlink"/>
                <w:noProof/>
              </w:rPr>
              <w:t>How long does Australia take to provide access?</w:t>
            </w:r>
            <w:r w:rsidR="00067C30">
              <w:rPr>
                <w:noProof/>
                <w:webHidden/>
              </w:rPr>
              <w:tab/>
            </w:r>
            <w:r w:rsidR="00067C30">
              <w:rPr>
                <w:noProof/>
                <w:webHidden/>
              </w:rPr>
              <w:fldChar w:fldCharType="begin" w:fldLock="1"/>
            </w:r>
            <w:r w:rsidR="00067C30">
              <w:rPr>
                <w:noProof/>
                <w:webHidden/>
              </w:rPr>
              <w:instrText xml:space="preserve"> PAGEREF _Toc171935864 \h </w:instrText>
            </w:r>
            <w:r w:rsidR="00067C30">
              <w:rPr>
                <w:noProof/>
                <w:webHidden/>
              </w:rPr>
            </w:r>
            <w:r w:rsidR="00067C30">
              <w:rPr>
                <w:noProof/>
                <w:webHidden/>
              </w:rPr>
              <w:fldChar w:fldCharType="separate"/>
            </w:r>
            <w:r w:rsidR="00067C30">
              <w:rPr>
                <w:noProof/>
                <w:webHidden/>
              </w:rPr>
              <w:t>39</w:t>
            </w:r>
            <w:r w:rsidR="00067C30">
              <w:rPr>
                <w:noProof/>
                <w:webHidden/>
              </w:rPr>
              <w:fldChar w:fldCharType="end"/>
            </w:r>
          </w:hyperlink>
        </w:p>
        <w:p w14:paraId="233EC675" w14:textId="73A16433"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65" w:history="1">
            <w:r w:rsidR="00067C30" w:rsidRPr="002C4C7C">
              <w:rPr>
                <w:rStyle w:val="Hyperlink"/>
                <w:noProof/>
              </w:rPr>
              <w:t>Chapter 3: Providing more equitable access to under-represented patient groups</w:t>
            </w:r>
            <w:r w:rsidR="00067C30">
              <w:rPr>
                <w:noProof/>
                <w:webHidden/>
              </w:rPr>
              <w:tab/>
            </w:r>
            <w:r w:rsidR="00067C30">
              <w:rPr>
                <w:noProof/>
                <w:webHidden/>
              </w:rPr>
              <w:fldChar w:fldCharType="begin" w:fldLock="1"/>
            </w:r>
            <w:r w:rsidR="00067C30">
              <w:rPr>
                <w:noProof/>
                <w:webHidden/>
              </w:rPr>
              <w:instrText xml:space="preserve"> PAGEREF _Toc171935865 \h </w:instrText>
            </w:r>
            <w:r w:rsidR="00067C30">
              <w:rPr>
                <w:noProof/>
                <w:webHidden/>
              </w:rPr>
            </w:r>
            <w:r w:rsidR="00067C30">
              <w:rPr>
                <w:noProof/>
                <w:webHidden/>
              </w:rPr>
              <w:fldChar w:fldCharType="separate"/>
            </w:r>
            <w:r w:rsidR="00067C30">
              <w:rPr>
                <w:noProof/>
                <w:webHidden/>
              </w:rPr>
              <w:t>41</w:t>
            </w:r>
            <w:r w:rsidR="00067C30">
              <w:rPr>
                <w:noProof/>
                <w:webHidden/>
              </w:rPr>
              <w:fldChar w:fldCharType="end"/>
            </w:r>
          </w:hyperlink>
        </w:p>
        <w:p w14:paraId="3A503512" w14:textId="2FC4CD2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6"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_Toc171935866 \h </w:instrText>
            </w:r>
            <w:r w:rsidR="00067C30">
              <w:rPr>
                <w:noProof/>
                <w:webHidden/>
              </w:rPr>
            </w:r>
            <w:r w:rsidR="00067C30">
              <w:rPr>
                <w:noProof/>
                <w:webHidden/>
              </w:rPr>
              <w:fldChar w:fldCharType="separate"/>
            </w:r>
            <w:r w:rsidR="00067C30">
              <w:rPr>
                <w:noProof/>
                <w:webHidden/>
              </w:rPr>
              <w:t>41</w:t>
            </w:r>
            <w:r w:rsidR="00067C30">
              <w:rPr>
                <w:noProof/>
                <w:webHidden/>
              </w:rPr>
              <w:fldChar w:fldCharType="end"/>
            </w:r>
          </w:hyperlink>
        </w:p>
        <w:p w14:paraId="3210C0B7" w14:textId="7EB771B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7" w:history="1">
            <w:r w:rsidR="00067C30" w:rsidRPr="002C4C7C">
              <w:rPr>
                <w:rStyle w:val="Hyperlink"/>
                <w:noProof/>
              </w:rPr>
              <w:t>Chapter 3.1: Creating an equitable system for First Nations people</w:t>
            </w:r>
            <w:r w:rsidR="00067C30">
              <w:rPr>
                <w:noProof/>
                <w:webHidden/>
              </w:rPr>
              <w:tab/>
            </w:r>
            <w:r w:rsidR="00067C30">
              <w:rPr>
                <w:noProof/>
                <w:webHidden/>
              </w:rPr>
              <w:fldChar w:fldCharType="begin" w:fldLock="1"/>
            </w:r>
            <w:r w:rsidR="00067C30">
              <w:rPr>
                <w:noProof/>
                <w:webHidden/>
              </w:rPr>
              <w:instrText xml:space="preserve"> PAGEREF _Toc171935867 \h </w:instrText>
            </w:r>
            <w:r w:rsidR="00067C30">
              <w:rPr>
                <w:noProof/>
                <w:webHidden/>
              </w:rPr>
            </w:r>
            <w:r w:rsidR="00067C30">
              <w:rPr>
                <w:noProof/>
                <w:webHidden/>
              </w:rPr>
              <w:fldChar w:fldCharType="separate"/>
            </w:r>
            <w:r w:rsidR="00067C30">
              <w:rPr>
                <w:noProof/>
                <w:webHidden/>
              </w:rPr>
              <w:t>41</w:t>
            </w:r>
            <w:r w:rsidR="00067C30">
              <w:rPr>
                <w:noProof/>
                <w:webHidden/>
              </w:rPr>
              <w:fldChar w:fldCharType="end"/>
            </w:r>
          </w:hyperlink>
        </w:p>
        <w:p w14:paraId="47BE09C4" w14:textId="0D28C204"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68" w:history="1">
            <w:r w:rsidR="00067C30" w:rsidRPr="002C4C7C">
              <w:rPr>
                <w:rStyle w:val="Hyperlink"/>
                <w:noProof/>
              </w:rPr>
              <w:t>Chapter 3.2: Improving access to medicines for paediatric patients</w:t>
            </w:r>
            <w:r w:rsidR="00067C30">
              <w:rPr>
                <w:noProof/>
                <w:webHidden/>
              </w:rPr>
              <w:tab/>
            </w:r>
            <w:r w:rsidR="00067C30">
              <w:rPr>
                <w:noProof/>
                <w:webHidden/>
              </w:rPr>
              <w:fldChar w:fldCharType="begin" w:fldLock="1"/>
            </w:r>
            <w:r w:rsidR="00067C30">
              <w:rPr>
                <w:noProof/>
                <w:webHidden/>
              </w:rPr>
              <w:instrText xml:space="preserve"> PAGEREF _Toc171935868 \h </w:instrText>
            </w:r>
            <w:r w:rsidR="00067C30">
              <w:rPr>
                <w:noProof/>
                <w:webHidden/>
              </w:rPr>
            </w:r>
            <w:r w:rsidR="00067C30">
              <w:rPr>
                <w:noProof/>
                <w:webHidden/>
              </w:rPr>
              <w:fldChar w:fldCharType="separate"/>
            </w:r>
            <w:r w:rsidR="00067C30">
              <w:rPr>
                <w:noProof/>
                <w:webHidden/>
              </w:rPr>
              <w:t>47</w:t>
            </w:r>
            <w:r w:rsidR="00067C30">
              <w:rPr>
                <w:noProof/>
                <w:webHidden/>
              </w:rPr>
              <w:fldChar w:fldCharType="end"/>
            </w:r>
          </w:hyperlink>
        </w:p>
        <w:p w14:paraId="60898383" w14:textId="6CB09916"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69" w:history="1">
            <w:r w:rsidR="00067C30" w:rsidRPr="002C4C7C">
              <w:rPr>
                <w:rStyle w:val="Hyperlink"/>
                <w:rFonts w:eastAsiaTheme="majorEastAsia"/>
                <w:noProof/>
              </w:rPr>
              <w:t>Chapter 4: Streamlined pathways for more timely access</w:t>
            </w:r>
            <w:r w:rsidR="00067C30">
              <w:rPr>
                <w:noProof/>
                <w:webHidden/>
              </w:rPr>
              <w:tab/>
            </w:r>
            <w:r w:rsidR="00067C30">
              <w:rPr>
                <w:noProof/>
                <w:webHidden/>
              </w:rPr>
              <w:fldChar w:fldCharType="begin" w:fldLock="1"/>
            </w:r>
            <w:r w:rsidR="00067C30">
              <w:rPr>
                <w:noProof/>
                <w:webHidden/>
              </w:rPr>
              <w:instrText xml:space="preserve"> PAGEREF _Toc171935869 \h </w:instrText>
            </w:r>
            <w:r w:rsidR="00067C30">
              <w:rPr>
                <w:noProof/>
                <w:webHidden/>
              </w:rPr>
            </w:r>
            <w:r w:rsidR="00067C30">
              <w:rPr>
                <w:noProof/>
                <w:webHidden/>
              </w:rPr>
              <w:fldChar w:fldCharType="separate"/>
            </w:r>
            <w:r w:rsidR="00067C30">
              <w:rPr>
                <w:noProof/>
                <w:webHidden/>
              </w:rPr>
              <w:t>50</w:t>
            </w:r>
            <w:r w:rsidR="00067C30">
              <w:rPr>
                <w:noProof/>
                <w:webHidden/>
              </w:rPr>
              <w:fldChar w:fldCharType="end"/>
            </w:r>
          </w:hyperlink>
        </w:p>
        <w:p w14:paraId="1687143B" w14:textId="13E8748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0"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_Toc171935870 \h </w:instrText>
            </w:r>
            <w:r w:rsidR="00067C30">
              <w:rPr>
                <w:noProof/>
                <w:webHidden/>
              </w:rPr>
            </w:r>
            <w:r w:rsidR="00067C30">
              <w:rPr>
                <w:noProof/>
                <w:webHidden/>
              </w:rPr>
              <w:fldChar w:fldCharType="separate"/>
            </w:r>
            <w:r w:rsidR="00067C30">
              <w:rPr>
                <w:noProof/>
                <w:webHidden/>
              </w:rPr>
              <w:t>50</w:t>
            </w:r>
            <w:r w:rsidR="00067C30">
              <w:rPr>
                <w:noProof/>
                <w:webHidden/>
              </w:rPr>
              <w:fldChar w:fldCharType="end"/>
            </w:r>
          </w:hyperlink>
        </w:p>
        <w:p w14:paraId="571FD487" w14:textId="1D986994"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1" w:history="1">
            <w:r w:rsidR="00067C30" w:rsidRPr="002C4C7C">
              <w:rPr>
                <w:rStyle w:val="Hyperlink"/>
                <w:noProof/>
              </w:rPr>
              <w:t>Chapter 4.1: Overview of Australia’s health technology funding and assessment pathways</w:t>
            </w:r>
            <w:r w:rsidR="00067C30">
              <w:rPr>
                <w:noProof/>
                <w:webHidden/>
              </w:rPr>
              <w:tab/>
            </w:r>
            <w:r w:rsidR="00067C30">
              <w:rPr>
                <w:noProof/>
                <w:webHidden/>
              </w:rPr>
              <w:fldChar w:fldCharType="begin" w:fldLock="1"/>
            </w:r>
            <w:r w:rsidR="00067C30">
              <w:rPr>
                <w:noProof/>
                <w:webHidden/>
              </w:rPr>
              <w:instrText xml:space="preserve"> PAGEREF _Toc171935871 \h </w:instrText>
            </w:r>
            <w:r w:rsidR="00067C30">
              <w:rPr>
                <w:noProof/>
                <w:webHidden/>
              </w:rPr>
            </w:r>
            <w:r w:rsidR="00067C30">
              <w:rPr>
                <w:noProof/>
                <w:webHidden/>
              </w:rPr>
              <w:fldChar w:fldCharType="separate"/>
            </w:r>
            <w:r w:rsidR="00067C30">
              <w:rPr>
                <w:noProof/>
                <w:webHidden/>
              </w:rPr>
              <w:t>52</w:t>
            </w:r>
            <w:r w:rsidR="00067C30">
              <w:rPr>
                <w:noProof/>
                <w:webHidden/>
              </w:rPr>
              <w:fldChar w:fldCharType="end"/>
            </w:r>
          </w:hyperlink>
        </w:p>
        <w:p w14:paraId="7B29289D" w14:textId="362C504E"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2" w:history="1">
            <w:r w:rsidR="00067C30" w:rsidRPr="002C4C7C">
              <w:rPr>
                <w:rStyle w:val="Hyperlink"/>
                <w:noProof/>
              </w:rPr>
              <w:t>Chapter 4.2: Improved pathways for listing medicines on the PBS</w:t>
            </w:r>
            <w:r w:rsidR="00067C30">
              <w:rPr>
                <w:noProof/>
                <w:webHidden/>
              </w:rPr>
              <w:tab/>
            </w:r>
            <w:r w:rsidR="00067C30">
              <w:rPr>
                <w:noProof/>
                <w:webHidden/>
              </w:rPr>
              <w:fldChar w:fldCharType="begin" w:fldLock="1"/>
            </w:r>
            <w:r w:rsidR="00067C30">
              <w:rPr>
                <w:noProof/>
                <w:webHidden/>
              </w:rPr>
              <w:instrText xml:space="preserve"> PAGEREF _Toc171935872 \h </w:instrText>
            </w:r>
            <w:r w:rsidR="00067C30">
              <w:rPr>
                <w:noProof/>
                <w:webHidden/>
              </w:rPr>
            </w:r>
            <w:r w:rsidR="00067C30">
              <w:rPr>
                <w:noProof/>
                <w:webHidden/>
              </w:rPr>
              <w:fldChar w:fldCharType="separate"/>
            </w:r>
            <w:r w:rsidR="00067C30">
              <w:rPr>
                <w:noProof/>
                <w:webHidden/>
              </w:rPr>
              <w:t>57</w:t>
            </w:r>
            <w:r w:rsidR="00067C30">
              <w:rPr>
                <w:noProof/>
                <w:webHidden/>
              </w:rPr>
              <w:fldChar w:fldCharType="end"/>
            </w:r>
          </w:hyperlink>
        </w:p>
        <w:p w14:paraId="75080C9D" w14:textId="089DB5DB"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3" w:history="1">
            <w:r w:rsidR="00067C30" w:rsidRPr="002C4C7C">
              <w:rPr>
                <w:rStyle w:val="Hyperlink"/>
                <w:noProof/>
              </w:rPr>
              <w:t xml:space="preserve">Chapter 4.3: Application pathway for having vaccines listed on the National </w:t>
            </w:r>
            <w:r w:rsidR="00067C30" w:rsidRPr="002C4C7C">
              <w:rPr>
                <w:rStyle w:val="Hyperlink"/>
                <w:rFonts w:cs="Segoe UI Light"/>
                <w:noProof/>
                <w:kern w:val="28"/>
              </w:rPr>
              <w:t>Immunisation Program</w:t>
            </w:r>
            <w:r w:rsidR="00067C30">
              <w:rPr>
                <w:noProof/>
                <w:webHidden/>
              </w:rPr>
              <w:tab/>
            </w:r>
            <w:r w:rsidR="00067C30">
              <w:rPr>
                <w:noProof/>
                <w:webHidden/>
              </w:rPr>
              <w:fldChar w:fldCharType="begin" w:fldLock="1"/>
            </w:r>
            <w:r w:rsidR="00067C30">
              <w:rPr>
                <w:noProof/>
                <w:webHidden/>
              </w:rPr>
              <w:instrText xml:space="preserve"> PAGEREF _Toc171935873 \h </w:instrText>
            </w:r>
            <w:r w:rsidR="00067C30">
              <w:rPr>
                <w:noProof/>
                <w:webHidden/>
              </w:rPr>
            </w:r>
            <w:r w:rsidR="00067C30">
              <w:rPr>
                <w:noProof/>
                <w:webHidden/>
              </w:rPr>
              <w:fldChar w:fldCharType="separate"/>
            </w:r>
            <w:r w:rsidR="00067C30">
              <w:rPr>
                <w:noProof/>
                <w:webHidden/>
              </w:rPr>
              <w:t>66</w:t>
            </w:r>
            <w:r w:rsidR="00067C30">
              <w:rPr>
                <w:noProof/>
                <w:webHidden/>
              </w:rPr>
              <w:fldChar w:fldCharType="end"/>
            </w:r>
          </w:hyperlink>
        </w:p>
        <w:p w14:paraId="50D8CD5C" w14:textId="3208F2E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4" w:history="1">
            <w:r w:rsidR="00067C30" w:rsidRPr="002C4C7C">
              <w:rPr>
                <w:rStyle w:val="Hyperlink"/>
                <w:noProof/>
              </w:rPr>
              <w:t>Chapter 4.4: Pathways for highly specialised therapies and other therapies co-funded between the Australian and state and territory governments</w:t>
            </w:r>
            <w:r w:rsidR="00067C30">
              <w:rPr>
                <w:noProof/>
                <w:webHidden/>
              </w:rPr>
              <w:tab/>
            </w:r>
            <w:r w:rsidR="00067C30">
              <w:rPr>
                <w:noProof/>
                <w:webHidden/>
              </w:rPr>
              <w:fldChar w:fldCharType="begin" w:fldLock="1"/>
            </w:r>
            <w:r w:rsidR="00067C30">
              <w:rPr>
                <w:noProof/>
                <w:webHidden/>
              </w:rPr>
              <w:instrText xml:space="preserve"> PAGEREF _Toc171935874 \h </w:instrText>
            </w:r>
            <w:r w:rsidR="00067C30">
              <w:rPr>
                <w:noProof/>
                <w:webHidden/>
              </w:rPr>
            </w:r>
            <w:r w:rsidR="00067C30">
              <w:rPr>
                <w:noProof/>
                <w:webHidden/>
              </w:rPr>
              <w:fldChar w:fldCharType="separate"/>
            </w:r>
            <w:r w:rsidR="00067C30">
              <w:rPr>
                <w:noProof/>
                <w:webHidden/>
              </w:rPr>
              <w:t>71</w:t>
            </w:r>
            <w:r w:rsidR="00067C30">
              <w:rPr>
                <w:noProof/>
                <w:webHidden/>
              </w:rPr>
              <w:fldChar w:fldCharType="end"/>
            </w:r>
          </w:hyperlink>
        </w:p>
        <w:p w14:paraId="284B12AC" w14:textId="2A32984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5" w:history="1">
            <w:r w:rsidR="00067C30" w:rsidRPr="002C4C7C">
              <w:rPr>
                <w:rStyle w:val="Hyperlink"/>
                <w:noProof/>
              </w:rPr>
              <w:t>Chapter 4.5: Life-saving drugs for patients with ultra-rare diseases (Life Saving Drugs Program)</w:t>
            </w:r>
            <w:r w:rsidR="00067C30">
              <w:rPr>
                <w:noProof/>
                <w:webHidden/>
              </w:rPr>
              <w:tab/>
            </w:r>
            <w:r w:rsidR="00067C30">
              <w:rPr>
                <w:noProof/>
                <w:webHidden/>
              </w:rPr>
              <w:fldChar w:fldCharType="begin" w:fldLock="1"/>
            </w:r>
            <w:r w:rsidR="00067C30">
              <w:rPr>
                <w:noProof/>
                <w:webHidden/>
              </w:rPr>
              <w:instrText xml:space="preserve"> PAGEREF _Toc171935875 \h </w:instrText>
            </w:r>
            <w:r w:rsidR="00067C30">
              <w:rPr>
                <w:noProof/>
                <w:webHidden/>
              </w:rPr>
            </w:r>
            <w:r w:rsidR="00067C30">
              <w:rPr>
                <w:noProof/>
                <w:webHidden/>
              </w:rPr>
              <w:fldChar w:fldCharType="separate"/>
            </w:r>
            <w:r w:rsidR="00067C30">
              <w:rPr>
                <w:noProof/>
                <w:webHidden/>
              </w:rPr>
              <w:t>77</w:t>
            </w:r>
            <w:r w:rsidR="00067C30">
              <w:rPr>
                <w:noProof/>
                <w:webHidden/>
              </w:rPr>
              <w:fldChar w:fldCharType="end"/>
            </w:r>
          </w:hyperlink>
        </w:p>
        <w:p w14:paraId="63181890" w14:textId="0C274F07"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6" w:history="1">
            <w:r w:rsidR="00067C30" w:rsidRPr="002C4C7C">
              <w:rPr>
                <w:rStyle w:val="Hyperlink"/>
                <w:noProof/>
              </w:rPr>
              <w:t>Chapter 4.6: Measuring the impact of reforms on timeliness</w:t>
            </w:r>
            <w:r w:rsidR="00067C30">
              <w:rPr>
                <w:noProof/>
                <w:webHidden/>
              </w:rPr>
              <w:tab/>
            </w:r>
            <w:r w:rsidR="00067C30">
              <w:rPr>
                <w:noProof/>
                <w:webHidden/>
              </w:rPr>
              <w:fldChar w:fldCharType="begin" w:fldLock="1"/>
            </w:r>
            <w:r w:rsidR="00067C30">
              <w:rPr>
                <w:noProof/>
                <w:webHidden/>
              </w:rPr>
              <w:instrText xml:space="preserve"> PAGEREF _Toc171935876 \h </w:instrText>
            </w:r>
            <w:r w:rsidR="00067C30">
              <w:rPr>
                <w:noProof/>
                <w:webHidden/>
              </w:rPr>
            </w:r>
            <w:r w:rsidR="00067C30">
              <w:rPr>
                <w:noProof/>
                <w:webHidden/>
              </w:rPr>
              <w:fldChar w:fldCharType="separate"/>
            </w:r>
            <w:r w:rsidR="00067C30">
              <w:rPr>
                <w:noProof/>
                <w:webHidden/>
              </w:rPr>
              <w:t>82</w:t>
            </w:r>
            <w:r w:rsidR="00067C30">
              <w:rPr>
                <w:noProof/>
                <w:webHidden/>
              </w:rPr>
              <w:fldChar w:fldCharType="end"/>
            </w:r>
          </w:hyperlink>
        </w:p>
        <w:p w14:paraId="2E73427A" w14:textId="5EC8B563"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77" w:history="1">
            <w:r w:rsidR="00067C30" w:rsidRPr="002C4C7C">
              <w:rPr>
                <w:rStyle w:val="Hyperlink"/>
                <w:noProof/>
              </w:rPr>
              <w:t>Chapter 5: Policies, methods and processes supporting the translation of HTA recommendations into patient access</w:t>
            </w:r>
            <w:r w:rsidR="00067C30">
              <w:rPr>
                <w:noProof/>
                <w:webHidden/>
              </w:rPr>
              <w:tab/>
            </w:r>
            <w:r w:rsidR="00067C30">
              <w:rPr>
                <w:noProof/>
                <w:webHidden/>
              </w:rPr>
              <w:fldChar w:fldCharType="begin" w:fldLock="1"/>
            </w:r>
            <w:r w:rsidR="00067C30">
              <w:rPr>
                <w:noProof/>
                <w:webHidden/>
              </w:rPr>
              <w:instrText xml:space="preserve"> PAGEREF _Toc171935877 \h </w:instrText>
            </w:r>
            <w:r w:rsidR="00067C30">
              <w:rPr>
                <w:noProof/>
                <w:webHidden/>
              </w:rPr>
            </w:r>
            <w:r w:rsidR="00067C30">
              <w:rPr>
                <w:noProof/>
                <w:webHidden/>
              </w:rPr>
              <w:fldChar w:fldCharType="separate"/>
            </w:r>
            <w:r w:rsidR="00067C30">
              <w:rPr>
                <w:noProof/>
                <w:webHidden/>
              </w:rPr>
              <w:t>86</w:t>
            </w:r>
            <w:r w:rsidR="00067C30">
              <w:rPr>
                <w:noProof/>
                <w:webHidden/>
              </w:rPr>
              <w:fldChar w:fldCharType="end"/>
            </w:r>
          </w:hyperlink>
        </w:p>
        <w:p w14:paraId="16CA06F5" w14:textId="12C96A4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8"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_Toc171935878 \h </w:instrText>
            </w:r>
            <w:r w:rsidR="00067C30">
              <w:rPr>
                <w:noProof/>
                <w:webHidden/>
              </w:rPr>
            </w:r>
            <w:r w:rsidR="00067C30">
              <w:rPr>
                <w:noProof/>
                <w:webHidden/>
              </w:rPr>
              <w:fldChar w:fldCharType="separate"/>
            </w:r>
            <w:r w:rsidR="00067C30">
              <w:rPr>
                <w:noProof/>
                <w:webHidden/>
              </w:rPr>
              <w:t>86</w:t>
            </w:r>
            <w:r w:rsidR="00067C30">
              <w:rPr>
                <w:noProof/>
                <w:webHidden/>
              </w:rPr>
              <w:fldChar w:fldCharType="end"/>
            </w:r>
          </w:hyperlink>
        </w:p>
        <w:p w14:paraId="5F79A72A" w14:textId="75C6F0EE"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79" w:history="1">
            <w:r w:rsidR="00067C30" w:rsidRPr="002C4C7C">
              <w:rPr>
                <w:rStyle w:val="Hyperlink"/>
                <w:noProof/>
              </w:rPr>
              <w:t>Chapter 5.1: Alternative ways to pay for health technologies</w:t>
            </w:r>
            <w:r w:rsidR="00067C30">
              <w:rPr>
                <w:noProof/>
                <w:webHidden/>
              </w:rPr>
              <w:tab/>
            </w:r>
            <w:r w:rsidR="00067C30">
              <w:rPr>
                <w:noProof/>
                <w:webHidden/>
              </w:rPr>
              <w:fldChar w:fldCharType="begin" w:fldLock="1"/>
            </w:r>
            <w:r w:rsidR="00067C30">
              <w:rPr>
                <w:noProof/>
                <w:webHidden/>
              </w:rPr>
              <w:instrText xml:space="preserve"> PAGEREF _Toc171935879 \h </w:instrText>
            </w:r>
            <w:r w:rsidR="00067C30">
              <w:rPr>
                <w:noProof/>
                <w:webHidden/>
              </w:rPr>
            </w:r>
            <w:r w:rsidR="00067C30">
              <w:rPr>
                <w:noProof/>
                <w:webHidden/>
              </w:rPr>
              <w:fldChar w:fldCharType="separate"/>
            </w:r>
            <w:r w:rsidR="00067C30">
              <w:rPr>
                <w:noProof/>
                <w:webHidden/>
              </w:rPr>
              <w:t>88</w:t>
            </w:r>
            <w:r w:rsidR="00067C30">
              <w:rPr>
                <w:noProof/>
                <w:webHidden/>
              </w:rPr>
              <w:fldChar w:fldCharType="end"/>
            </w:r>
          </w:hyperlink>
        </w:p>
        <w:p w14:paraId="590EDF02" w14:textId="0A5EE1E9"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0" w:history="1">
            <w:r w:rsidR="00067C30" w:rsidRPr="002C4C7C">
              <w:rPr>
                <w:rStyle w:val="Hyperlink"/>
                <w:noProof/>
              </w:rPr>
              <w:t>Chapter 5.2: Improving the post-HTA negotiation process</w:t>
            </w:r>
            <w:r w:rsidR="00067C30">
              <w:rPr>
                <w:noProof/>
                <w:webHidden/>
              </w:rPr>
              <w:tab/>
            </w:r>
            <w:r w:rsidR="00067C30">
              <w:rPr>
                <w:noProof/>
                <w:webHidden/>
              </w:rPr>
              <w:fldChar w:fldCharType="begin" w:fldLock="1"/>
            </w:r>
            <w:r w:rsidR="00067C30">
              <w:rPr>
                <w:noProof/>
                <w:webHidden/>
              </w:rPr>
              <w:instrText xml:space="preserve"> PAGEREF _Toc171935880 \h </w:instrText>
            </w:r>
            <w:r w:rsidR="00067C30">
              <w:rPr>
                <w:noProof/>
                <w:webHidden/>
              </w:rPr>
            </w:r>
            <w:r w:rsidR="00067C30">
              <w:rPr>
                <w:noProof/>
                <w:webHidden/>
              </w:rPr>
              <w:fldChar w:fldCharType="separate"/>
            </w:r>
            <w:r w:rsidR="00067C30">
              <w:rPr>
                <w:noProof/>
                <w:webHidden/>
              </w:rPr>
              <w:t>91</w:t>
            </w:r>
            <w:r w:rsidR="00067C30">
              <w:rPr>
                <w:noProof/>
                <w:webHidden/>
              </w:rPr>
              <w:fldChar w:fldCharType="end"/>
            </w:r>
          </w:hyperlink>
        </w:p>
        <w:p w14:paraId="2A8E2705" w14:textId="2F8B73F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1" w:history="1">
            <w:r w:rsidR="00067C30" w:rsidRPr="002C4C7C">
              <w:rPr>
                <w:rStyle w:val="Hyperlink"/>
                <w:noProof/>
              </w:rPr>
              <w:t>Chapter 5.3: The need for regular reassessment of health technologies</w:t>
            </w:r>
            <w:r w:rsidR="00067C30">
              <w:rPr>
                <w:noProof/>
                <w:webHidden/>
              </w:rPr>
              <w:tab/>
            </w:r>
            <w:r w:rsidR="00067C30">
              <w:rPr>
                <w:noProof/>
                <w:webHidden/>
              </w:rPr>
              <w:fldChar w:fldCharType="begin" w:fldLock="1"/>
            </w:r>
            <w:r w:rsidR="00067C30">
              <w:rPr>
                <w:noProof/>
                <w:webHidden/>
              </w:rPr>
              <w:instrText xml:space="preserve"> PAGEREF _Toc171935881 \h </w:instrText>
            </w:r>
            <w:r w:rsidR="00067C30">
              <w:rPr>
                <w:noProof/>
                <w:webHidden/>
              </w:rPr>
            </w:r>
            <w:r w:rsidR="00067C30">
              <w:rPr>
                <w:noProof/>
                <w:webHidden/>
              </w:rPr>
              <w:fldChar w:fldCharType="separate"/>
            </w:r>
            <w:r w:rsidR="00067C30">
              <w:rPr>
                <w:noProof/>
                <w:webHidden/>
              </w:rPr>
              <w:t>97</w:t>
            </w:r>
            <w:r w:rsidR="00067C30">
              <w:rPr>
                <w:noProof/>
                <w:webHidden/>
              </w:rPr>
              <w:fldChar w:fldCharType="end"/>
            </w:r>
          </w:hyperlink>
        </w:p>
        <w:p w14:paraId="2A7BB5BF" w14:textId="5F1FA09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2" w:history="1">
            <w:r w:rsidR="00067C30" w:rsidRPr="002C4C7C">
              <w:rPr>
                <w:rStyle w:val="Hyperlink"/>
                <w:noProof/>
              </w:rPr>
              <w:t>Chapter 5.4: Practical approaches to managing uncertainty and risk, while supporting patient access to health technologies</w:t>
            </w:r>
            <w:r w:rsidR="00067C30">
              <w:rPr>
                <w:noProof/>
                <w:webHidden/>
              </w:rPr>
              <w:tab/>
            </w:r>
            <w:r w:rsidR="00067C30">
              <w:rPr>
                <w:noProof/>
                <w:webHidden/>
              </w:rPr>
              <w:fldChar w:fldCharType="begin" w:fldLock="1"/>
            </w:r>
            <w:r w:rsidR="00067C30">
              <w:rPr>
                <w:noProof/>
                <w:webHidden/>
              </w:rPr>
              <w:instrText xml:space="preserve"> PAGEREF _Toc171935882 \h </w:instrText>
            </w:r>
            <w:r w:rsidR="00067C30">
              <w:rPr>
                <w:noProof/>
                <w:webHidden/>
              </w:rPr>
            </w:r>
            <w:r w:rsidR="00067C30">
              <w:rPr>
                <w:noProof/>
                <w:webHidden/>
              </w:rPr>
              <w:fldChar w:fldCharType="separate"/>
            </w:r>
            <w:r w:rsidR="00067C30">
              <w:rPr>
                <w:noProof/>
                <w:webHidden/>
              </w:rPr>
              <w:t>103</w:t>
            </w:r>
            <w:r w:rsidR="00067C30">
              <w:rPr>
                <w:noProof/>
                <w:webHidden/>
              </w:rPr>
              <w:fldChar w:fldCharType="end"/>
            </w:r>
          </w:hyperlink>
        </w:p>
        <w:p w14:paraId="66F82C70" w14:textId="099F9C8B"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3" w:history="1">
            <w:r w:rsidR="00067C30" w:rsidRPr="002C4C7C">
              <w:rPr>
                <w:rStyle w:val="Hyperlink"/>
                <w:noProof/>
              </w:rPr>
              <w:t>Chapter 5.5: Antimicrobial health technologies – a multifaceted approach to funding, purchasing and managing uncertainty to improve patient access and availability</w:t>
            </w:r>
            <w:r w:rsidR="00067C30">
              <w:rPr>
                <w:noProof/>
                <w:webHidden/>
              </w:rPr>
              <w:tab/>
            </w:r>
            <w:r w:rsidR="00067C30">
              <w:rPr>
                <w:noProof/>
                <w:webHidden/>
              </w:rPr>
              <w:fldChar w:fldCharType="begin" w:fldLock="1"/>
            </w:r>
            <w:r w:rsidR="00067C30">
              <w:rPr>
                <w:noProof/>
                <w:webHidden/>
              </w:rPr>
              <w:instrText xml:space="preserve"> PAGEREF _Toc171935883 \h </w:instrText>
            </w:r>
            <w:r w:rsidR="00067C30">
              <w:rPr>
                <w:noProof/>
                <w:webHidden/>
              </w:rPr>
            </w:r>
            <w:r w:rsidR="00067C30">
              <w:rPr>
                <w:noProof/>
                <w:webHidden/>
              </w:rPr>
              <w:fldChar w:fldCharType="separate"/>
            </w:r>
            <w:r w:rsidR="00067C30">
              <w:rPr>
                <w:noProof/>
                <w:webHidden/>
              </w:rPr>
              <w:t>114</w:t>
            </w:r>
            <w:r w:rsidR="00067C30">
              <w:rPr>
                <w:noProof/>
                <w:webHidden/>
              </w:rPr>
              <w:fldChar w:fldCharType="end"/>
            </w:r>
          </w:hyperlink>
        </w:p>
        <w:p w14:paraId="59CDAC89" w14:textId="5D4506B0"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84" w:history="1">
            <w:r w:rsidR="00067C30" w:rsidRPr="002C4C7C">
              <w:rPr>
                <w:rStyle w:val="Hyperlink"/>
                <w:noProof/>
              </w:rPr>
              <w:t>Chapter 6: Transparency and stakeholder involvement</w:t>
            </w:r>
            <w:r w:rsidR="00067C30">
              <w:rPr>
                <w:noProof/>
                <w:webHidden/>
              </w:rPr>
              <w:tab/>
            </w:r>
            <w:r w:rsidR="00067C30">
              <w:rPr>
                <w:noProof/>
                <w:webHidden/>
              </w:rPr>
              <w:fldChar w:fldCharType="begin" w:fldLock="1"/>
            </w:r>
            <w:r w:rsidR="00067C30">
              <w:rPr>
                <w:noProof/>
                <w:webHidden/>
              </w:rPr>
              <w:instrText xml:space="preserve"> PAGEREF _Toc171935884 \h </w:instrText>
            </w:r>
            <w:r w:rsidR="00067C30">
              <w:rPr>
                <w:noProof/>
                <w:webHidden/>
              </w:rPr>
            </w:r>
            <w:r w:rsidR="00067C30">
              <w:rPr>
                <w:noProof/>
                <w:webHidden/>
              </w:rPr>
              <w:fldChar w:fldCharType="separate"/>
            </w:r>
            <w:r w:rsidR="00067C30">
              <w:rPr>
                <w:noProof/>
                <w:webHidden/>
              </w:rPr>
              <w:t>120</w:t>
            </w:r>
            <w:r w:rsidR="00067C30">
              <w:rPr>
                <w:noProof/>
                <w:webHidden/>
              </w:rPr>
              <w:fldChar w:fldCharType="end"/>
            </w:r>
          </w:hyperlink>
        </w:p>
        <w:p w14:paraId="4260FA88" w14:textId="4EAA974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5"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_Toc171935885 \h </w:instrText>
            </w:r>
            <w:r w:rsidR="00067C30">
              <w:rPr>
                <w:noProof/>
                <w:webHidden/>
              </w:rPr>
            </w:r>
            <w:r w:rsidR="00067C30">
              <w:rPr>
                <w:noProof/>
                <w:webHidden/>
              </w:rPr>
              <w:fldChar w:fldCharType="separate"/>
            </w:r>
            <w:r w:rsidR="00067C30">
              <w:rPr>
                <w:noProof/>
                <w:webHidden/>
              </w:rPr>
              <w:t>120</w:t>
            </w:r>
            <w:r w:rsidR="00067C30">
              <w:rPr>
                <w:noProof/>
                <w:webHidden/>
              </w:rPr>
              <w:fldChar w:fldCharType="end"/>
            </w:r>
          </w:hyperlink>
        </w:p>
        <w:p w14:paraId="1D78096D" w14:textId="75E98F4B"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6" w:history="1">
            <w:r w:rsidR="00067C30" w:rsidRPr="002C4C7C">
              <w:rPr>
                <w:rStyle w:val="Hyperlink"/>
                <w:rFonts w:eastAsia="Segoe UI"/>
                <w:noProof/>
              </w:rPr>
              <w:t>Chapter 6.1: Transparency and communication of HTA pathways, processes and decisions</w:t>
            </w:r>
            <w:r w:rsidR="00067C30">
              <w:rPr>
                <w:noProof/>
                <w:webHidden/>
              </w:rPr>
              <w:tab/>
            </w:r>
            <w:r w:rsidR="00067C30">
              <w:rPr>
                <w:noProof/>
                <w:webHidden/>
              </w:rPr>
              <w:fldChar w:fldCharType="begin" w:fldLock="1"/>
            </w:r>
            <w:r w:rsidR="00067C30">
              <w:rPr>
                <w:noProof/>
                <w:webHidden/>
              </w:rPr>
              <w:instrText xml:space="preserve"> PAGEREF _Toc171935886 \h </w:instrText>
            </w:r>
            <w:r w:rsidR="00067C30">
              <w:rPr>
                <w:noProof/>
                <w:webHidden/>
              </w:rPr>
            </w:r>
            <w:r w:rsidR="00067C30">
              <w:rPr>
                <w:noProof/>
                <w:webHidden/>
              </w:rPr>
              <w:fldChar w:fldCharType="separate"/>
            </w:r>
            <w:r w:rsidR="00067C30">
              <w:rPr>
                <w:noProof/>
                <w:webHidden/>
              </w:rPr>
              <w:t>121</w:t>
            </w:r>
            <w:r w:rsidR="00067C30">
              <w:rPr>
                <w:noProof/>
                <w:webHidden/>
              </w:rPr>
              <w:fldChar w:fldCharType="end"/>
            </w:r>
          </w:hyperlink>
        </w:p>
        <w:p w14:paraId="210E6228" w14:textId="7362A9FC"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7" w:history="1">
            <w:r w:rsidR="00067C30" w:rsidRPr="002C4C7C">
              <w:rPr>
                <w:rStyle w:val="Hyperlink"/>
                <w:noProof/>
              </w:rPr>
              <w:t xml:space="preserve">Chapter 6.2: </w:t>
            </w:r>
            <w:r w:rsidR="00067C30" w:rsidRPr="002C4C7C">
              <w:rPr>
                <w:rStyle w:val="Hyperlink"/>
                <w:rFonts w:eastAsia="Segoe UI"/>
                <w:noProof/>
              </w:rPr>
              <w:t>Consumer, clinical and other stakeholder involvement and consideration in HTAs</w:t>
            </w:r>
            <w:r w:rsidR="00067C30">
              <w:rPr>
                <w:noProof/>
                <w:webHidden/>
              </w:rPr>
              <w:tab/>
            </w:r>
            <w:r w:rsidR="00067C30">
              <w:rPr>
                <w:noProof/>
                <w:webHidden/>
              </w:rPr>
              <w:fldChar w:fldCharType="begin" w:fldLock="1"/>
            </w:r>
            <w:r w:rsidR="00067C30">
              <w:rPr>
                <w:noProof/>
                <w:webHidden/>
              </w:rPr>
              <w:instrText xml:space="preserve"> PAGEREF _Toc171935887 \h </w:instrText>
            </w:r>
            <w:r w:rsidR="00067C30">
              <w:rPr>
                <w:noProof/>
                <w:webHidden/>
              </w:rPr>
            </w:r>
            <w:r w:rsidR="00067C30">
              <w:rPr>
                <w:noProof/>
                <w:webHidden/>
              </w:rPr>
              <w:fldChar w:fldCharType="separate"/>
            </w:r>
            <w:r w:rsidR="00CB457C">
              <w:rPr>
                <w:noProof/>
                <w:webHidden/>
              </w:rPr>
              <w:t>127</w:t>
            </w:r>
            <w:r w:rsidR="00067C30">
              <w:rPr>
                <w:noProof/>
                <w:webHidden/>
              </w:rPr>
              <w:fldChar w:fldCharType="end"/>
            </w:r>
          </w:hyperlink>
        </w:p>
        <w:p w14:paraId="3FD85DEA" w14:textId="3FF3067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88" w:history="1">
            <w:r w:rsidR="00067C30" w:rsidRPr="002C4C7C">
              <w:rPr>
                <w:rStyle w:val="Hyperlink"/>
                <w:rFonts w:eastAsia="Segoe UI"/>
                <w:noProof/>
              </w:rPr>
              <w:t>Chapter 6.3: Development of an explicit qualitative value framework</w:t>
            </w:r>
            <w:r w:rsidR="00067C30">
              <w:rPr>
                <w:noProof/>
                <w:webHidden/>
              </w:rPr>
              <w:tab/>
            </w:r>
            <w:r w:rsidR="00067C30">
              <w:rPr>
                <w:noProof/>
                <w:webHidden/>
              </w:rPr>
              <w:fldChar w:fldCharType="begin" w:fldLock="1"/>
            </w:r>
            <w:r w:rsidR="00067C30">
              <w:rPr>
                <w:noProof/>
                <w:webHidden/>
              </w:rPr>
              <w:instrText xml:space="preserve"> PAGEREF _Toc171935888 \h </w:instrText>
            </w:r>
            <w:r w:rsidR="00067C30">
              <w:rPr>
                <w:noProof/>
                <w:webHidden/>
              </w:rPr>
            </w:r>
            <w:r w:rsidR="00067C30">
              <w:rPr>
                <w:noProof/>
                <w:webHidden/>
              </w:rPr>
              <w:fldChar w:fldCharType="separate"/>
            </w:r>
            <w:r w:rsidR="00067C30">
              <w:rPr>
                <w:noProof/>
                <w:webHidden/>
              </w:rPr>
              <w:t>133</w:t>
            </w:r>
            <w:r w:rsidR="00067C30">
              <w:rPr>
                <w:noProof/>
                <w:webHidden/>
              </w:rPr>
              <w:fldChar w:fldCharType="end"/>
            </w:r>
          </w:hyperlink>
        </w:p>
        <w:p w14:paraId="6A97BB7D" w14:textId="72B840D6"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89" w:history="1">
            <w:r w:rsidR="00067C30" w:rsidRPr="002C4C7C">
              <w:rPr>
                <w:rStyle w:val="Hyperlink"/>
                <w:noProof/>
              </w:rPr>
              <w:t>Chapter 7: Enhancing real-word data and real-world evidence for HTAs</w:t>
            </w:r>
            <w:r w:rsidR="00067C30">
              <w:rPr>
                <w:noProof/>
                <w:webHidden/>
              </w:rPr>
              <w:tab/>
            </w:r>
            <w:r w:rsidR="00067C30">
              <w:rPr>
                <w:noProof/>
                <w:webHidden/>
              </w:rPr>
              <w:fldChar w:fldCharType="begin" w:fldLock="1"/>
            </w:r>
            <w:r w:rsidR="00067C30">
              <w:rPr>
                <w:noProof/>
                <w:webHidden/>
              </w:rPr>
              <w:instrText xml:space="preserve"> PAGEREF _Toc171935889 \h </w:instrText>
            </w:r>
            <w:r w:rsidR="00067C30">
              <w:rPr>
                <w:noProof/>
                <w:webHidden/>
              </w:rPr>
            </w:r>
            <w:r w:rsidR="00067C30">
              <w:rPr>
                <w:noProof/>
                <w:webHidden/>
              </w:rPr>
              <w:fldChar w:fldCharType="separate"/>
            </w:r>
            <w:r w:rsidR="00067C30">
              <w:rPr>
                <w:noProof/>
                <w:webHidden/>
              </w:rPr>
              <w:t>137</w:t>
            </w:r>
            <w:r w:rsidR="00067C30">
              <w:rPr>
                <w:noProof/>
                <w:webHidden/>
              </w:rPr>
              <w:fldChar w:fldCharType="end"/>
            </w:r>
          </w:hyperlink>
        </w:p>
        <w:p w14:paraId="5A009050" w14:textId="169011A7"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0"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_Toc171935890 \h </w:instrText>
            </w:r>
            <w:r w:rsidR="00067C30">
              <w:rPr>
                <w:noProof/>
                <w:webHidden/>
              </w:rPr>
            </w:r>
            <w:r w:rsidR="00067C30">
              <w:rPr>
                <w:noProof/>
                <w:webHidden/>
              </w:rPr>
              <w:fldChar w:fldCharType="separate"/>
            </w:r>
            <w:r w:rsidR="00067C30">
              <w:rPr>
                <w:noProof/>
                <w:webHidden/>
              </w:rPr>
              <w:t>137</w:t>
            </w:r>
            <w:r w:rsidR="00067C30">
              <w:rPr>
                <w:noProof/>
                <w:webHidden/>
              </w:rPr>
              <w:fldChar w:fldCharType="end"/>
            </w:r>
          </w:hyperlink>
        </w:p>
        <w:p w14:paraId="62AD2819" w14:textId="13DD6F7E"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1" w:history="1">
            <w:r w:rsidR="00067C30" w:rsidRPr="002C4C7C">
              <w:rPr>
                <w:rStyle w:val="Hyperlink"/>
                <w:noProof/>
              </w:rPr>
              <w:t>Chapter 7.1: Optimising real-world data and real</w:t>
            </w:r>
            <w:r w:rsidR="00067C30" w:rsidRPr="002C4C7C">
              <w:rPr>
                <w:rStyle w:val="Hyperlink"/>
                <w:noProof/>
              </w:rPr>
              <w:noBreakHyphen/>
              <w:t>world evidence for HTA</w:t>
            </w:r>
            <w:r w:rsidR="00067C30">
              <w:rPr>
                <w:noProof/>
                <w:webHidden/>
              </w:rPr>
              <w:tab/>
            </w:r>
            <w:r w:rsidR="00067C30">
              <w:rPr>
                <w:noProof/>
                <w:webHidden/>
              </w:rPr>
              <w:fldChar w:fldCharType="begin" w:fldLock="1"/>
            </w:r>
            <w:r w:rsidR="00067C30">
              <w:rPr>
                <w:noProof/>
                <w:webHidden/>
              </w:rPr>
              <w:instrText xml:space="preserve"> PAGEREF _Toc171935891 \h </w:instrText>
            </w:r>
            <w:r w:rsidR="00067C30">
              <w:rPr>
                <w:noProof/>
                <w:webHidden/>
              </w:rPr>
            </w:r>
            <w:r w:rsidR="00067C30">
              <w:rPr>
                <w:noProof/>
                <w:webHidden/>
              </w:rPr>
              <w:fldChar w:fldCharType="separate"/>
            </w:r>
            <w:r w:rsidR="00067C30">
              <w:rPr>
                <w:noProof/>
                <w:webHidden/>
              </w:rPr>
              <w:t>138</w:t>
            </w:r>
            <w:r w:rsidR="00067C30">
              <w:rPr>
                <w:noProof/>
                <w:webHidden/>
              </w:rPr>
              <w:fldChar w:fldCharType="end"/>
            </w:r>
          </w:hyperlink>
        </w:p>
        <w:p w14:paraId="27E83B86" w14:textId="1B2EFA59"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92" w:history="1">
            <w:r w:rsidR="00067C30" w:rsidRPr="002C4C7C">
              <w:rPr>
                <w:rStyle w:val="Hyperlink"/>
                <w:noProof/>
              </w:rPr>
              <w:t>Chapter 8: Methods for confident decisions</w:t>
            </w:r>
            <w:r w:rsidR="00067C30">
              <w:rPr>
                <w:noProof/>
                <w:webHidden/>
              </w:rPr>
              <w:tab/>
            </w:r>
            <w:r w:rsidR="00067C30">
              <w:rPr>
                <w:noProof/>
                <w:webHidden/>
              </w:rPr>
              <w:fldChar w:fldCharType="begin" w:fldLock="1"/>
            </w:r>
            <w:r w:rsidR="00067C30">
              <w:rPr>
                <w:noProof/>
                <w:webHidden/>
              </w:rPr>
              <w:instrText xml:space="preserve"> PAGEREF _Toc171935892 \h </w:instrText>
            </w:r>
            <w:r w:rsidR="00067C30">
              <w:rPr>
                <w:noProof/>
                <w:webHidden/>
              </w:rPr>
            </w:r>
            <w:r w:rsidR="00067C30">
              <w:rPr>
                <w:noProof/>
                <w:webHidden/>
              </w:rPr>
              <w:fldChar w:fldCharType="separate"/>
            </w:r>
            <w:r w:rsidR="00067C30">
              <w:rPr>
                <w:noProof/>
                <w:webHidden/>
              </w:rPr>
              <w:t>152</w:t>
            </w:r>
            <w:r w:rsidR="00067C30">
              <w:rPr>
                <w:noProof/>
                <w:webHidden/>
              </w:rPr>
              <w:fldChar w:fldCharType="end"/>
            </w:r>
          </w:hyperlink>
        </w:p>
        <w:p w14:paraId="13404180" w14:textId="31FE9482"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3"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_Toc171935893 \h </w:instrText>
            </w:r>
            <w:r w:rsidR="00067C30">
              <w:rPr>
                <w:noProof/>
                <w:webHidden/>
              </w:rPr>
            </w:r>
            <w:r w:rsidR="00067C30">
              <w:rPr>
                <w:noProof/>
                <w:webHidden/>
              </w:rPr>
              <w:fldChar w:fldCharType="separate"/>
            </w:r>
            <w:r w:rsidR="00067C30">
              <w:rPr>
                <w:noProof/>
                <w:webHidden/>
              </w:rPr>
              <w:t>152</w:t>
            </w:r>
            <w:r w:rsidR="00067C30">
              <w:rPr>
                <w:noProof/>
                <w:webHidden/>
              </w:rPr>
              <w:fldChar w:fldCharType="end"/>
            </w:r>
          </w:hyperlink>
        </w:p>
        <w:p w14:paraId="231D795C" w14:textId="2D9DF0A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4" w:history="1">
            <w:r w:rsidR="00067C30" w:rsidRPr="002C4C7C">
              <w:rPr>
                <w:rStyle w:val="Hyperlink"/>
                <w:noProof/>
              </w:rPr>
              <w:t>Chapter 8.1: Population, Intervention, Comparator, and Outcome</w:t>
            </w:r>
            <w:r w:rsidR="00067C30">
              <w:rPr>
                <w:noProof/>
                <w:webHidden/>
              </w:rPr>
              <w:tab/>
            </w:r>
            <w:r w:rsidR="00067C30">
              <w:rPr>
                <w:noProof/>
                <w:webHidden/>
              </w:rPr>
              <w:fldChar w:fldCharType="begin" w:fldLock="1"/>
            </w:r>
            <w:r w:rsidR="00067C30">
              <w:rPr>
                <w:noProof/>
                <w:webHidden/>
              </w:rPr>
              <w:instrText xml:space="preserve"> PAGEREF _Toc171935894 \h </w:instrText>
            </w:r>
            <w:r w:rsidR="00067C30">
              <w:rPr>
                <w:noProof/>
                <w:webHidden/>
              </w:rPr>
            </w:r>
            <w:r w:rsidR="00067C30">
              <w:rPr>
                <w:noProof/>
                <w:webHidden/>
              </w:rPr>
              <w:fldChar w:fldCharType="separate"/>
            </w:r>
            <w:r w:rsidR="00067C30">
              <w:rPr>
                <w:noProof/>
                <w:webHidden/>
              </w:rPr>
              <w:t>154</w:t>
            </w:r>
            <w:r w:rsidR="00067C30">
              <w:rPr>
                <w:noProof/>
                <w:webHidden/>
              </w:rPr>
              <w:fldChar w:fldCharType="end"/>
            </w:r>
          </w:hyperlink>
        </w:p>
        <w:p w14:paraId="3CC57831" w14:textId="6512FD5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5" w:history="1">
            <w:r w:rsidR="00067C30" w:rsidRPr="002C4C7C">
              <w:rPr>
                <w:rStyle w:val="Hyperlink"/>
                <w:rFonts w:eastAsiaTheme="majorEastAsia"/>
                <w:noProof/>
              </w:rPr>
              <w:t>Chapter 8.2: Use of consumer evidence and input</w:t>
            </w:r>
            <w:r w:rsidR="00067C30">
              <w:rPr>
                <w:noProof/>
                <w:webHidden/>
              </w:rPr>
              <w:tab/>
            </w:r>
            <w:r w:rsidR="00067C30">
              <w:rPr>
                <w:noProof/>
                <w:webHidden/>
              </w:rPr>
              <w:fldChar w:fldCharType="begin" w:fldLock="1"/>
            </w:r>
            <w:r w:rsidR="00067C30">
              <w:rPr>
                <w:noProof/>
                <w:webHidden/>
              </w:rPr>
              <w:instrText xml:space="preserve"> PAGEREF _Toc171935895 \h </w:instrText>
            </w:r>
            <w:r w:rsidR="00067C30">
              <w:rPr>
                <w:noProof/>
                <w:webHidden/>
              </w:rPr>
            </w:r>
            <w:r w:rsidR="00067C30">
              <w:rPr>
                <w:noProof/>
                <w:webHidden/>
              </w:rPr>
              <w:fldChar w:fldCharType="separate"/>
            </w:r>
            <w:r w:rsidR="00067C30">
              <w:rPr>
                <w:noProof/>
                <w:webHidden/>
              </w:rPr>
              <w:t>158</w:t>
            </w:r>
            <w:r w:rsidR="00067C30">
              <w:rPr>
                <w:noProof/>
                <w:webHidden/>
              </w:rPr>
              <w:fldChar w:fldCharType="end"/>
            </w:r>
          </w:hyperlink>
        </w:p>
        <w:p w14:paraId="7EA0CB5C" w14:textId="6AE3B389"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6" w:history="1">
            <w:r w:rsidR="00067C30" w:rsidRPr="002C4C7C">
              <w:rPr>
                <w:rStyle w:val="Hyperlink"/>
                <w:rFonts w:eastAsiaTheme="majorEastAsia"/>
                <w:noProof/>
              </w:rPr>
              <w:t>Chapter 8.3: Clinical evaluation</w:t>
            </w:r>
            <w:r w:rsidR="00067C30">
              <w:rPr>
                <w:noProof/>
                <w:webHidden/>
              </w:rPr>
              <w:tab/>
            </w:r>
            <w:r w:rsidR="00067C30">
              <w:rPr>
                <w:noProof/>
                <w:webHidden/>
              </w:rPr>
              <w:fldChar w:fldCharType="begin" w:fldLock="1"/>
            </w:r>
            <w:r w:rsidR="00067C30">
              <w:rPr>
                <w:noProof/>
                <w:webHidden/>
              </w:rPr>
              <w:instrText xml:space="preserve"> PAGEREF _Toc171935896 \h </w:instrText>
            </w:r>
            <w:r w:rsidR="00067C30">
              <w:rPr>
                <w:noProof/>
                <w:webHidden/>
              </w:rPr>
            </w:r>
            <w:r w:rsidR="00067C30">
              <w:rPr>
                <w:noProof/>
                <w:webHidden/>
              </w:rPr>
              <w:fldChar w:fldCharType="separate"/>
            </w:r>
            <w:r w:rsidR="00067C30">
              <w:rPr>
                <w:noProof/>
                <w:webHidden/>
              </w:rPr>
              <w:t>163</w:t>
            </w:r>
            <w:r w:rsidR="00067C30">
              <w:rPr>
                <w:noProof/>
                <w:webHidden/>
              </w:rPr>
              <w:fldChar w:fldCharType="end"/>
            </w:r>
          </w:hyperlink>
        </w:p>
        <w:p w14:paraId="79A68746" w14:textId="7D768DA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7" w:history="1">
            <w:r w:rsidR="00067C30" w:rsidRPr="002C4C7C">
              <w:rPr>
                <w:rStyle w:val="Hyperlink"/>
                <w:noProof/>
              </w:rPr>
              <w:t>Chapter 8.4: Economic evaluation</w:t>
            </w:r>
            <w:r w:rsidR="00067C30">
              <w:rPr>
                <w:noProof/>
                <w:webHidden/>
              </w:rPr>
              <w:tab/>
            </w:r>
            <w:r w:rsidR="00067C30">
              <w:rPr>
                <w:noProof/>
                <w:webHidden/>
              </w:rPr>
              <w:fldChar w:fldCharType="begin" w:fldLock="1"/>
            </w:r>
            <w:r w:rsidR="00067C30">
              <w:rPr>
                <w:noProof/>
                <w:webHidden/>
              </w:rPr>
              <w:instrText xml:space="preserve"> PAGEREF _Toc171935897 \h </w:instrText>
            </w:r>
            <w:r w:rsidR="00067C30">
              <w:rPr>
                <w:noProof/>
                <w:webHidden/>
              </w:rPr>
            </w:r>
            <w:r w:rsidR="00067C30">
              <w:rPr>
                <w:noProof/>
                <w:webHidden/>
              </w:rPr>
              <w:fldChar w:fldCharType="separate"/>
            </w:r>
            <w:r w:rsidR="00067C30">
              <w:rPr>
                <w:noProof/>
                <w:webHidden/>
              </w:rPr>
              <w:t>172</w:t>
            </w:r>
            <w:r w:rsidR="00067C30">
              <w:rPr>
                <w:noProof/>
                <w:webHidden/>
              </w:rPr>
              <w:fldChar w:fldCharType="end"/>
            </w:r>
          </w:hyperlink>
        </w:p>
        <w:p w14:paraId="04A07634" w14:textId="78DF684E"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898" w:history="1">
            <w:r w:rsidR="00067C30" w:rsidRPr="002C4C7C">
              <w:rPr>
                <w:rStyle w:val="Hyperlink"/>
                <w:noProof/>
              </w:rPr>
              <w:t>Chapter 8.5: Environmental considerations</w:t>
            </w:r>
            <w:r w:rsidR="00067C30">
              <w:rPr>
                <w:noProof/>
                <w:webHidden/>
              </w:rPr>
              <w:tab/>
            </w:r>
            <w:r w:rsidR="00067C30">
              <w:rPr>
                <w:noProof/>
                <w:webHidden/>
              </w:rPr>
              <w:fldChar w:fldCharType="begin" w:fldLock="1"/>
            </w:r>
            <w:r w:rsidR="00067C30">
              <w:rPr>
                <w:noProof/>
                <w:webHidden/>
              </w:rPr>
              <w:instrText xml:space="preserve"> PAGEREF _Toc171935898 \h </w:instrText>
            </w:r>
            <w:r w:rsidR="00067C30">
              <w:rPr>
                <w:noProof/>
                <w:webHidden/>
              </w:rPr>
            </w:r>
            <w:r w:rsidR="00067C30">
              <w:rPr>
                <w:noProof/>
                <w:webHidden/>
              </w:rPr>
              <w:fldChar w:fldCharType="separate"/>
            </w:r>
            <w:r w:rsidR="00067C30">
              <w:rPr>
                <w:noProof/>
                <w:webHidden/>
              </w:rPr>
              <w:t>185</w:t>
            </w:r>
            <w:r w:rsidR="00067C30">
              <w:rPr>
                <w:noProof/>
                <w:webHidden/>
              </w:rPr>
              <w:fldChar w:fldCharType="end"/>
            </w:r>
          </w:hyperlink>
        </w:p>
        <w:p w14:paraId="1AE3606A" w14:textId="23B08BDE"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899" w:history="1">
            <w:r w:rsidR="00067C30" w:rsidRPr="002C4C7C">
              <w:rPr>
                <w:rStyle w:val="Hyperlink"/>
                <w:noProof/>
              </w:rPr>
              <w:t>Chapter 9: Supporting architecture for HTAs</w:t>
            </w:r>
            <w:r w:rsidR="00067C30">
              <w:rPr>
                <w:noProof/>
                <w:webHidden/>
              </w:rPr>
              <w:tab/>
            </w:r>
            <w:r w:rsidR="00067C30">
              <w:rPr>
                <w:noProof/>
                <w:webHidden/>
              </w:rPr>
              <w:fldChar w:fldCharType="begin" w:fldLock="1"/>
            </w:r>
            <w:r w:rsidR="00067C30">
              <w:rPr>
                <w:noProof/>
                <w:webHidden/>
              </w:rPr>
              <w:instrText xml:space="preserve"> PAGEREF _Toc171935899 \h </w:instrText>
            </w:r>
            <w:r w:rsidR="00067C30">
              <w:rPr>
                <w:noProof/>
                <w:webHidden/>
              </w:rPr>
            </w:r>
            <w:r w:rsidR="00067C30">
              <w:rPr>
                <w:noProof/>
                <w:webHidden/>
              </w:rPr>
              <w:fldChar w:fldCharType="separate"/>
            </w:r>
            <w:r w:rsidR="00067C30">
              <w:rPr>
                <w:noProof/>
                <w:webHidden/>
              </w:rPr>
              <w:t>190</w:t>
            </w:r>
            <w:r w:rsidR="00067C30">
              <w:rPr>
                <w:noProof/>
                <w:webHidden/>
              </w:rPr>
              <w:fldChar w:fldCharType="end"/>
            </w:r>
          </w:hyperlink>
        </w:p>
        <w:p w14:paraId="1FF68CD7" w14:textId="02BB817F"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900" w:history="1">
            <w:r w:rsidR="00067C30" w:rsidRPr="002C4C7C">
              <w:rPr>
                <w:rStyle w:val="Hyperlink"/>
                <w:noProof/>
              </w:rPr>
              <w:t>Introduction</w:t>
            </w:r>
            <w:r w:rsidR="00067C30">
              <w:rPr>
                <w:noProof/>
                <w:webHidden/>
              </w:rPr>
              <w:tab/>
            </w:r>
            <w:r w:rsidR="00067C30">
              <w:rPr>
                <w:noProof/>
                <w:webHidden/>
              </w:rPr>
              <w:fldChar w:fldCharType="begin" w:fldLock="1"/>
            </w:r>
            <w:r w:rsidR="00067C30">
              <w:rPr>
                <w:noProof/>
                <w:webHidden/>
              </w:rPr>
              <w:instrText xml:space="preserve"> PAGEREF _Toc171935900 \h </w:instrText>
            </w:r>
            <w:r w:rsidR="00067C30">
              <w:rPr>
                <w:noProof/>
                <w:webHidden/>
              </w:rPr>
            </w:r>
            <w:r w:rsidR="00067C30">
              <w:rPr>
                <w:noProof/>
                <w:webHidden/>
              </w:rPr>
              <w:fldChar w:fldCharType="separate"/>
            </w:r>
            <w:r w:rsidR="00067C30">
              <w:rPr>
                <w:noProof/>
                <w:webHidden/>
              </w:rPr>
              <w:t>190</w:t>
            </w:r>
            <w:r w:rsidR="00067C30">
              <w:rPr>
                <w:noProof/>
                <w:webHidden/>
              </w:rPr>
              <w:fldChar w:fldCharType="end"/>
            </w:r>
          </w:hyperlink>
        </w:p>
        <w:p w14:paraId="5085CEC6" w14:textId="3F627368"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901" w:history="1">
            <w:r w:rsidR="00067C30" w:rsidRPr="002C4C7C">
              <w:rPr>
                <w:rStyle w:val="Hyperlink"/>
                <w:noProof/>
              </w:rPr>
              <w:t>Chapter 9.1: Proactively addressing areas of unmet clinical need</w:t>
            </w:r>
            <w:r w:rsidR="00067C30">
              <w:rPr>
                <w:noProof/>
                <w:webHidden/>
              </w:rPr>
              <w:tab/>
            </w:r>
            <w:r w:rsidR="00067C30">
              <w:rPr>
                <w:noProof/>
                <w:webHidden/>
              </w:rPr>
              <w:fldChar w:fldCharType="begin" w:fldLock="1"/>
            </w:r>
            <w:r w:rsidR="00067C30">
              <w:rPr>
                <w:noProof/>
                <w:webHidden/>
              </w:rPr>
              <w:instrText xml:space="preserve"> PAGEREF _Toc171935901 \h </w:instrText>
            </w:r>
            <w:r w:rsidR="00067C30">
              <w:rPr>
                <w:noProof/>
                <w:webHidden/>
              </w:rPr>
            </w:r>
            <w:r w:rsidR="00067C30">
              <w:rPr>
                <w:noProof/>
                <w:webHidden/>
              </w:rPr>
              <w:fldChar w:fldCharType="separate"/>
            </w:r>
            <w:r w:rsidR="00067C30">
              <w:rPr>
                <w:noProof/>
                <w:webHidden/>
              </w:rPr>
              <w:t>191</w:t>
            </w:r>
            <w:r w:rsidR="00067C30">
              <w:rPr>
                <w:noProof/>
                <w:webHidden/>
              </w:rPr>
              <w:fldChar w:fldCharType="end"/>
            </w:r>
          </w:hyperlink>
        </w:p>
        <w:p w14:paraId="385A6463" w14:textId="53B36D64"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902" w:history="1">
            <w:r w:rsidR="00067C30" w:rsidRPr="002C4C7C">
              <w:rPr>
                <w:rStyle w:val="Hyperlink"/>
                <w:noProof/>
              </w:rPr>
              <w:t>Chapter 9.2: Horizon Scanning</w:t>
            </w:r>
            <w:r w:rsidR="00067C30">
              <w:rPr>
                <w:noProof/>
                <w:webHidden/>
              </w:rPr>
              <w:tab/>
            </w:r>
            <w:r w:rsidR="00067C30">
              <w:rPr>
                <w:noProof/>
                <w:webHidden/>
              </w:rPr>
              <w:fldChar w:fldCharType="begin" w:fldLock="1"/>
            </w:r>
            <w:r w:rsidR="00067C30">
              <w:rPr>
                <w:noProof/>
                <w:webHidden/>
              </w:rPr>
              <w:instrText xml:space="preserve"> PAGEREF _Toc171935902 \h </w:instrText>
            </w:r>
            <w:r w:rsidR="00067C30">
              <w:rPr>
                <w:noProof/>
                <w:webHidden/>
              </w:rPr>
            </w:r>
            <w:r w:rsidR="00067C30">
              <w:rPr>
                <w:noProof/>
                <w:webHidden/>
              </w:rPr>
              <w:fldChar w:fldCharType="separate"/>
            </w:r>
            <w:r w:rsidR="00067C30">
              <w:rPr>
                <w:noProof/>
                <w:webHidden/>
              </w:rPr>
              <w:t>197</w:t>
            </w:r>
            <w:r w:rsidR="00067C30">
              <w:rPr>
                <w:noProof/>
                <w:webHidden/>
              </w:rPr>
              <w:fldChar w:fldCharType="end"/>
            </w:r>
          </w:hyperlink>
        </w:p>
        <w:p w14:paraId="7EC9F75D" w14:textId="10D423E3"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903" w:history="1">
            <w:r w:rsidR="00067C30" w:rsidRPr="002C4C7C">
              <w:rPr>
                <w:rStyle w:val="Hyperlink"/>
                <w:noProof/>
              </w:rPr>
              <w:t>Chapter 9.3: Mechanisms for continuous review and improvement</w:t>
            </w:r>
            <w:r w:rsidR="00067C30">
              <w:rPr>
                <w:noProof/>
                <w:webHidden/>
              </w:rPr>
              <w:tab/>
            </w:r>
            <w:r w:rsidR="00067C30">
              <w:rPr>
                <w:noProof/>
                <w:webHidden/>
              </w:rPr>
              <w:fldChar w:fldCharType="begin" w:fldLock="1"/>
            </w:r>
            <w:r w:rsidR="00067C30">
              <w:rPr>
                <w:noProof/>
                <w:webHidden/>
              </w:rPr>
              <w:instrText xml:space="preserve"> PAGEREF _Toc171935903 \h </w:instrText>
            </w:r>
            <w:r w:rsidR="00067C30">
              <w:rPr>
                <w:noProof/>
                <w:webHidden/>
              </w:rPr>
            </w:r>
            <w:r w:rsidR="00067C30">
              <w:rPr>
                <w:noProof/>
                <w:webHidden/>
              </w:rPr>
              <w:fldChar w:fldCharType="separate"/>
            </w:r>
            <w:r w:rsidR="00067C30">
              <w:rPr>
                <w:noProof/>
                <w:webHidden/>
              </w:rPr>
              <w:t>202</w:t>
            </w:r>
            <w:r w:rsidR="00067C30">
              <w:rPr>
                <w:noProof/>
                <w:webHidden/>
              </w:rPr>
              <w:fldChar w:fldCharType="end"/>
            </w:r>
          </w:hyperlink>
        </w:p>
        <w:p w14:paraId="25239CFA" w14:textId="59221051" w:rsidR="00067C30" w:rsidRDefault="00847484">
          <w:pPr>
            <w:pStyle w:val="TOC2"/>
            <w:rPr>
              <w:rFonts w:asciiTheme="minorHAnsi" w:eastAsiaTheme="minorEastAsia" w:hAnsiTheme="minorHAnsi" w:cstheme="minorBidi"/>
              <w:noProof/>
              <w:kern w:val="2"/>
              <w:sz w:val="22"/>
              <w:szCs w:val="22"/>
              <w:lang w:eastAsia="en-AU"/>
              <w14:ligatures w14:val="standardContextual"/>
            </w:rPr>
          </w:pPr>
          <w:hyperlink w:anchor="_Toc171935904" w:history="1">
            <w:r w:rsidR="00067C30" w:rsidRPr="002C4C7C">
              <w:rPr>
                <w:rStyle w:val="Hyperlink"/>
                <w:noProof/>
              </w:rPr>
              <w:t>Chapter 9.4: Capacity and capability of the HTA system and supporting architecture</w:t>
            </w:r>
            <w:r w:rsidR="00067C30">
              <w:rPr>
                <w:noProof/>
                <w:webHidden/>
              </w:rPr>
              <w:tab/>
            </w:r>
            <w:r w:rsidR="00067C30">
              <w:rPr>
                <w:noProof/>
                <w:webHidden/>
              </w:rPr>
              <w:fldChar w:fldCharType="begin" w:fldLock="1"/>
            </w:r>
            <w:r w:rsidR="00067C30">
              <w:rPr>
                <w:noProof/>
                <w:webHidden/>
              </w:rPr>
              <w:instrText xml:space="preserve"> PAGEREF _Toc171935904 \h </w:instrText>
            </w:r>
            <w:r w:rsidR="00067C30">
              <w:rPr>
                <w:noProof/>
                <w:webHidden/>
              </w:rPr>
            </w:r>
            <w:r w:rsidR="00067C30">
              <w:rPr>
                <w:noProof/>
                <w:webHidden/>
              </w:rPr>
              <w:fldChar w:fldCharType="separate"/>
            </w:r>
            <w:r w:rsidR="00067C30">
              <w:rPr>
                <w:noProof/>
                <w:webHidden/>
              </w:rPr>
              <w:t>205</w:t>
            </w:r>
            <w:r w:rsidR="00067C30">
              <w:rPr>
                <w:noProof/>
                <w:webHidden/>
              </w:rPr>
              <w:fldChar w:fldCharType="end"/>
            </w:r>
          </w:hyperlink>
        </w:p>
        <w:p w14:paraId="6249F5C4" w14:textId="13C10A7C"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05" w:history="1">
            <w:r w:rsidR="00067C30" w:rsidRPr="002C4C7C">
              <w:rPr>
                <w:rStyle w:val="Hyperlink"/>
                <w:noProof/>
              </w:rPr>
              <w:t>Glossary</w:t>
            </w:r>
            <w:r w:rsidR="00067C30">
              <w:rPr>
                <w:noProof/>
                <w:webHidden/>
              </w:rPr>
              <w:tab/>
            </w:r>
            <w:r w:rsidR="00067C30">
              <w:rPr>
                <w:noProof/>
                <w:webHidden/>
              </w:rPr>
              <w:fldChar w:fldCharType="begin" w:fldLock="1"/>
            </w:r>
            <w:r w:rsidR="00067C30">
              <w:rPr>
                <w:noProof/>
                <w:webHidden/>
              </w:rPr>
              <w:instrText xml:space="preserve"> PAGEREF _Toc171935905 \h </w:instrText>
            </w:r>
            <w:r w:rsidR="00067C30">
              <w:rPr>
                <w:noProof/>
                <w:webHidden/>
              </w:rPr>
            </w:r>
            <w:r w:rsidR="00067C30">
              <w:rPr>
                <w:noProof/>
                <w:webHidden/>
              </w:rPr>
              <w:fldChar w:fldCharType="separate"/>
            </w:r>
            <w:r w:rsidR="00067C30">
              <w:rPr>
                <w:noProof/>
                <w:webHidden/>
              </w:rPr>
              <w:t>213</w:t>
            </w:r>
            <w:r w:rsidR="00067C30">
              <w:rPr>
                <w:noProof/>
                <w:webHidden/>
              </w:rPr>
              <w:fldChar w:fldCharType="end"/>
            </w:r>
          </w:hyperlink>
        </w:p>
        <w:p w14:paraId="4A663CF7" w14:textId="2F09642A"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06" w:history="1">
            <w:r w:rsidR="00067C30" w:rsidRPr="002C4C7C">
              <w:rPr>
                <w:rStyle w:val="Hyperlink"/>
                <w:noProof/>
              </w:rPr>
              <w:t>List of acronyms and abbreviations</w:t>
            </w:r>
            <w:r w:rsidR="00067C30">
              <w:rPr>
                <w:noProof/>
                <w:webHidden/>
              </w:rPr>
              <w:tab/>
            </w:r>
            <w:r w:rsidR="00067C30">
              <w:rPr>
                <w:noProof/>
                <w:webHidden/>
              </w:rPr>
              <w:fldChar w:fldCharType="begin" w:fldLock="1"/>
            </w:r>
            <w:r w:rsidR="00067C30">
              <w:rPr>
                <w:noProof/>
                <w:webHidden/>
              </w:rPr>
              <w:instrText xml:space="preserve"> PAGEREF _Toc171935906 \h </w:instrText>
            </w:r>
            <w:r w:rsidR="00067C30">
              <w:rPr>
                <w:noProof/>
                <w:webHidden/>
              </w:rPr>
            </w:r>
            <w:r w:rsidR="00067C30">
              <w:rPr>
                <w:noProof/>
                <w:webHidden/>
              </w:rPr>
              <w:fldChar w:fldCharType="separate"/>
            </w:r>
            <w:r w:rsidR="00067C30">
              <w:rPr>
                <w:noProof/>
                <w:webHidden/>
              </w:rPr>
              <w:t>219</w:t>
            </w:r>
            <w:r w:rsidR="00067C30">
              <w:rPr>
                <w:noProof/>
                <w:webHidden/>
              </w:rPr>
              <w:fldChar w:fldCharType="end"/>
            </w:r>
          </w:hyperlink>
        </w:p>
        <w:p w14:paraId="4F3DA4A0" w14:textId="0A2FE6B2"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07" w:history="1">
            <w:r w:rsidR="00067C30" w:rsidRPr="002C4C7C">
              <w:rPr>
                <w:rStyle w:val="Hyperlink"/>
                <w:rFonts w:eastAsiaTheme="majorEastAsia"/>
                <w:noProof/>
              </w:rPr>
              <w:t>Reference documents</w:t>
            </w:r>
            <w:r w:rsidR="00067C30">
              <w:rPr>
                <w:noProof/>
                <w:webHidden/>
              </w:rPr>
              <w:tab/>
            </w:r>
            <w:r w:rsidR="00067C30">
              <w:rPr>
                <w:noProof/>
                <w:webHidden/>
              </w:rPr>
              <w:fldChar w:fldCharType="begin" w:fldLock="1"/>
            </w:r>
            <w:r w:rsidR="00067C30">
              <w:rPr>
                <w:noProof/>
                <w:webHidden/>
              </w:rPr>
              <w:instrText xml:space="preserve"> PAGEREF _Toc171935907 \h </w:instrText>
            </w:r>
            <w:r w:rsidR="00067C30">
              <w:rPr>
                <w:noProof/>
                <w:webHidden/>
              </w:rPr>
            </w:r>
            <w:r w:rsidR="00067C30">
              <w:rPr>
                <w:noProof/>
                <w:webHidden/>
              </w:rPr>
              <w:fldChar w:fldCharType="separate"/>
            </w:r>
            <w:r w:rsidR="00067C30">
              <w:rPr>
                <w:noProof/>
                <w:webHidden/>
              </w:rPr>
              <w:t>221</w:t>
            </w:r>
            <w:r w:rsidR="00067C30">
              <w:rPr>
                <w:noProof/>
                <w:webHidden/>
              </w:rPr>
              <w:fldChar w:fldCharType="end"/>
            </w:r>
          </w:hyperlink>
        </w:p>
        <w:p w14:paraId="0AE16040" w14:textId="0CC164DA"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08" w:history="1">
            <w:r w:rsidR="00067C30" w:rsidRPr="002C4C7C">
              <w:rPr>
                <w:rStyle w:val="Hyperlink"/>
                <w:noProof/>
              </w:rPr>
              <w:t>Terms of Reference</w:t>
            </w:r>
            <w:r w:rsidR="00067C30">
              <w:rPr>
                <w:noProof/>
                <w:webHidden/>
              </w:rPr>
              <w:tab/>
            </w:r>
            <w:r w:rsidR="00067C30">
              <w:rPr>
                <w:noProof/>
                <w:webHidden/>
              </w:rPr>
              <w:fldChar w:fldCharType="begin" w:fldLock="1"/>
            </w:r>
            <w:r w:rsidR="00067C30">
              <w:rPr>
                <w:noProof/>
                <w:webHidden/>
              </w:rPr>
              <w:instrText xml:space="preserve"> PAGEREF _Toc171935908 \h </w:instrText>
            </w:r>
            <w:r w:rsidR="00067C30">
              <w:rPr>
                <w:noProof/>
                <w:webHidden/>
              </w:rPr>
            </w:r>
            <w:r w:rsidR="00067C30">
              <w:rPr>
                <w:noProof/>
                <w:webHidden/>
              </w:rPr>
              <w:fldChar w:fldCharType="separate"/>
            </w:r>
            <w:r w:rsidR="00067C30">
              <w:rPr>
                <w:noProof/>
                <w:webHidden/>
              </w:rPr>
              <w:t>223</w:t>
            </w:r>
            <w:r w:rsidR="00067C30">
              <w:rPr>
                <w:noProof/>
                <w:webHidden/>
              </w:rPr>
              <w:fldChar w:fldCharType="end"/>
            </w:r>
          </w:hyperlink>
        </w:p>
        <w:p w14:paraId="03362DBA" w14:textId="369681C5"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09" w:history="1">
            <w:r w:rsidR="00067C30" w:rsidRPr="002C4C7C">
              <w:rPr>
                <w:rStyle w:val="Hyperlink"/>
                <w:noProof/>
              </w:rPr>
              <w:t>Consultation scope</w:t>
            </w:r>
            <w:r w:rsidR="00067C30">
              <w:rPr>
                <w:noProof/>
                <w:webHidden/>
              </w:rPr>
              <w:tab/>
            </w:r>
            <w:r w:rsidR="00067C30">
              <w:rPr>
                <w:noProof/>
                <w:webHidden/>
              </w:rPr>
              <w:fldChar w:fldCharType="begin" w:fldLock="1"/>
            </w:r>
            <w:r w:rsidR="00067C30">
              <w:rPr>
                <w:noProof/>
                <w:webHidden/>
              </w:rPr>
              <w:instrText xml:space="preserve"> PAGEREF _Toc171935909 \h </w:instrText>
            </w:r>
            <w:r w:rsidR="00067C30">
              <w:rPr>
                <w:noProof/>
                <w:webHidden/>
              </w:rPr>
            </w:r>
            <w:r w:rsidR="00067C30">
              <w:rPr>
                <w:noProof/>
                <w:webHidden/>
              </w:rPr>
              <w:fldChar w:fldCharType="separate"/>
            </w:r>
            <w:r w:rsidR="00067C30">
              <w:rPr>
                <w:noProof/>
                <w:webHidden/>
              </w:rPr>
              <w:t>232</w:t>
            </w:r>
            <w:r w:rsidR="00067C30">
              <w:rPr>
                <w:noProof/>
                <w:webHidden/>
              </w:rPr>
              <w:fldChar w:fldCharType="end"/>
            </w:r>
          </w:hyperlink>
        </w:p>
        <w:p w14:paraId="5084EE12" w14:textId="45CE420A"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10" w:history="1">
            <w:r w:rsidR="00067C30" w:rsidRPr="002C4C7C">
              <w:rPr>
                <w:rStyle w:val="Hyperlink"/>
                <w:noProof/>
              </w:rPr>
              <w:t>List of tables and figures</w:t>
            </w:r>
            <w:r w:rsidR="00067C30">
              <w:rPr>
                <w:noProof/>
                <w:webHidden/>
              </w:rPr>
              <w:tab/>
            </w:r>
            <w:r w:rsidR="00067C30">
              <w:rPr>
                <w:noProof/>
                <w:webHidden/>
              </w:rPr>
              <w:fldChar w:fldCharType="begin" w:fldLock="1"/>
            </w:r>
            <w:r w:rsidR="00067C30">
              <w:rPr>
                <w:noProof/>
                <w:webHidden/>
              </w:rPr>
              <w:instrText xml:space="preserve"> PAGEREF _Toc171935910 \h </w:instrText>
            </w:r>
            <w:r w:rsidR="00067C30">
              <w:rPr>
                <w:noProof/>
                <w:webHidden/>
              </w:rPr>
            </w:r>
            <w:r w:rsidR="00067C30">
              <w:rPr>
                <w:noProof/>
                <w:webHidden/>
              </w:rPr>
              <w:fldChar w:fldCharType="separate"/>
            </w:r>
            <w:r w:rsidR="00067C30">
              <w:rPr>
                <w:noProof/>
                <w:webHidden/>
              </w:rPr>
              <w:t>234</w:t>
            </w:r>
            <w:r w:rsidR="00067C30">
              <w:rPr>
                <w:noProof/>
                <w:webHidden/>
              </w:rPr>
              <w:fldChar w:fldCharType="end"/>
            </w:r>
          </w:hyperlink>
        </w:p>
        <w:p w14:paraId="16ADF68B" w14:textId="64542014" w:rsidR="00067C30" w:rsidRDefault="00847484">
          <w:pPr>
            <w:pStyle w:val="TOC1"/>
            <w:rPr>
              <w:rFonts w:asciiTheme="minorHAnsi" w:eastAsiaTheme="minorEastAsia" w:hAnsiTheme="minorHAnsi" w:cstheme="minorBidi"/>
              <w:bCs w:val="0"/>
              <w:noProof/>
              <w:kern w:val="2"/>
              <w:sz w:val="22"/>
              <w:szCs w:val="22"/>
              <w:lang w:eastAsia="en-AU"/>
              <w14:ligatures w14:val="standardContextual"/>
            </w:rPr>
          </w:pPr>
          <w:hyperlink w:anchor="_Toc171935911" w:history="1">
            <w:r w:rsidR="00067C30" w:rsidRPr="002C4C7C">
              <w:rPr>
                <w:rStyle w:val="Hyperlink"/>
                <w:noProof/>
              </w:rPr>
              <w:t>Index</w:t>
            </w:r>
            <w:r w:rsidR="00067C30">
              <w:rPr>
                <w:noProof/>
                <w:webHidden/>
              </w:rPr>
              <w:tab/>
            </w:r>
            <w:r w:rsidR="00067C30">
              <w:rPr>
                <w:noProof/>
                <w:webHidden/>
              </w:rPr>
              <w:fldChar w:fldCharType="begin" w:fldLock="1"/>
            </w:r>
            <w:r w:rsidR="00067C30">
              <w:rPr>
                <w:noProof/>
                <w:webHidden/>
              </w:rPr>
              <w:instrText xml:space="preserve"> PAGEREF _Toc171935911 \h </w:instrText>
            </w:r>
            <w:r w:rsidR="00067C30">
              <w:rPr>
                <w:noProof/>
                <w:webHidden/>
              </w:rPr>
            </w:r>
            <w:r w:rsidR="00067C30">
              <w:rPr>
                <w:noProof/>
                <w:webHidden/>
              </w:rPr>
              <w:fldChar w:fldCharType="separate"/>
            </w:r>
            <w:r w:rsidR="00067C30">
              <w:rPr>
                <w:noProof/>
                <w:webHidden/>
              </w:rPr>
              <w:t>235</w:t>
            </w:r>
            <w:r w:rsidR="00067C30">
              <w:rPr>
                <w:noProof/>
                <w:webHidden/>
              </w:rPr>
              <w:fldChar w:fldCharType="end"/>
            </w:r>
          </w:hyperlink>
        </w:p>
        <w:p w14:paraId="6500DD1B" w14:textId="2AD80059" w:rsidR="6CC68A72" w:rsidRDefault="00EC17CD" w:rsidP="00EC17CD">
          <w:pPr>
            <w:pStyle w:val="toc11"/>
            <w:rPr>
              <w:rStyle w:val="Hyperlink"/>
              <w:bCs w:val="0"/>
            </w:rPr>
          </w:pPr>
          <w:r>
            <w:fldChar w:fldCharType="end"/>
          </w:r>
        </w:p>
      </w:sdtContent>
    </w:sdt>
    <w:p w14:paraId="1DADF56E" w14:textId="7F8E07ED" w:rsidR="006979E9" w:rsidRDefault="00310124">
      <w:pPr>
        <w:jc w:val="left"/>
        <w:rPr>
          <w:rFonts w:eastAsia="Times New Roman" w:cs="Segoe UI"/>
          <w:color w:val="0A1D37" w:themeColor="text2" w:themeShade="80"/>
          <w:kern w:val="28"/>
          <w:sz w:val="56"/>
          <w:szCs w:val="36"/>
        </w:rPr>
      </w:pPr>
      <w:r>
        <w:br w:type="page"/>
      </w:r>
    </w:p>
    <w:p w14:paraId="2613C621" w14:textId="5ADC62F8" w:rsidR="00B3524F" w:rsidRDefault="00B3524F" w:rsidP="00C55665">
      <w:pPr>
        <w:pStyle w:val="Heading1"/>
      </w:pPr>
      <w:bookmarkStart w:id="3" w:name="_Toc171935840"/>
      <w:r>
        <w:lastRenderedPageBreak/>
        <w:t>Preamble</w:t>
      </w:r>
      <w:bookmarkEnd w:id="3"/>
    </w:p>
    <w:p w14:paraId="06D31CDE" w14:textId="00F4269F" w:rsidR="006979E9" w:rsidRDefault="00305FBC" w:rsidP="00B3524F">
      <w:pPr>
        <w:pStyle w:val="Heading2"/>
      </w:pPr>
      <w:bookmarkStart w:id="4" w:name="_Toc171935841"/>
      <w:r>
        <w:t xml:space="preserve">Acknowledgement of </w:t>
      </w:r>
      <w:r w:rsidR="006C28AF">
        <w:t>C</w:t>
      </w:r>
      <w:r>
        <w:t>ountry</w:t>
      </w:r>
      <w:bookmarkEnd w:id="4"/>
    </w:p>
    <w:p w14:paraId="31B0D592" w14:textId="2E0DE07C" w:rsidR="006D30B3" w:rsidRDefault="006D30B3" w:rsidP="006D30B3">
      <w:r>
        <w:t>We acknowledge the Traditional Owners and Custodians of Country across this nation on whose lands we all work, play and live. We acknowledge their ongoing connection to land, waters and community. We pay our respect to Elders past, present and emerging.</w:t>
      </w:r>
    </w:p>
    <w:p w14:paraId="2E31DBB3" w14:textId="76E6B65E" w:rsidR="008B6717" w:rsidRDefault="00052783" w:rsidP="008B6717">
      <w:pPr>
        <w:pStyle w:val="Heading2"/>
      </w:pPr>
      <w:bookmarkStart w:id="5" w:name="_Toc171935842"/>
      <w:bookmarkStart w:id="6" w:name="_Hlk167170459"/>
      <w:r>
        <w:t>H</w:t>
      </w:r>
      <w:r w:rsidR="001601F2">
        <w:t xml:space="preserve">ealth </w:t>
      </w:r>
      <w:r>
        <w:t>T</w:t>
      </w:r>
      <w:r w:rsidR="001601F2">
        <w:t xml:space="preserve">echnology </w:t>
      </w:r>
      <w:r>
        <w:t>A</w:t>
      </w:r>
      <w:r w:rsidR="001601F2">
        <w:t xml:space="preserve">ssessment </w:t>
      </w:r>
      <w:r>
        <w:t>P</w:t>
      </w:r>
      <w:r w:rsidR="001601F2">
        <w:t xml:space="preserve">olicy and </w:t>
      </w:r>
      <w:r>
        <w:t>M</w:t>
      </w:r>
      <w:r w:rsidR="001601F2">
        <w:t xml:space="preserve">ethods </w:t>
      </w:r>
      <w:r>
        <w:t>R</w:t>
      </w:r>
      <w:r w:rsidR="001601F2">
        <w:t>eview</w:t>
      </w:r>
      <w:r w:rsidR="00592DBC">
        <w:t xml:space="preserve"> Reference Committee</w:t>
      </w:r>
      <w:bookmarkEnd w:id="5"/>
    </w:p>
    <w:tbl>
      <w:tblPr>
        <w:tblStyle w:val="ListTable3-Accent1"/>
        <w:tblpPr w:leftFromText="180" w:rightFromText="180" w:vertAnchor="text" w:horzAnchor="margin" w:tblpY="128"/>
        <w:tblW w:w="5000" w:type="pct"/>
        <w:tblLook w:val="04A0" w:firstRow="1" w:lastRow="0" w:firstColumn="1" w:lastColumn="0" w:noHBand="0" w:noVBand="1"/>
      </w:tblPr>
      <w:tblGrid>
        <w:gridCol w:w="4186"/>
        <w:gridCol w:w="4875"/>
      </w:tblGrid>
      <w:tr w:rsidR="00D0197A" w:rsidRPr="00D0197A" w14:paraId="64113AE3" w14:textId="77777777" w:rsidTr="00514E65">
        <w:trPr>
          <w:cnfStyle w:val="100000000000" w:firstRow="1" w:lastRow="0" w:firstColumn="0" w:lastColumn="0" w:oddVBand="0" w:evenVBand="0" w:oddHBand="0" w:evenHBand="0" w:firstRowFirstColumn="0" w:firstRowLastColumn="0" w:lastRowFirstColumn="0" w:lastRowLastColumn="0"/>
          <w:trHeight w:val="335"/>
        </w:trPr>
        <w:tc>
          <w:tcPr>
            <w:cnfStyle w:val="001000000100" w:firstRow="0" w:lastRow="0" w:firstColumn="1" w:lastColumn="0" w:oddVBand="0" w:evenVBand="0" w:oddHBand="0" w:evenHBand="0" w:firstRowFirstColumn="1" w:firstRowLastColumn="0" w:lastRowFirstColumn="0" w:lastRowLastColumn="0"/>
            <w:tcW w:w="2310" w:type="pct"/>
            <w:shd w:val="clear" w:color="auto" w:fill="1D437F"/>
            <w:hideMark/>
          </w:tcPr>
          <w:bookmarkEnd w:id="6"/>
          <w:p w14:paraId="5E58593C" w14:textId="77777777" w:rsidR="00D0197A" w:rsidRPr="00D0197A" w:rsidRDefault="00D0197A" w:rsidP="0053271D">
            <w:pPr>
              <w:spacing w:before="100" w:beforeAutospacing="1" w:after="100" w:afterAutospacing="1"/>
              <w:jc w:val="center"/>
              <w:textAlignment w:val="baseline"/>
              <w:rPr>
                <w:rFonts w:ascii="Times New Roman" w:eastAsia="Times New Roman" w:hAnsi="Times New Roman"/>
                <w:color w:val="000000"/>
                <w:lang w:val="en-US" w:eastAsia="en-AU"/>
              </w:rPr>
            </w:pPr>
            <w:r w:rsidRPr="00D0197A">
              <w:rPr>
                <w:rFonts w:ascii="Times New Roman" w:eastAsia="Times New Roman" w:hAnsi="Times New Roman"/>
                <w:lang w:eastAsia="en-AU"/>
              </w:rPr>
              <w:t> </w:t>
            </w:r>
            <w:r w:rsidRPr="00D0197A">
              <w:rPr>
                <w:rFonts w:ascii="Arial Nova" w:eastAsia="Times New Roman" w:hAnsi="Arial Nova"/>
                <w:color w:val="FFFFFF"/>
                <w:position w:val="-1"/>
                <w:lang w:eastAsia="en-AU"/>
              </w:rPr>
              <w:t>Member</w:t>
            </w:r>
            <w:r w:rsidRPr="00D0197A">
              <w:rPr>
                <w:rFonts w:ascii="Arial" w:eastAsia="Times New Roman" w:hAnsi="Arial" w:cs="Arial"/>
                <w:color w:val="000000"/>
                <w:lang w:val="en-US" w:eastAsia="en-AU"/>
              </w:rPr>
              <w:t>​</w:t>
            </w:r>
          </w:p>
        </w:tc>
        <w:tc>
          <w:tcPr>
            <w:tcW w:w="2690" w:type="pct"/>
            <w:hideMark/>
          </w:tcPr>
          <w:p w14:paraId="7E642CA2" w14:textId="77777777" w:rsidR="00D0197A" w:rsidRPr="00D0197A" w:rsidRDefault="00D0197A" w:rsidP="0053271D">
            <w:pPr>
              <w:spacing w:before="100" w:beforeAutospacing="1" w:after="100" w:afterAutospacing="1"/>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w:eastAsia="Times New Roman" w:hAnsi="Arial Nova"/>
                <w:color w:val="FFFFFF"/>
                <w:position w:val="-1"/>
                <w:lang w:eastAsia="en-AU"/>
              </w:rPr>
              <w:t xml:space="preserve">Role on the </w:t>
            </w:r>
            <w:r w:rsidR="00FC0AFF">
              <w:rPr>
                <w:rFonts w:ascii="Arial Nova" w:eastAsia="Times New Roman" w:hAnsi="Arial Nova"/>
                <w:color w:val="FFFFFF"/>
                <w:position w:val="-1"/>
                <w:lang w:eastAsia="en-AU"/>
              </w:rPr>
              <w:t xml:space="preserve">Reference </w:t>
            </w:r>
            <w:r w:rsidRPr="00D0197A">
              <w:rPr>
                <w:rFonts w:ascii="Arial Nova" w:eastAsia="Times New Roman" w:hAnsi="Arial Nova"/>
                <w:color w:val="FFFFFF"/>
                <w:position w:val="-1"/>
                <w:lang w:eastAsia="en-AU"/>
              </w:rPr>
              <w:t>Committee</w:t>
            </w:r>
            <w:r w:rsidRPr="00D0197A">
              <w:rPr>
                <w:rFonts w:ascii="Arial" w:eastAsia="Times New Roman" w:hAnsi="Arial" w:cs="Arial"/>
                <w:color w:val="000000"/>
                <w:lang w:val="en-US" w:eastAsia="en-AU"/>
              </w:rPr>
              <w:t>​</w:t>
            </w:r>
          </w:p>
        </w:tc>
      </w:tr>
      <w:tr w:rsidR="00D0197A" w:rsidRPr="00D0197A" w14:paraId="287F288E" w14:textId="77777777" w:rsidTr="0053271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040CF002" w14:textId="77777777" w:rsidR="00D0197A" w:rsidRPr="00A92F6D" w:rsidRDefault="00D0197A"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val="pt-BR" w:eastAsia="en-AU"/>
              </w:rPr>
              <w:t>Adjunct Professor Debora Picone AO</w:t>
            </w:r>
            <w:r w:rsidRPr="00A92F6D">
              <w:rPr>
                <w:rFonts w:ascii="Arial" w:eastAsia="Times New Roman" w:hAnsi="Arial" w:cs="Arial"/>
                <w:b w:val="0"/>
                <w:color w:val="000000"/>
                <w:lang w:val="en-US" w:eastAsia="en-AU"/>
              </w:rPr>
              <w:t>​</w:t>
            </w:r>
          </w:p>
        </w:tc>
        <w:tc>
          <w:tcPr>
            <w:tcW w:w="2690" w:type="pct"/>
            <w:hideMark/>
          </w:tcPr>
          <w:p w14:paraId="7F603286" w14:textId="77777777" w:rsidR="00D0197A" w:rsidRPr="00D0197A" w:rsidRDefault="00D0197A" w:rsidP="0053271D">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Independent Chair</w:t>
            </w:r>
            <w:r w:rsidRPr="00D0197A">
              <w:rPr>
                <w:rFonts w:ascii="Arial" w:eastAsia="Times New Roman" w:hAnsi="Arial" w:cs="Arial"/>
                <w:color w:val="000000"/>
                <w:lang w:val="en-US" w:eastAsia="en-AU"/>
              </w:rPr>
              <w:t>​</w:t>
            </w:r>
          </w:p>
        </w:tc>
      </w:tr>
      <w:tr w:rsidR="00D0197A" w:rsidRPr="00D0197A" w14:paraId="0D81137C" w14:textId="77777777" w:rsidTr="0053271D">
        <w:trPr>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31439C63" w14:textId="77777777" w:rsidR="00D0197A" w:rsidRPr="00A92F6D" w:rsidRDefault="00D240F4"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Dr Dawn Casey PSM</w:t>
            </w:r>
            <w:r w:rsidRPr="00A92F6D">
              <w:rPr>
                <w:rFonts w:ascii="Arial" w:eastAsia="Times New Roman" w:hAnsi="Arial" w:cs="Arial"/>
                <w:b w:val="0"/>
                <w:color w:val="000000"/>
                <w:lang w:val="en-US" w:eastAsia="en-AU"/>
              </w:rPr>
              <w:t>​</w:t>
            </w:r>
          </w:p>
        </w:tc>
        <w:tc>
          <w:tcPr>
            <w:tcW w:w="2690" w:type="pct"/>
            <w:hideMark/>
          </w:tcPr>
          <w:p w14:paraId="09D362C7" w14:textId="77777777" w:rsidR="00D0197A" w:rsidRPr="00D0197A" w:rsidRDefault="00D0197A" w:rsidP="0053271D">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 xml:space="preserve">Patient </w:t>
            </w:r>
            <w:r w:rsidR="00052783">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D0197A" w:rsidRPr="00D0197A" w14:paraId="49006132" w14:textId="77777777" w:rsidTr="0053271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2BD52F73" w14:textId="77777777" w:rsidR="00D0197A" w:rsidRPr="00A92F6D" w:rsidRDefault="00D240F4"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Ann Single</w:t>
            </w:r>
            <w:r w:rsidRPr="00A92F6D">
              <w:rPr>
                <w:rFonts w:ascii="Arial" w:eastAsia="Times New Roman" w:hAnsi="Arial" w:cs="Arial"/>
                <w:b w:val="0"/>
                <w:color w:val="000000"/>
                <w:lang w:val="en-US" w:eastAsia="en-AU"/>
              </w:rPr>
              <w:t>​</w:t>
            </w:r>
          </w:p>
        </w:tc>
        <w:tc>
          <w:tcPr>
            <w:tcW w:w="2690" w:type="pct"/>
            <w:hideMark/>
          </w:tcPr>
          <w:p w14:paraId="2C8A197B" w14:textId="77777777" w:rsidR="00D0197A" w:rsidRPr="00D0197A" w:rsidRDefault="00D0197A" w:rsidP="0053271D">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 xml:space="preserve">Patient </w:t>
            </w:r>
            <w:r w:rsidR="00052783">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D0197A" w:rsidRPr="00D0197A" w14:paraId="0B4D1928" w14:textId="77777777" w:rsidTr="0053271D">
        <w:trPr>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2E9D8904" w14:textId="77777777" w:rsidR="00D0197A" w:rsidRPr="00A92F6D" w:rsidRDefault="00D0197A"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Professor Andrew Wilso</w:t>
            </w:r>
            <w:r w:rsidR="009E6708">
              <w:rPr>
                <w:rFonts w:ascii="Arial Nova Light" w:eastAsia="Times New Roman" w:hAnsi="Arial Nova Light"/>
                <w:b w:val="0"/>
                <w:color w:val="000000"/>
                <w:position w:val="-1"/>
                <w:lang w:eastAsia="en-AU"/>
              </w:rPr>
              <w:t>n AO</w:t>
            </w:r>
          </w:p>
        </w:tc>
        <w:tc>
          <w:tcPr>
            <w:tcW w:w="2690" w:type="pct"/>
            <w:hideMark/>
          </w:tcPr>
          <w:p w14:paraId="6C9E2DBA" w14:textId="77777777" w:rsidR="00D0197A" w:rsidRPr="00D0197A" w:rsidRDefault="00D0197A" w:rsidP="0053271D">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Chair of the P</w:t>
            </w:r>
            <w:r w:rsidR="00052783">
              <w:rPr>
                <w:rFonts w:ascii="Arial Nova Light" w:eastAsia="Times New Roman" w:hAnsi="Arial Nova Light"/>
                <w:color w:val="000000"/>
                <w:position w:val="-1"/>
                <w:lang w:eastAsia="en-AU"/>
              </w:rPr>
              <w:t xml:space="preserve">harmaceutical </w:t>
            </w:r>
            <w:r w:rsidRPr="00D0197A">
              <w:rPr>
                <w:rFonts w:ascii="Arial Nova Light" w:eastAsia="Times New Roman" w:hAnsi="Arial Nova Light"/>
                <w:color w:val="000000"/>
                <w:position w:val="-1"/>
                <w:lang w:eastAsia="en-AU"/>
              </w:rPr>
              <w:t>B</w:t>
            </w:r>
            <w:r w:rsidR="00052783">
              <w:rPr>
                <w:rFonts w:ascii="Arial Nova Light" w:eastAsia="Times New Roman" w:hAnsi="Arial Nova Light"/>
                <w:color w:val="000000"/>
                <w:position w:val="-1"/>
                <w:lang w:eastAsia="en-AU"/>
              </w:rPr>
              <w:t xml:space="preserve">enefits </w:t>
            </w:r>
            <w:r w:rsidRPr="00D0197A">
              <w:rPr>
                <w:rFonts w:ascii="Arial Nova Light" w:eastAsia="Times New Roman" w:hAnsi="Arial Nova Light"/>
                <w:color w:val="000000"/>
                <w:position w:val="-1"/>
                <w:lang w:eastAsia="en-AU"/>
              </w:rPr>
              <w:t>A</w:t>
            </w:r>
            <w:r w:rsidR="00052783">
              <w:rPr>
                <w:rFonts w:ascii="Arial Nova Light" w:eastAsia="Times New Roman" w:hAnsi="Arial Nova Light"/>
                <w:color w:val="000000"/>
                <w:position w:val="-1"/>
                <w:lang w:eastAsia="en-AU"/>
              </w:rPr>
              <w:t xml:space="preserve">dvisory </w:t>
            </w:r>
            <w:r w:rsidRPr="00D0197A">
              <w:rPr>
                <w:rFonts w:ascii="Arial Nova Light" w:eastAsia="Times New Roman" w:hAnsi="Arial Nova Light"/>
                <w:color w:val="000000"/>
                <w:position w:val="-1"/>
                <w:lang w:eastAsia="en-AU"/>
              </w:rPr>
              <w:t>C</w:t>
            </w:r>
            <w:r w:rsidR="00052783">
              <w:rPr>
                <w:rFonts w:ascii="Arial Nova Light" w:eastAsia="Times New Roman" w:hAnsi="Arial Nova Light"/>
                <w:color w:val="000000"/>
                <w:position w:val="-1"/>
                <w:lang w:eastAsia="en-AU"/>
              </w:rPr>
              <w:t>ommittee</w:t>
            </w:r>
            <w:r w:rsidRPr="00D0197A">
              <w:rPr>
                <w:rFonts w:ascii="Arial" w:eastAsia="Times New Roman" w:hAnsi="Arial" w:cs="Arial"/>
                <w:color w:val="000000"/>
                <w:lang w:val="en-US" w:eastAsia="en-AU"/>
              </w:rPr>
              <w:t>​</w:t>
            </w:r>
          </w:p>
        </w:tc>
      </w:tr>
      <w:tr w:rsidR="00D0197A" w:rsidRPr="00D0197A" w14:paraId="74B63BCA" w14:textId="77777777" w:rsidTr="0053271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27CACC41" w14:textId="77777777" w:rsidR="00D0197A" w:rsidRPr="00A92F6D" w:rsidRDefault="00D0197A"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Professor Andrew Roberts AM</w:t>
            </w:r>
            <w:r w:rsidRPr="00A92F6D">
              <w:rPr>
                <w:rFonts w:ascii="Arial" w:eastAsia="Times New Roman" w:hAnsi="Arial" w:cs="Arial"/>
                <w:b w:val="0"/>
                <w:color w:val="000000"/>
                <w:lang w:val="en-US" w:eastAsia="en-AU"/>
              </w:rPr>
              <w:t>​</w:t>
            </w:r>
          </w:p>
        </w:tc>
        <w:tc>
          <w:tcPr>
            <w:tcW w:w="2690" w:type="pct"/>
            <w:hideMark/>
          </w:tcPr>
          <w:p w14:paraId="2A0AA059" w14:textId="77777777" w:rsidR="00D0197A" w:rsidRPr="00D0197A" w:rsidRDefault="00D0197A" w:rsidP="0053271D">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Clinical/</w:t>
            </w:r>
            <w:r w:rsidR="00052783">
              <w:rPr>
                <w:rFonts w:ascii="Arial Nova Light" w:eastAsia="Times New Roman" w:hAnsi="Arial Nova Light"/>
                <w:color w:val="000000"/>
                <w:position w:val="-1"/>
                <w:lang w:eastAsia="en-AU"/>
              </w:rPr>
              <w:t>s</w:t>
            </w:r>
            <w:r w:rsidRPr="00D0197A">
              <w:rPr>
                <w:rFonts w:ascii="Arial Nova Light" w:eastAsia="Times New Roman" w:hAnsi="Arial Nova Light"/>
                <w:color w:val="000000"/>
                <w:position w:val="-1"/>
                <w:lang w:eastAsia="en-AU"/>
              </w:rPr>
              <w:t>cientific </w:t>
            </w:r>
            <w:r w:rsidR="00052783">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D0197A" w:rsidRPr="00D0197A" w14:paraId="2F93B50D" w14:textId="77777777" w:rsidTr="0053271D">
        <w:trPr>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0E209CD6" w14:textId="77777777" w:rsidR="00D0197A" w:rsidRPr="00A92F6D" w:rsidRDefault="00D0197A"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Elizabeth de Somer</w:t>
            </w:r>
            <w:r w:rsidRPr="00A92F6D">
              <w:rPr>
                <w:rFonts w:ascii="Arial" w:eastAsia="Times New Roman" w:hAnsi="Arial" w:cs="Arial"/>
                <w:b w:val="0"/>
                <w:color w:val="000000"/>
                <w:lang w:val="en-US" w:eastAsia="en-AU"/>
              </w:rPr>
              <w:t>​</w:t>
            </w:r>
          </w:p>
        </w:tc>
        <w:tc>
          <w:tcPr>
            <w:tcW w:w="2690" w:type="pct"/>
            <w:hideMark/>
          </w:tcPr>
          <w:p w14:paraId="142D7950" w14:textId="77777777" w:rsidR="00D0197A" w:rsidRPr="00D0197A" w:rsidRDefault="00D0197A" w:rsidP="0053271D">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Member nominated by Medicines Australia</w:t>
            </w:r>
            <w:r w:rsidRPr="00D0197A">
              <w:rPr>
                <w:rFonts w:ascii="Arial" w:eastAsia="Times New Roman" w:hAnsi="Arial" w:cs="Arial"/>
                <w:color w:val="000000"/>
                <w:lang w:val="en-US" w:eastAsia="en-AU"/>
              </w:rPr>
              <w:t>​</w:t>
            </w:r>
          </w:p>
        </w:tc>
      </w:tr>
      <w:tr w:rsidR="00D0197A" w:rsidRPr="00D0197A" w14:paraId="30D62145" w14:textId="77777777" w:rsidTr="0053271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310" w:type="pct"/>
            <w:shd w:val="clear" w:color="auto" w:fill="auto"/>
            <w:hideMark/>
          </w:tcPr>
          <w:p w14:paraId="50957609" w14:textId="77777777" w:rsidR="00D0197A" w:rsidRPr="00A92F6D" w:rsidRDefault="00D0197A" w:rsidP="0053271D">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Adjunct Professor Adriana Platona PSM</w:t>
            </w:r>
            <w:r w:rsidRPr="00A92F6D">
              <w:rPr>
                <w:rFonts w:ascii="Arial" w:eastAsia="Times New Roman" w:hAnsi="Arial" w:cs="Arial"/>
                <w:b w:val="0"/>
                <w:color w:val="000000"/>
                <w:lang w:val="en-US" w:eastAsia="en-AU"/>
              </w:rPr>
              <w:t>​</w:t>
            </w:r>
          </w:p>
        </w:tc>
        <w:tc>
          <w:tcPr>
            <w:tcW w:w="2690" w:type="pct"/>
            <w:hideMark/>
          </w:tcPr>
          <w:p w14:paraId="10DE0799" w14:textId="77777777" w:rsidR="00D0197A" w:rsidRPr="00D0197A" w:rsidRDefault="00931BAD" w:rsidP="0053271D">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Member nominated by </w:t>
            </w:r>
            <w:r w:rsidR="007C2E2A">
              <w:rPr>
                <w:rFonts w:ascii="Arial Nova Light" w:eastAsia="Times New Roman" w:hAnsi="Arial Nova Light"/>
                <w:color w:val="000000"/>
                <w:position w:val="-1"/>
                <w:lang w:eastAsia="en-AU"/>
              </w:rPr>
              <w:t>the</w:t>
            </w:r>
            <w:r w:rsidRPr="00D0197A">
              <w:rPr>
                <w:rFonts w:ascii="Arial Nova Light" w:eastAsia="Times New Roman" w:hAnsi="Arial Nova Light"/>
                <w:color w:val="000000"/>
                <w:position w:val="-1"/>
                <w:lang w:eastAsia="en-AU"/>
              </w:rPr>
              <w:t xml:space="preserve"> Australia</w:t>
            </w:r>
            <w:r w:rsidR="007C2E2A">
              <w:rPr>
                <w:rFonts w:ascii="Arial Nova Light" w:eastAsia="Times New Roman" w:hAnsi="Arial Nova Light"/>
                <w:color w:val="000000"/>
                <w:position w:val="-1"/>
                <w:lang w:eastAsia="en-AU"/>
              </w:rPr>
              <w:t>n Government</w:t>
            </w:r>
          </w:p>
        </w:tc>
      </w:tr>
    </w:tbl>
    <w:p w14:paraId="5BF506E3" w14:textId="72B9359D" w:rsidR="00630E4C" w:rsidRDefault="00656CC9" w:rsidP="005E64D2">
      <w:pPr>
        <w:pStyle w:val="Heading2"/>
        <w:spacing w:before="240"/>
      </w:pPr>
      <w:bookmarkStart w:id="7" w:name="_Toc171935843"/>
      <w:r>
        <w:t>Acknowledgements</w:t>
      </w:r>
      <w:bookmarkEnd w:id="7"/>
    </w:p>
    <w:p w14:paraId="5EAA0ECF" w14:textId="02EA2436" w:rsidR="000F4094" w:rsidRDefault="00A26AC4" w:rsidP="00E43E99">
      <w:pPr>
        <w:jc w:val="left"/>
      </w:pPr>
      <w:r>
        <w:t xml:space="preserve">The </w:t>
      </w:r>
      <w:r w:rsidR="00622514" w:rsidRPr="000C5623">
        <w:t>Health Technology Assessment Policy and Methods</w:t>
      </w:r>
      <w:r w:rsidR="00626228" w:rsidRPr="00622514">
        <w:t xml:space="preserve"> Review</w:t>
      </w:r>
      <w:r w:rsidR="00626228">
        <w:t xml:space="preserve"> </w:t>
      </w:r>
      <w:r w:rsidR="00592DBC" w:rsidRPr="00622514">
        <w:t xml:space="preserve">Reference Committee </w:t>
      </w:r>
      <w:r w:rsidR="00312632">
        <w:t>would</w:t>
      </w:r>
      <w:r w:rsidR="00C737BB">
        <w:t xml:space="preserve"> like to </w:t>
      </w:r>
      <w:r w:rsidR="000E24AF">
        <w:t xml:space="preserve">acknowledge </w:t>
      </w:r>
      <w:r w:rsidR="00D132DD">
        <w:t xml:space="preserve">the </w:t>
      </w:r>
      <w:r w:rsidR="00805A58">
        <w:t xml:space="preserve">significant </w:t>
      </w:r>
      <w:r w:rsidR="00367296">
        <w:t xml:space="preserve">contributions </w:t>
      </w:r>
      <w:r w:rsidR="00533A7F">
        <w:t xml:space="preserve">to the </w:t>
      </w:r>
      <w:r w:rsidR="000052A5">
        <w:t>Review</w:t>
      </w:r>
      <w:r w:rsidR="00FA0A24">
        <w:t xml:space="preserve"> by the</w:t>
      </w:r>
      <w:r w:rsidR="000F03D7">
        <w:t xml:space="preserve"> </w:t>
      </w:r>
      <w:r w:rsidR="00D132DD">
        <w:t xml:space="preserve">members of the </w:t>
      </w:r>
      <w:r w:rsidR="0078576C">
        <w:t xml:space="preserve">Review </w:t>
      </w:r>
      <w:r w:rsidR="00F03D49">
        <w:t>Secretariat</w:t>
      </w:r>
      <w:r w:rsidR="00D57E0C">
        <w:t>:</w:t>
      </w:r>
    </w:p>
    <w:p w14:paraId="790532F0" w14:textId="4638F91F" w:rsidR="00995339" w:rsidRDefault="00C17BEE" w:rsidP="00E43E99">
      <w:pPr>
        <w:jc w:val="left"/>
      </w:pPr>
      <w:r>
        <w:t>Malanie Banney</w:t>
      </w:r>
      <w:r w:rsidR="008271C2">
        <w:t xml:space="preserve">, </w:t>
      </w:r>
      <w:r w:rsidR="00ED3BB2">
        <w:t xml:space="preserve">Daniel </w:t>
      </w:r>
      <w:r w:rsidR="009F696C">
        <w:t>Chast</w:t>
      </w:r>
      <w:r w:rsidR="008B4CFD">
        <w:t>o</w:t>
      </w:r>
      <w:r w:rsidR="009F696C">
        <w:t>n</w:t>
      </w:r>
      <w:r w:rsidR="008271C2">
        <w:t>,</w:t>
      </w:r>
      <w:r w:rsidR="00867CB5">
        <w:t xml:space="preserve"> </w:t>
      </w:r>
      <w:r w:rsidR="005A733C">
        <w:t>Jeff Chau, Abb</w:t>
      </w:r>
      <w:r w:rsidR="00E566B3">
        <w:t>y Ching, Eliana Della Flo</w:t>
      </w:r>
      <w:r w:rsidR="00D5683A">
        <w:t>ra, Lauren Ku</w:t>
      </w:r>
      <w:r w:rsidR="00441CCE">
        <w:t>c</w:t>
      </w:r>
      <w:r w:rsidR="00D5683A">
        <w:t>ka</w:t>
      </w:r>
      <w:r w:rsidR="00F322C4">
        <w:t>, Chris</w:t>
      </w:r>
      <w:r w:rsidR="00001004">
        <w:t>topher</w:t>
      </w:r>
      <w:r w:rsidR="00F76A8D">
        <w:t xml:space="preserve"> Lee and Yun Zhong</w:t>
      </w:r>
      <w:r w:rsidR="00DE0FC4">
        <w:t xml:space="preserve">. </w:t>
      </w:r>
    </w:p>
    <w:p w14:paraId="2971F6C9" w14:textId="59E07C23" w:rsidR="00ED3BB2" w:rsidRPr="000F4094" w:rsidRDefault="00DE0FC4" w:rsidP="00E43E99">
      <w:pPr>
        <w:jc w:val="left"/>
      </w:pPr>
      <w:r>
        <w:t xml:space="preserve">Additionally, </w:t>
      </w:r>
      <w:r w:rsidR="00995339">
        <w:t xml:space="preserve">the </w:t>
      </w:r>
      <w:r w:rsidR="00995339" w:rsidRPr="00622514">
        <w:t xml:space="preserve">Reference Committee </w:t>
      </w:r>
      <w:r w:rsidR="00995339">
        <w:t>would like</w:t>
      </w:r>
      <w:r w:rsidR="00C0069A">
        <w:t xml:space="preserve"> to thank the </w:t>
      </w:r>
      <w:r w:rsidR="00397040">
        <w:t xml:space="preserve">many staff within </w:t>
      </w:r>
      <w:r w:rsidR="00B90406">
        <w:t xml:space="preserve">the </w:t>
      </w:r>
      <w:r w:rsidR="00980A14">
        <w:t>Technology Assessment and Access Division</w:t>
      </w:r>
      <w:r w:rsidR="00397040">
        <w:t xml:space="preserve"> and across the Department of Health and Aged Care for their contributions</w:t>
      </w:r>
      <w:r w:rsidR="005514A4">
        <w:t xml:space="preserve">. </w:t>
      </w:r>
    </w:p>
    <w:p w14:paraId="3972CCDF" w14:textId="68E97C1B" w:rsidR="0069246A" w:rsidRDefault="00992E8F">
      <w:pPr>
        <w:rPr>
          <w:rFonts w:eastAsia="Times New Roman" w:cs="Segoe UI"/>
          <w:color w:val="0A1D37" w:themeColor="text2" w:themeShade="80"/>
          <w:kern w:val="28"/>
          <w:sz w:val="56"/>
          <w:szCs w:val="56"/>
        </w:rPr>
      </w:pPr>
      <w:bookmarkStart w:id="8" w:name="_Toc164685804"/>
      <w:bookmarkStart w:id="9" w:name="_Toc164691375"/>
      <w:bookmarkStart w:id="10" w:name="_Toc164696173"/>
      <w:bookmarkStart w:id="11" w:name="_Toc164696319"/>
      <w:bookmarkStart w:id="12" w:name="_Toc164767704"/>
      <w:bookmarkStart w:id="13" w:name="_Toc164781618"/>
      <w:r>
        <w:t xml:space="preserve">The Reference Committee would also like to thank the </w:t>
      </w:r>
      <w:r w:rsidR="00271405">
        <w:t>dedicated stakeholder</w:t>
      </w:r>
      <w:r w:rsidR="0009291B">
        <w:t>s</w:t>
      </w:r>
      <w:r w:rsidR="00EC2FA4">
        <w:t>:</w:t>
      </w:r>
      <w:r>
        <w:t xml:space="preserve"> </w:t>
      </w:r>
      <w:r w:rsidR="00907B4A">
        <w:t xml:space="preserve">a </w:t>
      </w:r>
      <w:r w:rsidR="00E47344" w:rsidRPr="00E47344">
        <w:t xml:space="preserve">diverse range of </w:t>
      </w:r>
      <w:r w:rsidR="00907B4A">
        <w:t xml:space="preserve">groups and </w:t>
      </w:r>
      <w:r w:rsidR="00E47344" w:rsidRPr="00E47344">
        <w:t xml:space="preserve">individuals </w:t>
      </w:r>
      <w:r w:rsidR="00A02033">
        <w:t xml:space="preserve">who </w:t>
      </w:r>
      <w:r w:rsidR="00A02033" w:rsidRPr="00A02033">
        <w:t>meaningfully</w:t>
      </w:r>
      <w:r w:rsidR="00E47344" w:rsidRPr="00E47344">
        <w:t xml:space="preserve"> and </w:t>
      </w:r>
      <w:r w:rsidR="00A02033" w:rsidRPr="00A02033">
        <w:t xml:space="preserve">constructively </w:t>
      </w:r>
      <w:r w:rsidR="00BE7E67">
        <w:t>contributed</w:t>
      </w:r>
      <w:r w:rsidR="00784720">
        <w:t xml:space="preserve"> to the Review</w:t>
      </w:r>
      <w:r w:rsidR="008321A7">
        <w:t>.</w:t>
      </w:r>
      <w:r w:rsidR="0023447B">
        <w:t xml:space="preserve"> </w:t>
      </w:r>
    </w:p>
    <w:p w14:paraId="2348A2E5" w14:textId="77B44C34" w:rsidR="008C5227" w:rsidDel="007C7E85" w:rsidRDefault="007C7E85" w:rsidP="00AD3C9E">
      <w:pPr>
        <w:pStyle w:val="Heading1"/>
      </w:pPr>
      <w:bookmarkStart w:id="14" w:name="_Toc171935844"/>
      <w:r w:rsidRPr="007C7E85">
        <w:lastRenderedPageBreak/>
        <w:t xml:space="preserve">Executive </w:t>
      </w:r>
      <w:r w:rsidR="00907B4A">
        <w:t>s</w:t>
      </w:r>
      <w:r w:rsidRPr="007C7E85">
        <w:t>ummary</w:t>
      </w:r>
      <w:bookmarkEnd w:id="8"/>
      <w:bookmarkEnd w:id="9"/>
      <w:bookmarkEnd w:id="10"/>
      <w:bookmarkEnd w:id="11"/>
      <w:bookmarkEnd w:id="12"/>
      <w:bookmarkEnd w:id="13"/>
      <w:bookmarkEnd w:id="14"/>
    </w:p>
    <w:p w14:paraId="0A62DD59" w14:textId="3AFF071C" w:rsidR="001630E4" w:rsidRPr="003C58A7" w:rsidRDefault="001630E4" w:rsidP="001630E4">
      <w:pPr>
        <w:pStyle w:val="Heading2"/>
      </w:pPr>
      <w:bookmarkStart w:id="15" w:name="_Toc171935845"/>
      <w:bookmarkStart w:id="16" w:name="_Toc709362295"/>
      <w:r>
        <w:t xml:space="preserve">Australia’s health system and </w:t>
      </w:r>
      <w:r w:rsidR="00622514" w:rsidRPr="00622514">
        <w:t>health technology assessment</w:t>
      </w:r>
      <w:r w:rsidR="00622514" w:rsidRPr="000C5623">
        <w:t xml:space="preserve"> processe</w:t>
      </w:r>
      <w:r w:rsidR="00622514" w:rsidRPr="00622514">
        <w:t>s</w:t>
      </w:r>
      <w:bookmarkEnd w:id="15"/>
    </w:p>
    <w:p w14:paraId="0DD25C7A" w14:textId="27E51131" w:rsidR="001630E4" w:rsidRDefault="001630E4" w:rsidP="00A1076D">
      <w:r>
        <w:rPr>
          <w:rFonts w:cs="Segoe UI"/>
          <w:color w:val="313131"/>
          <w:shd w:val="clear" w:color="auto" w:fill="FFFFFF"/>
        </w:rPr>
        <w:t xml:space="preserve">The foundation of Australia’s world-class universal health system is Medicare, which guarantees all Australians have access to a wide range of health and hospital services at low or no cost. </w:t>
      </w:r>
      <w:r w:rsidR="004D3A7F">
        <w:rPr>
          <w:rFonts w:cs="Segoe UI"/>
          <w:color w:val="313131"/>
          <w:shd w:val="clear" w:color="auto" w:fill="FFFFFF"/>
        </w:rPr>
        <w:t>H</w:t>
      </w:r>
      <w:r w:rsidRPr="002D33A5">
        <w:rPr>
          <w:rFonts w:cs="Segoe UI"/>
          <w:color w:val="313131"/>
          <w:shd w:val="clear" w:color="auto" w:fill="FFFFFF"/>
        </w:rPr>
        <w:t>ealth</w:t>
      </w:r>
      <w:r w:rsidR="002D33A5" w:rsidRPr="000C5623">
        <w:rPr>
          <w:rFonts w:cs="Segoe UI"/>
          <w:color w:val="313131"/>
          <w:shd w:val="clear" w:color="auto" w:fill="FFFFFF"/>
        </w:rPr>
        <w:t xml:space="preserve"> </w:t>
      </w:r>
      <w:r w:rsidRPr="002D33A5">
        <w:rPr>
          <w:rFonts w:cs="Segoe UI"/>
          <w:color w:val="313131"/>
          <w:shd w:val="clear" w:color="auto" w:fill="FFFFFF"/>
        </w:rPr>
        <w:t>care</w:t>
      </w:r>
      <w:r>
        <w:rPr>
          <w:rFonts w:cs="Segoe UI"/>
          <w:color w:val="313131"/>
          <w:shd w:val="clear" w:color="auto" w:fill="FFFFFF"/>
        </w:rPr>
        <w:t xml:space="preserve"> is delivered through</w:t>
      </w:r>
      <w:r w:rsidRPr="6CC68A72">
        <w:rPr>
          <w:rFonts w:cs="Segoe UI"/>
        </w:rPr>
        <w:t xml:space="preserve"> subsidised access to a wide range of health services </w:t>
      </w:r>
      <w:r w:rsidRPr="00B368B4">
        <w:rPr>
          <w:rFonts w:cs="Segoe UI"/>
        </w:rPr>
        <w:t xml:space="preserve">and </w:t>
      </w:r>
      <w:r w:rsidR="000A3420" w:rsidRPr="00B368B4">
        <w:rPr>
          <w:rFonts w:cs="Segoe UI"/>
        </w:rPr>
        <w:t>heal</w:t>
      </w:r>
      <w:r w:rsidR="00DB45C9" w:rsidRPr="00B368B4">
        <w:rPr>
          <w:rFonts w:cs="Segoe UI"/>
        </w:rPr>
        <w:t>th</w:t>
      </w:r>
      <w:r w:rsidR="000A3420" w:rsidRPr="00B368B4">
        <w:rPr>
          <w:rFonts w:cs="Segoe UI"/>
        </w:rPr>
        <w:t xml:space="preserve"> </w:t>
      </w:r>
      <w:r w:rsidRPr="00B368B4">
        <w:rPr>
          <w:rFonts w:cs="Segoe UI"/>
        </w:rPr>
        <w:t>technologies</w:t>
      </w:r>
      <w:r w:rsidR="00907B4A" w:rsidRPr="00B368B4">
        <w:rPr>
          <w:rFonts w:cs="Segoe UI"/>
        </w:rPr>
        <w:t>, an</w:t>
      </w:r>
      <w:r w:rsidR="00907B4A">
        <w:rPr>
          <w:rFonts w:cs="Segoe UI"/>
        </w:rPr>
        <w:t xml:space="preserve">d </w:t>
      </w:r>
      <w:r>
        <w:t xml:space="preserve">multiple different </w:t>
      </w:r>
      <w:r w:rsidR="00B95BE1">
        <w:t>subsidy and funding programs</w:t>
      </w:r>
      <w:r w:rsidR="00907B4A">
        <w:t>. These</w:t>
      </w:r>
      <w:r>
        <w:t xml:space="preserve"> includ</w:t>
      </w:r>
      <w:r w:rsidR="00907B4A">
        <w:t>e</w:t>
      </w:r>
      <w:r>
        <w:t xml:space="preserve"> the Medicare Benefits Schedule (MBS), the </w:t>
      </w:r>
      <w:bookmarkStart w:id="17" w:name="_Hlk167178310"/>
      <w:r>
        <w:t>Pharmaceutical Benefits Scheme (PBS)</w:t>
      </w:r>
      <w:bookmarkEnd w:id="17"/>
      <w:r>
        <w:t xml:space="preserve">, the </w:t>
      </w:r>
      <w:bookmarkStart w:id="18" w:name="_Hlk167179622"/>
      <w:r>
        <w:t>National Immunisation Program</w:t>
      </w:r>
      <w:r w:rsidR="006E30E8">
        <w:t xml:space="preserve"> (NIP)</w:t>
      </w:r>
      <w:r>
        <w:t xml:space="preserve"> </w:t>
      </w:r>
      <w:bookmarkEnd w:id="18"/>
      <w:r>
        <w:t>and the Life Saving Drugs Program</w:t>
      </w:r>
      <w:r w:rsidR="006E30E8">
        <w:t xml:space="preserve"> (LSDP)</w:t>
      </w:r>
      <w:r>
        <w:t>. Commit</w:t>
      </w:r>
      <w:r w:rsidR="00907B4A">
        <w:t xml:space="preserve">ting </w:t>
      </w:r>
      <w:r>
        <w:t xml:space="preserve">taxpayer funds to these programs is part of the Australian Government’s broader goal of improving health and living standards for all Australians. </w:t>
      </w:r>
    </w:p>
    <w:p w14:paraId="3F5C9CE2" w14:textId="19D14B16" w:rsidR="00DA5747" w:rsidRPr="00DA5747" w:rsidRDefault="00946996" w:rsidP="00DA5747">
      <w:bookmarkStart w:id="19" w:name="_Hlk167172217"/>
      <w:r>
        <w:t xml:space="preserve">Health </w:t>
      </w:r>
      <w:r w:rsidR="00265977">
        <w:t>t</w:t>
      </w:r>
      <w:r>
        <w:t xml:space="preserve">echnology </w:t>
      </w:r>
      <w:r w:rsidR="00265977">
        <w:t>a</w:t>
      </w:r>
      <w:r>
        <w:t xml:space="preserve">ssessment (HTA) </w:t>
      </w:r>
      <w:bookmarkEnd w:id="19"/>
      <w:r>
        <w:t xml:space="preserve">is the </w:t>
      </w:r>
      <w:r w:rsidR="00C069AD">
        <w:t xml:space="preserve">process </w:t>
      </w:r>
      <w:r w:rsidR="007354C9">
        <w:t>that supports decision</w:t>
      </w:r>
      <w:r w:rsidR="00830AFC">
        <w:t>-making in</w:t>
      </w:r>
      <w:r w:rsidR="007354C9">
        <w:t xml:space="preserve"> </w:t>
      </w:r>
      <w:r w:rsidR="00A4110A">
        <w:t>fund</w:t>
      </w:r>
      <w:r w:rsidR="00830AFC">
        <w:t>ing</w:t>
      </w:r>
      <w:r w:rsidR="00A4110A">
        <w:t xml:space="preserve"> </w:t>
      </w:r>
      <w:r w:rsidR="00F0200F">
        <w:t>health services and technologies</w:t>
      </w:r>
      <w:r w:rsidR="00536088">
        <w:t xml:space="preserve"> (such as medicines, vaccines and </w:t>
      </w:r>
      <w:r w:rsidR="00AA6CA6">
        <w:t xml:space="preserve">medical </w:t>
      </w:r>
      <w:r w:rsidR="00536088">
        <w:t>devices)</w:t>
      </w:r>
      <w:r w:rsidR="00F0200F">
        <w:t xml:space="preserve"> </w:t>
      </w:r>
      <w:r w:rsidR="00830AFC">
        <w:t>in the</w:t>
      </w:r>
      <w:r w:rsidR="002937CE">
        <w:t xml:space="preserve"> health system. </w:t>
      </w:r>
      <w:r w:rsidR="00CC3682">
        <w:t xml:space="preserve">Australia’s HTA processes were </w:t>
      </w:r>
      <w:r w:rsidR="00D032A2">
        <w:t>a focus of the</w:t>
      </w:r>
      <w:r w:rsidR="00830AFC">
        <w:t xml:space="preserve"> House of Representatives</w:t>
      </w:r>
      <w:r w:rsidR="00CC3682">
        <w:t xml:space="preserve"> </w:t>
      </w:r>
      <w:r w:rsidR="00C72202" w:rsidRPr="000C5623">
        <w:t>Standing Committee for Health, Aged Care and Sport</w:t>
      </w:r>
      <w:r w:rsidR="00830AFC">
        <w:t>’s</w:t>
      </w:r>
      <w:r w:rsidR="00C72202" w:rsidRPr="000C5623">
        <w:t xml:space="preserve"> </w:t>
      </w:r>
      <w:r w:rsidR="00A620E4">
        <w:t>‘I</w:t>
      </w:r>
      <w:r w:rsidR="00C72202" w:rsidRPr="000C5623">
        <w:t>nquiry into approval process</w:t>
      </w:r>
      <w:r w:rsidR="00830AFC" w:rsidRPr="000C5623">
        <w:t>es</w:t>
      </w:r>
      <w:r w:rsidR="00C72202" w:rsidRPr="000C5623">
        <w:t xml:space="preserve"> for new drugs and novel medical technologies in Australia</w:t>
      </w:r>
      <w:r w:rsidR="00A620E4">
        <w:t>’</w:t>
      </w:r>
      <w:r w:rsidR="00C72202" w:rsidRPr="00BD7A1A">
        <w:rPr>
          <w:i/>
          <w:iCs/>
        </w:rPr>
        <w:t xml:space="preserve"> </w:t>
      </w:r>
      <w:r w:rsidR="00622E24" w:rsidRPr="00622E24">
        <w:t xml:space="preserve">(The New Frontier </w:t>
      </w:r>
      <w:r w:rsidR="0048696D" w:rsidRPr="008B02AE">
        <w:t>i</w:t>
      </w:r>
      <w:r w:rsidR="00622E24" w:rsidRPr="008B02AE">
        <w:t>nquiry)</w:t>
      </w:r>
      <w:bookmarkStart w:id="20" w:name="_Ref166770012"/>
      <w:r w:rsidR="00830AFC">
        <w:t>.</w:t>
      </w:r>
      <w:r w:rsidR="00F64136">
        <w:rPr>
          <w:rStyle w:val="FootnoteReference"/>
        </w:rPr>
        <w:footnoteReference w:id="2"/>
      </w:r>
      <w:bookmarkEnd w:id="20"/>
      <w:r w:rsidR="00D37351">
        <w:t xml:space="preserve"> Like </w:t>
      </w:r>
      <w:r w:rsidR="00DD75E8">
        <w:t>this</w:t>
      </w:r>
      <w:r w:rsidR="00D37351">
        <w:t xml:space="preserve"> Review, </w:t>
      </w:r>
      <w:r w:rsidR="0018172F">
        <w:t>T</w:t>
      </w:r>
      <w:r w:rsidR="00DD75E8">
        <w:t xml:space="preserve">he New Frontier </w:t>
      </w:r>
      <w:r w:rsidR="0018172F">
        <w:t>i</w:t>
      </w:r>
      <w:r w:rsidR="00DD75E8">
        <w:t>nquiry</w:t>
      </w:r>
      <w:r w:rsidR="00D37351">
        <w:t xml:space="preserve"> found </w:t>
      </w:r>
      <w:r w:rsidR="00D37351" w:rsidRPr="003215B3">
        <w:t>t</w:t>
      </w:r>
      <w:r w:rsidR="00DA5747" w:rsidRPr="003215B3">
        <w:t>here is work to do to improve health technology assessment policy and methods in Australia to be more transparent, engaging, equitable, and reduc</w:t>
      </w:r>
      <w:r w:rsidR="00B445DA">
        <w:t xml:space="preserve">ing </w:t>
      </w:r>
      <w:r w:rsidR="009F5AA2">
        <w:t xml:space="preserve">the </w:t>
      </w:r>
      <w:r w:rsidR="00DA5747" w:rsidRPr="003215B3">
        <w:t>time</w:t>
      </w:r>
      <w:r w:rsidR="00B445DA">
        <w:t xml:space="preserve"> </w:t>
      </w:r>
      <w:r w:rsidR="00DA5747" w:rsidRPr="003215B3">
        <w:t>for patients</w:t>
      </w:r>
      <w:r w:rsidR="009F5AA2">
        <w:t xml:space="preserve"> to access subsidised medicines</w:t>
      </w:r>
      <w:r w:rsidR="00DA5747" w:rsidRPr="003215B3">
        <w:t xml:space="preserve">, especially when their need is high and </w:t>
      </w:r>
      <w:r w:rsidR="00DA5747" w:rsidRPr="00954231">
        <w:t>urgent.</w:t>
      </w:r>
    </w:p>
    <w:p w14:paraId="5A327030" w14:textId="68492277" w:rsidR="001630E4" w:rsidRPr="000C5623" w:rsidRDefault="00F64EB3" w:rsidP="001630E4">
      <w:r w:rsidRPr="000C5623">
        <w:t>T</w:t>
      </w:r>
      <w:r w:rsidR="001630E4" w:rsidRPr="00F64EB3">
        <w:t>he main policy framework that guides access</w:t>
      </w:r>
      <w:r>
        <w:t xml:space="preserve"> for </w:t>
      </w:r>
      <w:r w:rsidRPr="00903D94">
        <w:t>health technologies</w:t>
      </w:r>
      <w:r w:rsidR="001630E4">
        <w:t xml:space="preserve"> is Australia’s National Medicines Policy (NMP)</w:t>
      </w:r>
      <w:r w:rsidR="00B445DA">
        <w:t>. This</w:t>
      </w:r>
      <w:r w:rsidR="001630E4">
        <w:t xml:space="preserve"> </w:t>
      </w:r>
      <w:r w:rsidR="00B445DA">
        <w:t>‘</w:t>
      </w:r>
      <w:r w:rsidR="001630E4" w:rsidRPr="000C5623">
        <w:t>identifies and brings together all partners around a common aim and shared responsibility for policy stewardship</w:t>
      </w:r>
      <w:r w:rsidR="001630E4">
        <w:t xml:space="preserve">. Its vision is </w:t>
      </w:r>
      <w:r w:rsidR="001630E4" w:rsidRPr="000C5623">
        <w:t xml:space="preserve">to achieve the world’s best health, social and economic outcomes for all Australians through a highly supportive medicines </w:t>
      </w:r>
      <w:r w:rsidR="006D17BE" w:rsidRPr="000C5623">
        <w:t>policy</w:t>
      </w:r>
      <w:r w:rsidR="00FC0AFF">
        <w:t>’</w:t>
      </w:r>
      <w:r w:rsidR="001630E4" w:rsidRPr="000C5623">
        <w:t>.</w:t>
      </w:r>
      <w:bookmarkStart w:id="21" w:name="_Ref165548498"/>
      <w:r w:rsidR="001630E4" w:rsidRPr="0099782F">
        <w:rPr>
          <w:rStyle w:val="FootnoteReference"/>
        </w:rPr>
        <w:footnoteReference w:id="3"/>
      </w:r>
      <w:bookmarkEnd w:id="21"/>
    </w:p>
    <w:p w14:paraId="5C06C04C" w14:textId="0B4DB825" w:rsidR="001630E4" w:rsidRDefault="00892DFA" w:rsidP="001630E4">
      <w:pPr>
        <w:spacing w:after="0"/>
      </w:pPr>
      <w:r>
        <w:rPr>
          <w:rFonts w:eastAsia="Segoe UI" w:cs="Segoe UI"/>
          <w:color w:val="000000" w:themeColor="text1"/>
        </w:rPr>
        <w:t>Australia’s</w:t>
      </w:r>
      <w:r w:rsidR="001630E4" w:rsidRPr="225E66FA">
        <w:rPr>
          <w:rFonts w:eastAsia="Segoe UI" w:cs="Segoe UI"/>
          <w:color w:val="000000" w:themeColor="text1"/>
        </w:rPr>
        <w:t xml:space="preserve"> </w:t>
      </w:r>
      <w:r w:rsidR="001630E4">
        <w:rPr>
          <w:rFonts w:eastAsia="Segoe UI" w:cs="Segoe UI"/>
          <w:color w:val="000000" w:themeColor="text1"/>
        </w:rPr>
        <w:t>NMP</w:t>
      </w:r>
      <w:r w:rsidR="001630E4" w:rsidRPr="225E66FA">
        <w:rPr>
          <w:rFonts w:eastAsia="Segoe UI" w:cs="Segoe UI"/>
          <w:color w:val="000000" w:themeColor="text1"/>
        </w:rPr>
        <w:t xml:space="preserve"> has four central pillars</w:t>
      </w:r>
      <w:r w:rsidR="001630E4">
        <w:rPr>
          <w:rFonts w:eastAsia="Segoe UI" w:cs="Segoe UI"/>
          <w:color w:val="000000" w:themeColor="text1"/>
        </w:rPr>
        <w:t xml:space="preserve"> that seek to ensure</w:t>
      </w:r>
      <w:r w:rsidR="001630E4" w:rsidRPr="225E66FA">
        <w:rPr>
          <w:rFonts w:eastAsia="Segoe UI" w:cs="Segoe UI"/>
          <w:color w:val="000000" w:themeColor="text1"/>
        </w:rPr>
        <w:t>:</w:t>
      </w:r>
    </w:p>
    <w:p w14:paraId="0A0BFBCE" w14:textId="02C1D203" w:rsidR="001630E4" w:rsidRDefault="001630E4" w:rsidP="00274AA9">
      <w:pPr>
        <w:pStyle w:val="ListBullet"/>
      </w:pPr>
      <w:r w:rsidRPr="225E66FA">
        <w:t xml:space="preserve">equitable, timely, safe, and reliable access to medicines and medicine-related services, at a cost that individuals and the community can afford </w:t>
      </w:r>
    </w:p>
    <w:p w14:paraId="08C7B94C" w14:textId="52CF896F" w:rsidR="001630E4" w:rsidRDefault="001630E4" w:rsidP="00274AA9">
      <w:pPr>
        <w:pStyle w:val="ListBullet"/>
      </w:pPr>
      <w:r w:rsidRPr="225E66FA">
        <w:t xml:space="preserve">medicines meet the required standards of quality, </w:t>
      </w:r>
      <w:r w:rsidRPr="00E8204E">
        <w:t>safety</w:t>
      </w:r>
      <w:r w:rsidRPr="225E66FA">
        <w:t xml:space="preserve"> and efficacy </w:t>
      </w:r>
    </w:p>
    <w:p w14:paraId="711C5992" w14:textId="166CBCEE" w:rsidR="001630E4" w:rsidRDefault="001630E4" w:rsidP="00274AA9">
      <w:pPr>
        <w:pStyle w:val="ListBullet"/>
      </w:pPr>
      <w:r w:rsidRPr="225E66FA">
        <w:t xml:space="preserve">quality use of medicines and medicines safety </w:t>
      </w:r>
    </w:p>
    <w:p w14:paraId="67A52262" w14:textId="474F8F10" w:rsidR="001630E4" w:rsidRDefault="001630E4" w:rsidP="00274AA9">
      <w:pPr>
        <w:pStyle w:val="ListBullet"/>
      </w:pPr>
      <w:r>
        <w:lastRenderedPageBreak/>
        <w:t xml:space="preserve">a </w:t>
      </w:r>
      <w:r w:rsidRPr="225E66FA">
        <w:t>collaborative, innovative, and sustainable medicines industry</w:t>
      </w:r>
      <w:r w:rsidR="00FC0AFF">
        <w:t>,</w:t>
      </w:r>
      <w:r w:rsidRPr="225E66FA">
        <w:t xml:space="preserve"> and research sectors with the capability, capacity and expertise to respond to current and future health needs</w:t>
      </w:r>
      <w:r w:rsidR="00FE720D">
        <w:t>.</w:t>
      </w:r>
      <w:r w:rsidR="00212656" w:rsidRPr="007427D2">
        <w:rPr>
          <w:rStyle w:val="FootnoteReference"/>
        </w:rPr>
        <w:footnoteReference w:id="4"/>
      </w:r>
    </w:p>
    <w:p w14:paraId="4524FC9E" w14:textId="78C5F7B9" w:rsidR="001630E4" w:rsidRDefault="00453069" w:rsidP="00A1076D">
      <w:r>
        <w:rPr>
          <w:rFonts w:eastAsia="Segoe UI" w:cs="Segoe UI"/>
          <w:color w:val="000000" w:themeColor="text1"/>
        </w:rPr>
        <w:t xml:space="preserve">For many decades, </w:t>
      </w:r>
      <w:r w:rsidR="00946996">
        <w:rPr>
          <w:rFonts w:eastAsia="Segoe UI" w:cs="Segoe UI"/>
          <w:color w:val="000000" w:themeColor="text1"/>
        </w:rPr>
        <w:t>HTA</w:t>
      </w:r>
      <w:r w:rsidR="0018172F">
        <w:rPr>
          <w:rFonts w:eastAsia="Segoe UI" w:cs="Segoe UI"/>
          <w:color w:val="000000" w:themeColor="text1"/>
        </w:rPr>
        <w:t>s have</w:t>
      </w:r>
      <w:r w:rsidR="001630E4">
        <w:rPr>
          <w:rFonts w:eastAsia="Segoe UI" w:cs="Segoe UI"/>
          <w:color w:val="000000" w:themeColor="text1"/>
        </w:rPr>
        <w:t xml:space="preserve"> </w:t>
      </w:r>
      <w:r w:rsidR="001630E4" w:rsidRPr="225E66FA">
        <w:rPr>
          <w:rFonts w:eastAsia="Segoe UI" w:cs="Segoe UI"/>
          <w:color w:val="000000" w:themeColor="text1"/>
        </w:rPr>
        <w:t>play</w:t>
      </w:r>
      <w:r w:rsidR="001630E4">
        <w:rPr>
          <w:rFonts w:eastAsia="Segoe UI" w:cs="Segoe UI"/>
          <w:color w:val="000000" w:themeColor="text1"/>
        </w:rPr>
        <w:t xml:space="preserve">ed </w:t>
      </w:r>
      <w:r w:rsidR="001630E4" w:rsidRPr="225E66FA">
        <w:rPr>
          <w:rFonts w:eastAsia="Segoe UI" w:cs="Segoe UI"/>
          <w:color w:val="000000" w:themeColor="text1"/>
        </w:rPr>
        <w:t xml:space="preserve">a central role in meeting the objectives of these pillars. </w:t>
      </w:r>
      <w:r w:rsidR="0018172F">
        <w:t>D</w:t>
      </w:r>
      <w:r w:rsidR="0018172F" w:rsidRPr="00CB5CB6">
        <w:t xml:space="preserve">ecision-makers </w:t>
      </w:r>
      <w:r w:rsidR="0018172F">
        <w:t xml:space="preserve">use </w:t>
      </w:r>
      <w:r w:rsidR="001630E4">
        <w:t>HTA</w:t>
      </w:r>
      <w:r w:rsidR="00C6786F">
        <w:t>s</w:t>
      </w:r>
      <w:r w:rsidR="001630E4" w:rsidRPr="00CB5CB6">
        <w:t xml:space="preserve"> to reach</w:t>
      </w:r>
      <w:r w:rsidR="001630E4">
        <w:t xml:space="preserve"> determinations </w:t>
      </w:r>
      <w:r w:rsidR="001630E4" w:rsidRPr="00CD26A8">
        <w:t>about wh</w:t>
      </w:r>
      <w:r w:rsidR="00CD26A8" w:rsidRPr="000C5623">
        <w:t>ich</w:t>
      </w:r>
      <w:r w:rsidR="001630E4" w:rsidRPr="00CD26A8">
        <w:t xml:space="preserve"> health technologies </w:t>
      </w:r>
      <w:r w:rsidR="00CD26A8" w:rsidRPr="000C5623">
        <w:t>to subsid</w:t>
      </w:r>
      <w:r w:rsidR="00FC0AFF">
        <w:t>is</w:t>
      </w:r>
      <w:r w:rsidR="00CD26A8" w:rsidRPr="000C5623">
        <w:t xml:space="preserve">e to </w:t>
      </w:r>
      <w:r w:rsidR="001630E4" w:rsidRPr="00CD26A8">
        <w:t>support safe, effective healthcare improvements for Australians.</w:t>
      </w:r>
      <w:r w:rsidR="001630E4" w:rsidRPr="00CB5CB6">
        <w:t xml:space="preserve"> </w:t>
      </w:r>
      <w:r w:rsidR="0018172F">
        <w:t>HTA</w:t>
      </w:r>
      <w:r w:rsidR="0018172F" w:rsidRPr="00CB5CB6">
        <w:t xml:space="preserve"> </w:t>
      </w:r>
      <w:r w:rsidR="001630E4">
        <w:t>helps decision-makers understand</w:t>
      </w:r>
      <w:r w:rsidR="001630E4" w:rsidRPr="00CB5CB6">
        <w:t xml:space="preserve"> how well </w:t>
      </w:r>
      <w:r w:rsidR="0018172F">
        <w:t>a</w:t>
      </w:r>
      <w:r w:rsidR="001630E4" w:rsidRPr="00CB5CB6">
        <w:t xml:space="preserve"> health technology </w:t>
      </w:r>
      <w:r w:rsidR="00512628">
        <w:t>(a</w:t>
      </w:r>
      <w:r w:rsidR="00512628" w:rsidRPr="00512628">
        <w:rPr>
          <w:rFonts w:eastAsia="Segoe UI" w:cs="Segoe UI"/>
          <w:lang w:val="en-US"/>
        </w:rPr>
        <w:t xml:space="preserve"> </w:t>
      </w:r>
      <w:r w:rsidR="00512628" w:rsidRPr="7AF5050B">
        <w:rPr>
          <w:rFonts w:eastAsia="Segoe UI" w:cs="Segoe UI"/>
          <w:lang w:val="en-US"/>
        </w:rPr>
        <w:t>medicine, technology or service</w:t>
      </w:r>
      <w:r w:rsidR="00512628">
        <w:rPr>
          <w:rFonts w:eastAsia="Segoe UI" w:cs="Segoe UI"/>
          <w:lang w:val="en-US"/>
        </w:rPr>
        <w:t>)</w:t>
      </w:r>
      <w:r w:rsidR="00512628" w:rsidRPr="00CB5CB6">
        <w:t xml:space="preserve"> </w:t>
      </w:r>
      <w:r w:rsidR="001630E4" w:rsidRPr="00CB5CB6">
        <w:t xml:space="preserve">is likely to perform compared to the existing standard of care </w:t>
      </w:r>
      <w:r w:rsidR="00CD26A8">
        <w:t>for</w:t>
      </w:r>
      <w:r w:rsidR="001630E4" w:rsidRPr="00CB5CB6">
        <w:t xml:space="preserve"> patients, as well as the cost to the taxpayer of any improvements to health outcomes the technology provides.</w:t>
      </w:r>
      <w:r>
        <w:t xml:space="preserve"> </w:t>
      </w:r>
    </w:p>
    <w:p w14:paraId="36FC0C45" w14:textId="4CA3E496" w:rsidR="001630E4" w:rsidRPr="006E0C85" w:rsidRDefault="001630E4" w:rsidP="001630E4">
      <w:r>
        <w:t xml:space="preserve">The </w:t>
      </w:r>
      <w:r w:rsidR="00CD26A8">
        <w:t xml:space="preserve">Australian </w:t>
      </w:r>
      <w:r>
        <w:t>Government relies on</w:t>
      </w:r>
      <w:r w:rsidRPr="006E0C85">
        <w:t xml:space="preserve"> advice from independent expert committees comprising </w:t>
      </w:r>
      <w:r>
        <w:t>medical practitioners</w:t>
      </w:r>
      <w:r w:rsidRPr="006E0C85">
        <w:t>, health professionals, health economists</w:t>
      </w:r>
      <w:r w:rsidR="00672174">
        <w:t>, other experts</w:t>
      </w:r>
      <w:r w:rsidRPr="006E0C85">
        <w:t xml:space="preserve"> and consumer representatives. </w:t>
      </w:r>
      <w:r>
        <w:t>M</w:t>
      </w:r>
      <w:r w:rsidRPr="006E0C85">
        <w:t>embers are appointed to be the pre</w:t>
      </w:r>
      <w:r>
        <w:t>-</w:t>
      </w:r>
      <w:r w:rsidRPr="006E0C85">
        <w:t xml:space="preserve">eminent source of advice on decisions </w:t>
      </w:r>
      <w:r w:rsidR="0000077C">
        <w:t xml:space="preserve">related </w:t>
      </w:r>
      <w:r w:rsidRPr="006E0C85">
        <w:t>to subsidis</w:t>
      </w:r>
      <w:r w:rsidR="0000077C">
        <w:t>ing</w:t>
      </w:r>
      <w:r w:rsidRPr="006E0C85">
        <w:t xml:space="preserve"> health technologies (including for whom and at what cost)</w:t>
      </w:r>
      <w:r>
        <w:t xml:space="preserve"> and</w:t>
      </w:r>
      <w:r w:rsidR="0000077C">
        <w:t xml:space="preserve"> they</w:t>
      </w:r>
      <w:r>
        <w:t xml:space="preserve"> use HTA</w:t>
      </w:r>
      <w:r w:rsidR="0018172F">
        <w:t>s</w:t>
      </w:r>
      <w:r>
        <w:t xml:space="preserve"> to inform th</w:t>
      </w:r>
      <w:r w:rsidR="0000077C">
        <w:t>at</w:t>
      </w:r>
      <w:r>
        <w:t xml:space="preserve"> advice. </w:t>
      </w:r>
    </w:p>
    <w:p w14:paraId="7E6F88DB" w14:textId="6BC94F2C" w:rsidR="001630E4" w:rsidRDefault="001630E4" w:rsidP="00A1076D">
      <w:pPr>
        <w:rPr>
          <w:rFonts w:cs="Segoe UI"/>
        </w:rPr>
      </w:pPr>
      <w:r w:rsidRPr="0070198A">
        <w:t>Therefore, Australia’s processes</w:t>
      </w:r>
      <w:r w:rsidR="004F0EA6" w:rsidRPr="0070198A">
        <w:t>, including HTAs,</w:t>
      </w:r>
      <w:r w:rsidRPr="0070198A">
        <w:t xml:space="preserve"> that support </w:t>
      </w:r>
      <w:r w:rsidR="001F1EFD" w:rsidRPr="0070198A">
        <w:t>decisions</w:t>
      </w:r>
      <w:r w:rsidR="00B55744" w:rsidRPr="0070198A">
        <w:t xml:space="preserve"> about</w:t>
      </w:r>
      <w:r w:rsidR="001F1EFD" w:rsidRPr="0070198A">
        <w:t xml:space="preserve"> </w:t>
      </w:r>
      <w:r w:rsidR="00E72CD7" w:rsidRPr="0070198A">
        <w:t xml:space="preserve">medicines </w:t>
      </w:r>
      <w:r w:rsidRPr="0070198A">
        <w:t xml:space="preserve">access, pricing and </w:t>
      </w:r>
      <w:r w:rsidR="006921D6" w:rsidRPr="0070198A">
        <w:t>funding</w:t>
      </w:r>
      <w:r w:rsidRPr="0070198A">
        <w:t xml:space="preserve"> enable Australians to </w:t>
      </w:r>
      <w:r w:rsidR="00CA4266" w:rsidRPr="0070198A">
        <w:t xml:space="preserve">receive </w:t>
      </w:r>
      <w:r w:rsidRPr="0070198A">
        <w:t xml:space="preserve">affordable </w:t>
      </w:r>
      <w:r w:rsidR="00CA00E5" w:rsidRPr="0070198A">
        <w:t>health care</w:t>
      </w:r>
      <w:r w:rsidRPr="0070198A">
        <w:t xml:space="preserve">, while providing assurance to </w:t>
      </w:r>
      <w:r w:rsidRPr="0070198A">
        <w:rPr>
          <w:rFonts w:cs="Segoe UI"/>
        </w:rPr>
        <w:t>the Australian Government and citizens that decisions to spend more on health technologies are transparent and accountable</w:t>
      </w:r>
      <w:r w:rsidR="00720A0C" w:rsidRPr="0070198A">
        <w:rPr>
          <w:rFonts w:cs="Segoe UI"/>
        </w:rPr>
        <w:t>,</w:t>
      </w:r>
      <w:r w:rsidRPr="0070198A">
        <w:rPr>
          <w:rFonts w:cs="Segoe UI"/>
        </w:rPr>
        <w:t xml:space="preserve"> and will result in better healthcare access and improved health outcomes.</w:t>
      </w:r>
    </w:p>
    <w:p w14:paraId="17E238F1" w14:textId="156AB2E5" w:rsidR="001630E4" w:rsidRDefault="001630E4" w:rsidP="001630E4">
      <w:pPr>
        <w:pStyle w:val="Heading2"/>
      </w:pPr>
      <w:bookmarkStart w:id="22" w:name="_Toc171935846"/>
      <w:r>
        <w:t>Th</w:t>
      </w:r>
      <w:r w:rsidRPr="00A05D91">
        <w:t>e Review</w:t>
      </w:r>
      <w:bookmarkEnd w:id="22"/>
    </w:p>
    <w:p w14:paraId="5CAF20EF" w14:textId="6AD1D8E0" w:rsidR="001630E4" w:rsidRPr="00586A8F" w:rsidRDefault="00E858EC" w:rsidP="00A05D91">
      <w:pPr>
        <w:rPr>
          <w:rFonts w:cs="Segoe UI"/>
          <w:strike/>
        </w:rPr>
      </w:pPr>
      <w:r w:rsidRPr="00B72DBD">
        <w:t xml:space="preserve">The </w:t>
      </w:r>
      <w:r w:rsidR="004258A8" w:rsidRPr="00B72DBD">
        <w:t>system</w:t>
      </w:r>
      <w:r w:rsidRPr="00B72DBD">
        <w:t xml:space="preserve"> that provide</w:t>
      </w:r>
      <w:r w:rsidR="00102C83" w:rsidRPr="00B72DBD">
        <w:t>s</w:t>
      </w:r>
      <w:r w:rsidRPr="00B72DBD">
        <w:t xml:space="preserve"> r</w:t>
      </w:r>
      <w:r w:rsidR="001630E4" w:rsidRPr="00B72DBD">
        <w:t>igorous and defensible HTA advice to the Australian Government about which health technologies should be funded, for whom, and under what circumstances</w:t>
      </w:r>
      <w:r w:rsidR="006369C8">
        <w:t>,</w:t>
      </w:r>
      <w:r w:rsidR="001630E4" w:rsidRPr="00B72DBD">
        <w:t xml:space="preserve"> need</w:t>
      </w:r>
      <w:r w:rsidR="00AF1832">
        <w:t>s</w:t>
      </w:r>
      <w:r w:rsidR="001630E4" w:rsidRPr="00B72DBD">
        <w:t xml:space="preserve"> to </w:t>
      </w:r>
      <w:r w:rsidRPr="00B72DBD">
        <w:t xml:space="preserve">be able to </w:t>
      </w:r>
      <w:r w:rsidR="001630E4" w:rsidRPr="00B72DBD">
        <w:t>respond to the rapid pace and advances in medical technologies.</w:t>
      </w:r>
      <w:r w:rsidR="001630E4">
        <w:t xml:space="preserve"> The opportunities presented by advances in medical science to benefit the health of Australians are significant. </w:t>
      </w:r>
      <w:r w:rsidR="001630E4" w:rsidRPr="7B0A5777">
        <w:rPr>
          <w:rFonts w:cs="Segoe UI"/>
        </w:rPr>
        <w:t xml:space="preserve">The health technologies emerging today, and </w:t>
      </w:r>
      <w:r>
        <w:rPr>
          <w:rFonts w:cs="Segoe UI"/>
        </w:rPr>
        <w:t xml:space="preserve">those that </w:t>
      </w:r>
      <w:r w:rsidR="001630E4" w:rsidRPr="7B0A5777">
        <w:rPr>
          <w:rFonts w:cs="Segoe UI"/>
        </w:rPr>
        <w:t xml:space="preserve">are likely to emerge </w:t>
      </w:r>
      <w:proofErr w:type="gramStart"/>
      <w:r w:rsidR="001630E4" w:rsidRPr="7B0A5777">
        <w:rPr>
          <w:rFonts w:cs="Segoe UI"/>
        </w:rPr>
        <w:t>in the near future</w:t>
      </w:r>
      <w:proofErr w:type="gramEnd"/>
      <w:r w:rsidR="001630E4" w:rsidRPr="7B0A5777">
        <w:rPr>
          <w:rFonts w:cs="Segoe UI"/>
        </w:rPr>
        <w:t xml:space="preserve">, are </w:t>
      </w:r>
      <w:r w:rsidR="001630E4">
        <w:rPr>
          <w:rFonts w:cs="Segoe UI"/>
        </w:rPr>
        <w:t xml:space="preserve">also </w:t>
      </w:r>
      <w:r w:rsidR="001630E4" w:rsidRPr="7B0A5777">
        <w:rPr>
          <w:rFonts w:cs="Segoe UI"/>
        </w:rPr>
        <w:t>increasingly diverse, complex and expensive.</w:t>
      </w:r>
      <w:r w:rsidR="001630E4">
        <w:rPr>
          <w:rFonts w:cs="Segoe UI"/>
        </w:rPr>
        <w:t xml:space="preserve"> Hence</w:t>
      </w:r>
      <w:r>
        <w:rPr>
          <w:rFonts w:cs="Segoe UI"/>
        </w:rPr>
        <w:t>,</w:t>
      </w:r>
      <w:r w:rsidR="001630E4">
        <w:rPr>
          <w:rFonts w:cs="Segoe UI"/>
        </w:rPr>
        <w:t xml:space="preserve"> the role of HTA</w:t>
      </w:r>
      <w:r w:rsidR="00DD567B">
        <w:rPr>
          <w:rFonts w:cs="Segoe UI"/>
        </w:rPr>
        <w:t>s</w:t>
      </w:r>
      <w:r w:rsidR="001630E4">
        <w:rPr>
          <w:rFonts w:cs="Segoe UI"/>
        </w:rPr>
        <w:t xml:space="preserve"> </w:t>
      </w:r>
      <w:r>
        <w:rPr>
          <w:rFonts w:cs="Segoe UI"/>
        </w:rPr>
        <w:t xml:space="preserve">in </w:t>
      </w:r>
      <w:r w:rsidR="001630E4">
        <w:rPr>
          <w:rFonts w:cs="Segoe UI"/>
        </w:rPr>
        <w:t>enabl</w:t>
      </w:r>
      <w:r>
        <w:rPr>
          <w:rFonts w:cs="Segoe UI"/>
        </w:rPr>
        <w:t>ing</w:t>
      </w:r>
      <w:r w:rsidR="001630E4">
        <w:rPr>
          <w:rFonts w:cs="Segoe UI"/>
        </w:rPr>
        <w:t xml:space="preserve"> governments to deliver equitable, universal and </w:t>
      </w:r>
      <w:r w:rsidR="00FC0AFF">
        <w:rPr>
          <w:rFonts w:cs="Segoe UI"/>
        </w:rPr>
        <w:t xml:space="preserve">the </w:t>
      </w:r>
      <w:r w:rsidR="001630E4">
        <w:rPr>
          <w:rFonts w:cs="Segoe UI"/>
        </w:rPr>
        <w:t>best</w:t>
      </w:r>
      <w:r>
        <w:rPr>
          <w:rFonts w:cs="Segoe UI"/>
        </w:rPr>
        <w:t xml:space="preserve"> </w:t>
      </w:r>
      <w:r w:rsidR="001630E4">
        <w:rPr>
          <w:rFonts w:cs="Segoe UI"/>
        </w:rPr>
        <w:t>possible health care is becoming even more important.</w:t>
      </w:r>
      <w:r w:rsidR="001630E4" w:rsidRPr="00586A8F">
        <w:rPr>
          <w:rFonts w:cs="Segoe UI"/>
          <w:strike/>
        </w:rPr>
        <w:t xml:space="preserve"> </w:t>
      </w:r>
    </w:p>
    <w:p w14:paraId="458F512F" w14:textId="20BA1BE9" w:rsidR="001630E4" w:rsidRPr="00211135" w:rsidRDefault="001630E4" w:rsidP="00A1076D">
      <w:r w:rsidRPr="001000DE">
        <w:rPr>
          <w:rFonts w:eastAsia="Segoe UI" w:cs="Segoe UI"/>
        </w:rPr>
        <w:t xml:space="preserve">It is </w:t>
      </w:r>
      <w:r>
        <w:rPr>
          <w:rFonts w:eastAsia="Segoe UI" w:cs="Segoe UI"/>
        </w:rPr>
        <w:t xml:space="preserve">also </w:t>
      </w:r>
      <w:r w:rsidRPr="001000DE">
        <w:rPr>
          <w:rFonts w:eastAsia="Segoe UI" w:cs="Segoe UI"/>
        </w:rPr>
        <w:t xml:space="preserve">important that </w:t>
      </w:r>
      <w:r>
        <w:rPr>
          <w:rFonts w:eastAsia="Segoe UI" w:cs="Segoe UI"/>
        </w:rPr>
        <w:t xml:space="preserve">citizens </w:t>
      </w:r>
      <w:r w:rsidR="00E858EC">
        <w:rPr>
          <w:rFonts w:eastAsia="Segoe UI" w:cs="Segoe UI"/>
        </w:rPr>
        <w:t>are</w:t>
      </w:r>
      <w:r w:rsidR="00E858EC" w:rsidRPr="001000DE">
        <w:rPr>
          <w:rFonts w:eastAsia="Segoe UI" w:cs="Segoe UI"/>
        </w:rPr>
        <w:t xml:space="preserve"> </w:t>
      </w:r>
      <w:r w:rsidRPr="001000DE">
        <w:rPr>
          <w:rFonts w:eastAsia="Segoe UI" w:cs="Segoe UI"/>
        </w:rPr>
        <w:t>confiden</w:t>
      </w:r>
      <w:r w:rsidR="00E858EC">
        <w:rPr>
          <w:rFonts w:eastAsia="Segoe UI" w:cs="Segoe UI"/>
        </w:rPr>
        <w:t>t</w:t>
      </w:r>
      <w:r w:rsidRPr="001000DE">
        <w:rPr>
          <w:rFonts w:eastAsia="Segoe UI" w:cs="Segoe UI"/>
        </w:rPr>
        <w:t xml:space="preserve"> that the</w:t>
      </w:r>
      <w:r w:rsidR="00E858EC">
        <w:rPr>
          <w:rFonts w:eastAsia="Segoe UI" w:cs="Segoe UI"/>
        </w:rPr>
        <w:t xml:space="preserve"> </w:t>
      </w:r>
      <w:r w:rsidRPr="001000DE">
        <w:rPr>
          <w:rFonts w:eastAsia="Segoe UI" w:cs="Segoe UI"/>
        </w:rPr>
        <w:t xml:space="preserve">HTA </w:t>
      </w:r>
      <w:r w:rsidR="003132C4">
        <w:rPr>
          <w:rFonts w:eastAsia="Segoe UI" w:cs="Segoe UI"/>
        </w:rPr>
        <w:t>arrangements</w:t>
      </w:r>
      <w:r w:rsidRPr="001000DE">
        <w:rPr>
          <w:rFonts w:eastAsia="Segoe UI" w:cs="Segoe UI"/>
        </w:rPr>
        <w:t xml:space="preserve"> </w:t>
      </w:r>
      <w:r w:rsidR="003132C4">
        <w:rPr>
          <w:rFonts w:eastAsia="Segoe UI" w:cs="Segoe UI"/>
        </w:rPr>
        <w:t>are</w:t>
      </w:r>
      <w:r w:rsidRPr="001000DE">
        <w:rPr>
          <w:rFonts w:eastAsia="Segoe UI" w:cs="Segoe UI"/>
        </w:rPr>
        <w:t xml:space="preserve"> person</w:t>
      </w:r>
      <w:r>
        <w:rPr>
          <w:rFonts w:eastAsia="Segoe UI" w:cs="Segoe UI"/>
        </w:rPr>
        <w:t>-</w:t>
      </w:r>
      <w:r w:rsidRPr="001000DE">
        <w:rPr>
          <w:rFonts w:eastAsia="Segoe UI" w:cs="Segoe UI"/>
        </w:rPr>
        <w:t>centred, rigorous</w:t>
      </w:r>
      <w:r w:rsidR="00E858EC">
        <w:rPr>
          <w:rFonts w:eastAsia="Segoe UI" w:cs="Segoe UI"/>
        </w:rPr>
        <w:t xml:space="preserve"> and</w:t>
      </w:r>
      <w:r>
        <w:rPr>
          <w:rFonts w:eastAsia="Segoe UI" w:cs="Segoe UI"/>
        </w:rPr>
        <w:t xml:space="preserve"> </w:t>
      </w:r>
      <w:r w:rsidRPr="001000DE">
        <w:rPr>
          <w:rFonts w:eastAsia="Segoe UI" w:cs="Segoe UI"/>
        </w:rPr>
        <w:t>effective</w:t>
      </w:r>
      <w:r>
        <w:rPr>
          <w:rFonts w:eastAsia="Segoe UI" w:cs="Segoe UI"/>
        </w:rPr>
        <w:t>,</w:t>
      </w:r>
      <w:r w:rsidRPr="001000DE">
        <w:rPr>
          <w:rFonts w:eastAsia="Segoe UI" w:cs="Segoe UI"/>
        </w:rPr>
        <w:t xml:space="preserve"> and </w:t>
      </w:r>
      <w:r w:rsidR="001D2D89">
        <w:rPr>
          <w:rFonts w:eastAsia="Segoe UI" w:cs="Segoe UI"/>
        </w:rPr>
        <w:t>are</w:t>
      </w:r>
      <w:r w:rsidRPr="001000DE">
        <w:rPr>
          <w:rFonts w:eastAsia="Segoe UI" w:cs="Segoe UI"/>
        </w:rPr>
        <w:t xml:space="preserve"> set up for the future.</w:t>
      </w:r>
      <w:r w:rsidRPr="6A3ABC6C">
        <w:rPr>
          <w:rFonts w:eastAsia="Segoe UI" w:cs="Segoe UI"/>
        </w:rPr>
        <w:t xml:space="preserve"> </w:t>
      </w:r>
      <w:r w:rsidR="3AE2E773">
        <w:rPr>
          <w:rFonts w:eastAsia="Segoe UI" w:cs="Segoe UI"/>
        </w:rPr>
        <w:t xml:space="preserve">Successive </w:t>
      </w:r>
      <w:r>
        <w:rPr>
          <w:rFonts w:eastAsia="Segoe UI" w:cs="Segoe UI"/>
        </w:rPr>
        <w:t xml:space="preserve">strategic agreements between the </w:t>
      </w:r>
      <w:r w:rsidR="003453A5">
        <w:rPr>
          <w:rFonts w:eastAsia="Segoe UI" w:cs="Segoe UI"/>
        </w:rPr>
        <w:t>Australian G</w:t>
      </w:r>
      <w:r>
        <w:rPr>
          <w:rFonts w:eastAsia="Segoe UI" w:cs="Segoe UI"/>
        </w:rPr>
        <w:t xml:space="preserve">overnment and industry </w:t>
      </w:r>
      <w:r w:rsidR="47A8421E">
        <w:rPr>
          <w:rFonts w:eastAsia="Segoe UI" w:cs="Segoe UI"/>
        </w:rPr>
        <w:t xml:space="preserve">have led to </w:t>
      </w:r>
      <w:r>
        <w:rPr>
          <w:rFonts w:eastAsia="Segoe UI" w:cs="Segoe UI"/>
        </w:rPr>
        <w:t xml:space="preserve">numerous incremental improvements </w:t>
      </w:r>
      <w:r w:rsidR="58918A2E">
        <w:rPr>
          <w:rFonts w:eastAsia="Segoe UI" w:cs="Segoe UI"/>
        </w:rPr>
        <w:t>in</w:t>
      </w:r>
      <w:r>
        <w:rPr>
          <w:rFonts w:eastAsia="Segoe UI" w:cs="Segoe UI"/>
        </w:rPr>
        <w:t xml:space="preserve"> HTA processes and methods. </w:t>
      </w:r>
      <w:r w:rsidRPr="009D5335">
        <w:rPr>
          <w:rFonts w:eastAsia="Segoe UI" w:cs="Segoe UI"/>
        </w:rPr>
        <w:t xml:space="preserve">This includes the </w:t>
      </w:r>
      <w:r w:rsidRPr="006F5F2F">
        <w:rPr>
          <w:i/>
        </w:rPr>
        <w:lastRenderedPageBreak/>
        <w:t>2022</w:t>
      </w:r>
      <w:r w:rsidRPr="006F5F2F">
        <w:rPr>
          <w:i/>
        </w:rPr>
        <w:noBreakHyphen/>
        <w:t>2027 Strategic Agreement between the Commonwealth</w:t>
      </w:r>
      <w:r w:rsidR="00D422EF" w:rsidRPr="006F5F2F">
        <w:rPr>
          <w:i/>
        </w:rPr>
        <w:t xml:space="preserve"> Government</w:t>
      </w:r>
      <w:r w:rsidRPr="006F5F2F">
        <w:rPr>
          <w:i/>
        </w:rPr>
        <w:t xml:space="preserve"> and Medicines Australia</w:t>
      </w:r>
      <w:bookmarkStart w:id="23" w:name="_Ref165621704"/>
      <w:r w:rsidR="00E858EC">
        <w:rPr>
          <w:i/>
        </w:rPr>
        <w:t>,</w:t>
      </w:r>
      <w:r w:rsidR="008D043F">
        <w:rPr>
          <w:rStyle w:val="FootnoteReference"/>
        </w:rPr>
        <w:footnoteReference w:id="5"/>
      </w:r>
      <w:bookmarkEnd w:id="23"/>
      <w:r w:rsidRPr="00211135">
        <w:t xml:space="preserve"> </w:t>
      </w:r>
      <w:r w:rsidR="1B56BFC7" w:rsidRPr="00211135">
        <w:t xml:space="preserve">which reflects </w:t>
      </w:r>
      <w:r w:rsidRPr="00211135">
        <w:t>a common interest in:</w:t>
      </w:r>
    </w:p>
    <w:p w14:paraId="262A422E" w14:textId="451D154C" w:rsidR="001630E4" w:rsidRPr="00211135" w:rsidRDefault="001630E4" w:rsidP="00274AA9">
      <w:pPr>
        <w:pStyle w:val="ListBullet"/>
      </w:pPr>
      <w:r w:rsidRPr="00211135">
        <w:t xml:space="preserve">delivering greater longer-term certainty for patients, the pharmaceutical industry and </w:t>
      </w:r>
      <w:r w:rsidRPr="00E444E1">
        <w:t>the Commonwealth</w:t>
      </w:r>
      <w:r w:rsidRPr="00211135">
        <w:t xml:space="preserve"> through a predictable PBS</w:t>
      </w:r>
    </w:p>
    <w:p w14:paraId="3E39AAD7" w14:textId="375D1E22" w:rsidR="001630E4" w:rsidRPr="00211135" w:rsidRDefault="001630E4" w:rsidP="00274AA9">
      <w:pPr>
        <w:pStyle w:val="ListBullet"/>
      </w:pPr>
      <w:r w:rsidRPr="00211135">
        <w:t xml:space="preserve">timely access to new medicines </w:t>
      </w:r>
    </w:p>
    <w:p w14:paraId="455BC290" w14:textId="77777777" w:rsidR="001630E4" w:rsidRPr="00211135" w:rsidRDefault="001630E4" w:rsidP="00274AA9">
      <w:pPr>
        <w:pStyle w:val="ListBullet"/>
      </w:pPr>
      <w:r w:rsidRPr="00211135">
        <w:t>strengthening the Australian medicines ecosystem by:</w:t>
      </w:r>
    </w:p>
    <w:p w14:paraId="6C43DA96" w14:textId="0A59DA5E" w:rsidR="001630E4" w:rsidRPr="00211135" w:rsidRDefault="001630E4" w:rsidP="00281153">
      <w:pPr>
        <w:pStyle w:val="ListBullet"/>
        <w:numPr>
          <w:ilvl w:val="1"/>
          <w:numId w:val="8"/>
        </w:numPr>
      </w:pPr>
      <w:r w:rsidRPr="00211135">
        <w:t xml:space="preserve">encouraging companies to continue to bring to Australia innovative medicines that deliver better health outcomes for patients </w:t>
      </w:r>
    </w:p>
    <w:p w14:paraId="0225A940" w14:textId="341AFDB9" w:rsidR="001630E4" w:rsidRPr="00211135" w:rsidRDefault="001630E4" w:rsidP="00281153">
      <w:pPr>
        <w:pStyle w:val="ListBullet"/>
        <w:numPr>
          <w:ilvl w:val="1"/>
          <w:numId w:val="8"/>
        </w:numPr>
      </w:pPr>
      <w:r w:rsidRPr="00211135">
        <w:t xml:space="preserve">building partnerships with Australian researchers </w:t>
      </w:r>
    </w:p>
    <w:p w14:paraId="79DAC05B" w14:textId="0D3A4D02" w:rsidR="001630E4" w:rsidRPr="00211135" w:rsidRDefault="001630E4" w:rsidP="00281153">
      <w:pPr>
        <w:pStyle w:val="ListBullet"/>
        <w:numPr>
          <w:ilvl w:val="1"/>
          <w:numId w:val="8"/>
        </w:numPr>
      </w:pPr>
      <w:r w:rsidRPr="00211135">
        <w:t>encouraging companies to invest in vaccines, new technologies, local clinical trials, research and development, manufacturing and Australian jobs</w:t>
      </w:r>
    </w:p>
    <w:p w14:paraId="58126788" w14:textId="1DA58476" w:rsidR="001630E4" w:rsidRPr="00211135" w:rsidRDefault="0043576A" w:rsidP="00281153">
      <w:pPr>
        <w:pStyle w:val="ListBullet"/>
        <w:numPr>
          <w:ilvl w:val="1"/>
          <w:numId w:val="8"/>
        </w:numPr>
      </w:pPr>
      <w:r>
        <w:t>maintaining</w:t>
      </w:r>
      <w:r w:rsidR="001630E4" w:rsidRPr="00211135">
        <w:t xml:space="preserve"> Australia</w:t>
      </w:r>
      <w:r>
        <w:t>’s position</w:t>
      </w:r>
      <w:r w:rsidR="001630E4" w:rsidRPr="00211135">
        <w:t xml:space="preserve"> a</w:t>
      </w:r>
      <w:r>
        <w:t>s a</w:t>
      </w:r>
      <w:r w:rsidR="001630E4" w:rsidRPr="00211135">
        <w:t xml:space="preserve"> global priority</w:t>
      </w:r>
      <w:r>
        <w:t xml:space="preserve"> </w:t>
      </w:r>
      <w:r w:rsidR="00E74071" w:rsidRPr="00FE5F69">
        <w:t xml:space="preserve">for </w:t>
      </w:r>
      <w:r w:rsidR="0048696D" w:rsidRPr="00FE5F69">
        <w:t>organisations</w:t>
      </w:r>
      <w:r w:rsidR="00E74071">
        <w:t xml:space="preserve"> </w:t>
      </w:r>
      <w:r w:rsidR="001630E4" w:rsidRPr="00211135">
        <w:t>launch</w:t>
      </w:r>
      <w:r>
        <w:t>ing</w:t>
      </w:r>
      <w:r w:rsidR="001630E4" w:rsidRPr="00211135">
        <w:t xml:space="preserve"> new and innovative medical treatments. </w:t>
      </w:r>
    </w:p>
    <w:p w14:paraId="551AC2B8" w14:textId="42A91472" w:rsidR="001630E4" w:rsidRDefault="001630E4" w:rsidP="00A318F7">
      <w:r w:rsidRPr="00436247">
        <w:rPr>
          <w:rFonts w:eastAsia="Segoe UI" w:cs="Segoe UI"/>
          <w:color w:val="000000" w:themeColor="text1"/>
        </w:rPr>
        <w:t>T</w:t>
      </w:r>
      <w:r>
        <w:rPr>
          <w:rFonts w:eastAsia="Segoe UI" w:cs="Segoe UI"/>
          <w:color w:val="000000" w:themeColor="text1"/>
        </w:rPr>
        <w:t>he</w:t>
      </w:r>
      <w:r w:rsidRPr="225E66FA">
        <w:rPr>
          <w:rFonts w:eastAsia="Segoe UI" w:cs="Segoe UI"/>
          <w:color w:val="000000" w:themeColor="text1"/>
        </w:rPr>
        <w:t xml:space="preserve"> Review has presented a significant and timely opportunity to examine Australia’s approach to HTA</w:t>
      </w:r>
      <w:r>
        <w:rPr>
          <w:rFonts w:eastAsia="Segoe UI" w:cs="Segoe UI"/>
          <w:color w:val="000000" w:themeColor="text1"/>
        </w:rPr>
        <w:t xml:space="preserve">. </w:t>
      </w:r>
      <w:r>
        <w:t>To understand the issues</w:t>
      </w:r>
      <w:r w:rsidR="00AB3B82">
        <w:t xml:space="preserve"> – and</w:t>
      </w:r>
      <w:r>
        <w:t xml:space="preserve"> opportunities for improvement</w:t>
      </w:r>
      <w:r w:rsidR="00AB3B82">
        <w:t xml:space="preserve"> –</w:t>
      </w:r>
      <w:r>
        <w:t xml:space="preserve"> the Review</w:t>
      </w:r>
      <w:r w:rsidR="00983D40">
        <w:t>’s</w:t>
      </w:r>
      <w:r w:rsidR="00963B52">
        <w:t xml:space="preserve"> </w:t>
      </w:r>
      <w:r>
        <w:t>objectives under its</w:t>
      </w:r>
      <w:r>
        <w:rPr>
          <w:rFonts w:cs="Segoe UI"/>
        </w:rPr>
        <w:t xml:space="preserve"> </w:t>
      </w:r>
      <w:r w:rsidR="004C642D">
        <w:fldChar w:fldCharType="begin" w:fldLock="1"/>
      </w:r>
      <w:r w:rsidR="004C642D">
        <w:rPr>
          <w:rFonts w:cs="Segoe UI"/>
        </w:rPr>
        <w:instrText xml:space="preserve"> REF _Ref166771144 \h </w:instrText>
      </w:r>
      <w:r w:rsidR="004C642D">
        <w:fldChar w:fldCharType="separate"/>
      </w:r>
      <w:r w:rsidR="004C642D">
        <w:t>Terms of Reference</w:t>
      </w:r>
      <w:r w:rsidR="004C642D">
        <w:fldChar w:fldCharType="end"/>
      </w:r>
      <w:r>
        <w:t xml:space="preserve"> </w:t>
      </w:r>
      <w:r w:rsidR="00983D40">
        <w:t xml:space="preserve">included </w:t>
      </w:r>
      <w:r>
        <w:t>work</w:t>
      </w:r>
      <w:r w:rsidR="00983D40">
        <w:t>ing</w:t>
      </w:r>
      <w:r>
        <w:t xml:space="preserve"> with stakeholders to identify features of HTA polic</w:t>
      </w:r>
      <w:r w:rsidR="00E14C55">
        <w:t xml:space="preserve">y </w:t>
      </w:r>
      <w:r>
        <w:t>and methods that:</w:t>
      </w:r>
    </w:p>
    <w:p w14:paraId="7EACDF69" w14:textId="2C13F685" w:rsidR="001630E4" w:rsidRPr="00E444E1" w:rsidRDefault="001630E4" w:rsidP="007168CA">
      <w:pPr>
        <w:pStyle w:val="ListNumber"/>
      </w:pPr>
      <w:r w:rsidRPr="00E444E1">
        <w:t>are working effectively</w:t>
      </w:r>
    </w:p>
    <w:p w14:paraId="4903C5CA" w14:textId="77777777" w:rsidR="001630E4" w:rsidRPr="00E444E1" w:rsidRDefault="001630E4" w:rsidP="007168CA">
      <w:pPr>
        <w:pStyle w:val="ListNumber"/>
      </w:pPr>
      <w:r w:rsidRPr="00E444E1">
        <w:t>may act as current or future barriers to earliest possible access</w:t>
      </w:r>
    </w:p>
    <w:p w14:paraId="30C7BFF5" w14:textId="77777777" w:rsidR="001630E4" w:rsidRPr="00E444E1" w:rsidRDefault="001630E4" w:rsidP="007168CA">
      <w:pPr>
        <w:pStyle w:val="ListNumber"/>
      </w:pPr>
      <w:r w:rsidRPr="00E444E1">
        <w:t>may act as current or future barriers to equitable access</w:t>
      </w:r>
    </w:p>
    <w:p w14:paraId="7A1BF138" w14:textId="77777777" w:rsidR="001630E4" w:rsidRPr="00E444E1" w:rsidRDefault="001630E4" w:rsidP="00A318F7">
      <w:pPr>
        <w:pStyle w:val="ListNumber"/>
      </w:pPr>
      <w:r w:rsidRPr="00E444E1">
        <w:t>detract from person-centredness</w:t>
      </w:r>
    </w:p>
    <w:p w14:paraId="4036B526" w14:textId="2EDB4262" w:rsidR="00CB75A9" w:rsidRPr="00787BF7" w:rsidRDefault="001630E4" w:rsidP="00EE2A0A">
      <w:pPr>
        <w:pStyle w:val="ListNumber"/>
      </w:pPr>
      <w:r w:rsidRPr="00E444E1">
        <w:t>may be creating perverse incentives.</w:t>
      </w:r>
    </w:p>
    <w:p w14:paraId="36D5A798" w14:textId="76F83994" w:rsidR="001630E4" w:rsidRDefault="001630E4" w:rsidP="00A1076D">
      <w:pPr>
        <w:rPr>
          <w:rFonts w:eastAsia="Segoe UI" w:cs="Segoe UI"/>
          <w:color w:val="000000" w:themeColor="text1"/>
        </w:rPr>
      </w:pPr>
      <w:r>
        <w:rPr>
          <w:rFonts w:eastAsia="Segoe UI" w:cs="Segoe UI"/>
          <w:color w:val="000000" w:themeColor="text1"/>
        </w:rPr>
        <w:t xml:space="preserve">The Review also provides an opportunity to examine how HTA </w:t>
      </w:r>
      <w:r w:rsidR="00E21217">
        <w:rPr>
          <w:rFonts w:eastAsia="Segoe UI" w:cs="Segoe UI"/>
          <w:color w:val="000000" w:themeColor="text1"/>
        </w:rPr>
        <w:t xml:space="preserve">policy, methods and </w:t>
      </w:r>
      <w:r>
        <w:rPr>
          <w:rFonts w:eastAsia="Segoe UI" w:cs="Segoe UI"/>
          <w:color w:val="000000" w:themeColor="text1"/>
        </w:rPr>
        <w:t xml:space="preserve">processes are influenced by the </w:t>
      </w:r>
      <w:r w:rsidRPr="00E444E1">
        <w:rPr>
          <w:rFonts w:eastAsia="Segoe UI" w:cs="Segoe UI"/>
          <w:color w:val="000000" w:themeColor="text1"/>
        </w:rPr>
        <w:t>NMP</w:t>
      </w:r>
      <w:r w:rsidR="00FC0AFF" w:rsidRPr="00E444E1">
        <w:rPr>
          <w:rFonts w:eastAsia="Segoe UI" w:cs="Segoe UI"/>
          <w:color w:val="000000" w:themeColor="text1"/>
        </w:rPr>
        <w:t>. This</w:t>
      </w:r>
      <w:r w:rsidR="00FC0AFF">
        <w:rPr>
          <w:rFonts w:eastAsia="Segoe UI" w:cs="Segoe UI"/>
          <w:color w:val="000000" w:themeColor="text1"/>
        </w:rPr>
        <w:t xml:space="preserve"> </w:t>
      </w:r>
      <w:r>
        <w:rPr>
          <w:rFonts w:eastAsia="Segoe UI" w:cs="Segoe UI"/>
          <w:color w:val="000000" w:themeColor="text1"/>
        </w:rPr>
        <w:t>includ</w:t>
      </w:r>
      <w:r w:rsidR="00FC0AFF">
        <w:rPr>
          <w:rFonts w:eastAsia="Segoe UI" w:cs="Segoe UI"/>
          <w:color w:val="000000" w:themeColor="text1"/>
        </w:rPr>
        <w:t>es</w:t>
      </w:r>
      <w:r>
        <w:rPr>
          <w:rFonts w:eastAsia="Segoe UI" w:cs="Segoe UI"/>
          <w:color w:val="000000" w:themeColor="text1"/>
        </w:rPr>
        <w:t xml:space="preserve"> </w:t>
      </w:r>
      <w:r w:rsidR="00983D40">
        <w:rPr>
          <w:rFonts w:eastAsia="Segoe UI" w:cs="Segoe UI"/>
          <w:color w:val="000000" w:themeColor="text1"/>
        </w:rPr>
        <w:t xml:space="preserve">the Review’s </w:t>
      </w:r>
      <w:r>
        <w:rPr>
          <w:rFonts w:eastAsia="Segoe UI" w:cs="Segoe UI"/>
          <w:color w:val="000000" w:themeColor="text1"/>
        </w:rPr>
        <w:t xml:space="preserve">observations </w:t>
      </w:r>
      <w:r w:rsidR="00983D40">
        <w:rPr>
          <w:rFonts w:eastAsia="Segoe UI" w:cs="Segoe UI"/>
          <w:color w:val="000000" w:themeColor="text1"/>
        </w:rPr>
        <w:t>on</w:t>
      </w:r>
      <w:r>
        <w:rPr>
          <w:rFonts w:eastAsia="Segoe UI" w:cs="Segoe UI"/>
          <w:color w:val="000000" w:themeColor="text1"/>
        </w:rPr>
        <w:t xml:space="preserve"> achieving the vision and aim of the NMP through partnerships</w:t>
      </w:r>
      <w:r w:rsidR="00FC0AFF">
        <w:rPr>
          <w:rFonts w:eastAsia="Segoe UI" w:cs="Segoe UI"/>
          <w:color w:val="000000" w:themeColor="text1"/>
        </w:rPr>
        <w:t xml:space="preserve">, </w:t>
      </w:r>
      <w:r w:rsidR="00DF570B" w:rsidRPr="00E444E1">
        <w:rPr>
          <w:rFonts w:eastAsia="Segoe UI" w:cs="Segoe UI"/>
          <w:color w:val="000000" w:themeColor="text1"/>
        </w:rPr>
        <w:t>which are</w:t>
      </w:r>
      <w:r w:rsidRPr="00E444E1">
        <w:rPr>
          <w:rFonts w:eastAsia="Segoe UI" w:cs="Segoe UI"/>
          <w:color w:val="000000" w:themeColor="text1"/>
        </w:rPr>
        <w:t>:</w:t>
      </w:r>
    </w:p>
    <w:p w14:paraId="3D8B422B" w14:textId="5AEC3BB3" w:rsidR="001630E4" w:rsidRPr="00E8204E" w:rsidRDefault="002F0413" w:rsidP="00274AA9">
      <w:pPr>
        <w:pStyle w:val="ListBullet"/>
      </w:pPr>
      <w:r>
        <w:t>A</w:t>
      </w:r>
      <w:r w:rsidR="001630E4" w:rsidRPr="00211135">
        <w:t>ll partners must be engaged in a collaborative</w:t>
      </w:r>
      <w:r>
        <w:t xml:space="preserve"> and</w:t>
      </w:r>
      <w:r w:rsidR="001630E4" w:rsidRPr="00211135">
        <w:t xml:space="preserve"> cooperative manner to achieve the best health, social and economic outcomes for all Australians. </w:t>
      </w:r>
    </w:p>
    <w:p w14:paraId="22763E32" w14:textId="4C00014E" w:rsidR="001630E4" w:rsidRPr="00E8204E" w:rsidRDefault="001630E4" w:rsidP="00274AA9">
      <w:pPr>
        <w:pStyle w:val="ListBullet"/>
      </w:pPr>
      <w:r w:rsidRPr="00211135">
        <w:t xml:space="preserve">Each partner has a role in progressing the NMP </w:t>
      </w:r>
      <w:r w:rsidR="00B83227">
        <w:t>by</w:t>
      </w:r>
      <w:r w:rsidR="00B83227" w:rsidRPr="00211135">
        <w:t xml:space="preserve"> </w:t>
      </w:r>
      <w:r w:rsidRPr="00211135">
        <w:t>demonstrating respect for</w:t>
      </w:r>
      <w:r w:rsidR="00BD66C2">
        <w:t>,</w:t>
      </w:r>
      <w:r w:rsidRPr="00211135">
        <w:t xml:space="preserve"> and recognising the expertise and contribution of</w:t>
      </w:r>
      <w:r w:rsidR="00BD66C2">
        <w:t>,</w:t>
      </w:r>
      <w:r w:rsidRPr="00211135">
        <w:t xml:space="preserve"> other partners</w:t>
      </w:r>
      <w:bookmarkStart w:id="24" w:name="_Hlk120202879"/>
      <w:r w:rsidRPr="00211135">
        <w:t xml:space="preserve">, with some partners having additional responsibilities </w:t>
      </w:r>
      <w:r w:rsidR="00B83227">
        <w:t>for achieving</w:t>
      </w:r>
      <w:r w:rsidRPr="00211135">
        <w:t xml:space="preserve"> the NMP’s objectives.</w:t>
      </w:r>
    </w:p>
    <w:p w14:paraId="2D3CBE16" w14:textId="00D83C6A" w:rsidR="001630E4" w:rsidRPr="00A318F7" w:rsidRDefault="001630E4" w:rsidP="00274AA9">
      <w:pPr>
        <w:pStyle w:val="ListBullet"/>
      </w:pPr>
      <w:r w:rsidRPr="00211135">
        <w:t>The success of the NMP relies on shared decision-making, strategic partnerships and the involvement of people with lived experience in the co-design, development, implementation and evaluation of related policies, strategies, programs and initiatives</w:t>
      </w:r>
      <w:r w:rsidR="00B83227">
        <w:t>.</w:t>
      </w:r>
      <w:r w:rsidR="00212656" w:rsidRPr="00C7403B">
        <w:rPr>
          <w:rStyle w:val="FootnoteReference"/>
        </w:rPr>
        <w:footnoteReference w:id="6"/>
      </w:r>
      <w:r w:rsidR="00453069" w:rsidRPr="00A318F7">
        <w:rPr>
          <w:vertAlign w:val="superscript"/>
        </w:rPr>
        <w:t xml:space="preserve"> </w:t>
      </w:r>
      <w:bookmarkEnd w:id="24"/>
    </w:p>
    <w:p w14:paraId="0E551522" w14:textId="0689B736" w:rsidR="001630E4" w:rsidRDefault="001630E4" w:rsidP="001630E4">
      <w:pPr>
        <w:spacing w:after="0"/>
      </w:pPr>
      <w:r>
        <w:rPr>
          <w:rFonts w:cs="Segoe UI"/>
        </w:rPr>
        <w:t>E</w:t>
      </w:r>
      <w:r w:rsidRPr="00314AC8">
        <w:rPr>
          <w:rFonts w:cs="Segoe UI"/>
        </w:rPr>
        <w:t>xtensive consultation with consumers</w:t>
      </w:r>
      <w:r>
        <w:rPr>
          <w:rFonts w:cs="Segoe UI"/>
        </w:rPr>
        <w:t>, clinicians</w:t>
      </w:r>
      <w:r w:rsidRPr="00314AC8">
        <w:rPr>
          <w:rFonts w:cs="Segoe UI"/>
        </w:rPr>
        <w:t xml:space="preserve"> and industry </w:t>
      </w:r>
      <w:r>
        <w:rPr>
          <w:rFonts w:cs="Segoe UI"/>
        </w:rPr>
        <w:t>informed the Review’s</w:t>
      </w:r>
      <w:r w:rsidRPr="00314AC8">
        <w:rPr>
          <w:rFonts w:cs="Segoe UI"/>
        </w:rPr>
        <w:t xml:space="preserve"> recommendations</w:t>
      </w:r>
      <w:r>
        <w:rPr>
          <w:rFonts w:cs="Segoe UI"/>
        </w:rPr>
        <w:t xml:space="preserve">. </w:t>
      </w:r>
      <w:r w:rsidRPr="225E66FA">
        <w:rPr>
          <w:rFonts w:eastAsia="Segoe UI" w:cs="Segoe UI"/>
          <w:color w:val="000000" w:themeColor="text1"/>
        </w:rPr>
        <w:t>The full consultation process included:</w:t>
      </w:r>
    </w:p>
    <w:p w14:paraId="7118633C" w14:textId="245A331F" w:rsidR="001630E4" w:rsidRPr="00E8204E" w:rsidRDefault="001630E4" w:rsidP="00274AA9">
      <w:pPr>
        <w:pStyle w:val="ListBullet"/>
      </w:pPr>
      <w:r w:rsidRPr="00211135">
        <w:lastRenderedPageBreak/>
        <w:t>commissioning of seven external expert papers</w:t>
      </w:r>
      <w:r>
        <w:t xml:space="preserve"> and two departmental research papers</w:t>
      </w:r>
      <w:r w:rsidRPr="00C7403B">
        <w:rPr>
          <w:vertAlign w:val="superscript"/>
        </w:rPr>
        <w:footnoteReference w:id="7"/>
      </w:r>
      <w:r w:rsidRPr="001E5644">
        <w:t xml:space="preserve"> </w:t>
      </w:r>
    </w:p>
    <w:p w14:paraId="4FA3E33E" w14:textId="213AD670" w:rsidR="001630E4" w:rsidRPr="001E5644" w:rsidRDefault="00B83227" w:rsidP="00274AA9">
      <w:pPr>
        <w:pStyle w:val="ListBullet"/>
      </w:pPr>
      <w:r>
        <w:t>holding t</w:t>
      </w:r>
      <w:r w:rsidR="001630E4" w:rsidRPr="00211135">
        <w:t>wo public consultations (April</w:t>
      </w:r>
      <w:r>
        <w:t xml:space="preserve"> to </w:t>
      </w:r>
      <w:r w:rsidR="001630E4" w:rsidRPr="00211135">
        <w:t>June 2023, and January</w:t>
      </w:r>
      <w:r>
        <w:t xml:space="preserve"> to </w:t>
      </w:r>
      <w:r w:rsidR="001630E4" w:rsidRPr="00211135">
        <w:t>February 2024)</w:t>
      </w:r>
    </w:p>
    <w:p w14:paraId="1D46A188" w14:textId="074444B7" w:rsidR="001630E4" w:rsidRDefault="00B83227" w:rsidP="00274AA9">
      <w:pPr>
        <w:pStyle w:val="ListBullet"/>
      </w:pPr>
      <w:r>
        <w:t>conducting d</w:t>
      </w:r>
      <w:r w:rsidR="001630E4" w:rsidRPr="00211135">
        <w:t>eep dives</w:t>
      </w:r>
      <w:r w:rsidR="001630E4" w:rsidRPr="001E5644">
        <w:t xml:space="preserve"> with stakeholders (26 sessions with 116 participants).</w:t>
      </w:r>
      <w:r w:rsidR="001630E4">
        <w:t xml:space="preserve"> </w:t>
      </w:r>
    </w:p>
    <w:p w14:paraId="39AF9854" w14:textId="77777777" w:rsidR="001630E4" w:rsidRPr="003C58A7" w:rsidRDefault="001630E4" w:rsidP="001630E4">
      <w:pPr>
        <w:pStyle w:val="Heading2"/>
        <w:rPr>
          <w:b/>
        </w:rPr>
      </w:pPr>
      <w:bookmarkStart w:id="25" w:name="_Toc171935847"/>
      <w:r>
        <w:t>Objectives of the Review’s recommendations</w:t>
      </w:r>
      <w:bookmarkEnd w:id="25"/>
    </w:p>
    <w:p w14:paraId="207391A7" w14:textId="4535EFA4" w:rsidR="001630E4" w:rsidRDefault="00253BA2" w:rsidP="00A1076D">
      <w:pPr>
        <w:rPr>
          <w:rFonts w:cs="Segoe UI"/>
        </w:rPr>
      </w:pPr>
      <w:r>
        <w:rPr>
          <w:rFonts w:cs="Segoe UI"/>
        </w:rPr>
        <w:t>A</w:t>
      </w:r>
      <w:r w:rsidR="001630E4">
        <w:rPr>
          <w:rFonts w:cs="Segoe UI"/>
        </w:rPr>
        <w:t xml:space="preserve"> </w:t>
      </w:r>
      <w:r w:rsidR="001630E4" w:rsidRPr="00314AC8">
        <w:rPr>
          <w:rFonts w:cs="Segoe UI"/>
        </w:rPr>
        <w:t xml:space="preserve">multifaceted approach </w:t>
      </w:r>
      <w:r w:rsidR="001630E4">
        <w:rPr>
          <w:rFonts w:cs="Segoe UI"/>
        </w:rPr>
        <w:t>will be</w:t>
      </w:r>
      <w:r w:rsidR="001630E4" w:rsidRPr="00314AC8">
        <w:rPr>
          <w:rFonts w:cs="Segoe UI"/>
        </w:rPr>
        <w:t xml:space="preserve"> required to improve the </w:t>
      </w:r>
      <w:r w:rsidR="00586439">
        <w:rPr>
          <w:rFonts w:cs="Segoe UI"/>
        </w:rPr>
        <w:t>HTA arrangements</w:t>
      </w:r>
      <w:r w:rsidR="2F4B62E8" w:rsidRPr="439606C6">
        <w:rPr>
          <w:rFonts w:cs="Segoe UI"/>
        </w:rPr>
        <w:t xml:space="preserve">, in part due to the complexity of Australia’s </w:t>
      </w:r>
      <w:r w:rsidR="2F4B62E8" w:rsidRPr="004D3A7F">
        <w:rPr>
          <w:rFonts w:cs="Segoe UI"/>
        </w:rPr>
        <w:t>hea</w:t>
      </w:r>
      <w:r w:rsidR="00B83227" w:rsidRPr="004D3A7F">
        <w:rPr>
          <w:rFonts w:cs="Segoe UI"/>
        </w:rPr>
        <w:t>l</w:t>
      </w:r>
      <w:r w:rsidR="2F4B62E8" w:rsidRPr="004D3A7F">
        <w:rPr>
          <w:rFonts w:cs="Segoe UI"/>
        </w:rPr>
        <w:t>th system</w:t>
      </w:r>
      <w:r w:rsidR="001630E4" w:rsidRPr="439606C6">
        <w:rPr>
          <w:rFonts w:cs="Segoe UI"/>
        </w:rPr>
        <w:t>.</w:t>
      </w:r>
      <w:r w:rsidR="001630E4" w:rsidRPr="00314AC8">
        <w:rPr>
          <w:rFonts w:cs="Segoe UI"/>
        </w:rPr>
        <w:t xml:space="preserve"> </w:t>
      </w:r>
      <w:r>
        <w:rPr>
          <w:rFonts w:cs="Segoe UI"/>
        </w:rPr>
        <w:t>The Review</w:t>
      </w:r>
      <w:r w:rsidR="001630E4" w:rsidRPr="00253BA2">
        <w:rPr>
          <w:rFonts w:cs="Segoe UI"/>
        </w:rPr>
        <w:t xml:space="preserve"> recommend</w:t>
      </w:r>
      <w:r w:rsidR="00DF570B" w:rsidRPr="00253BA2">
        <w:rPr>
          <w:rFonts w:cs="Segoe UI"/>
        </w:rPr>
        <w:t>s</w:t>
      </w:r>
      <w:r w:rsidR="001630E4" w:rsidRPr="00253BA2">
        <w:rPr>
          <w:rFonts w:cs="Segoe UI"/>
        </w:rPr>
        <w:t xml:space="preserve"> </w:t>
      </w:r>
      <w:r w:rsidR="00B83227" w:rsidRPr="00253BA2">
        <w:rPr>
          <w:rFonts w:cs="Segoe UI"/>
        </w:rPr>
        <w:t>reforms</w:t>
      </w:r>
      <w:r w:rsidR="00B83227">
        <w:rPr>
          <w:rFonts w:cs="Segoe UI"/>
        </w:rPr>
        <w:t xml:space="preserve"> of</w:t>
      </w:r>
      <w:r w:rsidR="001630E4">
        <w:rPr>
          <w:rFonts w:cs="Segoe UI"/>
        </w:rPr>
        <w:t xml:space="preserve"> HTA polic</w:t>
      </w:r>
      <w:r w:rsidR="00E14C55">
        <w:rPr>
          <w:rFonts w:cs="Segoe UI"/>
        </w:rPr>
        <w:t>y</w:t>
      </w:r>
      <w:r w:rsidR="001630E4">
        <w:rPr>
          <w:rFonts w:cs="Segoe UI"/>
        </w:rPr>
        <w:t xml:space="preserve"> and methods </w:t>
      </w:r>
      <w:r w:rsidR="00DF570B">
        <w:rPr>
          <w:rFonts w:cs="Segoe UI"/>
        </w:rPr>
        <w:t xml:space="preserve">that </w:t>
      </w:r>
      <w:r w:rsidR="001630E4">
        <w:rPr>
          <w:rFonts w:cs="Segoe UI"/>
        </w:rPr>
        <w:t>provide stakeholders and decision-makers with tools and processes to</w:t>
      </w:r>
      <w:r w:rsidR="001375B5">
        <w:rPr>
          <w:rFonts w:cs="Segoe UI"/>
        </w:rPr>
        <w:t>:</w:t>
      </w:r>
    </w:p>
    <w:p w14:paraId="0CA783EB" w14:textId="01E840F1" w:rsidR="001630E4" w:rsidRDefault="00B83227" w:rsidP="00281153">
      <w:pPr>
        <w:pStyle w:val="ListNumber"/>
        <w:numPr>
          <w:ilvl w:val="0"/>
          <w:numId w:val="116"/>
        </w:numPr>
      </w:pPr>
      <w:r>
        <w:t>a</w:t>
      </w:r>
      <w:r w:rsidR="001630E4">
        <w:t>ddress inequities in access</w:t>
      </w:r>
    </w:p>
    <w:p w14:paraId="117C9675" w14:textId="6FCC1DD6" w:rsidR="001630E4" w:rsidRDefault="00B83227" w:rsidP="00BD34D3">
      <w:pPr>
        <w:pStyle w:val="ListNumber"/>
      </w:pPr>
      <w:r>
        <w:t>i</w:t>
      </w:r>
      <w:r w:rsidR="001630E4">
        <w:t>mprove timely access to medicines</w:t>
      </w:r>
    </w:p>
    <w:p w14:paraId="73A4AFF0" w14:textId="471563D6" w:rsidR="001630E4" w:rsidRDefault="00B83227" w:rsidP="00BD34D3">
      <w:pPr>
        <w:pStyle w:val="ListNumber"/>
      </w:pPr>
      <w:r>
        <w:t>i</w:t>
      </w:r>
      <w:r w:rsidR="001630E4">
        <w:t>mprove engagement</w:t>
      </w:r>
    </w:p>
    <w:p w14:paraId="0FFE7530" w14:textId="1B7D6836" w:rsidR="001630E4" w:rsidRDefault="00B83227" w:rsidP="00BD34D3">
      <w:pPr>
        <w:pStyle w:val="ListNumber"/>
      </w:pPr>
      <w:r>
        <w:t>i</w:t>
      </w:r>
      <w:r w:rsidR="001630E4" w:rsidRPr="0095427E">
        <w:t xml:space="preserve">nvest in HTA capability to </w:t>
      </w:r>
      <w:r w:rsidR="001630E4">
        <w:t>make it</w:t>
      </w:r>
      <w:r w:rsidR="001630E4" w:rsidRPr="0095427E">
        <w:t xml:space="preserve"> adaptable </w:t>
      </w:r>
      <w:r w:rsidR="001630E4">
        <w:t>and futureproof.</w:t>
      </w:r>
    </w:p>
    <w:p w14:paraId="2FE2749A" w14:textId="35DAFB48" w:rsidR="001630E4" w:rsidRDefault="001630E4" w:rsidP="00A1076D">
      <w:r w:rsidRPr="00253BA2">
        <w:t>The</w:t>
      </w:r>
      <w:r w:rsidR="0095408B">
        <w:t xml:space="preserve"> </w:t>
      </w:r>
      <w:r w:rsidR="00521FD6" w:rsidRPr="00253BA2">
        <w:t xml:space="preserve">package </w:t>
      </w:r>
      <w:r w:rsidRPr="00253BA2">
        <w:t xml:space="preserve">of </w:t>
      </w:r>
      <w:r w:rsidR="00DF570B" w:rsidRPr="00253BA2">
        <w:t xml:space="preserve">reforms </w:t>
      </w:r>
      <w:r w:rsidR="0095408B">
        <w:t>is</w:t>
      </w:r>
      <w:r w:rsidR="00B83227" w:rsidRPr="00253BA2">
        <w:t xml:space="preserve"> comprehensive</w:t>
      </w:r>
      <w:r w:rsidR="00253BA2" w:rsidRPr="00253BA2">
        <w:t>, and</w:t>
      </w:r>
      <w:r w:rsidRPr="00253BA2">
        <w:t xml:space="preserve"> </w:t>
      </w:r>
      <w:r w:rsidR="00B83227" w:rsidRPr="00253BA2">
        <w:t>range</w:t>
      </w:r>
      <w:r w:rsidR="00B83227">
        <w:t xml:space="preserve"> </w:t>
      </w:r>
      <w:r>
        <w:t xml:space="preserve">from </w:t>
      </w:r>
      <w:r w:rsidR="007B3E9F">
        <w:t>horizon scanning, planning and system readiness</w:t>
      </w:r>
      <w:r w:rsidR="004C4B65">
        <w:t xml:space="preserve"> to</w:t>
      </w:r>
      <w:r w:rsidR="007B3E9F">
        <w:t xml:space="preserve"> </w:t>
      </w:r>
      <w:r>
        <w:t xml:space="preserve">bringing important medicines and vaccines to Australia, </w:t>
      </w:r>
      <w:r w:rsidR="002F3852">
        <w:t xml:space="preserve">and </w:t>
      </w:r>
      <w:r>
        <w:t>evidence assessment, implementation and review.</w:t>
      </w:r>
      <w:r w:rsidR="00E740C8">
        <w:t xml:space="preserve"> The central tenet of the Review</w:t>
      </w:r>
      <w:r w:rsidR="00AA22D4">
        <w:t>, reflected t</w:t>
      </w:r>
      <w:r>
        <w:t xml:space="preserve">hrough extensive engagement with the </w:t>
      </w:r>
      <w:r w:rsidR="00AA22D4">
        <w:t>Australian community</w:t>
      </w:r>
      <w:r w:rsidR="00CB6A0C">
        <w:t>,</w:t>
      </w:r>
      <w:r w:rsidR="00CF5864">
        <w:t xml:space="preserve"> is</w:t>
      </w:r>
      <w:r>
        <w:t xml:space="preserve"> the imperative to </w:t>
      </w:r>
      <w:r w:rsidR="00E605FC">
        <w:t xml:space="preserve">improve </w:t>
      </w:r>
      <w:r w:rsidR="002D5776">
        <w:t xml:space="preserve">timely access to </w:t>
      </w:r>
      <w:r>
        <w:t>affordable medicines and vaccines to</w:t>
      </w:r>
      <w:r w:rsidR="002D5776">
        <w:t xml:space="preserve"> meet the needs of</w:t>
      </w:r>
      <w:r w:rsidR="002F0DF8">
        <w:t xml:space="preserve"> all Australian</w:t>
      </w:r>
      <w:r w:rsidR="00275A1D">
        <w:t>s</w:t>
      </w:r>
      <w:r w:rsidR="002F0DF8">
        <w:t xml:space="preserve">, </w:t>
      </w:r>
      <w:proofErr w:type="gramStart"/>
      <w:r w:rsidR="002F0DF8">
        <w:t>in particular</w:t>
      </w:r>
      <w:proofErr w:type="gramEnd"/>
      <w:r>
        <w:t xml:space="preserve"> First Nations people. </w:t>
      </w:r>
    </w:p>
    <w:p w14:paraId="1D9FFA56" w14:textId="77777777" w:rsidR="001630E4" w:rsidRPr="00F7174B" w:rsidRDefault="001630E4" w:rsidP="001630E4">
      <w:pPr>
        <w:pStyle w:val="Heading2"/>
      </w:pPr>
      <w:bookmarkStart w:id="26" w:name="_Toc171935848"/>
      <w:r w:rsidRPr="00F7174B">
        <w:t>Addressing inequities in access</w:t>
      </w:r>
      <w:bookmarkEnd w:id="26"/>
      <w:r w:rsidRPr="00F7174B">
        <w:t xml:space="preserve"> </w:t>
      </w:r>
    </w:p>
    <w:p w14:paraId="1D53662C" w14:textId="2CE6CC41" w:rsidR="001630E4" w:rsidRDefault="001630E4" w:rsidP="001630E4">
      <w:pPr>
        <w:pStyle w:val="Heading3"/>
      </w:pPr>
      <w:r w:rsidRPr="007307EA">
        <w:t>First Nations people</w:t>
      </w:r>
    </w:p>
    <w:p w14:paraId="11F52F9B" w14:textId="3D608B1A" w:rsidR="001C3634" w:rsidRDefault="001630E4" w:rsidP="00A1076D">
      <w:pPr>
        <w:spacing w:line="257" w:lineRule="auto"/>
        <w:rPr>
          <w:rFonts w:eastAsia="Segoe UI" w:cs="Segoe UI"/>
        </w:rPr>
      </w:pPr>
      <w:r>
        <w:t>The Review recommends r</w:t>
      </w:r>
      <w:r w:rsidRPr="00F3764C">
        <w:t>eform</w:t>
      </w:r>
      <w:r w:rsidR="009E14F0">
        <w:t>ing</w:t>
      </w:r>
      <w:r w:rsidRPr="00F3764C">
        <w:t xml:space="preserve"> HTA mechanisms to appropriately engage First Nations </w:t>
      </w:r>
      <w:r>
        <w:t>people</w:t>
      </w:r>
      <w:r w:rsidRPr="00F3764C">
        <w:t xml:space="preserve"> in decision</w:t>
      </w:r>
      <w:r>
        <w:t>-</w:t>
      </w:r>
      <w:r w:rsidRPr="00F3764C">
        <w:t xml:space="preserve">making processes so that </w:t>
      </w:r>
      <w:r w:rsidRPr="004A4EFD">
        <w:t xml:space="preserve">their </w:t>
      </w:r>
      <w:r w:rsidRPr="00F3764C">
        <w:t xml:space="preserve">priorities and perspectives are integrated across the HTA continuum. </w:t>
      </w:r>
      <w:r w:rsidR="00CA7A7B">
        <w:t>D</w:t>
      </w:r>
      <w:r w:rsidRPr="00F3764C">
        <w:rPr>
          <w:rFonts w:eastAsia="Segoe UI" w:cs="Segoe UI"/>
        </w:rPr>
        <w:t>espite a range of measures aimed at supporting First Nations people</w:t>
      </w:r>
      <w:r w:rsidR="00933F06">
        <w:rPr>
          <w:rFonts w:eastAsia="Segoe UI" w:cs="Segoe UI"/>
        </w:rPr>
        <w:t>’</w:t>
      </w:r>
      <w:r w:rsidRPr="00F3764C">
        <w:rPr>
          <w:rFonts w:eastAsia="Segoe UI" w:cs="Segoe UI"/>
        </w:rPr>
        <w:t xml:space="preserve">s access to medicines, </w:t>
      </w:r>
      <w:r w:rsidR="00CA7A7B">
        <w:rPr>
          <w:rFonts w:eastAsia="Segoe UI" w:cs="Segoe UI"/>
        </w:rPr>
        <w:t xml:space="preserve">it </w:t>
      </w:r>
      <w:r w:rsidR="007876CE">
        <w:rPr>
          <w:rFonts w:eastAsia="Segoe UI" w:cs="Segoe UI"/>
        </w:rPr>
        <w:t xml:space="preserve">was previously estimated </w:t>
      </w:r>
      <w:r w:rsidRPr="00F3764C">
        <w:rPr>
          <w:rFonts w:eastAsia="Segoe UI" w:cs="Segoe UI"/>
        </w:rPr>
        <w:t>the average expenditure on the PBS and Repatriation Pharmaceutical Benefits Scheme (RPBS) is $167 per person for First Nations people compared to $427 per person for non</w:t>
      </w:r>
      <w:r w:rsidR="00212656">
        <w:rPr>
          <w:rFonts w:eastAsia="Segoe UI" w:cs="Segoe UI"/>
        </w:rPr>
        <w:noBreakHyphen/>
      </w:r>
      <w:r w:rsidRPr="00F3764C">
        <w:rPr>
          <w:rFonts w:eastAsia="Segoe UI" w:cs="Segoe UI"/>
        </w:rPr>
        <w:t>Indigenous Australians</w:t>
      </w:r>
      <w:r w:rsidR="007876CE">
        <w:rPr>
          <w:rFonts w:eastAsia="Segoe UI" w:cs="Segoe UI"/>
        </w:rPr>
        <w:t xml:space="preserve"> (</w:t>
      </w:r>
      <w:r w:rsidR="00D42420">
        <w:rPr>
          <w:rFonts w:eastAsia="Segoe UI" w:cs="Segoe UI"/>
        </w:rPr>
        <w:t xml:space="preserve">based on </w:t>
      </w:r>
      <w:r w:rsidR="007876CE">
        <w:rPr>
          <w:rFonts w:eastAsia="Segoe UI" w:cs="Segoe UI"/>
        </w:rPr>
        <w:t>2015-16 data)</w:t>
      </w:r>
      <w:r w:rsidR="00EC1E95">
        <w:rPr>
          <w:rFonts w:eastAsia="Segoe UI" w:cs="Segoe UI"/>
        </w:rPr>
        <w:t>.</w:t>
      </w:r>
      <w:r w:rsidR="00A31429">
        <w:rPr>
          <w:rStyle w:val="FootnoteReference"/>
          <w:rFonts w:eastAsia="Segoe UI" w:cs="Segoe UI"/>
        </w:rPr>
        <w:footnoteReference w:id="8"/>
      </w:r>
      <w:r>
        <w:rPr>
          <w:rFonts w:eastAsia="Segoe UI" w:cs="Segoe UI"/>
        </w:rPr>
        <w:t xml:space="preserve"> These figures bring into sharp </w:t>
      </w:r>
      <w:r w:rsidR="00AA6F27">
        <w:rPr>
          <w:rFonts w:eastAsia="Segoe UI" w:cs="Segoe UI"/>
        </w:rPr>
        <w:t>focus</w:t>
      </w:r>
      <w:r>
        <w:rPr>
          <w:rFonts w:eastAsia="Segoe UI" w:cs="Segoe UI"/>
        </w:rPr>
        <w:t xml:space="preserve"> the issues First Nations people face in </w:t>
      </w:r>
      <w:r w:rsidR="00EC1E95">
        <w:rPr>
          <w:rFonts w:eastAsia="Segoe UI" w:cs="Segoe UI"/>
        </w:rPr>
        <w:t xml:space="preserve">gaining </w:t>
      </w:r>
      <w:r>
        <w:rPr>
          <w:rFonts w:eastAsia="Segoe UI" w:cs="Segoe UI"/>
        </w:rPr>
        <w:t xml:space="preserve">equitable access to medicines. </w:t>
      </w:r>
    </w:p>
    <w:p w14:paraId="238370EA" w14:textId="23563FEE" w:rsidR="001630E4" w:rsidRDefault="001630E4" w:rsidP="00A1076D">
      <w:pPr>
        <w:spacing w:line="257" w:lineRule="auto"/>
      </w:pPr>
      <w:r w:rsidRPr="00F3764C">
        <w:t xml:space="preserve">Stakeholders also reported that </w:t>
      </w:r>
      <w:r w:rsidRPr="00F3764C">
        <w:rPr>
          <w:rFonts w:eastAsia="Segoe UI" w:cs="Segoe UI"/>
        </w:rPr>
        <w:t xml:space="preserve">many medicines </w:t>
      </w:r>
      <w:r w:rsidR="00EC1E95">
        <w:rPr>
          <w:rFonts w:eastAsia="Segoe UI" w:cs="Segoe UI"/>
        </w:rPr>
        <w:t>that</w:t>
      </w:r>
      <w:r w:rsidRPr="00F3764C">
        <w:rPr>
          <w:rFonts w:eastAsia="Segoe UI" w:cs="Segoe UI"/>
        </w:rPr>
        <w:t xml:space="preserve"> are integral to the health and wellbeing of First Nations people are not listed on the PBS. Addressing these </w:t>
      </w:r>
      <w:r w:rsidRPr="004A4EFD">
        <w:rPr>
          <w:rFonts w:eastAsia="Segoe UI" w:cs="Segoe UI"/>
        </w:rPr>
        <w:t xml:space="preserve">inequities </w:t>
      </w:r>
      <w:r w:rsidRPr="00F3764C">
        <w:rPr>
          <w:rFonts w:eastAsia="Segoe UI" w:cs="Segoe UI"/>
        </w:rPr>
        <w:t xml:space="preserve">requires all partners to commit to playing their part. The Review therefore recommends </w:t>
      </w:r>
      <w:r w:rsidRPr="00F3764C">
        <w:rPr>
          <w:rFonts w:eastAsia="Segoe UI" w:cs="Segoe UI"/>
        </w:rPr>
        <w:lastRenderedPageBreak/>
        <w:t>HTA committees and supporting processes address these inequities through meaningful engagement and priority</w:t>
      </w:r>
      <w:r>
        <w:rPr>
          <w:rFonts w:eastAsia="Segoe UI" w:cs="Segoe UI"/>
        </w:rPr>
        <w:t>-</w:t>
      </w:r>
      <w:r w:rsidRPr="00F3764C">
        <w:rPr>
          <w:rFonts w:eastAsia="Segoe UI" w:cs="Segoe UI"/>
        </w:rPr>
        <w:t>setting with First Nations people.</w:t>
      </w:r>
    </w:p>
    <w:p w14:paraId="048F8D10" w14:textId="77777777" w:rsidR="001630E4" w:rsidRPr="007307EA" w:rsidRDefault="001630E4" w:rsidP="001630E4">
      <w:pPr>
        <w:pStyle w:val="Heading3"/>
      </w:pPr>
      <w:r w:rsidRPr="007307EA">
        <w:t xml:space="preserve">Paediatrics </w:t>
      </w:r>
    </w:p>
    <w:p w14:paraId="328ECF01" w14:textId="2D1EDC94" w:rsidR="00434FA1" w:rsidRDefault="00EC1E95" w:rsidP="00A1076D">
      <w:r>
        <w:t>A</w:t>
      </w:r>
      <w:r w:rsidR="001630E4">
        <w:t xml:space="preserve">ccess to </w:t>
      </w:r>
      <w:r w:rsidR="001630E4" w:rsidRPr="00AE59E2">
        <w:t>PBS</w:t>
      </w:r>
      <w:r w:rsidR="00E77B42" w:rsidRPr="00AE59E2">
        <w:t>-</w:t>
      </w:r>
      <w:r w:rsidR="001630E4" w:rsidRPr="00AE59E2">
        <w:t>listed</w:t>
      </w:r>
      <w:r w:rsidR="001630E4">
        <w:t xml:space="preserve"> medicines for </w:t>
      </w:r>
      <w:r w:rsidR="009D2CBB">
        <w:t>paediatric patients including children, adolescent</w:t>
      </w:r>
      <w:r w:rsidR="00A87A35">
        <w:t>s</w:t>
      </w:r>
      <w:r w:rsidR="009D2CBB">
        <w:t xml:space="preserve"> and teenagers</w:t>
      </w:r>
      <w:r>
        <w:t xml:space="preserve"> needs to be increased</w:t>
      </w:r>
      <w:r w:rsidR="001630E4">
        <w:t xml:space="preserve">. </w:t>
      </w:r>
      <w:r w:rsidR="001630E4" w:rsidRPr="000C576B">
        <w:t>The</w:t>
      </w:r>
      <w:r w:rsidR="00AE59E2">
        <w:t xml:space="preserve">re is </w:t>
      </w:r>
      <w:r w:rsidR="001630E4" w:rsidRPr="000C576B">
        <w:t>a lack of medicines for treat</w:t>
      </w:r>
      <w:r>
        <w:t>ing</w:t>
      </w:r>
      <w:r w:rsidR="001630E4" w:rsidRPr="000C576B">
        <w:t xml:space="preserve"> paediatric indications</w:t>
      </w:r>
      <w:r>
        <w:t>,</w:t>
      </w:r>
      <w:r w:rsidR="001630E4" w:rsidRPr="000C576B">
        <w:t xml:space="preserve"> which is </w:t>
      </w:r>
      <w:r w:rsidR="00854BDC">
        <w:t xml:space="preserve">mostly </w:t>
      </w:r>
      <w:r w:rsidR="001630E4" w:rsidRPr="000C576B">
        <w:t>attributable to challenges in generating</w:t>
      </w:r>
      <w:r w:rsidR="006C1A52">
        <w:t xml:space="preserve"> the</w:t>
      </w:r>
      <w:r w:rsidR="001630E4" w:rsidRPr="000C576B">
        <w:t xml:space="preserve"> clinical data</w:t>
      </w:r>
      <w:r w:rsidR="00D679A1">
        <w:t xml:space="preserve"> on</w:t>
      </w:r>
      <w:r w:rsidR="002D1942">
        <w:t xml:space="preserve"> use of health technologies by</w:t>
      </w:r>
      <w:r w:rsidRPr="000C576B">
        <w:t xml:space="preserve"> </w:t>
      </w:r>
      <w:r w:rsidR="001630E4" w:rsidRPr="000C576B">
        <w:t>paediatric patients</w:t>
      </w:r>
      <w:r w:rsidR="00D679A1">
        <w:t xml:space="preserve"> needed</w:t>
      </w:r>
      <w:r w:rsidR="001630E4" w:rsidRPr="000C576B">
        <w:t xml:space="preserve"> for regulatory approval</w:t>
      </w:r>
      <w:r w:rsidR="003D1F3D">
        <w:t>,</w:t>
      </w:r>
      <w:r w:rsidR="001630E4" w:rsidRPr="000C576B">
        <w:t xml:space="preserve"> and consequently reimbursement. </w:t>
      </w:r>
      <w:r w:rsidR="001630E4" w:rsidRPr="00A84F2D">
        <w:t xml:space="preserve">It is noted </w:t>
      </w:r>
      <w:r>
        <w:t xml:space="preserve">that </w:t>
      </w:r>
      <w:r w:rsidR="001630E4" w:rsidRPr="00A84F2D">
        <w:t xml:space="preserve">the return on investment for paediatric indications often </w:t>
      </w:r>
      <w:r w:rsidR="001D1C85">
        <w:t>does not</w:t>
      </w:r>
      <w:r w:rsidR="001D1C85" w:rsidRPr="00A84F2D">
        <w:t xml:space="preserve"> </w:t>
      </w:r>
      <w:r w:rsidR="001630E4" w:rsidRPr="00A84F2D">
        <w:t xml:space="preserve">offset </w:t>
      </w:r>
      <w:r>
        <w:t xml:space="preserve">the </w:t>
      </w:r>
      <w:r w:rsidR="001630E4" w:rsidRPr="00A84F2D">
        <w:t xml:space="preserve">costs associated with </w:t>
      </w:r>
      <w:r>
        <w:t xml:space="preserve">the </w:t>
      </w:r>
      <w:r w:rsidR="001630E4" w:rsidRPr="00A84F2D">
        <w:t xml:space="preserve">complexities </w:t>
      </w:r>
      <w:r>
        <w:t>of</w:t>
      </w:r>
      <w:r w:rsidR="001630E4" w:rsidRPr="00A84F2D">
        <w:t xml:space="preserve"> </w:t>
      </w:r>
      <w:r>
        <w:t xml:space="preserve">conducting </w:t>
      </w:r>
      <w:r w:rsidR="001630E4" w:rsidRPr="00A84F2D">
        <w:t xml:space="preserve">clinical </w:t>
      </w:r>
      <w:r w:rsidR="001630E4">
        <w:t xml:space="preserve">trials for paediatric patients. </w:t>
      </w:r>
    </w:p>
    <w:p w14:paraId="6D6094CE" w14:textId="1400D94F" w:rsidR="00EF5FAD" w:rsidRDefault="001630E4" w:rsidP="00A1076D">
      <w:r w:rsidRPr="000C576B">
        <w:t>The Review note</w:t>
      </w:r>
      <w:r w:rsidR="009D072F">
        <w:t>d</w:t>
      </w:r>
      <w:r w:rsidRPr="000C576B">
        <w:t xml:space="preserve"> </w:t>
      </w:r>
      <w:r w:rsidR="00EC1E95" w:rsidRPr="000C576B">
        <w:t>instances</w:t>
      </w:r>
      <w:r w:rsidR="00EC1E95" w:rsidRPr="000C576B" w:rsidDel="00EC1E95">
        <w:t xml:space="preserve"> </w:t>
      </w:r>
      <w:r w:rsidR="00EC1E95">
        <w:t>where</w:t>
      </w:r>
      <w:r w:rsidRPr="000C576B">
        <w:t xml:space="preserve"> the </w:t>
      </w:r>
      <w:bookmarkStart w:id="27" w:name="_Hlk167178279"/>
      <w:r w:rsidR="00EC1E95" w:rsidRPr="00FE6A94">
        <w:rPr>
          <w:rFonts w:cs="Segoe UI"/>
        </w:rPr>
        <w:t>Pharmaceutical Benefits Advisory Committee</w:t>
      </w:r>
      <w:r w:rsidR="00EC1E95" w:rsidRPr="000C576B">
        <w:t xml:space="preserve"> </w:t>
      </w:r>
      <w:r w:rsidR="00EC1E95">
        <w:t>(</w:t>
      </w:r>
      <w:r w:rsidRPr="000C576B">
        <w:t>PBAC</w:t>
      </w:r>
      <w:r w:rsidR="00EC1E95">
        <w:t>)</w:t>
      </w:r>
      <w:bookmarkEnd w:id="27"/>
      <w:r w:rsidRPr="000C576B">
        <w:t xml:space="preserve"> has omitted age from PBS restrictions</w:t>
      </w:r>
      <w:r w:rsidR="00EC1E95">
        <w:t>,</w:t>
      </w:r>
      <w:r w:rsidRPr="000C576B">
        <w:t xml:space="preserve"> allowing broader access for children than </w:t>
      </w:r>
      <w:r w:rsidR="0083317E">
        <w:t xml:space="preserve">that </w:t>
      </w:r>
      <w:r w:rsidRPr="000C576B">
        <w:t xml:space="preserve">approved by the </w:t>
      </w:r>
      <w:bookmarkStart w:id="28" w:name="_Hlk167178350"/>
      <w:r w:rsidR="004F540F" w:rsidRPr="004F540F">
        <w:t xml:space="preserve">Therapeutic Goods Administration </w:t>
      </w:r>
      <w:bookmarkEnd w:id="28"/>
      <w:r w:rsidR="004F540F" w:rsidRPr="004F540F">
        <w:t>(TGA)</w:t>
      </w:r>
      <w:r>
        <w:t>. H</w:t>
      </w:r>
      <w:r w:rsidRPr="000C576B">
        <w:t>owever, age</w:t>
      </w:r>
      <w:r w:rsidR="0083317E">
        <w:t>-</w:t>
      </w:r>
      <w:r w:rsidRPr="000C576B">
        <w:t>agnostic PBS listings have not been applied in a systematic manner</w:t>
      </w:r>
      <w:r w:rsidR="00EF5FAD">
        <w:t>,</w:t>
      </w:r>
      <w:r w:rsidRPr="000C576B">
        <w:t xml:space="preserve"> which has likely contributed to unequal access for paediatric patients across the PBS.</w:t>
      </w:r>
      <w:r w:rsidR="00453069">
        <w:t xml:space="preserve"> </w:t>
      </w:r>
    </w:p>
    <w:p w14:paraId="1223604E" w14:textId="3EDF6055" w:rsidR="001630E4" w:rsidRDefault="002407C6" w:rsidP="00A1076D">
      <w:r>
        <w:t>A</w:t>
      </w:r>
      <w:r w:rsidR="001630E4" w:rsidRPr="000C576B">
        <w:t xml:space="preserve"> lack of clinical trials in paediatric populations is a </w:t>
      </w:r>
      <w:r w:rsidR="00737308">
        <w:t xml:space="preserve">fundamental </w:t>
      </w:r>
      <w:r w:rsidR="001630E4" w:rsidRPr="000C576B">
        <w:t>barrier to improving access for paediatric patients</w:t>
      </w:r>
      <w:r w:rsidR="001630E4">
        <w:t>. However,</w:t>
      </w:r>
      <w:r w:rsidR="001630E4" w:rsidRPr="000C576B">
        <w:t xml:space="preserve"> the policies and regulations guid</w:t>
      </w:r>
      <w:r w:rsidR="0083317E">
        <w:t>ing</w:t>
      </w:r>
      <w:r w:rsidR="001630E4" w:rsidRPr="000C576B">
        <w:t xml:space="preserve"> clinical trial development are beyond the scope of the Review. </w:t>
      </w:r>
      <w:r>
        <w:t>W</w:t>
      </w:r>
      <w:r w:rsidR="001630E4" w:rsidRPr="000C576B">
        <w:t xml:space="preserve">hile the </w:t>
      </w:r>
      <w:r w:rsidR="0083317E">
        <w:t xml:space="preserve">TGA’s </w:t>
      </w:r>
      <w:r w:rsidR="001630E4" w:rsidRPr="000C576B">
        <w:t xml:space="preserve">processes are </w:t>
      </w:r>
      <w:r w:rsidR="001630E4">
        <w:t>also</w:t>
      </w:r>
      <w:r w:rsidR="001630E4" w:rsidRPr="000C576B">
        <w:t xml:space="preserve"> beyond </w:t>
      </w:r>
      <w:r>
        <w:t>the Review’s</w:t>
      </w:r>
      <w:r w:rsidR="0083317E">
        <w:t xml:space="preserve"> </w:t>
      </w:r>
      <w:r w:rsidR="001630E4" w:rsidRPr="000C576B">
        <w:t xml:space="preserve">scope, increased collaboration between regulatory and HTA bodies </w:t>
      </w:r>
      <w:r w:rsidR="001630E4">
        <w:t>i</w:t>
      </w:r>
      <w:r w:rsidR="001630E4" w:rsidRPr="000C576B">
        <w:t xml:space="preserve">n addressing some of the challenges with paediatric trial data </w:t>
      </w:r>
      <w:r w:rsidR="001630E4" w:rsidRPr="00B61FDC">
        <w:t xml:space="preserve">could facilitate timely regulatory approval </w:t>
      </w:r>
      <w:r w:rsidR="00AE59E2" w:rsidRPr="00B61FDC">
        <w:t>through</w:t>
      </w:r>
      <w:r w:rsidR="00FF5874">
        <w:t xml:space="preserve"> to</w:t>
      </w:r>
      <w:r w:rsidR="003F326B">
        <w:t xml:space="preserve"> </w:t>
      </w:r>
      <w:r w:rsidR="001630E4" w:rsidRPr="00B61FDC">
        <w:t>HTA</w:t>
      </w:r>
      <w:r w:rsidR="001630E4" w:rsidRPr="000C576B">
        <w:t>. The Review</w:t>
      </w:r>
      <w:r w:rsidR="00E75822">
        <w:t>’s</w:t>
      </w:r>
      <w:r w:rsidR="001630E4" w:rsidRPr="000C576B">
        <w:t xml:space="preserve"> recommendations are intended to improve access to PBS</w:t>
      </w:r>
      <w:r w:rsidR="001630E4">
        <w:t>-</w:t>
      </w:r>
      <w:r w:rsidR="001630E4" w:rsidRPr="000C576B">
        <w:t xml:space="preserve">listed medicines for paediatric patients and facilitate regulatory approval </w:t>
      </w:r>
      <w:r w:rsidR="00ED1A0F">
        <w:t xml:space="preserve">to </w:t>
      </w:r>
      <w:r w:rsidR="000C68CF">
        <w:t xml:space="preserve">enable </w:t>
      </w:r>
      <w:r w:rsidR="000C68CF" w:rsidRPr="000C576B">
        <w:t>reimbursement</w:t>
      </w:r>
      <w:r w:rsidR="001630E4" w:rsidRPr="000C576B">
        <w:t xml:space="preserve"> of medicines for paediatric indications.</w:t>
      </w:r>
    </w:p>
    <w:p w14:paraId="72323A5E" w14:textId="3B0D367B" w:rsidR="001630E4" w:rsidRPr="00A05D91" w:rsidRDefault="001630E4" w:rsidP="00A05D91">
      <w:pPr>
        <w:pStyle w:val="Heading2"/>
      </w:pPr>
      <w:bookmarkStart w:id="29" w:name="_Toc171935849"/>
      <w:r w:rsidRPr="00A05D91">
        <w:t xml:space="preserve">Reducing </w:t>
      </w:r>
      <w:r w:rsidR="004F69DB" w:rsidRPr="00A05D91">
        <w:t>w</w:t>
      </w:r>
      <w:r w:rsidRPr="00A05D91">
        <w:t xml:space="preserve">ait </w:t>
      </w:r>
      <w:r w:rsidR="004F69DB" w:rsidRPr="00A05D91">
        <w:t>t</w:t>
      </w:r>
      <w:r w:rsidRPr="00A05D91">
        <w:t xml:space="preserve">imes for </w:t>
      </w:r>
      <w:r w:rsidR="004F69DB" w:rsidRPr="00A05D91">
        <w:t>a</w:t>
      </w:r>
      <w:r w:rsidRPr="00A05D91">
        <w:t xml:space="preserve">ccess to </w:t>
      </w:r>
      <w:r w:rsidR="004F69DB" w:rsidRPr="00A05D91">
        <w:t>a</w:t>
      </w:r>
      <w:r w:rsidRPr="00A05D91">
        <w:t xml:space="preserve">ffordable </w:t>
      </w:r>
      <w:r w:rsidR="004F69DB" w:rsidRPr="00A05D91">
        <w:t>m</w:t>
      </w:r>
      <w:r w:rsidRPr="00A05D91">
        <w:t>edications</w:t>
      </w:r>
      <w:bookmarkEnd w:id="29"/>
    </w:p>
    <w:p w14:paraId="7CE43CF6" w14:textId="761681CF" w:rsidR="001630E4" w:rsidRPr="00565943" w:rsidRDefault="00253BA2" w:rsidP="00A05D91">
      <w:pPr>
        <w:rPr>
          <w:lang w:val="en-GB"/>
        </w:rPr>
      </w:pPr>
      <w:r>
        <w:rPr>
          <w:lang w:val="en-GB"/>
        </w:rPr>
        <w:t>I</w:t>
      </w:r>
      <w:r w:rsidR="001630E4" w:rsidRPr="6CC68A72">
        <w:rPr>
          <w:lang w:val="en-GB"/>
        </w:rPr>
        <w:t>n 2021 and 2022, submissions for new drugs demonstrating superiority required on average more than two considerations by</w:t>
      </w:r>
      <w:r w:rsidR="0083317E">
        <w:rPr>
          <w:lang w:val="en-GB"/>
        </w:rPr>
        <w:t xml:space="preserve"> the</w:t>
      </w:r>
      <w:r w:rsidR="001630E4" w:rsidRPr="6CC68A72">
        <w:rPr>
          <w:lang w:val="en-GB"/>
        </w:rPr>
        <w:t xml:space="preserve"> PBAC (range </w:t>
      </w:r>
      <w:r w:rsidR="001630E4" w:rsidRPr="00876521">
        <w:rPr>
          <w:lang w:val="en-GB"/>
        </w:rPr>
        <w:t>2</w:t>
      </w:r>
      <w:r w:rsidR="00876521">
        <w:rPr>
          <w:lang w:val="en-GB"/>
        </w:rPr>
        <w:t>–‍</w:t>
      </w:r>
      <w:r w:rsidR="001630E4" w:rsidRPr="00876521">
        <w:rPr>
          <w:lang w:val="en-GB"/>
        </w:rPr>
        <w:t>4</w:t>
      </w:r>
      <w:r w:rsidR="001630E4" w:rsidRPr="6CC68A72">
        <w:rPr>
          <w:lang w:val="en-GB"/>
        </w:rPr>
        <w:t xml:space="preserve">) and only </w:t>
      </w:r>
      <w:r w:rsidR="00FF0013">
        <w:rPr>
          <w:lang w:val="en-GB"/>
        </w:rPr>
        <w:t xml:space="preserve">around </w:t>
      </w:r>
      <w:r w:rsidR="001630E4" w:rsidRPr="6CC68A72">
        <w:rPr>
          <w:lang w:val="en-GB"/>
        </w:rPr>
        <w:t xml:space="preserve">50% were listed on the PBS within 22 months of </w:t>
      </w:r>
      <w:bookmarkStart w:id="30" w:name="_Hlk167178744"/>
      <w:r w:rsidR="006C3676" w:rsidRPr="006C3676">
        <w:rPr>
          <w:lang w:val="en-GB"/>
        </w:rPr>
        <w:t>Australian Register of Therapeutic Goods (ARTG)</w:t>
      </w:r>
      <w:bookmarkEnd w:id="30"/>
      <w:r w:rsidR="006C3676" w:rsidRPr="006C3676" w:rsidDel="006C3676">
        <w:rPr>
          <w:lang w:val="en-GB"/>
        </w:rPr>
        <w:t xml:space="preserve"> </w:t>
      </w:r>
      <w:r w:rsidR="001630E4" w:rsidRPr="6CC68A72">
        <w:rPr>
          <w:lang w:val="en-GB"/>
        </w:rPr>
        <w:t xml:space="preserve">registration (i.e. TGA approval). </w:t>
      </w:r>
      <w:r w:rsidR="001630E4">
        <w:rPr>
          <w:lang w:val="en-GB"/>
        </w:rPr>
        <w:t xml:space="preserve">There are significant opportunities to </w:t>
      </w:r>
      <w:r w:rsidR="006D3447">
        <w:rPr>
          <w:lang w:val="en-GB"/>
        </w:rPr>
        <w:t xml:space="preserve">improve HTA arrangements to </w:t>
      </w:r>
      <w:r w:rsidR="001630E4">
        <w:rPr>
          <w:lang w:val="en-GB"/>
        </w:rPr>
        <w:t xml:space="preserve">reduce wait times for access to medicines through improvements to different parts of the HTA </w:t>
      </w:r>
      <w:r w:rsidR="00FF2FFF">
        <w:rPr>
          <w:lang w:val="en-GB"/>
        </w:rPr>
        <w:t>systems and processes</w:t>
      </w:r>
      <w:r w:rsidR="001630E4">
        <w:rPr>
          <w:lang w:val="en-GB"/>
        </w:rPr>
        <w:t>.</w:t>
      </w:r>
    </w:p>
    <w:p w14:paraId="5B03951D" w14:textId="77777777" w:rsidR="001630E4" w:rsidRDefault="001630E4" w:rsidP="001630E4">
      <w:pPr>
        <w:pStyle w:val="Heading3"/>
      </w:pPr>
      <w:r w:rsidRPr="0019054D">
        <w:t>Pathways</w:t>
      </w:r>
    </w:p>
    <w:p w14:paraId="337C5B2B" w14:textId="0CF382AB" w:rsidR="001630E4" w:rsidRDefault="001630E4" w:rsidP="001630E4">
      <w:pPr>
        <w:rPr>
          <w:rFonts w:eastAsia="Segoe UI" w:cs="Segoe UI"/>
        </w:rPr>
      </w:pPr>
      <w:r>
        <w:t>Australia has several pathways for assessing health technologies</w:t>
      </w:r>
      <w:r w:rsidR="00DB48F6">
        <w:t xml:space="preserve"> </w:t>
      </w:r>
      <w:r w:rsidR="00DB48F6" w:rsidRPr="004D3B2F">
        <w:t>offered</w:t>
      </w:r>
      <w:r w:rsidRPr="004D3B2F">
        <w:t xml:space="preserve"> </w:t>
      </w:r>
      <w:r w:rsidR="00DB48F6" w:rsidRPr="004D3B2F">
        <w:t>by organisations</w:t>
      </w:r>
      <w:r w:rsidR="00DB48F6">
        <w:t xml:space="preserve"> </w:t>
      </w:r>
      <w:r>
        <w:t xml:space="preserve">seeking Australian Government funding. Each distinct funding and assessment pathway incorporates a range of processes and decision points and involves several decision-makers and stakeholders. </w:t>
      </w:r>
    </w:p>
    <w:p w14:paraId="44C24E19" w14:textId="36B4659E" w:rsidR="001630E4" w:rsidRDefault="001630E4" w:rsidP="001630E4">
      <w:r>
        <w:lastRenderedPageBreak/>
        <w:t>The Review’s findings underscore the world-class quality of Australia’s HTA</w:t>
      </w:r>
      <w:r w:rsidR="00DE4DD2">
        <w:t xml:space="preserve"> system</w:t>
      </w:r>
      <w:r w:rsidR="0043727E">
        <w:t xml:space="preserve"> and </w:t>
      </w:r>
      <w:r w:rsidR="00DD567B">
        <w:t>processes</w:t>
      </w:r>
      <w:r>
        <w:t xml:space="preserve"> and the strength of Australia’s medicines funding systems. However, </w:t>
      </w:r>
      <w:r w:rsidR="004D61AB">
        <w:t xml:space="preserve">we can </w:t>
      </w:r>
      <w:r w:rsidR="005066CB">
        <w:t>strive for improvement</w:t>
      </w:r>
      <w:r>
        <w:t>. The Review sought to identify opportunit</w:t>
      </w:r>
      <w:r w:rsidR="00DB48F6">
        <w:t>ies</w:t>
      </w:r>
      <w:r>
        <w:t xml:space="preserve"> </w:t>
      </w:r>
      <w:r w:rsidR="00457A5A">
        <w:t xml:space="preserve">to </w:t>
      </w:r>
      <w:r>
        <w:t xml:space="preserve">improve the current system and processes, to </w:t>
      </w:r>
      <w:r w:rsidR="00AE21F4">
        <w:t xml:space="preserve">provide </w:t>
      </w:r>
      <w:r w:rsidR="00697E3A">
        <w:t xml:space="preserve">timely </w:t>
      </w:r>
      <w:r>
        <w:t xml:space="preserve">access to medicines and </w:t>
      </w:r>
      <w:r w:rsidR="00DB48F6">
        <w:t xml:space="preserve">sustainably </w:t>
      </w:r>
      <w:r>
        <w:t xml:space="preserve">meet the needs of Australians into the future. </w:t>
      </w:r>
    </w:p>
    <w:p w14:paraId="09646EBF" w14:textId="58ADAA40" w:rsidR="00F7394D" w:rsidRDefault="00F7394D" w:rsidP="001630E4">
      <w:r>
        <w:t xml:space="preserve">Government, industry and all stakeholders share responsibility for working together to ensure the </w:t>
      </w:r>
      <w:r w:rsidR="001C750B">
        <w:t xml:space="preserve">health </w:t>
      </w:r>
      <w:r>
        <w:t>system continues to successfully deliver better health, wellbeing and value for all Australians.</w:t>
      </w:r>
      <w:r w:rsidR="00FA396E">
        <w:t xml:space="preserve"> </w:t>
      </w:r>
    </w:p>
    <w:p w14:paraId="07DE7191" w14:textId="555EF849" w:rsidR="001630E4" w:rsidRDefault="001630E4" w:rsidP="001630E4">
      <w:r>
        <w:t xml:space="preserve">The </w:t>
      </w:r>
      <w:r w:rsidR="00AA3E4B">
        <w:t xml:space="preserve">Review’s </w:t>
      </w:r>
      <w:r>
        <w:t xml:space="preserve">findings and recommendations could </w:t>
      </w:r>
      <w:r w:rsidRPr="00F42AA5">
        <w:t>s</w:t>
      </w:r>
      <w:r>
        <w:t>ignificantly improve timely access to important</w:t>
      </w:r>
      <w:r w:rsidR="00AA3E4B">
        <w:t xml:space="preserve"> –</w:t>
      </w:r>
      <w:r>
        <w:t xml:space="preserve"> </w:t>
      </w:r>
      <w:r w:rsidR="00610C8F">
        <w:t xml:space="preserve">and </w:t>
      </w:r>
      <w:r>
        <w:t xml:space="preserve">transformative </w:t>
      </w:r>
      <w:r w:rsidR="00AA3E4B">
        <w:t xml:space="preserve">– </w:t>
      </w:r>
      <w:r>
        <w:t xml:space="preserve">health technologies. </w:t>
      </w:r>
      <w:r w:rsidR="00D03913">
        <w:t xml:space="preserve">This will be achieved through </w:t>
      </w:r>
      <w:r>
        <w:t xml:space="preserve">reducing duplication and increasing consistency between the different HTA pathways, </w:t>
      </w:r>
      <w:r w:rsidR="00D03913">
        <w:t>and ensuring the</w:t>
      </w:r>
      <w:r>
        <w:t xml:space="preserve"> time and effort of the entire system is directed where it will be most beneficial. </w:t>
      </w:r>
    </w:p>
    <w:p w14:paraId="7BB77E72" w14:textId="26FC4540" w:rsidR="001630E4" w:rsidRDefault="001630E4" w:rsidP="001630E4">
      <w:r>
        <w:t>The Review</w:t>
      </w:r>
      <w:r w:rsidR="00FB1A0D">
        <w:t xml:space="preserve"> </w:t>
      </w:r>
      <w:r w:rsidRPr="00BB34D8">
        <w:t>recommend</w:t>
      </w:r>
      <w:r w:rsidR="00FB1A0D" w:rsidRPr="00BB34D8">
        <w:t>s</w:t>
      </w:r>
      <w:r w:rsidRPr="00BB34D8">
        <w:t xml:space="preserve"> mechanisms</w:t>
      </w:r>
      <w:r>
        <w:t xml:space="preserve"> to improve equitable and timely access across the entire HTA ecosystem</w:t>
      </w:r>
      <w:r w:rsidR="00AA3E4B">
        <w:t>. This</w:t>
      </w:r>
      <w:r>
        <w:t xml:space="preserve"> includ</w:t>
      </w:r>
      <w:r w:rsidR="00AA3E4B">
        <w:t>es</w:t>
      </w:r>
      <w:r>
        <w:t xml:space="preserve"> the time to</w:t>
      </w:r>
      <w:r w:rsidR="00AA3E4B">
        <w:t xml:space="preserve"> </w:t>
      </w:r>
      <w:r w:rsidR="00BB34D8">
        <w:t>gain</w:t>
      </w:r>
      <w:r>
        <w:t xml:space="preserve"> </w:t>
      </w:r>
      <w:r w:rsidRPr="00AA3E4B">
        <w:t>subsidised access</w:t>
      </w:r>
      <w:r>
        <w:t xml:space="preserve"> </w:t>
      </w:r>
      <w:r w:rsidR="00AA3E4B">
        <w:t xml:space="preserve">to </w:t>
      </w:r>
      <w:r>
        <w:t xml:space="preserve">vaccines on the NIP, life-saving drugs for people with ultra-rare diseases, </w:t>
      </w:r>
      <w:r w:rsidR="00AA3E4B">
        <w:t xml:space="preserve">and </w:t>
      </w:r>
      <w:bookmarkStart w:id="31" w:name="_Hlk167204231"/>
      <w:r>
        <w:t xml:space="preserve">highly specialised therapies </w:t>
      </w:r>
      <w:r w:rsidR="007F02AF">
        <w:t>(HSTs)</w:t>
      </w:r>
      <w:bookmarkEnd w:id="31"/>
      <w:r w:rsidR="007F02AF">
        <w:t xml:space="preserve"> </w:t>
      </w:r>
      <w:r>
        <w:t>delivered through the</w:t>
      </w:r>
      <w:r w:rsidR="001F42CC">
        <w:t xml:space="preserve"> </w:t>
      </w:r>
      <w:r w:rsidR="001F42CC" w:rsidRPr="00242AC7">
        <w:t>2020–25</w:t>
      </w:r>
      <w:r w:rsidRPr="00242AC7">
        <w:t xml:space="preserve"> </w:t>
      </w:r>
      <w:r w:rsidR="00896D8B" w:rsidRPr="00242AC7">
        <w:t>Addendum to the</w:t>
      </w:r>
      <w:r w:rsidRPr="00242AC7">
        <w:t xml:space="preserve"> </w:t>
      </w:r>
      <w:bookmarkStart w:id="32" w:name="_Hlk167179687"/>
      <w:r w:rsidRPr="00242AC7">
        <w:t>National Health Reform Agreement</w:t>
      </w:r>
      <w:r w:rsidR="00FA15B6" w:rsidRPr="00242AC7">
        <w:t xml:space="preserve"> (NHRA)</w:t>
      </w:r>
      <w:bookmarkStart w:id="33" w:name="_Ref165573941"/>
      <w:bookmarkEnd w:id="32"/>
      <w:r w:rsidR="00AA3E4B">
        <w:t>.</w:t>
      </w:r>
      <w:r w:rsidR="00DD1EF2">
        <w:rPr>
          <w:rStyle w:val="FootnoteReference"/>
        </w:rPr>
        <w:footnoteReference w:id="9"/>
      </w:r>
      <w:bookmarkEnd w:id="33"/>
      <w:r w:rsidR="00AA3E4B">
        <w:t xml:space="preserve"> It also includes the time</w:t>
      </w:r>
      <w:r>
        <w:t xml:space="preserve"> </w:t>
      </w:r>
      <w:r w:rsidR="00AA3E4B">
        <w:t xml:space="preserve">for </w:t>
      </w:r>
      <w:r>
        <w:t>therapies proposed for listing on the PBS</w:t>
      </w:r>
      <w:r w:rsidR="00A87D4E">
        <w:t xml:space="preserve"> and co-dependent </w:t>
      </w:r>
      <w:r w:rsidR="00E65A74">
        <w:t>technologies</w:t>
      </w:r>
      <w:r>
        <w:t>.</w:t>
      </w:r>
    </w:p>
    <w:p w14:paraId="497AD326" w14:textId="330E5241" w:rsidR="001630E4" w:rsidRDefault="00B624F0" w:rsidP="001630E4">
      <w:r>
        <w:rPr>
          <w:rFonts w:cstheme="minorBidi"/>
          <w:color w:val="000000" w:themeColor="text1"/>
          <w:lang w:val="en-GB"/>
        </w:rPr>
        <w:t xml:space="preserve">If its recommendations are </w:t>
      </w:r>
      <w:r w:rsidRPr="689E1B1A">
        <w:rPr>
          <w:rFonts w:cstheme="minorBidi"/>
          <w:color w:val="000000" w:themeColor="text1"/>
          <w:lang w:val="en-GB"/>
        </w:rPr>
        <w:t>accept</w:t>
      </w:r>
      <w:r>
        <w:rPr>
          <w:rFonts w:cstheme="minorBidi"/>
          <w:color w:val="000000" w:themeColor="text1"/>
          <w:lang w:val="en-GB"/>
        </w:rPr>
        <w:t>ed</w:t>
      </w:r>
      <w:r w:rsidR="00CD6463">
        <w:rPr>
          <w:rFonts w:cstheme="minorBidi"/>
          <w:color w:val="000000" w:themeColor="text1"/>
          <w:lang w:val="en-GB"/>
        </w:rPr>
        <w:t xml:space="preserve"> by Government</w:t>
      </w:r>
      <w:r>
        <w:rPr>
          <w:rFonts w:cstheme="minorBidi"/>
          <w:color w:val="000000" w:themeColor="text1"/>
          <w:lang w:val="en-GB"/>
        </w:rPr>
        <w:t>, t</w:t>
      </w:r>
      <w:r w:rsidR="001630E4" w:rsidRPr="689E1B1A">
        <w:rPr>
          <w:rFonts w:cstheme="minorBidi"/>
          <w:color w:val="000000" w:themeColor="text1"/>
          <w:lang w:val="en-GB"/>
        </w:rPr>
        <w:t xml:space="preserve">he </w:t>
      </w:r>
      <w:r w:rsidR="001630E4">
        <w:rPr>
          <w:rFonts w:cstheme="minorBidi"/>
          <w:color w:val="000000" w:themeColor="text1"/>
          <w:lang w:val="en-GB"/>
        </w:rPr>
        <w:t>Review</w:t>
      </w:r>
      <w:r w:rsidR="001630E4" w:rsidRPr="689E1B1A">
        <w:rPr>
          <w:rFonts w:cstheme="minorBidi"/>
          <w:color w:val="000000" w:themeColor="text1"/>
          <w:lang w:val="en-GB"/>
        </w:rPr>
        <w:t xml:space="preserve"> believes</w:t>
      </w:r>
      <w:r w:rsidR="00AA3E4B">
        <w:rPr>
          <w:rFonts w:cstheme="minorBidi"/>
          <w:color w:val="000000" w:themeColor="text1"/>
          <w:lang w:val="en-GB"/>
        </w:rPr>
        <w:t xml:space="preserve"> </w:t>
      </w:r>
      <w:r>
        <w:rPr>
          <w:rFonts w:cstheme="minorBidi"/>
          <w:color w:val="000000" w:themeColor="text1"/>
          <w:lang w:val="en-GB"/>
        </w:rPr>
        <w:t>it will be possible to achieve</w:t>
      </w:r>
      <w:r w:rsidR="00330A2D">
        <w:rPr>
          <w:rFonts w:cstheme="minorBidi"/>
          <w:color w:val="000000" w:themeColor="text1"/>
          <w:lang w:val="en-GB"/>
        </w:rPr>
        <w:t xml:space="preserve"> </w:t>
      </w:r>
      <w:r w:rsidR="001630E4" w:rsidRPr="689E1B1A">
        <w:rPr>
          <w:rFonts w:cstheme="minorBidi"/>
          <w:color w:val="000000" w:themeColor="text1"/>
          <w:lang w:val="en-GB"/>
        </w:rPr>
        <w:t xml:space="preserve">positive HTA recommendations after one </w:t>
      </w:r>
      <w:r>
        <w:rPr>
          <w:rFonts w:cstheme="minorBidi"/>
          <w:color w:val="000000" w:themeColor="text1"/>
          <w:lang w:val="en-GB"/>
        </w:rPr>
        <w:t xml:space="preserve">submission, </w:t>
      </w:r>
      <w:r w:rsidR="001630E4" w:rsidRPr="689E1B1A">
        <w:rPr>
          <w:rFonts w:cstheme="minorBidi"/>
          <w:color w:val="000000" w:themeColor="text1"/>
          <w:lang w:val="en-GB"/>
        </w:rPr>
        <w:t>or no more than two submissions</w:t>
      </w:r>
      <w:r>
        <w:rPr>
          <w:rFonts w:cstheme="minorBidi"/>
          <w:color w:val="000000" w:themeColor="text1"/>
          <w:lang w:val="en-GB"/>
        </w:rPr>
        <w:t>,</w:t>
      </w:r>
      <w:r w:rsidR="001630E4" w:rsidRPr="689E1B1A">
        <w:rPr>
          <w:rFonts w:cstheme="minorBidi"/>
          <w:color w:val="000000" w:themeColor="text1"/>
          <w:lang w:val="en-GB"/>
        </w:rPr>
        <w:t xml:space="preserve"> for products demonstrating superiority</w:t>
      </w:r>
      <w:r>
        <w:rPr>
          <w:rFonts w:cstheme="minorBidi"/>
          <w:color w:val="000000" w:themeColor="text1"/>
          <w:lang w:val="en-GB"/>
        </w:rPr>
        <w:t xml:space="preserve">. </w:t>
      </w:r>
      <w:r w:rsidRPr="0050086D">
        <w:rPr>
          <w:rFonts w:cstheme="minorBidi"/>
          <w:color w:val="000000" w:themeColor="text1"/>
          <w:lang w:val="en-GB"/>
        </w:rPr>
        <w:t xml:space="preserve">It also believes </w:t>
      </w:r>
      <w:r w:rsidR="001630E4" w:rsidRPr="0050086D">
        <w:rPr>
          <w:rFonts w:cstheme="minorBidi"/>
          <w:color w:val="000000" w:themeColor="text1"/>
          <w:lang w:val="en-GB"/>
        </w:rPr>
        <w:t xml:space="preserve">90% of these products could be </w:t>
      </w:r>
      <w:r w:rsidR="0050086D" w:rsidRPr="000C5623">
        <w:rPr>
          <w:rFonts w:cstheme="minorBidi"/>
          <w:color w:val="000000" w:themeColor="text1"/>
          <w:lang w:val="en-GB"/>
        </w:rPr>
        <w:t xml:space="preserve">listed on the </w:t>
      </w:r>
      <w:r w:rsidR="001630E4" w:rsidRPr="0050086D">
        <w:rPr>
          <w:rFonts w:cstheme="minorBidi"/>
          <w:color w:val="000000" w:themeColor="text1"/>
          <w:lang w:val="en-GB"/>
        </w:rPr>
        <w:t>PBS within 6 months of ARTG registration when parallel processing is used effectively</w:t>
      </w:r>
      <w:r w:rsidRPr="0050086D">
        <w:rPr>
          <w:rFonts w:cstheme="minorBidi"/>
          <w:color w:val="000000" w:themeColor="text1"/>
          <w:lang w:val="en-GB"/>
        </w:rPr>
        <w:t>,</w:t>
      </w:r>
      <w:r w:rsidR="001630E4" w:rsidRPr="0050086D">
        <w:rPr>
          <w:rFonts w:cstheme="minorBidi"/>
          <w:color w:val="000000" w:themeColor="text1"/>
          <w:lang w:val="en-GB"/>
        </w:rPr>
        <w:t xml:space="preserve"> or within 12 months </w:t>
      </w:r>
      <w:r w:rsidR="009A5A09">
        <w:rPr>
          <w:rFonts w:cstheme="minorBidi"/>
          <w:color w:val="000000" w:themeColor="text1"/>
          <w:lang w:val="en-GB"/>
        </w:rPr>
        <w:t>if it is not used</w:t>
      </w:r>
      <w:r w:rsidR="001630E4" w:rsidRPr="0050086D">
        <w:rPr>
          <w:rFonts w:cstheme="minorBidi"/>
          <w:color w:val="000000" w:themeColor="text1"/>
          <w:lang w:val="en-GB"/>
        </w:rPr>
        <w:t>.</w:t>
      </w:r>
      <w:r w:rsidR="001630E4" w:rsidRPr="689E1B1A">
        <w:rPr>
          <w:rFonts w:cstheme="minorBidi"/>
          <w:color w:val="000000" w:themeColor="text1"/>
          <w:lang w:val="en-GB"/>
        </w:rPr>
        <w:t xml:space="preserve"> </w:t>
      </w:r>
      <w:r>
        <w:rPr>
          <w:rFonts w:cstheme="minorBidi"/>
          <w:color w:val="000000" w:themeColor="text1"/>
          <w:lang w:val="en-GB"/>
        </w:rPr>
        <w:t xml:space="preserve">Having </w:t>
      </w:r>
      <w:r w:rsidR="001630E4">
        <w:t xml:space="preserve">jointly owned performance targets would </w:t>
      </w:r>
      <w:r w:rsidR="00426D8D">
        <w:t>support</w:t>
      </w:r>
      <w:r>
        <w:t xml:space="preserve"> </w:t>
      </w:r>
      <w:r w:rsidR="001630E4">
        <w:t xml:space="preserve">the shared </w:t>
      </w:r>
      <w:r>
        <w:t>g</w:t>
      </w:r>
      <w:r w:rsidR="001630E4">
        <w:t xml:space="preserve">overnment and </w:t>
      </w:r>
      <w:r>
        <w:t>i</w:t>
      </w:r>
      <w:r w:rsidR="001630E4">
        <w:t>ndustry goal of minimising the time to complete HTA</w:t>
      </w:r>
      <w:r w:rsidR="00CF1BD2">
        <w:t>s</w:t>
      </w:r>
      <w:r w:rsidR="001630E4">
        <w:t xml:space="preserve"> and commercial agreements for important health technologies that are superior to existing therapies. </w:t>
      </w:r>
    </w:p>
    <w:p w14:paraId="08033CD6" w14:textId="77777777" w:rsidR="001630E4" w:rsidRPr="0019054D" w:rsidRDefault="001630E4" w:rsidP="001630E4">
      <w:pPr>
        <w:pStyle w:val="Heading3"/>
      </w:pPr>
      <w:r>
        <w:rPr>
          <w:bCs/>
        </w:rPr>
        <w:t>B</w:t>
      </w:r>
      <w:r w:rsidRPr="0019054D">
        <w:t>ridging fund</w:t>
      </w:r>
    </w:p>
    <w:p w14:paraId="7F41A405" w14:textId="183AD4FE" w:rsidR="001630E4" w:rsidRDefault="001630E4" w:rsidP="00A1076D">
      <w:pPr>
        <w:rPr>
          <w:rFonts w:cs="Segoe UI"/>
        </w:rPr>
      </w:pPr>
      <w:r>
        <w:rPr>
          <w:rFonts w:cs="Segoe UI"/>
        </w:rPr>
        <w:t>The Review recommends establish</w:t>
      </w:r>
      <w:r w:rsidR="00433B61">
        <w:rPr>
          <w:rFonts w:cs="Segoe UI"/>
        </w:rPr>
        <w:t>ing</w:t>
      </w:r>
      <w:r>
        <w:rPr>
          <w:rFonts w:cs="Segoe UI"/>
        </w:rPr>
        <w:t xml:space="preserve"> a </w:t>
      </w:r>
      <w:r w:rsidR="00433B61">
        <w:rPr>
          <w:rFonts w:cs="Segoe UI"/>
        </w:rPr>
        <w:t>b</w:t>
      </w:r>
      <w:r>
        <w:rPr>
          <w:rFonts w:cs="Segoe UI"/>
        </w:rPr>
        <w:t xml:space="preserve">ridging </w:t>
      </w:r>
      <w:r w:rsidR="00433B61">
        <w:rPr>
          <w:rFonts w:cs="Segoe UI"/>
        </w:rPr>
        <w:t>f</w:t>
      </w:r>
      <w:r>
        <w:rPr>
          <w:rFonts w:cs="Segoe UI"/>
        </w:rPr>
        <w:t xml:space="preserve">und to reduce waiting times for health technologies </w:t>
      </w:r>
      <w:r w:rsidR="00433B61">
        <w:rPr>
          <w:rFonts w:cs="Segoe UI"/>
        </w:rPr>
        <w:t>with</w:t>
      </w:r>
      <w:r w:rsidR="00CE4440">
        <w:rPr>
          <w:rFonts w:cs="Segoe UI"/>
        </w:rPr>
        <w:t xml:space="preserve"> high </w:t>
      </w:r>
      <w:r w:rsidR="006C5568">
        <w:rPr>
          <w:rFonts w:cs="Segoe UI"/>
        </w:rPr>
        <w:t xml:space="preserve">added therapeutic value </w:t>
      </w:r>
      <w:r>
        <w:rPr>
          <w:rFonts w:cs="Segoe UI"/>
        </w:rPr>
        <w:t>that target areas of high</w:t>
      </w:r>
      <w:r w:rsidR="008C73A9">
        <w:rPr>
          <w:rFonts w:cs="Segoe UI"/>
        </w:rPr>
        <w:t xml:space="preserve"> unmet </w:t>
      </w:r>
      <w:r>
        <w:rPr>
          <w:rFonts w:cs="Segoe UI"/>
        </w:rPr>
        <w:t>clinical need</w:t>
      </w:r>
      <w:r w:rsidR="00F536DB">
        <w:rPr>
          <w:rFonts w:cs="Segoe UI"/>
        </w:rPr>
        <w:t xml:space="preserve"> (HUCN)</w:t>
      </w:r>
      <w:r>
        <w:rPr>
          <w:rFonts w:cs="Segoe UI"/>
        </w:rPr>
        <w:t>.</w:t>
      </w:r>
    </w:p>
    <w:p w14:paraId="143E628F" w14:textId="2409E067" w:rsidR="001630E4" w:rsidRDefault="001630E4" w:rsidP="00A1076D">
      <w:pPr>
        <w:rPr>
          <w:rFonts w:cs="Segoe UI"/>
        </w:rPr>
      </w:pPr>
      <w:r w:rsidRPr="0A6D1F1C">
        <w:rPr>
          <w:rFonts w:cs="Segoe UI"/>
        </w:rPr>
        <w:t>Stakeholder feedback from patients, industry</w:t>
      </w:r>
      <w:r w:rsidR="0059587D">
        <w:rPr>
          <w:rFonts w:cs="Segoe UI"/>
        </w:rPr>
        <w:t xml:space="preserve"> members</w:t>
      </w:r>
      <w:r w:rsidRPr="0A6D1F1C">
        <w:rPr>
          <w:rFonts w:cs="Segoe UI"/>
        </w:rPr>
        <w:t xml:space="preserve">, clinician groups and healthcare payers </w:t>
      </w:r>
      <w:r w:rsidR="00933F06" w:rsidRPr="00F83813">
        <w:rPr>
          <w:rFonts w:cs="Segoe UI"/>
        </w:rPr>
        <w:t>(i.e. governments)</w:t>
      </w:r>
      <w:r w:rsidR="00933F06">
        <w:rPr>
          <w:rFonts w:cs="Segoe UI"/>
        </w:rPr>
        <w:t xml:space="preserve"> </w:t>
      </w:r>
      <w:r w:rsidRPr="0A6D1F1C">
        <w:rPr>
          <w:rFonts w:cs="Segoe UI"/>
        </w:rPr>
        <w:t xml:space="preserve">consistently emphasised the importance of alternative approaches to managing clinical, economic and/or budget impact uncertainties identified during an HTA evaluation. </w:t>
      </w:r>
    </w:p>
    <w:p w14:paraId="3857BC7A" w14:textId="28DC747E" w:rsidR="001630E4" w:rsidRDefault="00253BA2" w:rsidP="000C5623">
      <w:pPr>
        <w:keepNext/>
        <w:rPr>
          <w:rFonts w:cs="Segoe UI"/>
        </w:rPr>
      </w:pPr>
      <w:r>
        <w:rPr>
          <w:rFonts w:cs="Segoe UI"/>
        </w:rPr>
        <w:lastRenderedPageBreak/>
        <w:t>A</w:t>
      </w:r>
      <w:r w:rsidR="001630E4" w:rsidRPr="00D926DF">
        <w:rPr>
          <w:rFonts w:cs="Segoe UI"/>
        </w:rPr>
        <w:t xml:space="preserve">lternative approaches used internationally at a broad health systems level </w:t>
      </w:r>
      <w:r w:rsidR="001630E4">
        <w:rPr>
          <w:rFonts w:cs="Segoe UI"/>
        </w:rPr>
        <w:t xml:space="preserve">include </w:t>
      </w:r>
      <w:r w:rsidR="001630E4" w:rsidRPr="00D926DF">
        <w:rPr>
          <w:rFonts w:cs="Segoe UI"/>
        </w:rPr>
        <w:t>special funding (bridging) programs</w:t>
      </w:r>
      <w:r w:rsidR="0059587D">
        <w:rPr>
          <w:rFonts w:cs="Segoe UI"/>
        </w:rPr>
        <w:t xml:space="preserve"> that</w:t>
      </w:r>
      <w:r w:rsidR="001630E4">
        <w:rPr>
          <w:rFonts w:cs="Segoe UI"/>
        </w:rPr>
        <w:t>:</w:t>
      </w:r>
    </w:p>
    <w:p w14:paraId="18E65476" w14:textId="5C5C8AC8" w:rsidR="001630E4" w:rsidRDefault="001630E4" w:rsidP="00274AA9">
      <w:pPr>
        <w:pStyle w:val="ListBullet"/>
      </w:pPr>
      <w:r w:rsidRPr="00D926DF">
        <w:t>balance the need to manage the mix of uncertainty and risk identified during the HTA process at a more general health expenditure level (</w:t>
      </w:r>
      <w:r w:rsidR="0059587D">
        <w:t>by using</w:t>
      </w:r>
      <w:r w:rsidRPr="00D926DF">
        <w:t xml:space="preserve"> funding </w:t>
      </w:r>
      <w:r w:rsidR="0059587D">
        <w:t xml:space="preserve">that is </w:t>
      </w:r>
      <w:r w:rsidRPr="00D926DF">
        <w:t xml:space="preserve">distinct from standard healthcare expenditure arrangements) </w:t>
      </w:r>
    </w:p>
    <w:p w14:paraId="5742F8ED" w14:textId="29F297E0" w:rsidR="001630E4" w:rsidRPr="00274AA9" w:rsidRDefault="001630E4" w:rsidP="00274AA9">
      <w:pPr>
        <w:pStyle w:val="ListBullet"/>
      </w:pPr>
      <w:r w:rsidRPr="00274AA9">
        <w:t>provid</w:t>
      </w:r>
      <w:r w:rsidR="0059587D" w:rsidRPr="00274AA9">
        <w:t xml:space="preserve">e </w:t>
      </w:r>
      <w:r w:rsidRPr="00274AA9">
        <w:t xml:space="preserve">an avenue for health technologies of high clinical significance to reach patients earlier than standard access approaches (to improve health equity outcomes) while identified uncertainties are resolved </w:t>
      </w:r>
      <w:r w:rsidR="003F66DD" w:rsidRPr="00274AA9">
        <w:t xml:space="preserve">(for example </w:t>
      </w:r>
      <w:r w:rsidRPr="00274AA9">
        <w:t>as part of further evaluation, stakeholder negotiation or data collection</w:t>
      </w:r>
      <w:r w:rsidR="003F66DD" w:rsidRPr="00274AA9">
        <w:t>)</w:t>
      </w:r>
      <w:r w:rsidRPr="00274AA9">
        <w:t>.</w:t>
      </w:r>
    </w:p>
    <w:p w14:paraId="3F546F91" w14:textId="60E3163C" w:rsidR="001630E4" w:rsidRPr="00016BBD" w:rsidRDefault="001630E4" w:rsidP="00A1076D">
      <w:pPr>
        <w:rPr>
          <w:rFonts w:eastAsiaTheme="majorEastAsia" w:cs="Segoe UI"/>
        </w:rPr>
      </w:pPr>
      <w:r>
        <w:rPr>
          <w:rFonts w:cs="Segoe UI"/>
        </w:rPr>
        <w:t>In recommend</w:t>
      </w:r>
      <w:r w:rsidR="0059587D">
        <w:rPr>
          <w:rFonts w:cs="Segoe UI"/>
        </w:rPr>
        <w:t>ing</w:t>
      </w:r>
      <w:r>
        <w:rPr>
          <w:rFonts w:cs="Segoe UI"/>
        </w:rPr>
        <w:t xml:space="preserve"> a bridging fund, the </w:t>
      </w:r>
      <w:r w:rsidRPr="007C2BD9">
        <w:rPr>
          <w:rFonts w:cs="Segoe UI"/>
        </w:rPr>
        <w:t xml:space="preserve">Review </w:t>
      </w:r>
      <w:r>
        <w:rPr>
          <w:rFonts w:cs="Segoe UI"/>
        </w:rPr>
        <w:t xml:space="preserve">noted from international experiences </w:t>
      </w:r>
      <w:r w:rsidR="0059587D">
        <w:rPr>
          <w:rFonts w:cs="Segoe UI"/>
        </w:rPr>
        <w:t xml:space="preserve">that </w:t>
      </w:r>
      <w:r>
        <w:rPr>
          <w:rFonts w:cs="Segoe UI"/>
        </w:rPr>
        <w:t xml:space="preserve">large financial outlays </w:t>
      </w:r>
      <w:r w:rsidR="0059587D">
        <w:rPr>
          <w:rFonts w:cs="Segoe UI"/>
        </w:rPr>
        <w:t xml:space="preserve">are </w:t>
      </w:r>
      <w:r>
        <w:rPr>
          <w:rFonts w:cs="Segoe UI"/>
        </w:rPr>
        <w:t xml:space="preserve">required </w:t>
      </w:r>
      <w:r w:rsidR="0059587D">
        <w:rPr>
          <w:rFonts w:cs="Segoe UI"/>
        </w:rPr>
        <w:t>to set up</w:t>
      </w:r>
      <w:r>
        <w:rPr>
          <w:rFonts w:cs="Segoe UI"/>
        </w:rPr>
        <w:t xml:space="preserve"> such a fund</w:t>
      </w:r>
      <w:r w:rsidR="003250AB">
        <w:rPr>
          <w:rFonts w:cs="Segoe UI"/>
        </w:rPr>
        <w:t>.</w:t>
      </w:r>
      <w:r>
        <w:rPr>
          <w:rFonts w:cs="Segoe UI"/>
        </w:rPr>
        <w:t xml:space="preserve"> </w:t>
      </w:r>
      <w:r w:rsidR="0059587D">
        <w:rPr>
          <w:rFonts w:cs="Segoe UI"/>
        </w:rPr>
        <w:t>These arrangements s</w:t>
      </w:r>
      <w:r w:rsidRPr="007C2BD9">
        <w:rPr>
          <w:rFonts w:cs="Segoe UI"/>
        </w:rPr>
        <w:t>ucce</w:t>
      </w:r>
      <w:r w:rsidR="0059587D">
        <w:rPr>
          <w:rFonts w:cs="Segoe UI"/>
        </w:rPr>
        <w:t>ed when</w:t>
      </w:r>
      <w:r w:rsidR="00F131F4">
        <w:rPr>
          <w:rFonts w:cs="Segoe UI"/>
        </w:rPr>
        <w:t xml:space="preserve"> </w:t>
      </w:r>
      <w:r w:rsidRPr="007C2BD9">
        <w:rPr>
          <w:rFonts w:cs="Segoe UI"/>
        </w:rPr>
        <w:t>stakeholder</w:t>
      </w:r>
      <w:r w:rsidR="001F6BC7">
        <w:rPr>
          <w:rFonts w:cs="Segoe UI"/>
        </w:rPr>
        <w:t>s</w:t>
      </w:r>
      <w:r w:rsidRPr="007C2BD9">
        <w:rPr>
          <w:rFonts w:cs="Segoe UI"/>
        </w:rPr>
        <w:t xml:space="preserve"> negotiate and participate in </w:t>
      </w:r>
      <w:r>
        <w:rPr>
          <w:rFonts w:cs="Segoe UI"/>
        </w:rPr>
        <w:t>the</w:t>
      </w:r>
      <w:r w:rsidR="0059587D">
        <w:rPr>
          <w:rFonts w:cs="Segoe UI"/>
        </w:rPr>
        <w:t>m</w:t>
      </w:r>
      <w:r>
        <w:rPr>
          <w:rFonts w:cs="Segoe UI"/>
        </w:rPr>
        <w:t xml:space="preserve"> in good </w:t>
      </w:r>
      <w:proofErr w:type="gramStart"/>
      <w:r>
        <w:rPr>
          <w:rFonts w:cs="Segoe UI"/>
        </w:rPr>
        <w:t>faith, and</w:t>
      </w:r>
      <w:proofErr w:type="gramEnd"/>
      <w:r>
        <w:rPr>
          <w:rFonts w:cs="Segoe UI"/>
        </w:rPr>
        <w:t xml:space="preserve"> </w:t>
      </w:r>
      <w:r w:rsidRPr="007C2BD9">
        <w:rPr>
          <w:rFonts w:cs="Segoe UI"/>
        </w:rPr>
        <w:t>deliver on agreed responsibilities and obligations in a timely and efficient manner</w:t>
      </w:r>
      <w:r>
        <w:rPr>
          <w:rFonts w:cs="Segoe UI"/>
        </w:rPr>
        <w:t xml:space="preserve"> (including in cases where </w:t>
      </w:r>
      <w:r w:rsidR="0059587D">
        <w:rPr>
          <w:rFonts w:cs="Segoe UI"/>
        </w:rPr>
        <w:t xml:space="preserve">it is necessary to </w:t>
      </w:r>
      <w:r w:rsidR="00E318A3">
        <w:rPr>
          <w:rFonts w:cs="Segoe UI"/>
        </w:rPr>
        <w:t xml:space="preserve">withdraw </w:t>
      </w:r>
      <w:r w:rsidR="00643AB4">
        <w:rPr>
          <w:rFonts w:cs="Segoe UI"/>
        </w:rPr>
        <w:t>bridging funding</w:t>
      </w:r>
      <w:r w:rsidRPr="004D3B2F">
        <w:rPr>
          <w:rFonts w:cs="Segoe UI"/>
        </w:rPr>
        <w:t xml:space="preserve"> and transition away</w:t>
      </w:r>
      <w:r>
        <w:rPr>
          <w:rFonts w:cs="Segoe UI"/>
        </w:rPr>
        <w:t xml:space="preserve"> from us</w:t>
      </w:r>
      <w:r w:rsidR="0059587D">
        <w:rPr>
          <w:rFonts w:cs="Segoe UI"/>
        </w:rPr>
        <w:t xml:space="preserve">ing </w:t>
      </w:r>
      <w:r>
        <w:rPr>
          <w:rFonts w:cs="Segoe UI"/>
        </w:rPr>
        <w:t>a given health technology)</w:t>
      </w:r>
      <w:r w:rsidRPr="007C2BD9">
        <w:rPr>
          <w:rFonts w:cs="Segoe UI"/>
        </w:rPr>
        <w:t>.</w:t>
      </w:r>
    </w:p>
    <w:p w14:paraId="2548F4DB" w14:textId="77777777" w:rsidR="001630E4" w:rsidRPr="00542C16" w:rsidRDefault="001630E4" w:rsidP="001630E4">
      <w:pPr>
        <w:pStyle w:val="Heading3"/>
      </w:pPr>
      <w:r w:rsidRPr="00542C16">
        <w:t>Antimicrobial resistance</w:t>
      </w:r>
    </w:p>
    <w:p w14:paraId="7AE62D9A" w14:textId="6658F759" w:rsidR="001630E4" w:rsidRDefault="001630E4" w:rsidP="00A1076D">
      <w:r>
        <w:t>The Review recommend</w:t>
      </w:r>
      <w:r w:rsidR="00B37371">
        <w:t>s</w:t>
      </w:r>
      <w:r>
        <w:t xml:space="preserve"> incentiv</w:t>
      </w:r>
      <w:r w:rsidR="00B37371">
        <w:t xml:space="preserve">es </w:t>
      </w:r>
      <w:r w:rsidR="00D96F90">
        <w:t xml:space="preserve">for </w:t>
      </w:r>
      <w:r>
        <w:t>companies to supply and market antimicrobials in Australia.</w:t>
      </w:r>
    </w:p>
    <w:p w14:paraId="6B70680D" w14:textId="5AB938A7" w:rsidR="001630E4" w:rsidRDefault="001630E4" w:rsidP="00A1076D">
      <w:r w:rsidRPr="0097562D">
        <w:t xml:space="preserve">The rise of </w:t>
      </w:r>
      <w:r>
        <w:t>antimicrobial resistance</w:t>
      </w:r>
      <w:r w:rsidRPr="0097562D">
        <w:t xml:space="preserve"> </w:t>
      </w:r>
      <w:r>
        <w:t xml:space="preserve">has significant </w:t>
      </w:r>
      <w:r w:rsidRPr="0097562D">
        <w:t>effect</w:t>
      </w:r>
      <w:r>
        <w:t>s</w:t>
      </w:r>
      <w:r w:rsidRPr="0097562D">
        <w:t xml:space="preserve"> on disease burden and poses a threat to the financial sustainability of </w:t>
      </w:r>
      <w:r>
        <w:t xml:space="preserve">global </w:t>
      </w:r>
      <w:r w:rsidRPr="0097562D">
        <w:t>health systems and the broader economy</w:t>
      </w:r>
      <w:r>
        <w:t>. However, due</w:t>
      </w:r>
      <w:r w:rsidRPr="0097562D">
        <w:t xml:space="preserve"> to </w:t>
      </w:r>
      <w:r>
        <w:t xml:space="preserve">a </w:t>
      </w:r>
      <w:r w:rsidRPr="0097562D">
        <w:t>low return on investment through existing reimbursement methods</w:t>
      </w:r>
      <w:r>
        <w:t>, the market is failing to incentivise the development of</w:t>
      </w:r>
      <w:r w:rsidRPr="0097562D">
        <w:t xml:space="preserve"> new antimicrobial</w:t>
      </w:r>
      <w:r>
        <w:t xml:space="preserve">s. </w:t>
      </w:r>
    </w:p>
    <w:p w14:paraId="5254A558" w14:textId="3B85C5CF" w:rsidR="001630E4" w:rsidRDefault="001630E4" w:rsidP="00A1076D">
      <w:r w:rsidRPr="009D5BFA">
        <w:t>The</w:t>
      </w:r>
      <w:r w:rsidR="00AE59E2">
        <w:t xml:space="preserve">re are </w:t>
      </w:r>
      <w:r w:rsidRPr="009D5BFA">
        <w:t xml:space="preserve">opportunities across HTA processes and policies </w:t>
      </w:r>
      <w:r>
        <w:t>to support</w:t>
      </w:r>
      <w:r w:rsidRPr="009D5BFA">
        <w:t xml:space="preserve"> greater investment </w:t>
      </w:r>
      <w:r w:rsidR="00DA4245" w:rsidRPr="004D3B2F">
        <w:t>in developing new antimicrobials</w:t>
      </w:r>
      <w:r w:rsidR="004D3B2F">
        <w:t>, including by</w:t>
      </w:r>
      <w:r w:rsidRPr="009D5BFA">
        <w:t xml:space="preserve"> remov</w:t>
      </w:r>
      <w:r w:rsidR="00DA4245">
        <w:t>ing</w:t>
      </w:r>
      <w:r w:rsidRPr="009D5BFA">
        <w:t xml:space="preserve"> barriers in the </w:t>
      </w:r>
      <w:r>
        <w:t xml:space="preserve">market authorisation, </w:t>
      </w:r>
      <w:r w:rsidRPr="009D5BFA">
        <w:t xml:space="preserve">evaluation </w:t>
      </w:r>
      <w:r>
        <w:t xml:space="preserve">and funding </w:t>
      </w:r>
      <w:r w:rsidRPr="009D5BFA">
        <w:t xml:space="preserve">of </w:t>
      </w:r>
      <w:r>
        <w:t xml:space="preserve">antimicrobials. It is noted </w:t>
      </w:r>
      <w:r w:rsidR="00DA4245">
        <w:t xml:space="preserve">that </w:t>
      </w:r>
      <w:r>
        <w:t xml:space="preserve">work has </w:t>
      </w:r>
      <w:r w:rsidR="00DA4245">
        <w:t>beg</w:t>
      </w:r>
      <w:r w:rsidR="004D3B2F">
        <w:t>u</w:t>
      </w:r>
      <w:r w:rsidR="00DA4245">
        <w:t xml:space="preserve">n on scoping </w:t>
      </w:r>
      <w:r>
        <w:t>potential</w:t>
      </w:r>
      <w:r w:rsidRPr="005F33F6">
        <w:t xml:space="preserve"> funding mechanisms</w:t>
      </w:r>
      <w:r>
        <w:t>. H</w:t>
      </w:r>
      <w:r w:rsidRPr="005F33F6">
        <w:t>owever</w:t>
      </w:r>
      <w:r>
        <w:t>,</w:t>
      </w:r>
      <w:r w:rsidRPr="005F33F6">
        <w:t xml:space="preserve"> </w:t>
      </w:r>
      <w:r w:rsidRPr="005F33F6">
        <w:rPr>
          <w:rFonts w:eastAsia="Calibri"/>
        </w:rPr>
        <w:t xml:space="preserve">action </w:t>
      </w:r>
      <w:r>
        <w:rPr>
          <w:rFonts w:eastAsia="Calibri"/>
        </w:rPr>
        <w:t>i</w:t>
      </w:r>
      <w:r w:rsidRPr="005F33F6">
        <w:rPr>
          <w:rFonts w:eastAsia="Calibri"/>
        </w:rPr>
        <w:t xml:space="preserve">s required to reduce disincentives for organisations seeking funding </w:t>
      </w:r>
      <w:r w:rsidR="00DA4245" w:rsidRPr="004D3B2F">
        <w:rPr>
          <w:rFonts w:eastAsia="Calibri"/>
        </w:rPr>
        <w:t>to develop</w:t>
      </w:r>
      <w:r w:rsidRPr="005F33F6">
        <w:rPr>
          <w:rFonts w:eastAsia="Calibri"/>
        </w:rPr>
        <w:t xml:space="preserve"> antimicrobials.</w:t>
      </w:r>
    </w:p>
    <w:p w14:paraId="14580D18" w14:textId="0EBF3510" w:rsidR="001630E4" w:rsidRPr="00BB42C7" w:rsidRDefault="001630E4" w:rsidP="001630E4">
      <w:pPr>
        <w:pStyle w:val="Heading2"/>
      </w:pPr>
      <w:bookmarkStart w:id="34" w:name="_Toc171935850"/>
      <w:r w:rsidRPr="00BB42C7">
        <w:t xml:space="preserve">Improving </w:t>
      </w:r>
      <w:r>
        <w:t xml:space="preserve">transparency and </w:t>
      </w:r>
      <w:r w:rsidRPr="00BB42C7">
        <w:t>engagement</w:t>
      </w:r>
      <w:bookmarkEnd w:id="34"/>
    </w:p>
    <w:p w14:paraId="10FB0952" w14:textId="5D5AC72A" w:rsidR="001630E4" w:rsidRPr="00EA1227" w:rsidRDefault="001630E4" w:rsidP="001630E4">
      <w:pPr>
        <w:pStyle w:val="Heading3"/>
      </w:pPr>
      <w:r>
        <w:t>Engagement framework</w:t>
      </w:r>
    </w:p>
    <w:p w14:paraId="09A139BA" w14:textId="1720CDCD" w:rsidR="001630E4" w:rsidRDefault="001630E4" w:rsidP="00A1076D">
      <w:r>
        <w:t xml:space="preserve">Effective stakeholder engagement is fundamental to achieving </w:t>
      </w:r>
      <w:r w:rsidRPr="00B61FDC">
        <w:t>the goals of the</w:t>
      </w:r>
      <w:r w:rsidR="00453069" w:rsidRPr="00B61FDC">
        <w:t xml:space="preserve"> </w:t>
      </w:r>
      <w:r w:rsidR="00227F50" w:rsidRPr="00B61FDC">
        <w:t>NMP</w:t>
      </w:r>
      <w:r w:rsidR="00212656" w:rsidRPr="00B61FDC">
        <w:rPr>
          <w:rStyle w:val="FootnoteReference"/>
        </w:rPr>
        <w:footnoteReference w:id="10"/>
      </w:r>
      <w:r w:rsidRPr="00B61FDC">
        <w:t xml:space="preserve"> and good HTA</w:t>
      </w:r>
      <w:r w:rsidR="0088233A">
        <w:t xml:space="preserve"> processes and methods</w:t>
      </w:r>
      <w:r w:rsidRPr="00BD34D3">
        <w:t>.</w:t>
      </w:r>
      <w:r w:rsidR="00453069">
        <w:t xml:space="preserve"> </w:t>
      </w:r>
      <w:r w:rsidR="00253BA2">
        <w:t>H</w:t>
      </w:r>
      <w:r w:rsidR="00F75BDE">
        <w:t>aving</w:t>
      </w:r>
      <w:r>
        <w:t xml:space="preserve"> an engagement framework</w:t>
      </w:r>
      <w:r w:rsidR="00F75BDE">
        <w:t xml:space="preserve"> for</w:t>
      </w:r>
      <w:r>
        <w:t xml:space="preserve"> the </w:t>
      </w:r>
      <w:r w:rsidR="00F75BDE">
        <w:t xml:space="preserve">entire </w:t>
      </w:r>
      <w:r>
        <w:t xml:space="preserve">HTA continuum would help </w:t>
      </w:r>
      <w:r w:rsidR="00F75BDE">
        <w:t xml:space="preserve">fully </w:t>
      </w:r>
      <w:r>
        <w:t xml:space="preserve">realise the potential value of </w:t>
      </w:r>
      <w:r w:rsidR="00CD6CD9">
        <w:t>stakeholder involvement</w:t>
      </w:r>
      <w:r>
        <w:t xml:space="preserve"> to support HTA committee decisions. </w:t>
      </w:r>
      <w:r w:rsidR="00097E36">
        <w:t xml:space="preserve">The Review </w:t>
      </w:r>
      <w:r w:rsidR="00F87433">
        <w:t>acknowledges</w:t>
      </w:r>
      <w:r w:rsidR="00097E36">
        <w:t xml:space="preserve"> that </w:t>
      </w:r>
      <w:r w:rsidR="00F87433">
        <w:t xml:space="preserve">there is </w:t>
      </w:r>
      <w:r w:rsidR="00097E36">
        <w:t>a</w:t>
      </w:r>
      <w:r w:rsidR="00F87433" w:rsidRPr="00F87433">
        <w:t xml:space="preserve"> </w:t>
      </w:r>
      <w:r w:rsidR="00F87433" w:rsidRPr="00066066">
        <w:t>complementary</w:t>
      </w:r>
      <w:r w:rsidR="00C529C0">
        <w:t xml:space="preserve"> </w:t>
      </w:r>
      <w:r w:rsidR="00FB3C2D">
        <w:t>a</w:t>
      </w:r>
      <w:r w:rsidR="00097E36">
        <w:t xml:space="preserve">n </w:t>
      </w:r>
      <w:bookmarkStart w:id="35" w:name="_Hlk167182767"/>
      <w:r w:rsidRPr="00066066">
        <w:t>Enhanced Consumer Engagement Process</w:t>
      </w:r>
      <w:bookmarkEnd w:id="35"/>
      <w:r>
        <w:t xml:space="preserve"> </w:t>
      </w:r>
      <w:r w:rsidR="00020F5D" w:rsidRPr="00B27BBB">
        <w:t>currently under</w:t>
      </w:r>
      <w:r w:rsidR="00020F5D">
        <w:t xml:space="preserve"> way.</w:t>
      </w:r>
      <w:r>
        <w:t xml:space="preserve"> </w:t>
      </w:r>
      <w:r>
        <w:lastRenderedPageBreak/>
        <w:t xml:space="preserve">This work </w:t>
      </w:r>
      <w:r w:rsidR="00AD02B5">
        <w:t xml:space="preserve">was initiated as an element of the </w:t>
      </w:r>
      <w:r w:rsidR="00AD02B5" w:rsidRPr="004C0787">
        <w:rPr>
          <w:i/>
        </w:rPr>
        <w:t xml:space="preserve">2022–2027 Strategic Agreement between the Commonwealth and </w:t>
      </w:r>
      <w:r w:rsidR="00AD02B5" w:rsidRPr="00B27BBB">
        <w:rPr>
          <w:i/>
        </w:rPr>
        <w:t>Medicines Australia</w:t>
      </w:r>
      <w:r w:rsidR="00AD02B5" w:rsidRPr="000C5623">
        <w:rPr>
          <w:iCs/>
        </w:rPr>
        <w:t>,</w:t>
      </w:r>
      <w:r w:rsidR="00AD02B5">
        <w:rPr>
          <w:rStyle w:val="FootnoteReference"/>
        </w:rPr>
        <w:footnoteReference w:id="11"/>
      </w:r>
      <w:r w:rsidR="00AD02B5">
        <w:t xml:space="preserve"> and i</w:t>
      </w:r>
      <w:r>
        <w:t xml:space="preserve">s being </w:t>
      </w:r>
      <w:r w:rsidR="00F75BDE">
        <w:t>undertaken</w:t>
      </w:r>
      <w:r>
        <w:t xml:space="preserve"> via a consumer-led co-design process informed by consumers, </w:t>
      </w:r>
      <w:r w:rsidR="00F75BDE">
        <w:t xml:space="preserve">representatives of the </w:t>
      </w:r>
      <w:r>
        <w:t xml:space="preserve">Department </w:t>
      </w:r>
      <w:r w:rsidR="00F75BDE">
        <w:t>of Health and Aged Care</w:t>
      </w:r>
      <w:r w:rsidR="00897CB5">
        <w:t xml:space="preserve"> (the Department)</w:t>
      </w:r>
      <w:r w:rsidR="00D602A4">
        <w:t>,</w:t>
      </w:r>
      <w:r>
        <w:t xml:space="preserve"> industry</w:t>
      </w:r>
      <w:r w:rsidR="00D602A4">
        <w:t xml:space="preserve"> representatives</w:t>
      </w:r>
      <w:r w:rsidR="00F75BDE">
        <w:t>,</w:t>
      </w:r>
      <w:r>
        <w:t xml:space="preserve"> and other stakeholders. </w:t>
      </w:r>
    </w:p>
    <w:p w14:paraId="09304B1F" w14:textId="7906DDF8" w:rsidR="001630E4" w:rsidRPr="00FD17E0" w:rsidRDefault="001630E4" w:rsidP="00E3532F">
      <w:pPr>
        <w:pStyle w:val="Heading3"/>
      </w:pPr>
      <w:r w:rsidRPr="00E3532F">
        <w:t>Improving</w:t>
      </w:r>
      <w:r w:rsidRPr="00172A52">
        <w:t xml:space="preserve"> communication and transparency</w:t>
      </w:r>
      <w:r w:rsidRPr="00FD17E0">
        <w:t xml:space="preserve"> </w:t>
      </w:r>
    </w:p>
    <w:p w14:paraId="1CBEA0BB" w14:textId="6A870C01" w:rsidR="001630E4" w:rsidRDefault="00A84D78" w:rsidP="00E3532F">
      <w:r>
        <w:t>M</w:t>
      </w:r>
      <w:r w:rsidR="001630E4" w:rsidRPr="760B44C9">
        <w:t>ultiple</w:t>
      </w:r>
      <w:r w:rsidR="001630E4" w:rsidRPr="00180933">
        <w:t xml:space="preserve"> solutions </w:t>
      </w:r>
      <w:r>
        <w:t xml:space="preserve">are required </w:t>
      </w:r>
      <w:r w:rsidR="001630E4" w:rsidRPr="00180933">
        <w:t>to improve communication and transparency</w:t>
      </w:r>
      <w:r w:rsidR="00066066">
        <w:t>,</w:t>
      </w:r>
      <w:r w:rsidR="001630E4" w:rsidRPr="00180933">
        <w:t xml:space="preserve"> to optimise how patients, consumers, health professionals and other stakeholders engage across all HTA processes. </w:t>
      </w:r>
    </w:p>
    <w:p w14:paraId="5828EFD0" w14:textId="7B7BDB9E" w:rsidR="001630E4" w:rsidRDefault="00066066" w:rsidP="00E3532F">
      <w:pPr>
        <w:rPr>
          <w:lang w:val="en-US"/>
        </w:rPr>
      </w:pPr>
      <w:r>
        <w:rPr>
          <w:lang w:val="en-US"/>
        </w:rPr>
        <w:t>During consultations, t</w:t>
      </w:r>
      <w:r w:rsidR="001630E4" w:rsidRPr="4108A4FC">
        <w:rPr>
          <w:lang w:val="en-US"/>
        </w:rPr>
        <w:t xml:space="preserve">he Review </w:t>
      </w:r>
      <w:r w:rsidR="001630E4" w:rsidRPr="30B48A36">
        <w:rPr>
          <w:lang w:val="en-US"/>
        </w:rPr>
        <w:t>heard</w:t>
      </w:r>
      <w:r w:rsidR="001630E4" w:rsidRPr="4108A4FC">
        <w:rPr>
          <w:lang w:val="en-US"/>
        </w:rPr>
        <w:t xml:space="preserve"> that stakeholders often cannot find the information they </w:t>
      </w:r>
      <w:r w:rsidR="00495A88">
        <w:rPr>
          <w:lang w:val="en-US"/>
        </w:rPr>
        <w:t>need</w:t>
      </w:r>
      <w:r w:rsidR="00780F0C">
        <w:rPr>
          <w:lang w:val="en-US"/>
        </w:rPr>
        <w:t xml:space="preserve"> </w:t>
      </w:r>
      <w:r w:rsidR="00F060A8">
        <w:rPr>
          <w:lang w:val="en-US"/>
        </w:rPr>
        <w:t xml:space="preserve">relating to </w:t>
      </w:r>
      <w:r w:rsidR="00F060A8" w:rsidRPr="00606BC0">
        <w:rPr>
          <w:lang w:val="en-US"/>
        </w:rPr>
        <w:t>HTA policies, systems or submission</w:t>
      </w:r>
      <w:r w:rsidR="00106491">
        <w:rPr>
          <w:lang w:val="en-US"/>
        </w:rPr>
        <w:t>s</w:t>
      </w:r>
      <w:r w:rsidR="00F060A8" w:rsidRPr="00606BC0">
        <w:rPr>
          <w:lang w:val="en-US"/>
        </w:rPr>
        <w:t xml:space="preserve">. </w:t>
      </w:r>
      <w:r w:rsidR="00EF34D8" w:rsidRPr="00606BC0">
        <w:rPr>
          <w:lang w:val="en-US"/>
        </w:rPr>
        <w:t xml:space="preserve">Further, stakeholders are not satisfied with existing plain language explanations of HTA pathways and guidelines.  </w:t>
      </w:r>
      <w:r w:rsidR="00FF3B97" w:rsidRPr="00606BC0">
        <w:rPr>
          <w:lang w:val="en-US"/>
        </w:rPr>
        <w:t>While</w:t>
      </w:r>
      <w:r w:rsidR="0049334D" w:rsidRPr="00606BC0">
        <w:rPr>
          <w:lang w:val="en-US"/>
        </w:rPr>
        <w:t xml:space="preserve"> </w:t>
      </w:r>
      <w:r w:rsidR="000A0F45" w:rsidRPr="00606BC0">
        <w:rPr>
          <w:lang w:val="en-US"/>
        </w:rPr>
        <w:t>much</w:t>
      </w:r>
      <w:r w:rsidR="0049334D" w:rsidRPr="00606BC0">
        <w:rPr>
          <w:lang w:val="en-US"/>
        </w:rPr>
        <w:t xml:space="preserve"> information </w:t>
      </w:r>
      <w:r w:rsidR="000A0F45" w:rsidRPr="00606BC0">
        <w:rPr>
          <w:lang w:val="en-US"/>
        </w:rPr>
        <w:t xml:space="preserve">is </w:t>
      </w:r>
      <w:r w:rsidR="008B1036" w:rsidRPr="00606BC0">
        <w:rPr>
          <w:lang w:val="en-US"/>
        </w:rPr>
        <w:t>available</w:t>
      </w:r>
      <w:r w:rsidR="00495A88" w:rsidRPr="00606BC0">
        <w:rPr>
          <w:lang w:val="en-US"/>
        </w:rPr>
        <w:t xml:space="preserve"> </w:t>
      </w:r>
      <w:r w:rsidR="00FF3B97" w:rsidRPr="00606BC0">
        <w:rPr>
          <w:lang w:val="en-US"/>
        </w:rPr>
        <w:t xml:space="preserve">across the </w:t>
      </w:r>
      <w:r w:rsidR="0072161E" w:rsidRPr="00606BC0">
        <w:rPr>
          <w:lang w:val="en-US"/>
        </w:rPr>
        <w:t xml:space="preserve">different </w:t>
      </w:r>
      <w:r w:rsidR="00FF3B97" w:rsidRPr="00606BC0">
        <w:rPr>
          <w:lang w:val="en-US"/>
        </w:rPr>
        <w:t xml:space="preserve">HTA websites, </w:t>
      </w:r>
      <w:r w:rsidR="00C9513A" w:rsidRPr="00606BC0">
        <w:rPr>
          <w:lang w:val="en-US"/>
        </w:rPr>
        <w:t xml:space="preserve">it is difficult </w:t>
      </w:r>
      <w:r w:rsidR="00FE649A" w:rsidRPr="00606BC0">
        <w:rPr>
          <w:lang w:val="en-US"/>
        </w:rPr>
        <w:t>to navigate</w:t>
      </w:r>
      <w:r w:rsidR="00E4526E" w:rsidRPr="00606BC0">
        <w:rPr>
          <w:lang w:val="en-US"/>
        </w:rPr>
        <w:t xml:space="preserve"> </w:t>
      </w:r>
      <w:r w:rsidR="00C9513A" w:rsidRPr="00606BC0">
        <w:rPr>
          <w:lang w:val="en-US"/>
        </w:rPr>
        <w:t>or</w:t>
      </w:r>
      <w:r w:rsidR="007F448E" w:rsidRPr="00606BC0">
        <w:rPr>
          <w:lang w:val="en-US"/>
        </w:rPr>
        <w:t xml:space="preserve"> understand as it</w:t>
      </w:r>
      <w:r w:rsidR="001630E4" w:rsidRPr="00606BC0">
        <w:rPr>
          <w:lang w:val="en-US"/>
        </w:rPr>
        <w:t xml:space="preserve"> is presented in </w:t>
      </w:r>
      <w:r w:rsidR="006534AC" w:rsidRPr="00606BC0">
        <w:rPr>
          <w:lang w:val="en-US"/>
        </w:rPr>
        <w:t>technical</w:t>
      </w:r>
      <w:r w:rsidR="001630E4" w:rsidRPr="00606BC0">
        <w:rPr>
          <w:lang w:val="en-US"/>
        </w:rPr>
        <w:t xml:space="preserve"> language</w:t>
      </w:r>
      <w:r w:rsidR="001E025D" w:rsidRPr="00606BC0">
        <w:rPr>
          <w:lang w:val="en-US"/>
        </w:rPr>
        <w:t xml:space="preserve">, is ambiguous, </w:t>
      </w:r>
      <w:r w:rsidR="001630E4" w:rsidRPr="00606BC0">
        <w:rPr>
          <w:lang w:val="en-US"/>
        </w:rPr>
        <w:t xml:space="preserve">or deals with concepts that are not well explained. </w:t>
      </w:r>
      <w:r w:rsidR="007E5BA3" w:rsidRPr="00606BC0">
        <w:rPr>
          <w:lang w:val="en-US"/>
        </w:rPr>
        <w:t>The Review found t</w:t>
      </w:r>
      <w:r w:rsidR="00032184" w:rsidRPr="00606BC0">
        <w:rPr>
          <w:lang w:val="en-US"/>
        </w:rPr>
        <w:t>he</w:t>
      </w:r>
      <w:r w:rsidR="00F668CA" w:rsidRPr="00606BC0">
        <w:rPr>
          <w:lang w:val="en-US"/>
        </w:rPr>
        <w:t xml:space="preserve"> lack of </w:t>
      </w:r>
      <w:r w:rsidR="00A31642" w:rsidRPr="00606BC0">
        <w:rPr>
          <w:lang w:val="en-US"/>
        </w:rPr>
        <w:t xml:space="preserve">clear and accessible information </w:t>
      </w:r>
      <w:r w:rsidR="001562A9" w:rsidRPr="00606BC0">
        <w:rPr>
          <w:lang w:val="en-US"/>
        </w:rPr>
        <w:t xml:space="preserve">results in many </w:t>
      </w:r>
      <w:r w:rsidR="00F668CA" w:rsidRPr="00606BC0">
        <w:rPr>
          <w:lang w:val="en-US"/>
        </w:rPr>
        <w:t xml:space="preserve">misconceptions </w:t>
      </w:r>
      <w:r w:rsidR="00A31642" w:rsidRPr="00606BC0">
        <w:rPr>
          <w:lang w:val="en-US"/>
        </w:rPr>
        <w:t xml:space="preserve">about the HTA </w:t>
      </w:r>
      <w:r w:rsidR="008E7744" w:rsidRPr="00606BC0">
        <w:rPr>
          <w:lang w:val="en-US"/>
        </w:rPr>
        <w:t>system</w:t>
      </w:r>
      <w:r w:rsidR="007E3518" w:rsidRPr="00606BC0">
        <w:rPr>
          <w:lang w:val="en-US"/>
        </w:rPr>
        <w:t>s</w:t>
      </w:r>
      <w:r w:rsidR="00135482" w:rsidRPr="00606BC0">
        <w:rPr>
          <w:lang w:val="en-US"/>
        </w:rPr>
        <w:t xml:space="preserve">, </w:t>
      </w:r>
      <w:r w:rsidR="007E3518" w:rsidRPr="00606BC0">
        <w:rPr>
          <w:lang w:val="en-US"/>
        </w:rPr>
        <w:t>processes</w:t>
      </w:r>
      <w:r w:rsidR="00135482" w:rsidRPr="00606BC0">
        <w:rPr>
          <w:lang w:val="en-US"/>
        </w:rPr>
        <w:t xml:space="preserve"> and policies</w:t>
      </w:r>
      <w:r w:rsidR="00606BC0" w:rsidRPr="00606BC0">
        <w:rPr>
          <w:lang w:val="en-US"/>
        </w:rPr>
        <w:t xml:space="preserve"> further </w:t>
      </w:r>
      <w:r w:rsidR="001630E4" w:rsidRPr="00606BC0">
        <w:rPr>
          <w:lang w:val="en-US"/>
        </w:rPr>
        <w:t xml:space="preserve">demonstrating </w:t>
      </w:r>
      <w:r w:rsidR="00606BC0" w:rsidRPr="00606BC0">
        <w:rPr>
          <w:lang w:val="en-US"/>
        </w:rPr>
        <w:t>the</w:t>
      </w:r>
      <w:r w:rsidR="001630E4" w:rsidRPr="00606BC0">
        <w:rPr>
          <w:lang w:val="en-US"/>
        </w:rPr>
        <w:t xml:space="preserve"> need for plain language communications to enhance clarity and understanding.</w:t>
      </w:r>
    </w:p>
    <w:p w14:paraId="3584DC26" w14:textId="59E47766" w:rsidR="001630E4" w:rsidRPr="009D0259" w:rsidRDefault="001630E4" w:rsidP="00A1076D">
      <w:pPr>
        <w:spacing w:before="240" w:after="120"/>
        <w:rPr>
          <w:rFonts w:eastAsia="Segoe UI" w:cs="Segoe UI"/>
        </w:rPr>
      </w:pPr>
      <w:r w:rsidRPr="00180933">
        <w:rPr>
          <w:rFonts w:eastAsia="Segoe UI" w:cs="Segoe UI"/>
        </w:rPr>
        <w:t xml:space="preserve">The Review recommends a range of initiatives across the HTA continuum to better engage with those </w:t>
      </w:r>
      <w:r w:rsidRPr="009D0259">
        <w:rPr>
          <w:rFonts w:eastAsia="Segoe UI" w:cs="Segoe UI"/>
        </w:rPr>
        <w:t>impacted by HTA decisions and to improve transparency</w:t>
      </w:r>
      <w:r w:rsidR="00B726BC">
        <w:rPr>
          <w:rFonts w:eastAsia="Segoe UI" w:cs="Segoe UI"/>
        </w:rPr>
        <w:t>. These</w:t>
      </w:r>
      <w:r w:rsidRPr="009D0259">
        <w:rPr>
          <w:rFonts w:eastAsia="Segoe UI" w:cs="Segoe UI"/>
        </w:rPr>
        <w:t xml:space="preserve"> includ</w:t>
      </w:r>
      <w:r w:rsidR="00B726BC">
        <w:rPr>
          <w:rFonts w:eastAsia="Segoe UI" w:cs="Segoe UI"/>
        </w:rPr>
        <w:t>e</w:t>
      </w:r>
      <w:r w:rsidRPr="009D0259">
        <w:rPr>
          <w:rFonts w:eastAsia="Segoe UI" w:cs="Segoe UI"/>
        </w:rPr>
        <w:t>:</w:t>
      </w:r>
    </w:p>
    <w:p w14:paraId="44FE72A0" w14:textId="0293093E" w:rsidR="001630E4" w:rsidRPr="008B1D73" w:rsidRDefault="00996316" w:rsidP="00274AA9">
      <w:pPr>
        <w:pStyle w:val="ListBullet"/>
      </w:pPr>
      <w:r>
        <w:t xml:space="preserve">providing </w:t>
      </w:r>
      <w:r w:rsidR="00B726BC">
        <w:t>p</w:t>
      </w:r>
      <w:r w:rsidR="001630E4" w:rsidRPr="008B1D73">
        <w:t xml:space="preserve">lain </w:t>
      </w:r>
      <w:r w:rsidR="00B726BC">
        <w:t>l</w:t>
      </w:r>
      <w:r w:rsidR="001630E4" w:rsidRPr="008B1D73">
        <w:t xml:space="preserve">anguage </w:t>
      </w:r>
      <w:r w:rsidR="00B726BC">
        <w:t>s</w:t>
      </w:r>
      <w:r w:rsidR="001630E4" w:rsidRPr="008B1D73">
        <w:t>ummaries to facilitate greater stakeholder and consumer understanding, engagement and input</w:t>
      </w:r>
    </w:p>
    <w:p w14:paraId="70802F47" w14:textId="2CC5799E" w:rsidR="001630E4" w:rsidRDefault="00996316" w:rsidP="00274AA9">
      <w:pPr>
        <w:pStyle w:val="ListBullet"/>
      </w:pPr>
      <w:r>
        <w:t xml:space="preserve">improving </w:t>
      </w:r>
      <w:r w:rsidR="00B726BC">
        <w:t>t</w:t>
      </w:r>
      <w:r w:rsidR="001630E4" w:rsidRPr="008B1D73">
        <w:t>ransparency</w:t>
      </w:r>
      <w:r w:rsidR="00B726BC">
        <w:t xml:space="preserve"> about</w:t>
      </w:r>
      <w:r w:rsidR="001630E4">
        <w:t xml:space="preserve"> how stakeholder perspectives have been </w:t>
      </w:r>
      <w:proofErr w:type="gramStart"/>
      <w:r w:rsidR="001630E4">
        <w:t>taken into account</w:t>
      </w:r>
      <w:proofErr w:type="gramEnd"/>
      <w:r w:rsidR="001630E4">
        <w:t xml:space="preserve"> in decision-making</w:t>
      </w:r>
    </w:p>
    <w:p w14:paraId="00A297C1" w14:textId="2ED77C04" w:rsidR="001630E4" w:rsidRDefault="00B726BC" w:rsidP="00274AA9">
      <w:pPr>
        <w:pStyle w:val="ListBullet"/>
      </w:pPr>
      <w:r>
        <w:t>c</w:t>
      </w:r>
      <w:r w:rsidR="001630E4" w:rsidRPr="008B1D73">
        <w:t>lear</w:t>
      </w:r>
      <w:r w:rsidR="00996316">
        <w:t>ly</w:t>
      </w:r>
      <w:r w:rsidR="001630E4" w:rsidRPr="008B1D73">
        <w:t xml:space="preserve"> communicati</w:t>
      </w:r>
      <w:r w:rsidR="00996316">
        <w:t>ng</w:t>
      </w:r>
      <w:r w:rsidR="001630E4" w:rsidRPr="008B1D73">
        <w:t xml:space="preserve"> HTA committee decisions and rationale</w:t>
      </w:r>
      <w:r w:rsidR="001630E4">
        <w:t xml:space="preserve">, including </w:t>
      </w:r>
      <w:r w:rsidR="001630E4" w:rsidRPr="009C3350">
        <w:t>develop</w:t>
      </w:r>
      <w:r w:rsidR="00996316">
        <w:t>ing</w:t>
      </w:r>
      <w:r w:rsidR="001630E4" w:rsidRPr="009C3350">
        <w:t xml:space="preserve"> an explicit qualitative </w:t>
      </w:r>
      <w:r w:rsidR="001630E4" w:rsidRPr="1AA73CC6">
        <w:t>values</w:t>
      </w:r>
      <w:r w:rsidR="001630E4" w:rsidRPr="009C3350">
        <w:t xml:space="preserve"> framewor</w:t>
      </w:r>
      <w:r w:rsidR="001630E4">
        <w:t>k</w:t>
      </w:r>
    </w:p>
    <w:p w14:paraId="78A47C62" w14:textId="1BBD6239" w:rsidR="001630E4" w:rsidRDefault="00996316" w:rsidP="00274AA9">
      <w:pPr>
        <w:pStyle w:val="ListBullet"/>
      </w:pPr>
      <w:r>
        <w:t>increasing</w:t>
      </w:r>
      <w:r w:rsidR="001630E4">
        <w:t xml:space="preserve"> accessibility and visibility of key information (including through channels </w:t>
      </w:r>
      <w:r w:rsidR="00B726BC">
        <w:t>such as</w:t>
      </w:r>
      <w:r w:rsidR="001630E4">
        <w:t xml:space="preserve"> the HTA website) about a health technology at different stages of </w:t>
      </w:r>
      <w:r w:rsidR="00596510">
        <w:t>its</w:t>
      </w:r>
      <w:r w:rsidR="001630E4">
        <w:t xml:space="preserve"> lifecycle to support transparency.</w:t>
      </w:r>
    </w:p>
    <w:p w14:paraId="5944C16C" w14:textId="6C38CF65" w:rsidR="001630E4" w:rsidRDefault="001630E4" w:rsidP="00B61FDC">
      <w:pPr>
        <w:pStyle w:val="Heading3"/>
      </w:pPr>
      <w:r w:rsidRPr="00B61FDC">
        <w:t>P</w:t>
      </w:r>
      <w:r w:rsidR="00D602A4" w:rsidRPr="00B61FDC">
        <w:t xml:space="preserve">opulation, </w:t>
      </w:r>
      <w:r w:rsidR="00253BA2" w:rsidRPr="00B61FDC">
        <w:t>I</w:t>
      </w:r>
      <w:r w:rsidR="00D602A4" w:rsidRPr="00B61FDC">
        <w:t xml:space="preserve">ntervention, </w:t>
      </w:r>
      <w:r w:rsidR="00253BA2" w:rsidRPr="00B61FDC">
        <w:t>C</w:t>
      </w:r>
      <w:r w:rsidR="00D602A4" w:rsidRPr="00B61FDC">
        <w:t>ompar</w:t>
      </w:r>
      <w:r w:rsidR="002D53BD" w:rsidRPr="00B61FDC">
        <w:t>a</w:t>
      </w:r>
      <w:r w:rsidR="00D602A4" w:rsidRPr="00B61FDC">
        <w:t>tor</w:t>
      </w:r>
      <w:r w:rsidR="00253BA2" w:rsidRPr="00B61FDC">
        <w:t>,</w:t>
      </w:r>
      <w:r w:rsidR="00D602A4" w:rsidRPr="00B61FDC">
        <w:t xml:space="preserve"> and </w:t>
      </w:r>
      <w:r w:rsidR="00253BA2" w:rsidRPr="00B61FDC">
        <w:t>O</w:t>
      </w:r>
      <w:r w:rsidR="00D602A4" w:rsidRPr="00B61FDC">
        <w:t>utcome framework</w:t>
      </w:r>
      <w:r w:rsidRPr="007307EA">
        <w:t xml:space="preserve"> </w:t>
      </w:r>
    </w:p>
    <w:p w14:paraId="3DBD4159" w14:textId="4B6DE419" w:rsidR="001630E4" w:rsidRPr="00253BA2" w:rsidRDefault="00253BA2" w:rsidP="00A1076D">
      <w:pPr>
        <w:spacing w:line="257" w:lineRule="auto"/>
        <w:rPr>
          <w:rFonts w:eastAsia="Segoe UI" w:cs="Segoe UI"/>
        </w:rPr>
      </w:pPr>
      <w:r w:rsidRPr="00B61FDC">
        <w:t>D</w:t>
      </w:r>
      <w:r w:rsidR="001630E4" w:rsidRPr="00B61FDC">
        <w:t>etermining a</w:t>
      </w:r>
      <w:r w:rsidR="00AE43EE" w:rsidRPr="00B61FDC">
        <w:t>n</w:t>
      </w:r>
      <w:r w:rsidR="001630E4" w:rsidRPr="00B61FDC">
        <w:t xml:space="preserve"> HTA </w:t>
      </w:r>
      <w:bookmarkStart w:id="36" w:name="_Hlk167183869"/>
      <w:r w:rsidRPr="00B61FDC">
        <w:t>P</w:t>
      </w:r>
      <w:r w:rsidR="001630E4" w:rsidRPr="00B61FDC">
        <w:t xml:space="preserve">opulation, </w:t>
      </w:r>
      <w:r w:rsidRPr="00B61FDC">
        <w:t>I</w:t>
      </w:r>
      <w:r w:rsidR="001630E4" w:rsidRPr="00B61FDC">
        <w:t xml:space="preserve">ntervention, </w:t>
      </w:r>
      <w:r w:rsidRPr="00B61FDC">
        <w:t>C</w:t>
      </w:r>
      <w:r w:rsidR="001630E4" w:rsidRPr="00B61FDC">
        <w:t>omparator</w:t>
      </w:r>
      <w:r w:rsidRPr="00B61FDC">
        <w:t>,</w:t>
      </w:r>
      <w:r w:rsidR="001630E4" w:rsidRPr="00B61FDC">
        <w:t xml:space="preserve"> and </w:t>
      </w:r>
      <w:r w:rsidRPr="00B61FDC">
        <w:t>O</w:t>
      </w:r>
      <w:r w:rsidR="001630E4" w:rsidRPr="00B61FDC">
        <w:t>utcome (PICO)</w:t>
      </w:r>
      <w:bookmarkEnd w:id="36"/>
      <w:r w:rsidR="001630E4" w:rsidRPr="00B61FDC">
        <w:t xml:space="preserve"> </w:t>
      </w:r>
      <w:r w:rsidR="00596510" w:rsidRPr="00B61FDC">
        <w:t>f</w:t>
      </w:r>
      <w:r w:rsidR="001630E4" w:rsidRPr="00B61FDC">
        <w:t>ramework</w:t>
      </w:r>
      <w:r w:rsidR="001630E4" w:rsidRPr="00253BA2">
        <w:t xml:space="preserve"> is a key</w:t>
      </w:r>
      <w:r w:rsidR="00596510" w:rsidRPr="00253BA2">
        <w:t xml:space="preserve"> factor in</w:t>
      </w:r>
      <w:r w:rsidR="00C56526" w:rsidRPr="00253BA2">
        <w:t xml:space="preserve"> </w:t>
      </w:r>
      <w:r w:rsidR="00F21DAD" w:rsidRPr="00253BA2">
        <w:t xml:space="preserve">making </w:t>
      </w:r>
      <w:r w:rsidR="001630E4" w:rsidRPr="00253BA2">
        <w:t>consumers’ access to health technologies</w:t>
      </w:r>
      <w:r w:rsidR="00F21DAD" w:rsidRPr="00253BA2">
        <w:t xml:space="preserve"> more equitable</w:t>
      </w:r>
      <w:r w:rsidR="001630E4" w:rsidRPr="00253BA2">
        <w:t>.</w:t>
      </w:r>
      <w:r w:rsidR="00453069" w:rsidRPr="00253BA2">
        <w:t xml:space="preserve"> </w:t>
      </w:r>
      <w:r w:rsidR="001630E4" w:rsidRPr="00B61FDC">
        <w:rPr>
          <w:rFonts w:eastAsia="Segoe UI" w:cs="Segoe UI"/>
        </w:rPr>
        <w:t xml:space="preserve">By defining the scope of analysis for </w:t>
      </w:r>
      <w:r w:rsidR="00596510" w:rsidRPr="00B61FDC">
        <w:rPr>
          <w:rFonts w:eastAsia="Segoe UI" w:cs="Segoe UI"/>
        </w:rPr>
        <w:t>a</w:t>
      </w:r>
      <w:r w:rsidR="00AE43EE" w:rsidRPr="00B61FDC">
        <w:rPr>
          <w:rFonts w:eastAsia="Segoe UI" w:cs="Segoe UI"/>
        </w:rPr>
        <w:t>n</w:t>
      </w:r>
      <w:r w:rsidR="00596510" w:rsidRPr="00B61FDC">
        <w:rPr>
          <w:rFonts w:eastAsia="Segoe UI" w:cs="Segoe UI"/>
        </w:rPr>
        <w:t xml:space="preserve"> </w:t>
      </w:r>
      <w:r w:rsidR="001630E4" w:rsidRPr="00B61FDC">
        <w:rPr>
          <w:rFonts w:eastAsia="Segoe UI" w:cs="Segoe UI"/>
        </w:rPr>
        <w:t xml:space="preserve">HTA, </w:t>
      </w:r>
      <w:r w:rsidR="00596510" w:rsidRPr="00B61FDC">
        <w:rPr>
          <w:rFonts w:eastAsia="Segoe UI" w:cs="Segoe UI"/>
        </w:rPr>
        <w:t xml:space="preserve">a </w:t>
      </w:r>
      <w:r w:rsidR="001630E4" w:rsidRPr="00B61FDC">
        <w:rPr>
          <w:rFonts w:eastAsia="Segoe UI" w:cs="Segoe UI"/>
        </w:rPr>
        <w:t xml:space="preserve">PICO </w:t>
      </w:r>
      <w:r w:rsidR="00D602A4" w:rsidRPr="00B61FDC">
        <w:rPr>
          <w:rFonts w:eastAsia="Segoe UI" w:cs="Segoe UI"/>
        </w:rPr>
        <w:t xml:space="preserve">framework </w:t>
      </w:r>
      <w:r w:rsidR="00BB6DFB" w:rsidRPr="00B61FDC">
        <w:rPr>
          <w:rFonts w:eastAsia="Segoe UI" w:cs="Segoe UI"/>
        </w:rPr>
        <w:t>guides</w:t>
      </w:r>
      <w:r w:rsidR="001630E4" w:rsidRPr="00B61FDC">
        <w:rPr>
          <w:rFonts w:eastAsia="Segoe UI" w:cs="Segoe UI"/>
        </w:rPr>
        <w:t xml:space="preserve"> </w:t>
      </w:r>
      <w:r w:rsidRPr="00B61FDC">
        <w:rPr>
          <w:rFonts w:eastAsia="Segoe UI" w:cs="Segoe UI"/>
        </w:rPr>
        <w:t xml:space="preserve">HTA </w:t>
      </w:r>
      <w:r w:rsidRPr="00B61FDC">
        <w:rPr>
          <w:rFonts w:eastAsia="Segoe UI" w:cs="Segoe UI"/>
        </w:rPr>
        <w:lastRenderedPageBreak/>
        <w:t>advisory committees</w:t>
      </w:r>
      <w:r w:rsidR="00506696">
        <w:rPr>
          <w:rFonts w:eastAsia="Segoe UI" w:cs="Segoe UI"/>
        </w:rPr>
        <w:t>’</w:t>
      </w:r>
      <w:r w:rsidRPr="00B61FDC">
        <w:rPr>
          <w:rFonts w:eastAsia="Segoe UI" w:cs="Segoe UI"/>
        </w:rPr>
        <w:t xml:space="preserve"> </w:t>
      </w:r>
      <w:r w:rsidR="00D602A4" w:rsidRPr="00B61FDC">
        <w:rPr>
          <w:rFonts w:eastAsia="Segoe UI" w:cs="Segoe UI"/>
        </w:rPr>
        <w:t xml:space="preserve">decisions about </w:t>
      </w:r>
      <w:r w:rsidR="001630E4" w:rsidRPr="00B61FDC">
        <w:rPr>
          <w:rFonts w:eastAsia="Segoe UI" w:cs="Segoe UI"/>
        </w:rPr>
        <w:t xml:space="preserve">which patients </w:t>
      </w:r>
      <w:r w:rsidRPr="00B61FDC">
        <w:rPr>
          <w:rFonts w:eastAsia="Segoe UI" w:cs="Segoe UI"/>
        </w:rPr>
        <w:t>a</w:t>
      </w:r>
      <w:r w:rsidR="001630E4" w:rsidRPr="00B61FDC">
        <w:rPr>
          <w:rFonts w:eastAsia="Segoe UI" w:cs="Segoe UI"/>
        </w:rPr>
        <w:t xml:space="preserve"> health technology will be recommended for.</w:t>
      </w:r>
      <w:r w:rsidR="001630E4" w:rsidRPr="00253BA2">
        <w:rPr>
          <w:rFonts w:eastAsia="Segoe UI" w:cs="Segoe UI"/>
        </w:rPr>
        <w:t xml:space="preserve"> </w:t>
      </w:r>
    </w:p>
    <w:p w14:paraId="2080C980" w14:textId="51D4602F" w:rsidR="001630E4" w:rsidRPr="00F852C2" w:rsidRDefault="00253BA2" w:rsidP="00A1076D">
      <w:pPr>
        <w:spacing w:line="257" w:lineRule="auto"/>
        <w:rPr>
          <w:rFonts w:eastAsia="Segoe UI" w:cs="Segoe UI"/>
        </w:rPr>
      </w:pPr>
      <w:r w:rsidRPr="00B61FDC">
        <w:rPr>
          <w:rFonts w:eastAsia="Segoe UI" w:cs="Segoe UI"/>
        </w:rPr>
        <w:t>P</w:t>
      </w:r>
      <w:r w:rsidR="001630E4" w:rsidRPr="00B61FDC">
        <w:rPr>
          <w:rFonts w:eastAsia="Segoe UI" w:cs="Segoe UI"/>
        </w:rPr>
        <w:t xml:space="preserve">atients and clinicians </w:t>
      </w:r>
      <w:r w:rsidR="00C56526" w:rsidRPr="00B61FDC">
        <w:rPr>
          <w:rFonts w:eastAsia="Segoe UI" w:cs="Segoe UI"/>
        </w:rPr>
        <w:t xml:space="preserve">have minimal opportunities </w:t>
      </w:r>
      <w:r w:rsidR="001630E4" w:rsidRPr="00B61FDC">
        <w:rPr>
          <w:rFonts w:eastAsia="Segoe UI" w:cs="Segoe UI"/>
        </w:rPr>
        <w:t xml:space="preserve">to participate </w:t>
      </w:r>
      <w:r w:rsidR="006F0A75" w:rsidRPr="00B61FDC">
        <w:rPr>
          <w:rFonts w:eastAsia="Segoe UI" w:cs="Segoe UI"/>
        </w:rPr>
        <w:t xml:space="preserve">when sponsors of </w:t>
      </w:r>
      <w:r w:rsidR="00F11EFC" w:rsidRPr="00B61FDC">
        <w:rPr>
          <w:rFonts w:eastAsia="Segoe UI" w:cs="Segoe UI"/>
        </w:rPr>
        <w:t xml:space="preserve">HTA </w:t>
      </w:r>
      <w:r w:rsidR="006F0A75" w:rsidRPr="00B61FDC">
        <w:rPr>
          <w:rFonts w:eastAsia="Segoe UI" w:cs="Segoe UI"/>
        </w:rPr>
        <w:t>submission</w:t>
      </w:r>
      <w:r w:rsidR="00F11EFC" w:rsidRPr="00B61FDC">
        <w:rPr>
          <w:rFonts w:eastAsia="Segoe UI" w:cs="Segoe UI"/>
        </w:rPr>
        <w:t>s</w:t>
      </w:r>
      <w:r w:rsidR="006F0A75" w:rsidRPr="00B61FDC">
        <w:rPr>
          <w:rFonts w:eastAsia="Segoe UI" w:cs="Segoe UI"/>
        </w:rPr>
        <w:t xml:space="preserve"> </w:t>
      </w:r>
      <w:r w:rsidR="001630E4" w:rsidRPr="00B61FDC">
        <w:rPr>
          <w:rFonts w:eastAsia="Segoe UI" w:cs="Segoe UI"/>
        </w:rPr>
        <w:t>formulat</w:t>
      </w:r>
      <w:r w:rsidR="00506DEA" w:rsidRPr="00B61FDC">
        <w:rPr>
          <w:rFonts w:eastAsia="Segoe UI" w:cs="Segoe UI"/>
        </w:rPr>
        <w:t>e</w:t>
      </w:r>
      <w:r w:rsidR="006F0A75" w:rsidRPr="00B61FDC">
        <w:rPr>
          <w:rFonts w:eastAsia="Segoe UI" w:cs="Segoe UI"/>
        </w:rPr>
        <w:t xml:space="preserve"> </w:t>
      </w:r>
      <w:r w:rsidR="00F11EFC" w:rsidRPr="00B61FDC">
        <w:rPr>
          <w:rFonts w:eastAsia="Segoe UI" w:cs="Segoe UI"/>
        </w:rPr>
        <w:t>the</w:t>
      </w:r>
      <w:r w:rsidR="006F0A75" w:rsidRPr="00B61FDC">
        <w:rPr>
          <w:rFonts w:eastAsia="Segoe UI" w:cs="Segoe UI"/>
        </w:rPr>
        <w:t xml:space="preserve"> </w:t>
      </w:r>
      <w:r w:rsidR="001630E4" w:rsidRPr="00B61FDC">
        <w:rPr>
          <w:rFonts w:eastAsia="Segoe UI" w:cs="Segoe UI"/>
        </w:rPr>
        <w:t xml:space="preserve">PICO </w:t>
      </w:r>
      <w:r w:rsidR="00C56526" w:rsidRPr="00B61FDC">
        <w:rPr>
          <w:rFonts w:eastAsia="Segoe UI" w:cs="Segoe UI"/>
        </w:rPr>
        <w:t>framework</w:t>
      </w:r>
      <w:r w:rsidR="001630E4" w:rsidRPr="4747CCAB">
        <w:rPr>
          <w:rFonts w:eastAsia="Segoe UI" w:cs="Segoe UI"/>
        </w:rPr>
        <w:t xml:space="preserve">. </w:t>
      </w:r>
      <w:r w:rsidR="001630E4">
        <w:rPr>
          <w:rFonts w:eastAsia="Segoe UI" w:cs="Segoe UI"/>
        </w:rPr>
        <w:t>Greater access to key information about a health technology and b</w:t>
      </w:r>
      <w:r w:rsidR="001630E4" w:rsidRPr="5A652D5A">
        <w:rPr>
          <w:rFonts w:eastAsia="Segoe UI" w:cs="Segoe UI"/>
        </w:rPr>
        <w:t>roader dialogue on development of PICO</w:t>
      </w:r>
      <w:r w:rsidR="002D53BD">
        <w:rPr>
          <w:rFonts w:eastAsia="Segoe UI" w:cs="Segoe UI"/>
        </w:rPr>
        <w:t xml:space="preserve"> </w:t>
      </w:r>
      <w:r w:rsidR="002D53BD" w:rsidRPr="00253BA2">
        <w:rPr>
          <w:rFonts w:eastAsia="Segoe UI" w:cs="Segoe UI"/>
        </w:rPr>
        <w:t>framework</w:t>
      </w:r>
      <w:r w:rsidR="001630E4" w:rsidRPr="00253BA2">
        <w:rPr>
          <w:rFonts w:eastAsia="Segoe UI" w:cs="Segoe UI"/>
        </w:rPr>
        <w:t>s</w:t>
      </w:r>
      <w:r w:rsidR="001630E4" w:rsidRPr="5A652D5A">
        <w:rPr>
          <w:rFonts w:eastAsia="Segoe UI" w:cs="Segoe UI"/>
        </w:rPr>
        <w:t xml:space="preserve"> in </w:t>
      </w:r>
      <w:r w:rsidR="001630E4">
        <w:rPr>
          <w:rFonts w:eastAsia="Segoe UI" w:cs="Segoe UI"/>
        </w:rPr>
        <w:t xml:space="preserve">HTA </w:t>
      </w:r>
      <w:r w:rsidR="001630E4" w:rsidRPr="5A652D5A">
        <w:rPr>
          <w:rFonts w:eastAsia="Segoe UI" w:cs="Segoe UI"/>
        </w:rPr>
        <w:t>submissions could make the process more patient</w:t>
      </w:r>
      <w:r w:rsidR="001630E4">
        <w:rPr>
          <w:rFonts w:eastAsia="Segoe UI" w:cs="Segoe UI"/>
        </w:rPr>
        <w:t>-</w:t>
      </w:r>
      <w:r w:rsidR="001630E4" w:rsidRPr="5A652D5A">
        <w:rPr>
          <w:rFonts w:eastAsia="Segoe UI" w:cs="Segoe UI"/>
        </w:rPr>
        <w:t xml:space="preserve">centred and assist </w:t>
      </w:r>
      <w:r w:rsidR="002D53BD">
        <w:rPr>
          <w:rFonts w:eastAsia="Segoe UI" w:cs="Segoe UI"/>
        </w:rPr>
        <w:t xml:space="preserve">in the </w:t>
      </w:r>
      <w:r w:rsidR="001630E4" w:rsidRPr="5A652D5A">
        <w:rPr>
          <w:rFonts w:eastAsia="Segoe UI" w:cs="Segoe UI"/>
        </w:rPr>
        <w:t xml:space="preserve">appraisal of health technologies in certain circumstances. This could help to reduce inequitable access arising from </w:t>
      </w:r>
      <w:r w:rsidR="002D53BD">
        <w:rPr>
          <w:rFonts w:eastAsia="Segoe UI" w:cs="Segoe UI"/>
        </w:rPr>
        <w:t xml:space="preserve">the </w:t>
      </w:r>
      <w:r w:rsidR="001630E4" w:rsidRPr="5A652D5A">
        <w:rPr>
          <w:rFonts w:eastAsia="Segoe UI" w:cs="Segoe UI"/>
        </w:rPr>
        <w:t xml:space="preserve">exclusion of populations that could potentially benefit from therapy (such as paediatric populations). </w:t>
      </w:r>
    </w:p>
    <w:p w14:paraId="07BF08FF" w14:textId="77777777" w:rsidR="001630E4" w:rsidRDefault="001630E4" w:rsidP="00A318F7">
      <w:pPr>
        <w:pStyle w:val="Heading3"/>
      </w:pPr>
      <w:r w:rsidRPr="0019054D">
        <w:t>Horizon scanning</w:t>
      </w:r>
    </w:p>
    <w:p w14:paraId="46C8DBC7" w14:textId="5B7AC164" w:rsidR="001630E4" w:rsidRDefault="001630E4" w:rsidP="00A1076D">
      <w:pPr>
        <w:rPr>
          <w:rFonts w:cs="Segoe UI"/>
        </w:rPr>
      </w:pPr>
      <w:r>
        <w:rPr>
          <w:rFonts w:cs="Segoe UI"/>
        </w:rPr>
        <w:t>The Review recommends establish</w:t>
      </w:r>
      <w:r w:rsidR="00C56526">
        <w:rPr>
          <w:rFonts w:cs="Segoe UI"/>
        </w:rPr>
        <w:t>ing</w:t>
      </w:r>
      <w:r>
        <w:rPr>
          <w:rFonts w:cs="Segoe UI"/>
        </w:rPr>
        <w:t xml:space="preserve"> a horizon</w:t>
      </w:r>
      <w:r w:rsidR="00C56526">
        <w:rPr>
          <w:rFonts w:cs="Segoe UI"/>
        </w:rPr>
        <w:t xml:space="preserve"> </w:t>
      </w:r>
      <w:r>
        <w:rPr>
          <w:rFonts w:cs="Segoe UI"/>
        </w:rPr>
        <w:t>scanning function.</w:t>
      </w:r>
    </w:p>
    <w:p w14:paraId="22A44387" w14:textId="0F59FCC3" w:rsidR="001630E4" w:rsidRDefault="001630E4" w:rsidP="00A1076D">
      <w:pPr>
        <w:rPr>
          <w:rFonts w:cs="Segoe UI"/>
        </w:rPr>
      </w:pPr>
      <w:r>
        <w:rPr>
          <w:rFonts w:cs="Segoe UI"/>
        </w:rPr>
        <w:t>It</w:t>
      </w:r>
      <w:r w:rsidRPr="009A1B33">
        <w:rPr>
          <w:rFonts w:cs="Segoe UI"/>
        </w:rPr>
        <w:t xml:space="preserve"> found that</w:t>
      </w:r>
      <w:r>
        <w:rPr>
          <w:rFonts w:cs="Segoe UI"/>
        </w:rPr>
        <w:t xml:space="preserve"> </w:t>
      </w:r>
      <w:r w:rsidR="009164DA" w:rsidRPr="00935F97">
        <w:rPr>
          <w:rFonts w:cs="Segoe UI"/>
        </w:rPr>
        <w:t>systematic</w:t>
      </w:r>
      <w:r w:rsidR="009164DA">
        <w:rPr>
          <w:rFonts w:cs="Segoe UI"/>
        </w:rPr>
        <w:t xml:space="preserve"> </w:t>
      </w:r>
      <w:r>
        <w:rPr>
          <w:rFonts w:cs="Segoe UI"/>
        </w:rPr>
        <w:t>c</w:t>
      </w:r>
      <w:r w:rsidRPr="00935F97">
        <w:rPr>
          <w:rFonts w:cs="Segoe UI"/>
        </w:rPr>
        <w:t>ollecti</w:t>
      </w:r>
      <w:r w:rsidR="008239D2">
        <w:rPr>
          <w:rFonts w:cs="Segoe UI"/>
        </w:rPr>
        <w:t>on</w:t>
      </w:r>
      <w:r w:rsidRPr="00935F97">
        <w:rPr>
          <w:rFonts w:cs="Segoe UI"/>
        </w:rPr>
        <w:t>, analysi</w:t>
      </w:r>
      <w:r w:rsidR="008239D2">
        <w:rPr>
          <w:rFonts w:cs="Segoe UI"/>
        </w:rPr>
        <w:t>s</w:t>
      </w:r>
      <w:r w:rsidRPr="00935F97">
        <w:rPr>
          <w:rFonts w:cs="Segoe UI"/>
        </w:rPr>
        <w:t xml:space="preserve"> and sharing </w:t>
      </w:r>
      <w:r w:rsidR="009164DA">
        <w:rPr>
          <w:rFonts w:cs="Segoe UI"/>
        </w:rPr>
        <w:t>of</w:t>
      </w:r>
      <w:r w:rsidRPr="00935F97">
        <w:rPr>
          <w:rFonts w:cs="Segoe UI"/>
        </w:rPr>
        <w:t xml:space="preserve"> information on health technologies </w:t>
      </w:r>
      <w:r w:rsidR="007E7230">
        <w:rPr>
          <w:rFonts w:cs="Segoe UI"/>
        </w:rPr>
        <w:t>in</w:t>
      </w:r>
      <w:r w:rsidRPr="00935F97">
        <w:rPr>
          <w:rFonts w:cs="Segoe UI"/>
        </w:rPr>
        <w:t xml:space="preserve"> the research pipeline and entering clinical practice </w:t>
      </w:r>
      <w:r>
        <w:rPr>
          <w:rFonts w:cs="Segoe UI"/>
        </w:rPr>
        <w:t xml:space="preserve">(i.e. horizon scanning) is essential to support an effective and efficient HTA program. Horizon scanning </w:t>
      </w:r>
      <w:r w:rsidRPr="00935F97">
        <w:rPr>
          <w:rFonts w:cs="Segoe UI"/>
        </w:rPr>
        <w:t>allow</w:t>
      </w:r>
      <w:r>
        <w:rPr>
          <w:rFonts w:cs="Segoe UI"/>
        </w:rPr>
        <w:t>s</w:t>
      </w:r>
      <w:r w:rsidRPr="00935F97">
        <w:rPr>
          <w:rFonts w:cs="Segoe UI"/>
        </w:rPr>
        <w:t xml:space="preserve"> stakeholders to be better informed about the benefits, risks and operational implications of new health technologies</w:t>
      </w:r>
      <w:r>
        <w:rPr>
          <w:rFonts w:cs="Segoe UI"/>
        </w:rPr>
        <w:t xml:space="preserve">. It also </w:t>
      </w:r>
      <w:r w:rsidRPr="00935F97">
        <w:rPr>
          <w:rFonts w:cs="Segoe UI"/>
        </w:rPr>
        <w:t>prompt</w:t>
      </w:r>
      <w:r>
        <w:rPr>
          <w:rFonts w:cs="Segoe UI"/>
        </w:rPr>
        <w:t>s</w:t>
      </w:r>
      <w:r w:rsidRPr="00935F97">
        <w:rPr>
          <w:rFonts w:cs="Segoe UI"/>
        </w:rPr>
        <w:t xml:space="preserve"> earlier conversations about health systems planning to support the introduction of new health technologies.</w:t>
      </w:r>
      <w:r>
        <w:rPr>
          <w:rFonts w:cs="Segoe UI"/>
        </w:rPr>
        <w:t xml:space="preserve"> T</w:t>
      </w:r>
      <w:r w:rsidRPr="009A1B33">
        <w:rPr>
          <w:rFonts w:cs="Segoe UI"/>
        </w:rPr>
        <w:t xml:space="preserve">he Review </w:t>
      </w:r>
      <w:r>
        <w:rPr>
          <w:rFonts w:cs="Segoe UI"/>
        </w:rPr>
        <w:t xml:space="preserve">also </w:t>
      </w:r>
      <w:r w:rsidRPr="009A1B33">
        <w:rPr>
          <w:rFonts w:cs="Segoe UI"/>
        </w:rPr>
        <w:t>found that</w:t>
      </w:r>
      <w:r>
        <w:rPr>
          <w:rFonts w:cs="Segoe UI"/>
        </w:rPr>
        <w:t xml:space="preserve"> </w:t>
      </w:r>
      <w:r w:rsidRPr="0073390F">
        <w:rPr>
          <w:rFonts w:cs="Segoe UI"/>
        </w:rPr>
        <w:t xml:space="preserve">Australia </w:t>
      </w:r>
      <w:r>
        <w:rPr>
          <w:rFonts w:cs="Segoe UI"/>
        </w:rPr>
        <w:t xml:space="preserve">does not </w:t>
      </w:r>
      <w:r w:rsidRPr="0073390F">
        <w:rPr>
          <w:rFonts w:cs="Segoe UI"/>
        </w:rPr>
        <w:t>perform any formal horizon scanning activities at the national level</w:t>
      </w:r>
      <w:r w:rsidRPr="6CC68A72">
        <w:rPr>
          <w:rFonts w:cs="Segoe UI"/>
        </w:rPr>
        <w:t>.</w:t>
      </w:r>
      <w:r>
        <w:rPr>
          <w:rFonts w:cs="Segoe UI"/>
        </w:rPr>
        <w:t xml:space="preserve"> </w:t>
      </w:r>
    </w:p>
    <w:p w14:paraId="12BF4A8B" w14:textId="0A4279BE" w:rsidR="001630E4" w:rsidRDefault="001630E4" w:rsidP="00A1076D">
      <w:pPr>
        <w:rPr>
          <w:rFonts w:cs="Segoe UI"/>
        </w:rPr>
      </w:pPr>
      <w:r>
        <w:rPr>
          <w:rFonts w:cs="Segoe UI"/>
        </w:rPr>
        <w:t>In making its recommendations supporting the development of a</w:t>
      </w:r>
      <w:r w:rsidRPr="009A1B33">
        <w:rPr>
          <w:rFonts w:cs="Segoe UI"/>
        </w:rPr>
        <w:t xml:space="preserve"> </w:t>
      </w:r>
      <w:r>
        <w:rPr>
          <w:rFonts w:cs="Segoe UI"/>
        </w:rPr>
        <w:t>h</w:t>
      </w:r>
      <w:r w:rsidRPr="009A1B33">
        <w:rPr>
          <w:rFonts w:cs="Segoe UI"/>
        </w:rPr>
        <w:t>orizon scanning</w:t>
      </w:r>
      <w:r>
        <w:rPr>
          <w:rFonts w:cs="Segoe UI"/>
        </w:rPr>
        <w:t xml:space="preserve"> function, the Review emphasises that this function is</w:t>
      </w:r>
      <w:r w:rsidRPr="009A1B33">
        <w:rPr>
          <w:rFonts w:cs="Segoe UI"/>
        </w:rPr>
        <w:t xml:space="preserve"> highly resource-intensive in terms of financial costs, time and effort</w:t>
      </w:r>
      <w:r w:rsidR="00C56526">
        <w:rPr>
          <w:rFonts w:cs="Segoe UI"/>
        </w:rPr>
        <w:t>. It also</w:t>
      </w:r>
      <w:r>
        <w:rPr>
          <w:rFonts w:cs="Segoe UI"/>
        </w:rPr>
        <w:t xml:space="preserve"> requires</w:t>
      </w:r>
      <w:r w:rsidR="00C56526">
        <w:rPr>
          <w:rFonts w:cs="Segoe UI"/>
        </w:rPr>
        <w:t xml:space="preserve"> stakeholders to clearly define and plan</w:t>
      </w:r>
      <w:r>
        <w:rPr>
          <w:rFonts w:cs="Segoe UI"/>
        </w:rPr>
        <w:t xml:space="preserve"> the </w:t>
      </w:r>
      <w:r w:rsidRPr="009A1B33">
        <w:rPr>
          <w:rFonts w:cs="Segoe UI"/>
        </w:rPr>
        <w:t xml:space="preserve">scope, purpose and utility </w:t>
      </w:r>
      <w:r>
        <w:rPr>
          <w:rFonts w:cs="Segoe UI"/>
        </w:rPr>
        <w:t>of the activities</w:t>
      </w:r>
      <w:r w:rsidRPr="009A1B33">
        <w:rPr>
          <w:rFonts w:cs="Segoe UI"/>
        </w:rPr>
        <w:t xml:space="preserve"> to ensure success in </w:t>
      </w:r>
      <w:r>
        <w:rPr>
          <w:rFonts w:cs="Segoe UI"/>
        </w:rPr>
        <w:t>Australia.</w:t>
      </w:r>
    </w:p>
    <w:p w14:paraId="17FE09FA" w14:textId="3D775FCA" w:rsidR="001630E4" w:rsidRPr="00BB42C7" w:rsidRDefault="001630E4" w:rsidP="00F51C08">
      <w:pPr>
        <w:pStyle w:val="Heading2"/>
      </w:pPr>
      <w:bookmarkStart w:id="37" w:name="_Toc171935851"/>
      <w:r w:rsidRPr="00BB42C7">
        <w:t>Investing in HTA capability to be adaptable and futureproof</w:t>
      </w:r>
      <w:bookmarkEnd w:id="37"/>
    </w:p>
    <w:p w14:paraId="07D17CC9" w14:textId="573D146C" w:rsidR="001630E4" w:rsidRDefault="001630E4" w:rsidP="00A318F7">
      <w:pPr>
        <w:pStyle w:val="Heading3"/>
      </w:pPr>
      <w:r w:rsidRPr="00E92EA7">
        <w:t>R</w:t>
      </w:r>
      <w:r>
        <w:t>eal</w:t>
      </w:r>
      <w:r w:rsidR="00C56526">
        <w:t>-w</w:t>
      </w:r>
      <w:r>
        <w:t xml:space="preserve">orld </w:t>
      </w:r>
      <w:r w:rsidR="00C56526">
        <w:t>e</w:t>
      </w:r>
      <w:r>
        <w:t>vidence</w:t>
      </w:r>
    </w:p>
    <w:p w14:paraId="0AACF102" w14:textId="33452AA4" w:rsidR="001630E4" w:rsidRDefault="001630E4" w:rsidP="00A1076D">
      <w:r>
        <w:t xml:space="preserve">The Review found that a key component supporting the operation of the HTA system should </w:t>
      </w:r>
      <w:r w:rsidR="00BB4AB2">
        <w:t xml:space="preserve">include </w:t>
      </w:r>
      <w:r>
        <w:t xml:space="preserve">a coordinated and standardised approach to collecting </w:t>
      </w:r>
      <w:bookmarkStart w:id="38" w:name="_Hlk167185006"/>
      <w:r>
        <w:t>real</w:t>
      </w:r>
      <w:r w:rsidR="007E3D0D">
        <w:t>-</w:t>
      </w:r>
      <w:r>
        <w:t xml:space="preserve">world data </w:t>
      </w:r>
      <w:r w:rsidR="002D6100">
        <w:t>(RWD)</w:t>
      </w:r>
      <w:bookmarkEnd w:id="38"/>
      <w:r w:rsidR="002D6100">
        <w:t xml:space="preserve"> </w:t>
      </w:r>
      <w:r>
        <w:t xml:space="preserve">and </w:t>
      </w:r>
      <w:bookmarkStart w:id="39" w:name="_Hlk167185017"/>
      <w:r>
        <w:t>real</w:t>
      </w:r>
      <w:r w:rsidR="007E3D0D">
        <w:t>-</w:t>
      </w:r>
      <w:r>
        <w:t xml:space="preserve">world evidence </w:t>
      </w:r>
      <w:r w:rsidR="002D6100">
        <w:t>(RW</w:t>
      </w:r>
      <w:r w:rsidR="007E3D0D">
        <w:t>E</w:t>
      </w:r>
      <w:r w:rsidR="002D6100">
        <w:t xml:space="preserve">) </w:t>
      </w:r>
      <w:bookmarkEnd w:id="39"/>
      <w:r>
        <w:t xml:space="preserve">to understand how health technologies are being used and </w:t>
      </w:r>
      <w:r w:rsidR="007E3D0D">
        <w:t xml:space="preserve">are </w:t>
      </w:r>
      <w:r>
        <w:t>perform</w:t>
      </w:r>
      <w:r w:rsidR="007E3D0D">
        <w:t>ing</w:t>
      </w:r>
      <w:r>
        <w:t xml:space="preserve"> in the real world. </w:t>
      </w:r>
      <w:r w:rsidR="006F39BB">
        <w:t>W</w:t>
      </w:r>
      <w:r w:rsidR="00403618" w:rsidRPr="005D4610">
        <w:rPr>
          <w:rFonts w:cs="Segoe UI"/>
        </w:rPr>
        <w:t>here timely, high</w:t>
      </w:r>
      <w:r w:rsidR="007E3D0D">
        <w:rPr>
          <w:rFonts w:cs="Segoe UI"/>
        </w:rPr>
        <w:t>-</w:t>
      </w:r>
      <w:r w:rsidR="00403618" w:rsidRPr="005D4610">
        <w:rPr>
          <w:rFonts w:cs="Segoe UI"/>
        </w:rPr>
        <w:t xml:space="preserve">quality RWE has been used to enhance and complement available </w:t>
      </w:r>
      <w:bookmarkStart w:id="40" w:name="_Hlk167185380"/>
      <w:r w:rsidR="00A535EB" w:rsidRPr="00A535EB">
        <w:rPr>
          <w:rFonts w:cs="Segoe UI"/>
        </w:rPr>
        <w:t>randomised controlled trial (RCT)</w:t>
      </w:r>
      <w:r w:rsidR="008462E9">
        <w:rPr>
          <w:rFonts w:cs="Segoe UI"/>
        </w:rPr>
        <w:t xml:space="preserve"> </w:t>
      </w:r>
      <w:bookmarkEnd w:id="40"/>
      <w:r w:rsidR="00403618" w:rsidRPr="005D4610">
        <w:rPr>
          <w:rFonts w:cs="Segoe UI"/>
        </w:rPr>
        <w:t>evidence</w:t>
      </w:r>
      <w:r w:rsidR="00A848C4">
        <w:rPr>
          <w:rFonts w:cs="Segoe UI"/>
        </w:rPr>
        <w:t>,</w:t>
      </w:r>
      <w:r w:rsidR="00403618" w:rsidRPr="005D4610">
        <w:rPr>
          <w:rFonts w:cs="Segoe UI"/>
        </w:rPr>
        <w:t xml:space="preserve"> it can be influential in reducing the uncertainty in decision-making and increasing timely access to therapies </w:t>
      </w:r>
      <w:r w:rsidR="00403618" w:rsidRPr="00B61FDC">
        <w:rPr>
          <w:rFonts w:cs="Segoe UI"/>
        </w:rPr>
        <w:t>through the ability to monitor health outcomes post listi</w:t>
      </w:r>
      <w:r w:rsidR="00277F12">
        <w:rPr>
          <w:rFonts w:cs="Segoe UI"/>
        </w:rPr>
        <w:t>ng</w:t>
      </w:r>
      <w:r w:rsidR="00403618" w:rsidRPr="00B61FDC">
        <w:rPr>
          <w:rFonts w:cs="Segoe UI"/>
        </w:rPr>
        <w:t>.</w:t>
      </w:r>
    </w:p>
    <w:p w14:paraId="27A67FDE" w14:textId="2CE5D109" w:rsidR="001630E4" w:rsidRDefault="001630E4" w:rsidP="00A1076D">
      <w:r w:rsidRPr="00233C05">
        <w:t>A</w:t>
      </w:r>
      <w:r>
        <w:t xml:space="preserve">lthough </w:t>
      </w:r>
      <w:r w:rsidR="00773A24">
        <w:t xml:space="preserve">some jurisdictions </w:t>
      </w:r>
      <w:r>
        <w:t>collect RWD and generat</w:t>
      </w:r>
      <w:r w:rsidR="00773A24">
        <w:t>e</w:t>
      </w:r>
      <w:r>
        <w:t xml:space="preserve"> RWE for some diseases </w:t>
      </w:r>
      <w:r w:rsidR="005F3C23">
        <w:t>and/</w:t>
      </w:r>
      <w:r>
        <w:t>or health technologies, the</w:t>
      </w:r>
      <w:r w:rsidR="005F3C23">
        <w:t xml:space="preserve">ir approaches </w:t>
      </w:r>
      <w:r>
        <w:t xml:space="preserve">are often not coordinated or standardised. The </w:t>
      </w:r>
      <w:r>
        <w:lastRenderedPageBreak/>
        <w:t xml:space="preserve">data may not be configured </w:t>
      </w:r>
      <w:r w:rsidR="005F3C23">
        <w:t>to</w:t>
      </w:r>
      <w:r>
        <w:t xml:space="preserve"> </w:t>
      </w:r>
      <w:r w:rsidR="005F3C23">
        <w:t>answer</w:t>
      </w:r>
      <w:r>
        <w:t xml:space="preserve"> questions about clinical</w:t>
      </w:r>
      <w:r w:rsidR="005F3C23">
        <w:t xml:space="preserve"> effectiveness</w:t>
      </w:r>
      <w:r>
        <w:t xml:space="preserve"> and cost-effectiveness, </w:t>
      </w:r>
      <w:r w:rsidRPr="004A6D18">
        <w:t xml:space="preserve">and there is </w:t>
      </w:r>
      <w:r>
        <w:t xml:space="preserve">often </w:t>
      </w:r>
      <w:r w:rsidRPr="004A6D18">
        <w:t>considerable duplication of effort</w:t>
      </w:r>
      <w:r>
        <w:t xml:space="preserve">. The Review found that </w:t>
      </w:r>
      <w:r w:rsidR="004F456B">
        <w:t xml:space="preserve">gaining </w:t>
      </w:r>
      <w:r>
        <w:t xml:space="preserve">timely access to sufficient, relevant, quality data can be challenging due to limited or disjointed resourcing and infrastructure, legislative </w:t>
      </w:r>
      <w:r w:rsidR="004F456B">
        <w:t xml:space="preserve">and administrative </w:t>
      </w:r>
      <w:r>
        <w:t xml:space="preserve">issues, privacy and security concerns, </w:t>
      </w:r>
      <w:r w:rsidR="004F456B">
        <w:t xml:space="preserve">and </w:t>
      </w:r>
      <w:r w:rsidRPr="007D318E">
        <w:t xml:space="preserve">confusion among some stakeholders </w:t>
      </w:r>
      <w:r w:rsidR="004F456B">
        <w:t>about</w:t>
      </w:r>
      <w:r w:rsidRPr="007D318E">
        <w:t xml:space="preserve"> how RWE is used in HTA</w:t>
      </w:r>
      <w:r>
        <w:t xml:space="preserve">. </w:t>
      </w:r>
    </w:p>
    <w:p w14:paraId="39842C95" w14:textId="07911BEB" w:rsidR="001630E4" w:rsidRDefault="001630E4" w:rsidP="00A1076D">
      <w:r>
        <w:t>The Review recommends establish</w:t>
      </w:r>
      <w:r w:rsidR="004F456B">
        <w:t>ing</w:t>
      </w:r>
      <w:r>
        <w:t xml:space="preserve"> structures, policies and methods that support the timely collection and use of relevant RWD and RWE, including:</w:t>
      </w:r>
    </w:p>
    <w:p w14:paraId="1EAF2E2B" w14:textId="5F20AA48" w:rsidR="001630E4" w:rsidRDefault="001630E4" w:rsidP="00274AA9">
      <w:pPr>
        <w:pStyle w:val="ListBullet"/>
      </w:pPr>
      <w:r>
        <w:t>a comprehensive, multi-stakeholder data strategy, with strategic oversight</w:t>
      </w:r>
    </w:p>
    <w:p w14:paraId="418AD986" w14:textId="03317D60" w:rsidR="001630E4" w:rsidRDefault="001630E4" w:rsidP="00274AA9">
      <w:pPr>
        <w:pStyle w:val="ListBullet"/>
      </w:pPr>
      <w:r>
        <w:t>national, coordinated data infrastructure, standards and guidance.</w:t>
      </w:r>
    </w:p>
    <w:p w14:paraId="06C7C279" w14:textId="77777777" w:rsidR="001630E4" w:rsidRPr="00542C16" w:rsidRDefault="001630E4" w:rsidP="001630E4">
      <w:pPr>
        <w:pStyle w:val="Heading3"/>
      </w:pPr>
      <w:r w:rsidRPr="00542C16">
        <w:t xml:space="preserve">Capability </w:t>
      </w:r>
      <w:r>
        <w:t>–</w:t>
      </w:r>
      <w:r w:rsidRPr="00542C16">
        <w:t xml:space="preserve"> Workforce</w:t>
      </w:r>
      <w:r>
        <w:t xml:space="preserve"> and general resourcing of reform implementation</w:t>
      </w:r>
    </w:p>
    <w:p w14:paraId="387C58CD" w14:textId="77777777" w:rsidR="001630E4" w:rsidRDefault="001630E4" w:rsidP="00A1076D">
      <w:pPr>
        <w:spacing w:line="257" w:lineRule="auto"/>
        <w:rPr>
          <w:rFonts w:eastAsia="Segoe UI" w:cs="Segoe UI"/>
        </w:rPr>
      </w:pPr>
      <w:r>
        <w:rPr>
          <w:rFonts w:eastAsia="Segoe UI" w:cs="Segoe UI"/>
        </w:rPr>
        <w:t>Effective implementation of the Review’s recommendations will require additional and adequate resourcing.</w:t>
      </w:r>
    </w:p>
    <w:p w14:paraId="156776D5" w14:textId="1CA390F6" w:rsidR="001630E4" w:rsidRDefault="001630E4" w:rsidP="00A1076D">
      <w:pPr>
        <w:spacing w:line="257" w:lineRule="auto"/>
        <w:rPr>
          <w:rFonts w:eastAsia="Segoe UI" w:cs="Segoe UI"/>
        </w:rPr>
      </w:pPr>
      <w:r w:rsidRPr="670B3B06">
        <w:rPr>
          <w:rFonts w:eastAsia="Segoe UI" w:cs="Segoe UI"/>
        </w:rPr>
        <w:t>The Review found that while Australia’s HTA processes serve the nation well, the increasing complexity, rapidity and volume of new technologies to be assessed</w:t>
      </w:r>
      <w:r>
        <w:rPr>
          <w:rFonts w:eastAsia="Segoe UI" w:cs="Segoe UI"/>
        </w:rPr>
        <w:t>,</w:t>
      </w:r>
      <w:r w:rsidRPr="670B3B06">
        <w:rPr>
          <w:rFonts w:eastAsia="Segoe UI" w:cs="Segoe UI"/>
        </w:rPr>
        <w:t xml:space="preserve"> combined with growing consumer and industry expectations</w:t>
      </w:r>
      <w:r>
        <w:rPr>
          <w:rFonts w:eastAsia="Segoe UI" w:cs="Segoe UI"/>
        </w:rPr>
        <w:t>,</w:t>
      </w:r>
      <w:r w:rsidRPr="670B3B06">
        <w:rPr>
          <w:rFonts w:eastAsia="Segoe UI" w:cs="Segoe UI"/>
        </w:rPr>
        <w:t xml:space="preserve"> are placing increased pressure on Australia</w:t>
      </w:r>
      <w:r>
        <w:rPr>
          <w:rFonts w:eastAsia="Segoe UI" w:cs="Segoe UI"/>
        </w:rPr>
        <w:t>’s</w:t>
      </w:r>
      <w:r w:rsidRPr="670B3B06">
        <w:rPr>
          <w:rFonts w:eastAsia="Segoe UI" w:cs="Segoe UI"/>
        </w:rPr>
        <w:t xml:space="preserve"> HTA system and its </w:t>
      </w:r>
      <w:r>
        <w:rPr>
          <w:rFonts w:eastAsia="Segoe UI" w:cs="Segoe UI"/>
        </w:rPr>
        <w:t xml:space="preserve">comparatively </w:t>
      </w:r>
      <w:r w:rsidRPr="670B3B06">
        <w:rPr>
          <w:rFonts w:eastAsia="Segoe UI" w:cs="Segoe UI"/>
        </w:rPr>
        <w:t>small workforce.</w:t>
      </w:r>
      <w:r w:rsidR="00453069">
        <w:rPr>
          <w:rFonts w:eastAsia="Segoe UI" w:cs="Segoe UI"/>
        </w:rPr>
        <w:t xml:space="preserve"> </w:t>
      </w:r>
    </w:p>
    <w:p w14:paraId="3D46925C" w14:textId="4C47F348" w:rsidR="001630E4" w:rsidRDefault="001630E4" w:rsidP="00A1076D">
      <w:pPr>
        <w:spacing w:line="257" w:lineRule="auto"/>
        <w:rPr>
          <w:rFonts w:eastAsia="Segoe UI" w:cs="Segoe UI"/>
        </w:rPr>
      </w:pPr>
      <w:r w:rsidRPr="509909C8">
        <w:rPr>
          <w:rFonts w:eastAsia="Segoe UI" w:cs="Segoe UI"/>
        </w:rPr>
        <w:t>The number of submissions to the PBAC, and the number of new and expanded listings on the PBS</w:t>
      </w:r>
      <w:r w:rsidR="00122D6C">
        <w:rPr>
          <w:rFonts w:eastAsia="Segoe UI" w:cs="Segoe UI"/>
        </w:rPr>
        <w:t>,</w:t>
      </w:r>
      <w:r w:rsidRPr="509909C8">
        <w:rPr>
          <w:rFonts w:eastAsia="Segoe UI" w:cs="Segoe UI"/>
        </w:rPr>
        <w:t xml:space="preserve"> ha</w:t>
      </w:r>
      <w:r w:rsidR="00122D6C">
        <w:rPr>
          <w:rFonts w:eastAsia="Segoe UI" w:cs="Segoe UI"/>
        </w:rPr>
        <w:t>ve</w:t>
      </w:r>
      <w:r w:rsidRPr="509909C8">
        <w:rPr>
          <w:rFonts w:eastAsia="Segoe UI" w:cs="Segoe UI"/>
        </w:rPr>
        <w:t xml:space="preserve"> grown steadily </w:t>
      </w:r>
      <w:r w:rsidR="00122D6C">
        <w:rPr>
          <w:rFonts w:eastAsia="Segoe UI" w:cs="Segoe UI"/>
        </w:rPr>
        <w:t xml:space="preserve">each year </w:t>
      </w:r>
      <w:r w:rsidRPr="509909C8">
        <w:rPr>
          <w:rFonts w:eastAsia="Segoe UI" w:cs="Segoe UI"/>
        </w:rPr>
        <w:t xml:space="preserve">over the past 10 years. </w:t>
      </w:r>
      <w:r w:rsidRPr="29AF76D8">
        <w:rPr>
          <w:rFonts w:eastAsia="Segoe UI" w:cs="Segoe UI"/>
        </w:rPr>
        <w:t>T</w:t>
      </w:r>
      <w:r w:rsidRPr="29AF76D8">
        <w:rPr>
          <w:rFonts w:eastAsiaTheme="minorEastAsia" w:cs="Segoe UI"/>
        </w:rPr>
        <w:t>he emergence</w:t>
      </w:r>
      <w:r w:rsidRPr="509909C8">
        <w:rPr>
          <w:rFonts w:eastAsiaTheme="minorEastAsia" w:cs="Segoe UI"/>
        </w:rPr>
        <w:t xml:space="preserve"> of personalised medicines</w:t>
      </w:r>
      <w:r w:rsidR="00122D6C">
        <w:rPr>
          <w:rFonts w:eastAsiaTheme="minorEastAsia" w:cs="Segoe UI"/>
        </w:rPr>
        <w:t>,</w:t>
      </w:r>
      <w:r w:rsidRPr="509909C8">
        <w:rPr>
          <w:rFonts w:eastAsiaTheme="minorEastAsia" w:cs="Segoe UI"/>
        </w:rPr>
        <w:t xml:space="preserve"> such as gene and gene</w:t>
      </w:r>
      <w:r>
        <w:rPr>
          <w:rFonts w:eastAsiaTheme="minorEastAsia" w:cs="Segoe UI"/>
        </w:rPr>
        <w:t>-</w:t>
      </w:r>
      <w:r w:rsidRPr="509909C8">
        <w:rPr>
          <w:rFonts w:eastAsiaTheme="minorEastAsia" w:cs="Segoe UI"/>
        </w:rPr>
        <w:t>modified cell thera</w:t>
      </w:r>
      <w:r w:rsidRPr="509909C8">
        <w:rPr>
          <w:rFonts w:eastAsia="Segoe UI" w:cs="Segoe UI"/>
        </w:rPr>
        <w:t xml:space="preserve">pies, </w:t>
      </w:r>
      <w:r w:rsidRPr="796C92AD">
        <w:rPr>
          <w:rFonts w:eastAsia="Segoe UI" w:cs="Segoe UI"/>
        </w:rPr>
        <w:t>means that</w:t>
      </w:r>
      <w:r w:rsidRPr="509909C8">
        <w:rPr>
          <w:rFonts w:eastAsia="Segoe UI" w:cs="Segoe UI"/>
        </w:rPr>
        <w:t xml:space="preserve"> the number </w:t>
      </w:r>
      <w:r w:rsidR="00122D6C">
        <w:rPr>
          <w:rFonts w:eastAsia="Segoe UI" w:cs="Segoe UI"/>
        </w:rPr>
        <w:t xml:space="preserve">and complexity </w:t>
      </w:r>
      <w:r w:rsidRPr="509909C8">
        <w:rPr>
          <w:rFonts w:eastAsia="Segoe UI" w:cs="Segoe UI"/>
        </w:rPr>
        <w:t xml:space="preserve">of applications </w:t>
      </w:r>
      <w:r w:rsidRPr="5C921057">
        <w:rPr>
          <w:rFonts w:eastAsia="Segoe UI" w:cs="Segoe UI"/>
        </w:rPr>
        <w:t>needing HTA assessment</w:t>
      </w:r>
      <w:r w:rsidRPr="509909C8">
        <w:rPr>
          <w:rFonts w:eastAsia="Segoe UI" w:cs="Segoe UI"/>
        </w:rPr>
        <w:t xml:space="preserve"> will continue to grow. For example, </w:t>
      </w:r>
      <w:r w:rsidRPr="5CC72D35">
        <w:rPr>
          <w:rFonts w:eastAsia="Segoe UI" w:cs="Segoe UI"/>
        </w:rPr>
        <w:t>Australia’s</w:t>
      </w:r>
      <w:r w:rsidRPr="670B3B06">
        <w:rPr>
          <w:rFonts w:eastAsia="Segoe UI" w:cs="Segoe UI"/>
        </w:rPr>
        <w:t xml:space="preserve"> HTA capability and processes must prepare </w:t>
      </w:r>
      <w:r>
        <w:rPr>
          <w:rFonts w:eastAsia="Segoe UI" w:cs="Segoe UI"/>
        </w:rPr>
        <w:t xml:space="preserve">for, </w:t>
      </w:r>
      <w:r w:rsidRPr="02A2BD59">
        <w:rPr>
          <w:rFonts w:eastAsia="Segoe UI" w:cs="Segoe UI"/>
        </w:rPr>
        <w:t xml:space="preserve">and </w:t>
      </w:r>
      <w:r w:rsidR="00122D6C">
        <w:rPr>
          <w:rFonts w:eastAsia="Segoe UI" w:cs="Segoe UI"/>
        </w:rPr>
        <w:t xml:space="preserve">be able </w:t>
      </w:r>
      <w:r w:rsidRPr="670B3B06">
        <w:rPr>
          <w:rFonts w:eastAsia="Segoe UI" w:cs="Segoe UI"/>
        </w:rPr>
        <w:t>to</w:t>
      </w:r>
      <w:r>
        <w:rPr>
          <w:rFonts w:eastAsia="Segoe UI" w:cs="Segoe UI"/>
        </w:rPr>
        <w:t xml:space="preserve"> </w:t>
      </w:r>
      <w:r w:rsidRPr="670B3B06">
        <w:rPr>
          <w:rFonts w:eastAsia="Segoe UI" w:cs="Segoe UI"/>
        </w:rPr>
        <w:t>respond to</w:t>
      </w:r>
      <w:r>
        <w:rPr>
          <w:rFonts w:eastAsia="Segoe UI" w:cs="Segoe UI"/>
        </w:rPr>
        <w:t>,</w:t>
      </w:r>
      <w:r w:rsidRPr="670B3B06">
        <w:rPr>
          <w:rFonts w:eastAsia="Segoe UI" w:cs="Segoe UI"/>
        </w:rPr>
        <w:t xml:space="preserve"> the volume of gene</w:t>
      </w:r>
      <w:r>
        <w:rPr>
          <w:rFonts w:eastAsia="Segoe UI" w:cs="Segoe UI"/>
        </w:rPr>
        <w:t>-</w:t>
      </w:r>
      <w:r w:rsidRPr="670B3B06">
        <w:rPr>
          <w:rFonts w:eastAsia="Segoe UI" w:cs="Segoe UI"/>
        </w:rPr>
        <w:t xml:space="preserve">modified cell therapies in the pipeline. The following numbers </w:t>
      </w:r>
      <w:r w:rsidRPr="57894F85">
        <w:rPr>
          <w:rFonts w:eastAsia="Segoe UI" w:cs="Segoe UI"/>
        </w:rPr>
        <w:t>indicate</w:t>
      </w:r>
      <w:r w:rsidRPr="670B3B06">
        <w:rPr>
          <w:rFonts w:eastAsia="Segoe UI" w:cs="Segoe UI"/>
        </w:rPr>
        <w:t xml:space="preserve"> the scale of the HTA tasks ahead.</w:t>
      </w:r>
      <w:r w:rsidR="00453069">
        <w:rPr>
          <w:rFonts w:eastAsia="Segoe UI" w:cs="Segoe UI"/>
        </w:rPr>
        <w:t xml:space="preserve"> </w:t>
      </w:r>
      <w:r w:rsidRPr="670B3B06">
        <w:rPr>
          <w:rFonts w:eastAsia="Segoe UI" w:cs="Segoe UI"/>
        </w:rPr>
        <w:t xml:space="preserve">As of January 2024, 7 cell and </w:t>
      </w:r>
      <w:r w:rsidR="00500015">
        <w:rPr>
          <w:rFonts w:eastAsia="Segoe UI" w:cs="Segoe UI"/>
        </w:rPr>
        <w:t>r</w:t>
      </w:r>
      <w:r w:rsidR="00500015" w:rsidRPr="00500015">
        <w:rPr>
          <w:rFonts w:eastAsia="Segoe UI" w:cs="Segoe UI"/>
        </w:rPr>
        <w:t xml:space="preserve">ibonucleic acid </w:t>
      </w:r>
      <w:r w:rsidR="00500015">
        <w:rPr>
          <w:rFonts w:eastAsia="Segoe UI" w:cs="Segoe UI"/>
        </w:rPr>
        <w:t>(</w:t>
      </w:r>
      <w:r w:rsidRPr="670B3B06">
        <w:rPr>
          <w:rFonts w:eastAsia="Segoe UI" w:cs="Segoe UI"/>
        </w:rPr>
        <w:t>RNA</w:t>
      </w:r>
      <w:r w:rsidR="00500015">
        <w:rPr>
          <w:rFonts w:eastAsia="Segoe UI" w:cs="Segoe UI"/>
        </w:rPr>
        <w:t>)</w:t>
      </w:r>
      <w:r w:rsidRPr="670B3B06">
        <w:rPr>
          <w:rFonts w:eastAsia="Segoe UI" w:cs="Segoe UI"/>
        </w:rPr>
        <w:t xml:space="preserve"> therapies </w:t>
      </w:r>
      <w:r w:rsidR="00122D6C">
        <w:rPr>
          <w:rFonts w:eastAsia="Segoe UI" w:cs="Segoe UI"/>
        </w:rPr>
        <w:t xml:space="preserve">were </w:t>
      </w:r>
      <w:r w:rsidRPr="57894F85">
        <w:rPr>
          <w:rFonts w:eastAsia="Segoe UI" w:cs="Segoe UI"/>
        </w:rPr>
        <w:t xml:space="preserve">registered in </w:t>
      </w:r>
      <w:r w:rsidRPr="670B3B06">
        <w:rPr>
          <w:rFonts w:eastAsia="Segoe UI" w:cs="Segoe UI"/>
        </w:rPr>
        <w:t xml:space="preserve">Australia; 46 </w:t>
      </w:r>
      <w:r w:rsidR="00122D6C">
        <w:rPr>
          <w:rFonts w:eastAsia="Segoe UI" w:cs="Segoe UI"/>
        </w:rPr>
        <w:t xml:space="preserve">were </w:t>
      </w:r>
      <w:r w:rsidRPr="670B3B06">
        <w:rPr>
          <w:rFonts w:eastAsia="Segoe UI" w:cs="Segoe UI"/>
        </w:rPr>
        <w:t>registered in other comparable jurisdictions</w:t>
      </w:r>
      <w:r w:rsidR="00122D6C">
        <w:rPr>
          <w:rFonts w:eastAsia="Segoe UI" w:cs="Segoe UI"/>
        </w:rPr>
        <w:t>;</w:t>
      </w:r>
      <w:r w:rsidRPr="670B3B06">
        <w:rPr>
          <w:rFonts w:eastAsia="Segoe UI" w:cs="Segoe UI"/>
        </w:rPr>
        <w:t xml:space="preserve"> and 3</w:t>
      </w:r>
      <w:r w:rsidR="00122D6C">
        <w:rPr>
          <w:rFonts w:eastAsia="Segoe UI" w:cs="Segoe UI"/>
        </w:rPr>
        <w:t>,</w:t>
      </w:r>
      <w:r w:rsidRPr="670B3B06">
        <w:rPr>
          <w:rFonts w:eastAsia="Segoe UI" w:cs="Segoe UI"/>
        </w:rPr>
        <w:t>951</w:t>
      </w:r>
      <w:r w:rsidR="00122D6C">
        <w:rPr>
          <w:rFonts w:eastAsia="Segoe UI" w:cs="Segoe UI"/>
        </w:rPr>
        <w:t xml:space="preserve"> were</w:t>
      </w:r>
      <w:r w:rsidRPr="670B3B06">
        <w:rPr>
          <w:rFonts w:eastAsia="Segoe UI" w:cs="Segoe UI"/>
        </w:rPr>
        <w:t xml:space="preserve"> in clinical development.</w:t>
      </w:r>
      <w:r w:rsidR="00453069">
        <w:rPr>
          <w:rFonts w:eastAsia="Segoe UI" w:cs="Segoe UI"/>
        </w:rPr>
        <w:t xml:space="preserve"> </w:t>
      </w:r>
    </w:p>
    <w:p w14:paraId="5769AA1D" w14:textId="6B7B30CA" w:rsidR="001630E4" w:rsidRDefault="001630E4" w:rsidP="00A1076D">
      <w:pPr>
        <w:spacing w:line="257" w:lineRule="auto"/>
      </w:pPr>
      <w:r w:rsidRPr="4B4E475F">
        <w:rPr>
          <w:rFonts w:eastAsia="Segoe UI" w:cs="Segoe UI"/>
        </w:rPr>
        <w:t>The reforms recommended by th</w:t>
      </w:r>
      <w:r w:rsidR="005B4D44">
        <w:rPr>
          <w:rFonts w:eastAsia="Segoe UI" w:cs="Segoe UI"/>
        </w:rPr>
        <w:t>e</w:t>
      </w:r>
      <w:r w:rsidRPr="4B4E475F">
        <w:rPr>
          <w:rFonts w:eastAsia="Segoe UI" w:cs="Segoe UI"/>
        </w:rPr>
        <w:t xml:space="preserve"> </w:t>
      </w:r>
      <w:r>
        <w:rPr>
          <w:rFonts w:eastAsia="Segoe UI" w:cs="Segoe UI"/>
        </w:rPr>
        <w:t>R</w:t>
      </w:r>
      <w:r w:rsidRPr="4B4E475F">
        <w:rPr>
          <w:rFonts w:eastAsia="Segoe UI" w:cs="Segoe UI"/>
        </w:rPr>
        <w:t xml:space="preserve">eview will place further demands on the </w:t>
      </w:r>
      <w:r>
        <w:rPr>
          <w:rFonts w:eastAsia="Segoe UI" w:cs="Segoe UI"/>
        </w:rPr>
        <w:t xml:space="preserve">HTA </w:t>
      </w:r>
      <w:r w:rsidRPr="4B4E475F">
        <w:rPr>
          <w:rFonts w:eastAsia="Segoe UI" w:cs="Segoe UI"/>
        </w:rPr>
        <w:t>system. For example, improv</w:t>
      </w:r>
      <w:r w:rsidR="00122D6C">
        <w:rPr>
          <w:rFonts w:eastAsia="Segoe UI" w:cs="Segoe UI"/>
        </w:rPr>
        <w:t>ing</w:t>
      </w:r>
      <w:r w:rsidRPr="4B4E475F">
        <w:rPr>
          <w:rFonts w:eastAsia="Segoe UI" w:cs="Segoe UI"/>
        </w:rPr>
        <w:t xml:space="preserve"> communication and engagement processes</w:t>
      </w:r>
      <w:r>
        <w:rPr>
          <w:rFonts w:eastAsia="Segoe UI" w:cs="Segoe UI"/>
        </w:rPr>
        <w:t>, enabl</w:t>
      </w:r>
      <w:r w:rsidR="00122D6C">
        <w:rPr>
          <w:rFonts w:eastAsia="Segoe UI" w:cs="Segoe UI"/>
        </w:rPr>
        <w:t>ing</w:t>
      </w:r>
      <w:r w:rsidRPr="4B4E475F">
        <w:rPr>
          <w:rFonts w:eastAsia="Segoe UI" w:cs="Segoe UI"/>
        </w:rPr>
        <w:t xml:space="preserve"> proactive activities </w:t>
      </w:r>
      <w:r w:rsidR="00122D6C">
        <w:rPr>
          <w:rFonts w:eastAsia="Segoe UI" w:cs="Segoe UI"/>
        </w:rPr>
        <w:t>such as</w:t>
      </w:r>
      <w:r w:rsidR="00122D6C" w:rsidRPr="4B4E475F">
        <w:rPr>
          <w:rFonts w:eastAsia="Segoe UI" w:cs="Segoe UI"/>
        </w:rPr>
        <w:t xml:space="preserve"> </w:t>
      </w:r>
      <w:r w:rsidRPr="4B4E475F">
        <w:rPr>
          <w:rFonts w:eastAsia="Segoe UI" w:cs="Segoe UI"/>
        </w:rPr>
        <w:t>horizon scanning</w:t>
      </w:r>
      <w:r>
        <w:rPr>
          <w:rFonts w:eastAsia="Segoe UI" w:cs="Segoe UI"/>
        </w:rPr>
        <w:t>,</w:t>
      </w:r>
      <w:r w:rsidRPr="4B4E475F">
        <w:rPr>
          <w:rFonts w:eastAsia="Segoe UI" w:cs="Segoe UI"/>
        </w:rPr>
        <w:t xml:space="preserve"> streamlin</w:t>
      </w:r>
      <w:r w:rsidR="00122D6C">
        <w:rPr>
          <w:rFonts w:eastAsia="Segoe UI" w:cs="Segoe UI"/>
        </w:rPr>
        <w:t>ing</w:t>
      </w:r>
      <w:r w:rsidRPr="4B4E475F">
        <w:rPr>
          <w:rFonts w:eastAsia="Segoe UI" w:cs="Segoe UI"/>
        </w:rPr>
        <w:t xml:space="preserve"> funding and approval pathways</w:t>
      </w:r>
      <w:r>
        <w:rPr>
          <w:rFonts w:eastAsia="Segoe UI" w:cs="Segoe UI"/>
        </w:rPr>
        <w:t>,</w:t>
      </w:r>
      <w:r w:rsidRPr="4B4E475F">
        <w:rPr>
          <w:rFonts w:eastAsia="Segoe UI" w:cs="Segoe UI"/>
        </w:rPr>
        <w:t xml:space="preserve"> </w:t>
      </w:r>
      <w:r w:rsidR="00122D6C">
        <w:rPr>
          <w:rFonts w:eastAsia="Segoe UI" w:cs="Segoe UI"/>
        </w:rPr>
        <w:t>and</w:t>
      </w:r>
      <w:r>
        <w:rPr>
          <w:rFonts w:eastAsia="Segoe UI" w:cs="Segoe UI"/>
        </w:rPr>
        <w:t xml:space="preserve"> establish</w:t>
      </w:r>
      <w:r w:rsidR="00122D6C">
        <w:rPr>
          <w:rFonts w:eastAsia="Segoe UI" w:cs="Segoe UI"/>
        </w:rPr>
        <w:t>ing</w:t>
      </w:r>
      <w:r>
        <w:rPr>
          <w:rFonts w:eastAsia="Segoe UI" w:cs="Segoe UI"/>
        </w:rPr>
        <w:t xml:space="preserve"> and operat</w:t>
      </w:r>
      <w:r w:rsidR="00122D6C">
        <w:rPr>
          <w:rFonts w:eastAsia="Segoe UI" w:cs="Segoe UI"/>
        </w:rPr>
        <w:t>ing</w:t>
      </w:r>
      <w:r>
        <w:rPr>
          <w:rFonts w:eastAsia="Segoe UI" w:cs="Segoe UI"/>
        </w:rPr>
        <w:t xml:space="preserve"> a bridging fund</w:t>
      </w:r>
      <w:r w:rsidRPr="4B4E475F">
        <w:rPr>
          <w:rFonts w:eastAsia="Segoe UI" w:cs="Segoe UI"/>
        </w:rPr>
        <w:t xml:space="preserve"> all require additional resourc</w:t>
      </w:r>
      <w:r w:rsidR="00122D6C">
        <w:rPr>
          <w:rFonts w:eastAsia="Segoe UI" w:cs="Segoe UI"/>
        </w:rPr>
        <w:t>es</w:t>
      </w:r>
      <w:r w:rsidRPr="4B4E475F">
        <w:rPr>
          <w:rFonts w:eastAsia="Segoe UI" w:cs="Segoe UI"/>
        </w:rPr>
        <w:t xml:space="preserve"> and investment in the workforce and system capabilities. The Review emphasises that these recommendations cannot be delivered effectively with</w:t>
      </w:r>
      <w:r w:rsidR="00122D6C">
        <w:rPr>
          <w:rFonts w:eastAsia="Segoe UI" w:cs="Segoe UI"/>
        </w:rPr>
        <w:t xml:space="preserve"> </w:t>
      </w:r>
      <w:r w:rsidRPr="4B4E475F">
        <w:rPr>
          <w:rFonts w:eastAsia="Segoe UI" w:cs="Segoe UI"/>
        </w:rPr>
        <w:t xml:space="preserve">the current departmental appropriations. </w:t>
      </w:r>
    </w:p>
    <w:p w14:paraId="0BAFFA72" w14:textId="77777777" w:rsidR="001630E4" w:rsidRDefault="001630E4" w:rsidP="00BE6947">
      <w:pPr>
        <w:pStyle w:val="Heading2"/>
      </w:pPr>
      <w:bookmarkStart w:id="41" w:name="_Toc171935852"/>
      <w:r>
        <w:t>Conclusion</w:t>
      </w:r>
      <w:bookmarkEnd w:id="41"/>
      <w:r>
        <w:t xml:space="preserve"> </w:t>
      </w:r>
    </w:p>
    <w:p w14:paraId="2507C816" w14:textId="77777777" w:rsidR="0065274D" w:rsidRDefault="0065274D" w:rsidP="00BE6947">
      <w:r w:rsidRPr="0065274D">
        <w:t xml:space="preserve">The Review provided a significant and timely opportunity to examine Australia’s approach to HTA: to determine what is working effectively, how to improve the settings </w:t>
      </w:r>
      <w:r w:rsidRPr="0065274D">
        <w:lastRenderedPageBreak/>
        <w:t xml:space="preserve">and how to futureproof the system to best meet the opportunities and challenges of the future. </w:t>
      </w:r>
    </w:p>
    <w:p w14:paraId="2DC15A0E" w14:textId="0DF21968" w:rsidR="00382F53" w:rsidRPr="00382F53" w:rsidDel="007C7E85" w:rsidRDefault="001630E4" w:rsidP="00382F53">
      <w:r w:rsidRPr="001F78B0">
        <w:t>The Refe</w:t>
      </w:r>
      <w:r w:rsidR="00604A73" w:rsidRPr="001F78B0">
        <w:t>re</w:t>
      </w:r>
      <w:r w:rsidRPr="001F78B0">
        <w:t xml:space="preserve">nce Committee members </w:t>
      </w:r>
      <w:r w:rsidR="00622514">
        <w:t xml:space="preserve">for the Review </w:t>
      </w:r>
      <w:r w:rsidRPr="001F78B0">
        <w:t>recognise that implement</w:t>
      </w:r>
      <w:r w:rsidR="002D53BD">
        <w:t>ing</w:t>
      </w:r>
      <w:r w:rsidRPr="001F78B0">
        <w:t xml:space="preserve"> such </w:t>
      </w:r>
      <w:r w:rsidR="00C07C4F" w:rsidRPr="001F78B0">
        <w:t xml:space="preserve">a </w:t>
      </w:r>
      <w:r w:rsidRPr="001F78B0">
        <w:t>multifaceted program of reforms will be complex and costly</w:t>
      </w:r>
      <w:r w:rsidR="00760E4C">
        <w:t>. It also</w:t>
      </w:r>
      <w:r w:rsidRPr="001F78B0">
        <w:t xml:space="preserve"> needs to occur in sync with other reforms arising from </w:t>
      </w:r>
      <w:r w:rsidR="005D34A0" w:rsidRPr="00BD7A1A">
        <w:t xml:space="preserve">The New Frontier </w:t>
      </w:r>
      <w:r w:rsidR="00760E4C">
        <w:t>i</w:t>
      </w:r>
      <w:r w:rsidR="005D34A0" w:rsidRPr="00BD7A1A">
        <w:t>nquiry</w:t>
      </w:r>
      <w:r w:rsidR="00042CFD">
        <w:t>,</w:t>
      </w:r>
      <w:r w:rsidR="0070240F">
        <w:fldChar w:fldCharType="begin" w:fldLock="1"/>
      </w:r>
      <w:r w:rsidR="0070240F">
        <w:instrText xml:space="preserve"> NOTEREF _Ref166770012 \f \h </w:instrText>
      </w:r>
      <w:r w:rsidR="0070240F">
        <w:fldChar w:fldCharType="separate"/>
      </w:r>
      <w:r w:rsidR="0070240F" w:rsidRPr="003037AA">
        <w:rPr>
          <w:rStyle w:val="FootnoteReference"/>
        </w:rPr>
        <w:t>1</w:t>
      </w:r>
      <w:r w:rsidR="0070240F">
        <w:fldChar w:fldCharType="end"/>
      </w:r>
      <w:r w:rsidR="00042CFD">
        <w:t xml:space="preserve"> where the</w:t>
      </w:r>
      <w:r w:rsidRPr="00BD7A1A">
        <w:t xml:space="preserve"> </w:t>
      </w:r>
      <w:r w:rsidR="003453A5">
        <w:t>Australian G</w:t>
      </w:r>
      <w:r w:rsidRPr="00BD7A1A">
        <w:t>overnment has made a commitment to advance</w:t>
      </w:r>
      <w:r w:rsidR="00760E4C">
        <w:t xml:space="preserve"> these reforms</w:t>
      </w:r>
      <w:r w:rsidRPr="00BD7A1A">
        <w:t>.</w:t>
      </w:r>
      <w:r w:rsidR="00453069">
        <w:t xml:space="preserve"> </w:t>
      </w:r>
      <w:r w:rsidRPr="00BD7A1A">
        <w:t>HTA polic</w:t>
      </w:r>
      <w:r w:rsidR="00E14C55">
        <w:t>y</w:t>
      </w:r>
      <w:r w:rsidRPr="00BD7A1A">
        <w:t xml:space="preserve"> and methods </w:t>
      </w:r>
      <w:r w:rsidR="00A41EFA" w:rsidRPr="00BD7A1A">
        <w:t>will</w:t>
      </w:r>
      <w:r w:rsidR="00A41EFA">
        <w:t xml:space="preserve"> need to </w:t>
      </w:r>
      <w:r>
        <w:t>continuously improv</w:t>
      </w:r>
      <w:r w:rsidR="00A41EFA">
        <w:t>e</w:t>
      </w:r>
      <w:r>
        <w:t xml:space="preserve"> to ensure they remain relevant and meet community expectations while assuring </w:t>
      </w:r>
      <w:r w:rsidRPr="00031BA8">
        <w:t>the Government</w:t>
      </w:r>
      <w:r w:rsidRPr="001F78B0">
        <w:t xml:space="preserve"> and citizens that decisions to spend more on health technologies will result in even better healthcare access and improved health outcomes.</w:t>
      </w:r>
      <w:bookmarkEnd w:id="16"/>
      <w:r>
        <w:br w:type="page"/>
      </w:r>
    </w:p>
    <w:p w14:paraId="53F67CDC" w14:textId="5A8BF5BD" w:rsidR="00FA396E" w:rsidRDefault="00F101E2" w:rsidP="005E64D2">
      <w:pPr>
        <w:pStyle w:val="Heading2"/>
        <w:spacing w:after="240"/>
      </w:pPr>
      <w:bookmarkStart w:id="42" w:name="_Toc171935853"/>
      <w:r w:rsidRPr="00BD34D3">
        <w:rPr>
          <w:rStyle w:val="Heading2Char"/>
          <w:rFonts w:eastAsiaTheme="minorHAnsi"/>
        </w:rPr>
        <w:lastRenderedPageBreak/>
        <w:t xml:space="preserve">Summary of </w:t>
      </w:r>
      <w:r w:rsidR="00760E4C">
        <w:rPr>
          <w:rStyle w:val="Heading2Char"/>
          <w:rFonts w:eastAsiaTheme="minorHAnsi"/>
        </w:rPr>
        <w:t>r</w:t>
      </w:r>
      <w:r w:rsidRPr="00BD34D3">
        <w:rPr>
          <w:rStyle w:val="Heading2Char"/>
          <w:rFonts w:eastAsiaTheme="minorHAnsi"/>
        </w:rPr>
        <w:t>ecommendations</w:t>
      </w:r>
      <w:bookmarkEnd w:id="42"/>
    </w:p>
    <w:p w14:paraId="265B7DBF" w14:textId="788D9C23" w:rsidR="00382F53" w:rsidRPr="00FA396E" w:rsidRDefault="00527342" w:rsidP="00FA396E">
      <w:r w:rsidRPr="00ED32F0">
        <w:rPr>
          <w:rFonts w:eastAsia="Times New Roman"/>
          <w:bCs/>
          <w:iCs/>
          <w:noProof/>
          <w:sz w:val="28"/>
        </w:rPr>
        <mc:AlternateContent>
          <mc:Choice Requires="wps">
            <w:drawing>
              <wp:inline distT="0" distB="0" distL="0" distR="0" wp14:anchorId="06E1890C" wp14:editId="716D93A8">
                <wp:extent cx="5727700" cy="843148"/>
                <wp:effectExtent l="0" t="0" r="6350" b="0"/>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843148"/>
                        </a:xfrm>
                        <a:prstGeom prst="rect">
                          <a:avLst/>
                        </a:prstGeom>
                        <a:solidFill>
                          <a:schemeClr val="accent4">
                            <a:lumMod val="20000"/>
                            <a:lumOff val="80000"/>
                          </a:schemeClr>
                        </a:solidFill>
                        <a:ln w="9525">
                          <a:noFill/>
                          <a:miter lim="800000"/>
                          <a:headEnd/>
                          <a:tailEnd/>
                        </a:ln>
                      </wps:spPr>
                      <wps:txbx>
                        <w:txbxContent>
                          <w:p w14:paraId="6BF7B2DA" w14:textId="45E518C5" w:rsidR="00527342" w:rsidRPr="00ED32F0" w:rsidRDefault="00527342" w:rsidP="00FA396E">
                            <w:r w:rsidRPr="00ED32F0">
                              <w:t xml:space="preserve">The </w:t>
                            </w:r>
                            <w:r w:rsidR="00BF6B6E">
                              <w:t xml:space="preserve">following </w:t>
                            </w:r>
                            <w:r w:rsidRPr="00ED32F0">
                              <w:t>summar</w:t>
                            </w:r>
                            <w:r w:rsidR="00BF6B6E">
                              <w:t>ises</w:t>
                            </w:r>
                            <w:r w:rsidRPr="00ED32F0">
                              <w:t xml:space="preserve"> the</w:t>
                            </w:r>
                            <w:r w:rsidR="00BF6B6E" w:rsidRPr="00ED32F0">
                              <w:t xml:space="preserve"> Review</w:t>
                            </w:r>
                            <w:r w:rsidR="00BF6B6E">
                              <w:t>’s</w:t>
                            </w:r>
                            <w:r w:rsidR="00BF6B6E" w:rsidRPr="00ED32F0">
                              <w:t xml:space="preserve"> </w:t>
                            </w:r>
                            <w:r w:rsidRPr="00ED32F0">
                              <w:t>key recommendations for the Australian Government to action</w:t>
                            </w:r>
                            <w:r w:rsidR="00BF6B6E">
                              <w:t>,</w:t>
                            </w:r>
                            <w:r w:rsidRPr="00ED32F0">
                              <w:t xml:space="preserve"> in collaboration with relevant stakeholders.</w:t>
                            </w:r>
                            <w:r w:rsidR="006D6964">
                              <w:t xml:space="preserve"> The </w:t>
                            </w:r>
                            <w:r w:rsidR="00456C7B">
                              <w:t xml:space="preserve">full, </w:t>
                            </w:r>
                            <w:r w:rsidR="006D6964">
                              <w:t xml:space="preserve">detailed </w:t>
                            </w:r>
                            <w:r w:rsidR="00D60F3A">
                              <w:t>recommendations</w:t>
                            </w:r>
                            <w:r w:rsidR="00456C7B">
                              <w:t xml:space="preserve"> </w:t>
                            </w:r>
                            <w:r w:rsidR="00D60F3A">
                              <w:t>are contained within the relevant chapters.</w:t>
                            </w:r>
                            <w:r w:rsidRPr="00ED32F0">
                              <w:t xml:space="preserve"> </w:t>
                            </w:r>
                          </w:p>
                        </w:txbxContent>
                      </wps:txbx>
                      <wps:bodyPr rot="0" vert="horz" wrap="square" lIns="91440" tIns="45720" rIns="91440" bIns="45720" anchor="t" anchorCtr="0">
                        <a:noAutofit/>
                      </wps:bodyPr>
                    </wps:wsp>
                  </a:graphicData>
                </a:graphic>
              </wp:inline>
            </w:drawing>
          </mc:Choice>
          <mc:Fallback>
            <w:pict>
              <v:shapetype w14:anchorId="06E1890C" id="_x0000_t202" coordsize="21600,21600" o:spt="202" path="m,l,21600r21600,l21600,xe">
                <v:stroke joinstyle="miter"/>
                <v:path gradientshapeok="t" o:connecttype="rect"/>
              </v:shapetype>
              <v:shape id="Text Box 217" o:spid="_x0000_s1026" type="#_x0000_t202" style="width:451pt;height:6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" fillcolor="#caeafa [663]" stroked="f">
                <v:textbox>
                  <w:txbxContent>
                    <w:p w14:paraId="6BF7B2DA" w14:textId="45E518C5" w:rsidR="00527342" w:rsidRPr="00ED32F0" w:rsidRDefault="00527342" w:rsidP="00FA396E">
                      <w:r w:rsidRPr="00ED32F0">
                        <w:t xml:space="preserve">The </w:t>
                      </w:r>
                      <w:r w:rsidR="00BF6B6E">
                        <w:t xml:space="preserve">following </w:t>
                      </w:r>
                      <w:r w:rsidRPr="00ED32F0">
                        <w:t>summar</w:t>
                      </w:r>
                      <w:r w:rsidR="00BF6B6E">
                        <w:t>ises</w:t>
                      </w:r>
                      <w:r w:rsidRPr="00ED32F0">
                        <w:t xml:space="preserve"> the</w:t>
                      </w:r>
                      <w:r w:rsidR="00BF6B6E" w:rsidRPr="00ED32F0">
                        <w:t xml:space="preserve"> Review</w:t>
                      </w:r>
                      <w:r w:rsidR="00BF6B6E">
                        <w:t>’s</w:t>
                      </w:r>
                      <w:r w:rsidR="00BF6B6E" w:rsidRPr="00ED32F0">
                        <w:t xml:space="preserve"> </w:t>
                      </w:r>
                      <w:r w:rsidRPr="00ED32F0">
                        <w:t>key recommendations for the Australian Government to action</w:t>
                      </w:r>
                      <w:r w:rsidR="00BF6B6E">
                        <w:t>,</w:t>
                      </w:r>
                      <w:r w:rsidRPr="00ED32F0">
                        <w:t xml:space="preserve"> in collaboration with relevant stakeholders.</w:t>
                      </w:r>
                      <w:r w:rsidR="006D6964">
                        <w:t xml:space="preserve"> The </w:t>
                      </w:r>
                      <w:r w:rsidR="00456C7B">
                        <w:t xml:space="preserve">full, </w:t>
                      </w:r>
                      <w:r w:rsidR="006D6964">
                        <w:t xml:space="preserve">detailed </w:t>
                      </w:r>
                      <w:r w:rsidR="00D60F3A">
                        <w:t>recommendations</w:t>
                      </w:r>
                      <w:r w:rsidR="00456C7B">
                        <w:t xml:space="preserve"> </w:t>
                      </w:r>
                      <w:r w:rsidR="00D60F3A">
                        <w:t>are contained within the relevant chapters.</w:t>
                      </w:r>
                      <w:r w:rsidRPr="00ED32F0">
                        <w:t xml:space="preserve"> </w:t>
                      </w:r>
                    </w:p>
                  </w:txbxContent>
                </v:textbox>
                <w10:anchorlock/>
              </v:shape>
            </w:pict>
          </mc:Fallback>
        </mc:AlternateContent>
      </w:r>
    </w:p>
    <w:p w14:paraId="69796552" w14:textId="77777777" w:rsidR="00EA3EFB" w:rsidRPr="00A318F7" w:rsidRDefault="00EA3EFB" w:rsidP="005E64D2">
      <w:pPr>
        <w:pStyle w:val="SummaryofRecChapterheading"/>
        <w:spacing w:before="240" w:after="120"/>
      </w:pPr>
      <w:r w:rsidRPr="00EA3EFB">
        <w:t>Chapter 3: Providing more equitable access to unde</w:t>
      </w:r>
      <w:r w:rsidRPr="006C3D8C">
        <w:t>r-represented patient groups</w:t>
      </w:r>
    </w:p>
    <w:p w14:paraId="7130E542" w14:textId="700BACE4" w:rsidR="00EA3EFB" w:rsidRPr="000A53B0" w:rsidRDefault="00EA3EFB" w:rsidP="00A318F7">
      <w:pPr>
        <w:pStyle w:val="SummaryofRecRecheading"/>
        <w:ind w:left="0" w:firstLine="0"/>
        <w:rPr>
          <w:b/>
        </w:rPr>
      </w:pPr>
      <w:r w:rsidRPr="79F0D2C0">
        <w:t xml:space="preserve">Creating a more equitable system for First Nations </w:t>
      </w:r>
      <w:r w:rsidRPr="00B61FDC">
        <w:t>people</w:t>
      </w:r>
    </w:p>
    <w:p w14:paraId="7BD81972" w14:textId="0AF49C3F" w:rsidR="00EA3EFB" w:rsidRPr="000A53B0" w:rsidRDefault="00EA3EFB" w:rsidP="00CB13A6">
      <w:pPr>
        <w:snapToGrid w:val="0"/>
        <w:spacing w:after="120" w:line="22" w:lineRule="atLeast"/>
        <w:rPr>
          <w:rFonts w:eastAsia="Calibri" w:cs="Segoe UI"/>
          <w:b/>
          <w:bCs/>
          <w:kern w:val="2"/>
          <w14:ligatures w14:val="standardContextual"/>
        </w:rPr>
      </w:pPr>
      <w:r>
        <w:rPr>
          <w:rFonts w:eastAsia="Calibri" w:cs="Segoe UI"/>
          <w:kern w:val="2"/>
          <w14:ligatures w14:val="standardContextual"/>
        </w:rPr>
        <w:t>R</w:t>
      </w:r>
      <w:r w:rsidRPr="000A53B0">
        <w:rPr>
          <w:rFonts w:eastAsia="Calibri" w:cs="Segoe UI"/>
          <w:kern w:val="2"/>
          <w14:ligatures w14:val="standardContextual"/>
        </w:rPr>
        <w:t xml:space="preserve">educe health inequity for First Nations </w:t>
      </w:r>
      <w:r w:rsidRPr="00B61FDC">
        <w:rPr>
          <w:rFonts w:eastAsia="Calibri" w:cs="Segoe UI"/>
          <w:kern w:val="2"/>
          <w14:ligatures w14:val="standardContextual"/>
        </w:rPr>
        <w:t>people</w:t>
      </w:r>
      <w:r w:rsidRPr="005E5E5F">
        <w:rPr>
          <w:rFonts w:eastAsia="Calibri" w:cs="Segoe UI"/>
          <w:kern w:val="2"/>
          <w14:ligatures w14:val="standardContextual"/>
        </w:rPr>
        <w:t xml:space="preserve"> </w:t>
      </w:r>
      <w:r>
        <w:rPr>
          <w:rFonts w:eastAsia="Calibri" w:cs="Segoe UI"/>
          <w:kern w:val="2"/>
          <w14:ligatures w14:val="standardContextual"/>
        </w:rPr>
        <w:t>by</w:t>
      </w:r>
      <w:r w:rsidRPr="000A53B0">
        <w:rPr>
          <w:rFonts w:eastAsia="Calibri" w:cs="Segoe UI"/>
          <w:kern w:val="2"/>
          <w14:ligatures w14:val="standardContextual"/>
        </w:rPr>
        <w:t>:</w:t>
      </w:r>
    </w:p>
    <w:p w14:paraId="2C553003" w14:textId="4E9BE9C5" w:rsidR="00EA3EFB" w:rsidRPr="000A53B0" w:rsidRDefault="00EA3EFB" w:rsidP="00274AA9">
      <w:pPr>
        <w:pStyle w:val="ListBullet"/>
        <w:rPr>
          <w:b/>
        </w:rPr>
      </w:pPr>
      <w:r w:rsidRPr="000A53B0">
        <w:t xml:space="preserve">establishing a First Nations Advisory Committee to advise </w:t>
      </w:r>
      <w:r>
        <w:t xml:space="preserve">the </w:t>
      </w:r>
      <w:r w:rsidRPr="00FE6A94">
        <w:t>Pharmaceutical Benefits Advisory Committee</w:t>
      </w:r>
      <w:r w:rsidRPr="000C576B">
        <w:t xml:space="preserve"> </w:t>
      </w:r>
      <w:r w:rsidRPr="000A53B0">
        <w:t xml:space="preserve">and </w:t>
      </w:r>
      <w:r>
        <w:t xml:space="preserve">the Medical Services Advisory Committee </w:t>
      </w:r>
      <w:r w:rsidRPr="000A53B0">
        <w:t>on matters for First Nations people such as priority indications for people with high unmet clinical need</w:t>
      </w:r>
    </w:p>
    <w:p w14:paraId="5B1FB7D5" w14:textId="6F180F4B" w:rsidR="00EA3EFB" w:rsidRPr="00E72737" w:rsidRDefault="00EA3EFB" w:rsidP="00274AA9">
      <w:pPr>
        <w:pStyle w:val="ListBullet"/>
        <w:rPr>
          <w:b/>
        </w:rPr>
      </w:pPr>
      <w:r w:rsidRPr="00B61FDC">
        <w:t>including</w:t>
      </w:r>
      <w:r w:rsidRPr="0088233A">
        <w:t xml:space="preserve"> First Nations representative/s </w:t>
      </w:r>
      <w:r w:rsidRPr="00B61FDC">
        <w:t xml:space="preserve">on the </w:t>
      </w:r>
      <w:r w:rsidR="005764CF" w:rsidRPr="00FE6A94">
        <w:t>Pharmaceutical Benefits Advisory Committee</w:t>
      </w:r>
      <w:r w:rsidR="005764CF" w:rsidRPr="000C576B">
        <w:t xml:space="preserve"> </w:t>
      </w:r>
      <w:r w:rsidRPr="00E72737">
        <w:t xml:space="preserve">with relevant expertise and experience </w:t>
      </w:r>
      <w:r w:rsidR="00277F12">
        <w:t xml:space="preserve">to </w:t>
      </w:r>
      <w:r w:rsidR="00F71A20">
        <w:t>provide information</w:t>
      </w:r>
      <w:r w:rsidR="00616919">
        <w:t xml:space="preserve"> relating to the</w:t>
      </w:r>
      <w:r w:rsidR="00EA781D">
        <w:t xml:space="preserve"> of health </w:t>
      </w:r>
      <w:r w:rsidR="00616919">
        <w:t xml:space="preserve">and equity </w:t>
      </w:r>
      <w:r w:rsidR="00EA781D">
        <w:t xml:space="preserve">impacts of submissions </w:t>
      </w:r>
      <w:r w:rsidR="00616919">
        <w:t>on First Nation</w:t>
      </w:r>
      <w:r w:rsidR="00E51597">
        <w:t>s people</w:t>
      </w:r>
    </w:p>
    <w:p w14:paraId="6ADC50ED" w14:textId="090FAC42" w:rsidR="00EA3EFB" w:rsidRPr="00EC25D5" w:rsidRDefault="00EA3EFB" w:rsidP="00274AA9">
      <w:pPr>
        <w:pStyle w:val="ListBullet"/>
        <w:rPr>
          <w:b/>
        </w:rPr>
      </w:pPr>
      <w:r w:rsidRPr="00EC25D5">
        <w:t>requir</w:t>
      </w:r>
      <w:r>
        <w:t>ing</w:t>
      </w:r>
      <w:r w:rsidRPr="00EC25D5">
        <w:t xml:space="preserve"> sponsor</w:t>
      </w:r>
      <w:r>
        <w:t>s’</w:t>
      </w:r>
      <w:r w:rsidRPr="00EC25D5">
        <w:t xml:space="preserve"> submissions to include consideration of the impact on health outcomes for First Nations people</w:t>
      </w:r>
      <w:r>
        <w:t>.</w:t>
      </w:r>
    </w:p>
    <w:p w14:paraId="2119792E" w14:textId="1BD239F8" w:rsidR="00EA3EFB" w:rsidRPr="00D94E6F" w:rsidRDefault="00EA3EFB" w:rsidP="00A318F7">
      <w:pPr>
        <w:pStyle w:val="SummaryofRecRecheading"/>
        <w:ind w:left="0" w:firstLine="0"/>
      </w:pPr>
      <w:r>
        <w:t>Providing</w:t>
      </w:r>
      <w:r w:rsidRPr="00B61FDC">
        <w:t xml:space="preserve"> equitable access to medicines for </w:t>
      </w:r>
      <w:r w:rsidR="00E51597">
        <w:t>paediatric patients</w:t>
      </w:r>
    </w:p>
    <w:p w14:paraId="694A8E88" w14:textId="13C68D45" w:rsidR="00EA3EFB" w:rsidRPr="000A53B0" w:rsidRDefault="00EA3EFB" w:rsidP="00CB13A6">
      <w:pPr>
        <w:snapToGrid w:val="0"/>
        <w:spacing w:after="120" w:line="22" w:lineRule="atLeast"/>
        <w:rPr>
          <w:rFonts w:cs="Segoe UI"/>
          <w:b/>
        </w:rPr>
      </w:pPr>
      <w:r>
        <w:rPr>
          <w:rFonts w:cs="Segoe UI"/>
        </w:rPr>
        <w:t>A</w:t>
      </w:r>
      <w:r w:rsidRPr="79F0D2C0">
        <w:rPr>
          <w:rFonts w:cs="Segoe UI"/>
        </w:rPr>
        <w:t xml:space="preserve">dopt an </w:t>
      </w:r>
      <w:r>
        <w:rPr>
          <w:rFonts w:cs="Segoe UI"/>
        </w:rPr>
        <w:t xml:space="preserve">age </w:t>
      </w:r>
      <w:r w:rsidRPr="79F0D2C0">
        <w:rPr>
          <w:rFonts w:cs="Segoe UI"/>
        </w:rPr>
        <w:t xml:space="preserve">agnostic approach for new listings on the </w:t>
      </w:r>
      <w:r w:rsidRPr="00B61FDC">
        <w:rPr>
          <w:rFonts w:cs="Segoe UI"/>
        </w:rPr>
        <w:t>Pharmaceutical Benefits Scheme</w:t>
      </w:r>
      <w:r w:rsidR="00051915">
        <w:rPr>
          <w:rFonts w:cs="Segoe UI"/>
        </w:rPr>
        <w:t xml:space="preserve"> </w:t>
      </w:r>
      <w:r w:rsidRPr="79F0D2C0">
        <w:rPr>
          <w:rFonts w:cs="Segoe UI"/>
        </w:rPr>
        <w:t>unless special circumstances necessitate restricting access.</w:t>
      </w:r>
    </w:p>
    <w:p w14:paraId="6C4AF9C7" w14:textId="1A043450" w:rsidR="00EA3EFB" w:rsidRPr="000A53B0" w:rsidRDefault="00EA3EFB" w:rsidP="00CB13A6">
      <w:pPr>
        <w:snapToGrid w:val="0"/>
        <w:spacing w:after="120" w:line="22" w:lineRule="atLeast"/>
        <w:rPr>
          <w:rFonts w:cs="Segoe UI"/>
        </w:rPr>
      </w:pPr>
      <w:r>
        <w:rPr>
          <w:rFonts w:cs="Segoe UI"/>
        </w:rPr>
        <w:t>E</w:t>
      </w:r>
      <w:r w:rsidRPr="79F0D2C0">
        <w:rPr>
          <w:rFonts w:cs="Segoe UI"/>
        </w:rPr>
        <w:t xml:space="preserve">stablish a working party led by representatives of the </w:t>
      </w:r>
      <w:r w:rsidRPr="00FE6A94">
        <w:rPr>
          <w:rFonts w:cs="Segoe UI"/>
        </w:rPr>
        <w:t>Pharmaceutical Benefits Advisory Committee</w:t>
      </w:r>
      <w:r w:rsidRPr="79F0D2C0">
        <w:rPr>
          <w:rFonts w:cs="Segoe UI"/>
        </w:rPr>
        <w:t xml:space="preserve"> and </w:t>
      </w:r>
      <w:r>
        <w:rPr>
          <w:rFonts w:cs="Segoe UI"/>
        </w:rPr>
        <w:t xml:space="preserve">the </w:t>
      </w:r>
      <w:r w:rsidRPr="79F0D2C0">
        <w:rPr>
          <w:rFonts w:cs="Segoe UI"/>
        </w:rPr>
        <w:t>T</w:t>
      </w:r>
      <w:r>
        <w:rPr>
          <w:rFonts w:cs="Segoe UI"/>
        </w:rPr>
        <w:t xml:space="preserve">herapeutic </w:t>
      </w:r>
      <w:r w:rsidRPr="79F0D2C0">
        <w:rPr>
          <w:rFonts w:cs="Segoe UI"/>
        </w:rPr>
        <w:t>G</w:t>
      </w:r>
      <w:r>
        <w:rPr>
          <w:rFonts w:cs="Segoe UI"/>
        </w:rPr>
        <w:t xml:space="preserve">oods </w:t>
      </w:r>
      <w:r w:rsidRPr="79F0D2C0">
        <w:rPr>
          <w:rFonts w:cs="Segoe UI"/>
        </w:rPr>
        <w:t>A</w:t>
      </w:r>
      <w:r>
        <w:rPr>
          <w:rFonts w:cs="Segoe UI"/>
        </w:rPr>
        <w:t xml:space="preserve">dministration </w:t>
      </w:r>
      <w:r w:rsidRPr="79F0D2C0">
        <w:rPr>
          <w:rFonts w:cs="Segoe UI"/>
        </w:rPr>
        <w:t xml:space="preserve">to develop guidance on extending the use of </w:t>
      </w:r>
      <w:r w:rsidR="00C915D0" w:rsidRPr="79F0D2C0">
        <w:rPr>
          <w:rFonts w:cs="Segoe UI"/>
        </w:rPr>
        <w:t>T</w:t>
      </w:r>
      <w:r w:rsidR="00C915D0">
        <w:rPr>
          <w:rFonts w:cs="Segoe UI"/>
        </w:rPr>
        <w:t xml:space="preserve">herapeutic </w:t>
      </w:r>
      <w:r w:rsidR="00C915D0" w:rsidRPr="79F0D2C0">
        <w:rPr>
          <w:rFonts w:cs="Segoe UI"/>
        </w:rPr>
        <w:t>G</w:t>
      </w:r>
      <w:r w:rsidR="00C915D0">
        <w:rPr>
          <w:rFonts w:cs="Segoe UI"/>
        </w:rPr>
        <w:t xml:space="preserve">oods </w:t>
      </w:r>
      <w:r w:rsidR="00C915D0" w:rsidRPr="79F0D2C0">
        <w:rPr>
          <w:rFonts w:cs="Segoe UI"/>
        </w:rPr>
        <w:t>A</w:t>
      </w:r>
      <w:r w:rsidR="00C915D0">
        <w:rPr>
          <w:rFonts w:cs="Segoe UI"/>
        </w:rPr>
        <w:t xml:space="preserve">dministration </w:t>
      </w:r>
      <w:r w:rsidRPr="79F0D2C0">
        <w:rPr>
          <w:rFonts w:cs="Segoe UI"/>
        </w:rPr>
        <w:t>registered therapies to paediatric populations</w:t>
      </w:r>
      <w:r>
        <w:rPr>
          <w:rFonts w:cs="Segoe UI"/>
        </w:rPr>
        <w:t>.</w:t>
      </w:r>
    </w:p>
    <w:p w14:paraId="135D4999" w14:textId="77777777" w:rsidR="00EA3EFB" w:rsidRPr="00D94E6F" w:rsidRDefault="00EA3EFB" w:rsidP="00A318F7">
      <w:pPr>
        <w:pStyle w:val="SummaryofRecChapterheading"/>
        <w:rPr>
          <w:color w:val="094767" w:themeColor="accent4" w:themeShade="80"/>
        </w:rPr>
      </w:pPr>
      <w:r w:rsidRPr="00987116">
        <w:t>Chapter 4: Streamlined pathways for</w:t>
      </w:r>
      <w:r w:rsidRPr="006C3D8C">
        <w:t xml:space="preserve"> more timely access</w:t>
      </w:r>
      <w:r w:rsidRPr="00D94E6F">
        <w:rPr>
          <w:b w:val="0"/>
          <w:bCs w:val="0"/>
          <w:caps w:val="0"/>
        </w:rPr>
        <w:t xml:space="preserve"> </w:t>
      </w:r>
    </w:p>
    <w:p w14:paraId="7CDD2142" w14:textId="77777777" w:rsidR="00EA3EFB" w:rsidRPr="003B3137" w:rsidRDefault="00EA3EFB" w:rsidP="00A318F7">
      <w:pPr>
        <w:pStyle w:val="SummaryofRecRecheading"/>
        <w:ind w:left="0" w:firstLine="0"/>
      </w:pPr>
      <w:r w:rsidRPr="00B61FDC">
        <w:t>Overarching recommendations</w:t>
      </w:r>
      <w:r w:rsidRPr="00F35807">
        <w:t xml:space="preserve"> for </w:t>
      </w:r>
      <w:r w:rsidRPr="00B61FDC">
        <w:t>all</w:t>
      </w:r>
      <w:r w:rsidRPr="00F35807">
        <w:t xml:space="preserve"> </w:t>
      </w:r>
      <w:r>
        <w:t>HTA</w:t>
      </w:r>
      <w:r w:rsidRPr="00F35807">
        <w:t xml:space="preserve"> </w:t>
      </w:r>
      <w:r w:rsidRPr="00B61FDC">
        <w:t>funding and assessment processes and pathways</w:t>
      </w:r>
    </w:p>
    <w:p w14:paraId="4A51E766" w14:textId="77777777" w:rsidR="00EA3EFB" w:rsidRPr="000A53B0" w:rsidRDefault="00EA3EFB" w:rsidP="009C1805">
      <w:pPr>
        <w:snapToGrid w:val="0"/>
        <w:spacing w:after="120" w:line="22" w:lineRule="atLeast"/>
        <w:rPr>
          <w:rFonts w:cs="Segoe UI"/>
          <w:b/>
          <w:bCs/>
          <w:color w:val="00808A" w:themeColor="accent3"/>
        </w:rPr>
      </w:pPr>
      <w:r w:rsidRPr="000A53B0">
        <w:rPr>
          <w:rFonts w:cs="Segoe UI"/>
        </w:rPr>
        <w:t xml:space="preserve">Reform health technology funding and assessment processes and pathways to </w:t>
      </w:r>
      <w:r>
        <w:rPr>
          <w:rFonts w:cs="Segoe UI"/>
        </w:rPr>
        <w:t xml:space="preserve">align them </w:t>
      </w:r>
      <w:r w:rsidRPr="000A53B0">
        <w:rPr>
          <w:rFonts w:cs="Segoe UI"/>
        </w:rPr>
        <w:t>with the following overarching principles</w:t>
      </w:r>
      <w:r>
        <w:rPr>
          <w:rFonts w:cs="Segoe UI"/>
        </w:rPr>
        <w:t>.</w:t>
      </w:r>
    </w:p>
    <w:p w14:paraId="432708CC" w14:textId="77777777" w:rsidR="00EA3EFB" w:rsidRPr="000A53B0" w:rsidRDefault="00EA3EFB" w:rsidP="00A318F7">
      <w:pPr>
        <w:pStyle w:val="SummaryofRecSubtitle"/>
        <w:rPr>
          <w:b/>
          <w:bCs/>
        </w:rPr>
      </w:pPr>
      <w:r w:rsidRPr="000A53B0">
        <w:t>Streamlined and simple</w:t>
      </w:r>
    </w:p>
    <w:p w14:paraId="4B8964A8" w14:textId="77777777" w:rsidR="00EA3EFB" w:rsidRPr="000A53B0" w:rsidRDefault="00EA3EFB">
      <w:pPr>
        <w:snapToGrid w:val="0"/>
        <w:spacing w:after="120" w:line="22" w:lineRule="atLeast"/>
        <w:ind w:right="-22"/>
        <w:rPr>
          <w:rFonts w:eastAsia="Calibri" w:cs="Segoe UI"/>
          <w:b/>
          <w:color w:val="000000"/>
        </w:rPr>
      </w:pPr>
      <w:r w:rsidRPr="79F0D2C0">
        <w:rPr>
          <w:rFonts w:eastAsia="Calibri" w:cs="Segoe UI"/>
          <w:color w:val="000000" w:themeColor="text1"/>
        </w:rPr>
        <w:t>Streamline and simplify health technology funding and assessment processes by removing unnecessary complexity and redundancy.</w:t>
      </w:r>
      <w:r>
        <w:rPr>
          <w:rFonts w:eastAsia="Calibri" w:cs="Segoe UI"/>
          <w:color w:val="000000" w:themeColor="text1"/>
        </w:rPr>
        <w:t xml:space="preserve"> </w:t>
      </w:r>
    </w:p>
    <w:p w14:paraId="70E7661B" w14:textId="77777777" w:rsidR="00EA3EFB" w:rsidRPr="000A53B0" w:rsidRDefault="00EA3EFB" w:rsidP="005E64D2">
      <w:pPr>
        <w:pStyle w:val="SummaryofRecSubtitle"/>
        <w:keepNext/>
        <w:rPr>
          <w:b/>
          <w:bCs/>
        </w:rPr>
      </w:pPr>
      <w:r w:rsidRPr="000A53B0">
        <w:lastRenderedPageBreak/>
        <w:t>Proportiona</w:t>
      </w:r>
      <w:r>
        <w:t>te</w:t>
      </w:r>
      <w:r w:rsidRPr="000A53B0">
        <w:t xml:space="preserve"> and fit-for-purpose</w:t>
      </w:r>
    </w:p>
    <w:p w14:paraId="78451B48" w14:textId="77777777" w:rsidR="00EA3EFB" w:rsidRPr="000A53B0" w:rsidRDefault="00EA3EFB" w:rsidP="005E64D2">
      <w:pPr>
        <w:keepNext/>
        <w:keepLines/>
        <w:snapToGrid w:val="0"/>
        <w:spacing w:after="120" w:line="22" w:lineRule="atLeast"/>
        <w:ind w:right="-23"/>
        <w:rPr>
          <w:rFonts w:eastAsia="Calibri" w:cs="Segoe UI"/>
          <w:b/>
          <w:bCs/>
          <w:color w:val="000000"/>
        </w:rPr>
      </w:pPr>
      <w:r w:rsidRPr="000A53B0">
        <w:rPr>
          <w:rFonts w:eastAsia="Calibri" w:cs="Segoe UI"/>
          <w:color w:val="000000"/>
        </w:rPr>
        <w:t>Restructure and develop health technology funding and assessment processes, including the level of evaluation, to be fit-for-purpose and proportiona</w:t>
      </w:r>
      <w:r>
        <w:rPr>
          <w:rFonts w:eastAsia="Calibri" w:cs="Segoe UI"/>
          <w:color w:val="000000"/>
        </w:rPr>
        <w:t>te</w:t>
      </w:r>
      <w:r w:rsidRPr="000A53B0">
        <w:rPr>
          <w:rFonts w:eastAsia="Calibri" w:cs="Segoe UI"/>
          <w:color w:val="000000"/>
        </w:rPr>
        <w:t xml:space="preserve"> to the level of risk, complexity and potential benefit of a therapy. </w:t>
      </w:r>
    </w:p>
    <w:p w14:paraId="0E349491" w14:textId="77777777" w:rsidR="00EA3EFB" w:rsidRPr="000A53B0" w:rsidRDefault="00EA3EFB" w:rsidP="00A318F7">
      <w:pPr>
        <w:pStyle w:val="SummaryofRecSubtitle"/>
        <w:rPr>
          <w:b/>
          <w:bCs/>
        </w:rPr>
      </w:pPr>
      <w:r w:rsidRPr="000A53B0">
        <w:t>Unified and consistent</w:t>
      </w:r>
    </w:p>
    <w:p w14:paraId="12343873" w14:textId="77777777" w:rsidR="00EA3EFB" w:rsidRPr="000A53B0" w:rsidRDefault="00EA3EFB" w:rsidP="009C1805">
      <w:pPr>
        <w:snapToGrid w:val="0"/>
        <w:spacing w:after="120" w:line="22" w:lineRule="atLeast"/>
        <w:rPr>
          <w:rFonts w:cs="Segoe UI"/>
          <w:b/>
          <w:bCs/>
        </w:rPr>
      </w:pPr>
      <w:r w:rsidRPr="000A53B0">
        <w:rPr>
          <w:rFonts w:eastAsia="Calibri" w:cs="Segoe UI"/>
          <w:color w:val="000000"/>
        </w:rPr>
        <w:t>Create consistency and clarity for all health technology submissions for Australian Government funding by developing a unified HTA pathway and committee approach</w:t>
      </w:r>
      <w:r>
        <w:rPr>
          <w:rFonts w:eastAsia="Calibri" w:cs="Segoe UI"/>
          <w:color w:val="000000"/>
        </w:rPr>
        <w:t xml:space="preserve"> </w:t>
      </w:r>
      <w:r w:rsidRPr="000A53B0">
        <w:rPr>
          <w:rFonts w:eastAsia="Calibri" w:cs="Segoe UI"/>
          <w:color w:val="000000"/>
        </w:rPr>
        <w:t>in stages, starting with better aligning the HTA pathways and removing duplication.</w:t>
      </w:r>
    </w:p>
    <w:p w14:paraId="786648F9" w14:textId="77777777" w:rsidR="00EA3EFB" w:rsidRPr="003115F4" w:rsidRDefault="00EA3EFB" w:rsidP="00A318F7">
      <w:pPr>
        <w:pStyle w:val="SummaryofRecRecheading"/>
        <w:ind w:left="0" w:firstLine="0"/>
      </w:pPr>
      <w:r w:rsidRPr="000A53B0">
        <w:t xml:space="preserve">Unified HTA pathway </w:t>
      </w:r>
      <w:r>
        <w:t xml:space="preserve">and committee approach </w:t>
      </w:r>
      <w:r w:rsidRPr="000A53B0">
        <w:t xml:space="preserve">for all Australian </w:t>
      </w:r>
      <w:r>
        <w:t>G</w:t>
      </w:r>
      <w:r w:rsidRPr="000A53B0">
        <w:t>overnment funding</w:t>
      </w:r>
      <w:r>
        <w:t xml:space="preserve"> of </w:t>
      </w:r>
      <w:r w:rsidRPr="000A53B0">
        <w:t>health technologies</w:t>
      </w:r>
    </w:p>
    <w:p w14:paraId="070A7750" w14:textId="265E7E3C" w:rsidR="00EA3EFB" w:rsidRPr="000A53B0" w:rsidRDefault="00EA3EFB" w:rsidP="009C1805">
      <w:pPr>
        <w:snapToGrid w:val="0"/>
        <w:spacing w:after="120" w:line="22" w:lineRule="atLeast"/>
        <w:rPr>
          <w:rFonts w:cs="Segoe UI"/>
        </w:rPr>
      </w:pPr>
      <w:r>
        <w:rPr>
          <w:rFonts w:cs="Segoe UI"/>
        </w:rPr>
        <w:t>Working in stages, a</w:t>
      </w:r>
      <w:r w:rsidRPr="79F0D2C0">
        <w:rPr>
          <w:rFonts w:cs="Segoe UI"/>
        </w:rPr>
        <w:t>lign health technology funding and assessment pathways, processes and committees</w:t>
      </w:r>
      <w:r>
        <w:rPr>
          <w:rFonts w:cs="Segoe UI"/>
        </w:rPr>
        <w:t xml:space="preserve">, </w:t>
      </w:r>
      <w:r w:rsidRPr="79F0D2C0">
        <w:rPr>
          <w:rFonts w:cs="Segoe UI"/>
        </w:rPr>
        <w:t>and remove duplication</w:t>
      </w:r>
      <w:r>
        <w:rPr>
          <w:rFonts w:cs="Segoe UI"/>
        </w:rPr>
        <w:t>,</w:t>
      </w:r>
      <w:r w:rsidRPr="79F0D2C0">
        <w:rPr>
          <w:rFonts w:cs="Segoe UI"/>
        </w:rPr>
        <w:t xml:space="preserve"> to</w:t>
      </w:r>
      <w:r>
        <w:rPr>
          <w:rFonts w:cs="Segoe UI"/>
        </w:rPr>
        <w:t xml:space="preserve"> create </w:t>
      </w:r>
      <w:r w:rsidRPr="79F0D2C0">
        <w:rPr>
          <w:rFonts w:cs="Segoe UI"/>
        </w:rPr>
        <w:t xml:space="preserve">a single unified HTA pathway and committee approach. Stages </w:t>
      </w:r>
      <w:r>
        <w:rPr>
          <w:rFonts w:cs="Segoe UI"/>
        </w:rPr>
        <w:t>should</w:t>
      </w:r>
      <w:r w:rsidRPr="79F0D2C0">
        <w:rPr>
          <w:rFonts w:cs="Segoe UI"/>
        </w:rPr>
        <w:t xml:space="preserve"> include developing a </w:t>
      </w:r>
      <w:r>
        <w:rPr>
          <w:rFonts w:cs="Segoe UI"/>
        </w:rPr>
        <w:t>‘</w:t>
      </w:r>
      <w:r w:rsidRPr="79F0D2C0">
        <w:rPr>
          <w:rFonts w:cs="Segoe UI"/>
        </w:rPr>
        <w:t>single front door</w:t>
      </w:r>
      <w:r>
        <w:rPr>
          <w:rFonts w:cs="Segoe UI"/>
        </w:rPr>
        <w:t>’ and</w:t>
      </w:r>
      <w:r w:rsidRPr="79F0D2C0">
        <w:rPr>
          <w:rFonts w:cs="Segoe UI"/>
        </w:rPr>
        <w:t xml:space="preserve"> triaging </w:t>
      </w:r>
      <w:proofErr w:type="gramStart"/>
      <w:r w:rsidRPr="79F0D2C0">
        <w:rPr>
          <w:rFonts w:cs="Segoe UI"/>
        </w:rPr>
        <w:t>mechanism, and</w:t>
      </w:r>
      <w:proofErr w:type="gramEnd"/>
      <w:r w:rsidRPr="79F0D2C0">
        <w:rPr>
          <w:rFonts w:cs="Segoe UI"/>
        </w:rPr>
        <w:t xml:space="preserve"> expanding the advisory role of the </w:t>
      </w:r>
      <w:r w:rsidRPr="00FE6A94">
        <w:rPr>
          <w:rFonts w:cs="Segoe UI"/>
        </w:rPr>
        <w:t>Pharmaceutical Benefits Advisory Committee</w:t>
      </w:r>
      <w:r w:rsidRPr="79F0D2C0">
        <w:rPr>
          <w:rFonts w:cs="Segoe UI"/>
        </w:rPr>
        <w:t xml:space="preserve"> beyond the P</w:t>
      </w:r>
      <w:r w:rsidR="007701E1">
        <w:rPr>
          <w:rFonts w:cs="Segoe UI"/>
        </w:rPr>
        <w:t xml:space="preserve">harmaceutical </w:t>
      </w:r>
      <w:r w:rsidRPr="79F0D2C0">
        <w:rPr>
          <w:rFonts w:cs="Segoe UI"/>
        </w:rPr>
        <w:t>B</w:t>
      </w:r>
      <w:r w:rsidR="007701E1">
        <w:rPr>
          <w:rFonts w:cs="Segoe UI"/>
        </w:rPr>
        <w:t xml:space="preserve">enefits </w:t>
      </w:r>
      <w:r w:rsidRPr="79F0D2C0">
        <w:rPr>
          <w:rFonts w:cs="Segoe UI"/>
        </w:rPr>
        <w:t>S</w:t>
      </w:r>
      <w:r w:rsidR="007701E1">
        <w:rPr>
          <w:rFonts w:cs="Segoe UI"/>
        </w:rPr>
        <w:t>cheme</w:t>
      </w:r>
      <w:r w:rsidRPr="79F0D2C0">
        <w:rPr>
          <w:rFonts w:cs="Segoe UI"/>
        </w:rPr>
        <w:t xml:space="preserve">, ultimately </w:t>
      </w:r>
      <w:r>
        <w:rPr>
          <w:rFonts w:cs="Segoe UI"/>
        </w:rPr>
        <w:t>leading to</w:t>
      </w:r>
      <w:r w:rsidRPr="79F0D2C0">
        <w:rPr>
          <w:rFonts w:cs="Segoe UI"/>
        </w:rPr>
        <w:t xml:space="preserve"> a single unified committee approach. </w:t>
      </w:r>
    </w:p>
    <w:p w14:paraId="378FFF78" w14:textId="77777777" w:rsidR="00EA3EFB" w:rsidRPr="00AA64D2" w:rsidRDefault="00EA3EFB" w:rsidP="00A318F7">
      <w:pPr>
        <w:pStyle w:val="SummaryofRecRecheading"/>
        <w:ind w:left="0" w:firstLine="0"/>
      </w:pPr>
      <w:r>
        <w:t>Triaging submissions</w:t>
      </w:r>
    </w:p>
    <w:p w14:paraId="2A487C68" w14:textId="77777777" w:rsidR="00EA3EFB" w:rsidRPr="00866DA8" w:rsidRDefault="00EA3EFB" w:rsidP="009C1805">
      <w:pPr>
        <w:pStyle w:val="ListParagraph"/>
        <w:snapToGrid w:val="0"/>
        <w:spacing w:after="120" w:line="22" w:lineRule="atLeast"/>
        <w:ind w:left="0"/>
        <w:contextualSpacing w:val="0"/>
        <w:rPr>
          <w:rFonts w:cs="Segoe UI"/>
          <w:b/>
        </w:rPr>
      </w:pPr>
      <w:r w:rsidRPr="003A2329">
        <w:t>Develop processes that enable triaging of submissions to determine the appropriate evaluation and appraisal mechanisms</w:t>
      </w:r>
      <w:r w:rsidRPr="79F0D2C0">
        <w:rPr>
          <w:rFonts w:cs="Segoe UI"/>
        </w:rPr>
        <w:t>.</w:t>
      </w:r>
    </w:p>
    <w:p w14:paraId="39D96524" w14:textId="77777777" w:rsidR="00EA3EFB" w:rsidRPr="00AA64D2" w:rsidRDefault="00EA3EFB" w:rsidP="00A318F7">
      <w:pPr>
        <w:pStyle w:val="SummaryofRecRecheading"/>
        <w:ind w:left="0" w:firstLine="0"/>
      </w:pPr>
      <w:r>
        <w:t>Expanding the advisory role of the Pharmaceutical Benefits Advisory Committee beyond the Pharmaceutical Benefits Scheme</w:t>
      </w:r>
    </w:p>
    <w:p w14:paraId="6409FB3B" w14:textId="77777777" w:rsidR="00EA3EFB" w:rsidRPr="000A0741" w:rsidRDefault="00EA3EFB" w:rsidP="00A318F7">
      <w:pPr>
        <w:rPr>
          <w:b/>
        </w:rPr>
      </w:pPr>
      <w:r>
        <w:t xml:space="preserve">As a stage in the development of the unified HTA pathway, expand the advisory role of the </w:t>
      </w:r>
      <w:r w:rsidRPr="00FE6A94">
        <w:t>Pharmaceutical Benefits Advisory Committee</w:t>
      </w:r>
      <w:r>
        <w:t xml:space="preserve"> to enable it to make HTA recommendations to the Minister for Health and Aged Care for a broader range of health technologies </w:t>
      </w:r>
      <w:r w:rsidRPr="00CB3978">
        <w:t>across different funding and subsidy programs.</w:t>
      </w:r>
    </w:p>
    <w:p w14:paraId="6DF7E883" w14:textId="395004C4" w:rsidR="00EA3EFB" w:rsidRPr="00AA64D2" w:rsidRDefault="00EA3EFB" w:rsidP="00A318F7">
      <w:pPr>
        <w:pStyle w:val="SummaryofRecRecheading"/>
        <w:ind w:left="0" w:firstLine="0"/>
      </w:pPr>
      <w:r w:rsidRPr="000A53B0">
        <w:t>Streamlin</w:t>
      </w:r>
      <w:r>
        <w:t xml:space="preserve">ed </w:t>
      </w:r>
      <w:r w:rsidRPr="000A53B0">
        <w:t xml:space="preserve">pathway for submissions applying for listing on the </w:t>
      </w:r>
      <w:r w:rsidRPr="00A0197B">
        <w:t xml:space="preserve">Pharmaceutical </w:t>
      </w:r>
      <w:r w:rsidRPr="00AA64D2">
        <w:t>Benefits</w:t>
      </w:r>
      <w:r w:rsidRPr="00A0197B">
        <w:t xml:space="preserve"> Scheme using cost-minimisation analysis</w:t>
      </w:r>
    </w:p>
    <w:p w14:paraId="5A9FE0E0" w14:textId="4DD3B429" w:rsidR="00EA3EFB" w:rsidRPr="00A0197B" w:rsidRDefault="00EA3EFB" w:rsidP="009C1805">
      <w:pPr>
        <w:snapToGrid w:val="0"/>
        <w:spacing w:after="120" w:line="22" w:lineRule="atLeast"/>
        <w:rPr>
          <w:rFonts w:cs="Segoe UI"/>
          <w:b/>
          <w:bCs/>
        </w:rPr>
      </w:pPr>
      <w:r w:rsidRPr="00A0197B">
        <w:rPr>
          <w:rFonts w:cs="Segoe UI"/>
        </w:rPr>
        <w:t xml:space="preserve">Develop a streamlined assessment pathway for submissions using cost-minimisation analysis. </w:t>
      </w:r>
    </w:p>
    <w:p w14:paraId="4282D1CF" w14:textId="761ED51F" w:rsidR="00EA3EFB" w:rsidRDefault="00EA3EFB" w:rsidP="00A318F7">
      <w:pPr>
        <w:pStyle w:val="SummaryofRecRecheading"/>
        <w:ind w:left="0" w:firstLine="0"/>
      </w:pPr>
      <w:r w:rsidRPr="00A0197B">
        <w:t>Therapies with high added therapeutic value in areas of unmet clinical need applying for Pharmaceutical Benefits Scheme listing</w:t>
      </w:r>
    </w:p>
    <w:p w14:paraId="65F739C9" w14:textId="23D6F02C" w:rsidR="0003299A" w:rsidRDefault="0003299A" w:rsidP="0003299A">
      <w:pPr>
        <w:snapToGrid w:val="0"/>
        <w:spacing w:after="120" w:line="22" w:lineRule="atLeast"/>
        <w:rPr>
          <w:rFonts w:cs="Segoe UI"/>
        </w:rPr>
      </w:pPr>
      <w:r w:rsidRPr="0003299A">
        <w:rPr>
          <w:rFonts w:cs="Segoe UI"/>
        </w:rPr>
        <w:t>Enhance or replace the current early resolution and / or facilitated resolution pathway with a more flexible pathway to provide additional support for the submissions of therapies with high added therapeutic value in areas of unmet clinical need. This should be supported by case management for submissions, and allowing the P</w:t>
      </w:r>
      <w:r w:rsidR="007D4054">
        <w:rPr>
          <w:rFonts w:cs="Segoe UI"/>
        </w:rPr>
        <w:t xml:space="preserve">harmaceutical </w:t>
      </w:r>
      <w:r w:rsidRPr="0003299A">
        <w:rPr>
          <w:rFonts w:cs="Segoe UI"/>
        </w:rPr>
        <w:t>B</w:t>
      </w:r>
      <w:r w:rsidR="007D4054">
        <w:rPr>
          <w:rFonts w:cs="Segoe UI"/>
        </w:rPr>
        <w:t xml:space="preserve">enefits </w:t>
      </w:r>
      <w:r w:rsidRPr="0003299A">
        <w:rPr>
          <w:rFonts w:cs="Segoe UI"/>
        </w:rPr>
        <w:t>A</w:t>
      </w:r>
      <w:r w:rsidR="007D4054">
        <w:rPr>
          <w:rFonts w:cs="Segoe UI"/>
        </w:rPr>
        <w:t xml:space="preserve">dvisory </w:t>
      </w:r>
      <w:r w:rsidRPr="0003299A">
        <w:rPr>
          <w:rFonts w:cs="Segoe UI"/>
        </w:rPr>
        <w:t>C</w:t>
      </w:r>
      <w:r w:rsidR="007D4054">
        <w:rPr>
          <w:rFonts w:cs="Segoe UI"/>
        </w:rPr>
        <w:t>ommittee</w:t>
      </w:r>
      <w:r w:rsidRPr="0003299A">
        <w:rPr>
          <w:rFonts w:cs="Segoe UI"/>
        </w:rPr>
        <w:t xml:space="preserve"> to provide its likely advice to sponsors earlier before the receipt of the T</w:t>
      </w:r>
      <w:r w:rsidR="007D4054">
        <w:rPr>
          <w:rFonts w:cs="Segoe UI"/>
        </w:rPr>
        <w:t xml:space="preserve">herapeutic </w:t>
      </w:r>
      <w:r w:rsidRPr="0003299A">
        <w:rPr>
          <w:rFonts w:cs="Segoe UI"/>
        </w:rPr>
        <w:t>G</w:t>
      </w:r>
      <w:r w:rsidR="007D4054">
        <w:rPr>
          <w:rFonts w:cs="Segoe UI"/>
        </w:rPr>
        <w:t xml:space="preserve">oods </w:t>
      </w:r>
      <w:r w:rsidRPr="0003299A">
        <w:rPr>
          <w:rFonts w:cs="Segoe UI"/>
        </w:rPr>
        <w:t>A</w:t>
      </w:r>
      <w:r w:rsidR="007D4054">
        <w:rPr>
          <w:rFonts w:cs="Segoe UI"/>
        </w:rPr>
        <w:t>dministration</w:t>
      </w:r>
      <w:r w:rsidRPr="0003299A">
        <w:rPr>
          <w:rFonts w:cs="Segoe UI"/>
        </w:rPr>
        <w:t xml:space="preserve"> delegate’s overview.</w:t>
      </w:r>
    </w:p>
    <w:p w14:paraId="4751943B" w14:textId="3F2A7150" w:rsidR="00880C1E" w:rsidRPr="00A318F7" w:rsidRDefault="00880C1E" w:rsidP="00A318F7">
      <w:pPr>
        <w:spacing w:after="120"/>
        <w:rPr>
          <w:rFonts w:ascii="Calibri" w:hAnsi="Calibri"/>
        </w:rPr>
      </w:pPr>
      <w:r w:rsidRPr="0023693C">
        <w:t>Comment by Ms Elizabeth de Somer, Member</w:t>
      </w:r>
      <w:r w:rsidRPr="00B93127">
        <w:t xml:space="preserve"> Nominated by Medicines Australia</w:t>
      </w:r>
      <w:r>
        <w:t>:</w:t>
      </w:r>
      <w:r w:rsidRPr="000C5623">
        <w:t xml:space="preserve"> </w:t>
      </w:r>
      <w:r>
        <w:t>‘</w:t>
      </w:r>
      <w:r w:rsidRPr="00B93127">
        <w:t>The</w:t>
      </w:r>
      <w:r>
        <w:t xml:space="preserve"> industry recognises the need to ensure no perverse incentives are introduced into these </w:t>
      </w:r>
      <w:r>
        <w:lastRenderedPageBreak/>
        <w:t xml:space="preserve">pathways and recommends establishing independent dispute resolution and commercial negotiation processes.’ </w:t>
      </w:r>
    </w:p>
    <w:p w14:paraId="634A02F7" w14:textId="77777777" w:rsidR="00EA3EFB" w:rsidRPr="00AA64D2" w:rsidRDefault="00EA3EFB" w:rsidP="00A318F7">
      <w:pPr>
        <w:pStyle w:val="SummaryofRecRecheading"/>
        <w:ind w:left="0" w:firstLine="0"/>
      </w:pPr>
      <w:r w:rsidRPr="009F663A">
        <w:t>Therapies</w:t>
      </w:r>
      <w:r w:rsidRPr="00A0197B">
        <w:t xml:space="preserve"> with added therapeutic value</w:t>
      </w:r>
    </w:p>
    <w:p w14:paraId="2960ABE0" w14:textId="3556FFF3" w:rsidR="00EA3EFB" w:rsidRPr="002A0B3D" w:rsidRDefault="00EA3EFB" w:rsidP="0060050C">
      <w:pPr>
        <w:snapToGrid w:val="0"/>
        <w:spacing w:after="120" w:line="22" w:lineRule="atLeast"/>
        <w:rPr>
          <w:rFonts w:cs="Segoe UI"/>
          <w:b/>
          <w:bCs/>
        </w:rPr>
      </w:pPr>
      <w:r w:rsidRPr="0060050C">
        <w:rPr>
          <w:rFonts w:cs="Segoe UI"/>
        </w:rPr>
        <w:t>After a trial period and review, extend the mechanisms in Recommendation</w:t>
      </w:r>
      <w:r>
        <w:rPr>
          <w:rFonts w:cs="Segoe UI"/>
        </w:rPr>
        <w:t> </w:t>
      </w:r>
      <w:r w:rsidRPr="0060050C">
        <w:rPr>
          <w:rFonts w:cs="Segoe UI"/>
        </w:rPr>
        <w:t>8</w:t>
      </w:r>
      <w:r>
        <w:rPr>
          <w:rFonts w:cs="Segoe UI"/>
        </w:rPr>
        <w:t xml:space="preserve"> </w:t>
      </w:r>
      <w:r w:rsidRPr="00B61FDC">
        <w:rPr>
          <w:rFonts w:cs="Segoe UI"/>
        </w:rPr>
        <w:t xml:space="preserve">from therapies with high added therapeutic value in areas of unmet clinical need applying for </w:t>
      </w:r>
      <w:r w:rsidRPr="00B61FDC">
        <w:t>Pharmaceutical Benefits Scheme</w:t>
      </w:r>
      <w:r w:rsidRPr="00B61FDC">
        <w:rPr>
          <w:rFonts w:cs="Segoe UI"/>
        </w:rPr>
        <w:t xml:space="preserve"> listing to all therapies claiming clinical benefit over existing alternatives</w:t>
      </w:r>
      <w:r w:rsidRPr="002A0B3D">
        <w:rPr>
          <w:rFonts w:cs="Segoe UI"/>
        </w:rPr>
        <w:t>.</w:t>
      </w:r>
    </w:p>
    <w:p w14:paraId="7CAE8AA9" w14:textId="2A9BBE32" w:rsidR="00EA3EFB" w:rsidRPr="00AA64D2" w:rsidRDefault="00F03509" w:rsidP="00F03509">
      <w:pPr>
        <w:pStyle w:val="SummaryofRecRecheading"/>
        <w:ind w:left="0" w:firstLine="0"/>
      </w:pPr>
      <w:r>
        <w:t xml:space="preserve"> </w:t>
      </w:r>
      <w:r w:rsidR="00EA3EFB">
        <w:t xml:space="preserve"> </w:t>
      </w:r>
      <w:r w:rsidR="00EA3EFB" w:rsidRPr="000A53B0">
        <w:t>Alternative modelling and analysis types for disease areas</w:t>
      </w:r>
    </w:p>
    <w:p w14:paraId="4F0A70E0" w14:textId="65C5267D" w:rsidR="00EA3EFB" w:rsidRPr="000A53B0" w:rsidRDefault="00EA3EFB" w:rsidP="009C1805">
      <w:pPr>
        <w:snapToGrid w:val="0"/>
        <w:spacing w:after="120" w:line="22" w:lineRule="atLeast"/>
        <w:rPr>
          <w:rFonts w:cs="Segoe UI"/>
        </w:rPr>
      </w:pPr>
      <w:r>
        <w:rPr>
          <w:rFonts w:cs="Segoe UI"/>
        </w:rPr>
        <w:t>I</w:t>
      </w:r>
      <w:r w:rsidRPr="000A53B0">
        <w:rPr>
          <w:rFonts w:cs="Segoe UI"/>
        </w:rPr>
        <w:t>n consultation with industry and other relevant stakeholders, investigate the feasibility and</w:t>
      </w:r>
      <w:r>
        <w:rPr>
          <w:rFonts w:cs="Segoe UI"/>
        </w:rPr>
        <w:t xml:space="preserve"> a</w:t>
      </w:r>
      <w:r w:rsidRPr="000A53B0">
        <w:rPr>
          <w:rFonts w:cs="Segoe UI"/>
        </w:rPr>
        <w:t xml:space="preserve"> potential place for alternative types of analysis and modelling for disease areas. </w:t>
      </w:r>
    </w:p>
    <w:p w14:paraId="5E992866" w14:textId="035E5201" w:rsidR="00EA3EFB" w:rsidRPr="00F97E29" w:rsidRDefault="00F03509" w:rsidP="00A318F7">
      <w:pPr>
        <w:pStyle w:val="SummaryofRecRecheading"/>
        <w:ind w:left="0" w:firstLine="0"/>
      </w:pPr>
      <w:r>
        <w:t xml:space="preserve"> </w:t>
      </w:r>
      <w:r w:rsidR="00F73561">
        <w:t xml:space="preserve"> </w:t>
      </w:r>
      <w:r w:rsidR="00EA3EFB" w:rsidRPr="000A53B0">
        <w:t>P</w:t>
      </w:r>
      <w:r w:rsidR="00EA3EFB">
        <w:t>roportionate appraisal p</w:t>
      </w:r>
      <w:r w:rsidR="00EA3EFB" w:rsidRPr="000A53B0">
        <w:t xml:space="preserve">athway </w:t>
      </w:r>
      <w:r w:rsidR="00EA3EFB">
        <w:t>to align Australian Technical Advisory Group on Immunisation assessments with the level of risk and complexity of the product</w:t>
      </w:r>
      <w:r w:rsidR="00EA3EFB" w:rsidRPr="000A53B0">
        <w:t xml:space="preserve"> </w:t>
      </w:r>
    </w:p>
    <w:p w14:paraId="34AFC7E4" w14:textId="576278C1" w:rsidR="00EA3EFB" w:rsidRPr="000A53B0" w:rsidRDefault="00EA3EFB" w:rsidP="009C1805">
      <w:pPr>
        <w:snapToGrid w:val="0"/>
        <w:spacing w:after="120" w:line="22" w:lineRule="atLeast"/>
        <w:rPr>
          <w:rFonts w:cs="Segoe UI"/>
          <w:b/>
        </w:rPr>
      </w:pPr>
      <w:r w:rsidRPr="79F0D2C0">
        <w:rPr>
          <w:rFonts w:cs="Segoe UI"/>
        </w:rPr>
        <w:t xml:space="preserve">Restructure the current pathway for listing a vaccine on the </w:t>
      </w:r>
      <w:r w:rsidRPr="00B61FDC">
        <w:rPr>
          <w:rFonts w:cs="Segoe UI"/>
        </w:rPr>
        <w:t>National Immunisation Program</w:t>
      </w:r>
      <w:r w:rsidRPr="002A0B3D">
        <w:rPr>
          <w:rFonts w:cs="Segoe UI"/>
        </w:rPr>
        <w:t xml:space="preserve"> </w:t>
      </w:r>
      <w:r w:rsidRPr="79F0D2C0">
        <w:rPr>
          <w:rFonts w:cs="Segoe UI"/>
        </w:rPr>
        <w:t xml:space="preserve">to better align the </w:t>
      </w:r>
      <w:r w:rsidRPr="00FE6A94">
        <w:rPr>
          <w:rFonts w:cs="Segoe UI"/>
        </w:rPr>
        <w:t>Pharmaceutical Benefits Advisory Committee</w:t>
      </w:r>
      <w:r w:rsidRPr="79F0D2C0">
        <w:rPr>
          <w:rFonts w:cs="Segoe UI"/>
        </w:rPr>
        <w:t xml:space="preserve"> and </w:t>
      </w:r>
      <w:r>
        <w:rPr>
          <w:rFonts w:cs="Segoe UI"/>
        </w:rPr>
        <w:t>Australian Technical Advisory Group on Immunisation</w:t>
      </w:r>
      <w:r w:rsidRPr="79F0D2C0">
        <w:rPr>
          <w:rFonts w:cs="Segoe UI"/>
        </w:rPr>
        <w:t xml:space="preserve"> </w:t>
      </w:r>
      <w:proofErr w:type="gramStart"/>
      <w:r w:rsidRPr="79F0D2C0">
        <w:rPr>
          <w:rFonts w:cs="Segoe UI"/>
        </w:rPr>
        <w:t>processes, and</w:t>
      </w:r>
      <w:proofErr w:type="gramEnd"/>
      <w:r w:rsidRPr="79F0D2C0">
        <w:rPr>
          <w:rFonts w:cs="Segoe UI"/>
        </w:rPr>
        <w:t xml:space="preserve"> create assessment processes that are proportional to the level of complexity, risk and benefit of a submission.</w:t>
      </w:r>
    </w:p>
    <w:p w14:paraId="569452D0" w14:textId="0035335F" w:rsidR="00EA3EFB" w:rsidRPr="00F73561" w:rsidRDefault="00DE3E4A" w:rsidP="00A318F7">
      <w:pPr>
        <w:pStyle w:val="SummaryofRecRecheading"/>
        <w:ind w:left="0" w:firstLine="0"/>
      </w:pPr>
      <w:r>
        <w:t xml:space="preserve">  </w:t>
      </w:r>
      <w:r w:rsidR="00EA3EFB" w:rsidRPr="000A53B0">
        <w:t>Proactive vaccine assessment pathway</w:t>
      </w:r>
    </w:p>
    <w:p w14:paraId="1339DF5D" w14:textId="65A5D249" w:rsidR="00EA3EFB" w:rsidRPr="00FB490F" w:rsidRDefault="00EA3EFB" w:rsidP="009C1805">
      <w:pPr>
        <w:snapToGrid w:val="0"/>
        <w:spacing w:after="120" w:line="22" w:lineRule="atLeast"/>
        <w:rPr>
          <w:rFonts w:cs="Segoe UI"/>
          <w:b/>
        </w:rPr>
      </w:pPr>
      <w:r w:rsidRPr="79F0D2C0">
        <w:rPr>
          <w:rFonts w:cs="Segoe UI"/>
        </w:rPr>
        <w:t xml:space="preserve">Develop a process to enable proactive consideration of how new products or potential </w:t>
      </w:r>
      <w:r>
        <w:rPr>
          <w:rFonts w:cs="Segoe UI"/>
        </w:rPr>
        <w:t xml:space="preserve">changes to the </w:t>
      </w:r>
      <w:r w:rsidRPr="79F0D2C0">
        <w:rPr>
          <w:rFonts w:cs="Segoe UI"/>
        </w:rPr>
        <w:t>vaccine program could impact disease burden</w:t>
      </w:r>
      <w:r>
        <w:rPr>
          <w:rFonts w:cs="Segoe UI"/>
        </w:rPr>
        <w:t>.</w:t>
      </w:r>
      <w:r w:rsidRPr="79F0D2C0">
        <w:rPr>
          <w:rFonts w:cs="Segoe UI"/>
        </w:rPr>
        <w:t xml:space="preserve"> This process should be developed in collaboration with </w:t>
      </w:r>
      <w:r>
        <w:rPr>
          <w:rFonts w:cs="Segoe UI"/>
        </w:rPr>
        <w:t>the Australian Technical Advisory Group on Immunisation</w:t>
      </w:r>
      <w:r w:rsidRPr="79F0D2C0">
        <w:rPr>
          <w:rFonts w:cs="Segoe UI"/>
        </w:rPr>
        <w:t xml:space="preserve"> and other relevant stakeholders and include </w:t>
      </w:r>
      <w:proofErr w:type="gramStart"/>
      <w:r>
        <w:rPr>
          <w:rFonts w:cs="Segoe UI"/>
        </w:rPr>
        <w:t xml:space="preserve">conducting </w:t>
      </w:r>
      <w:r w:rsidRPr="00FB490F">
        <w:rPr>
          <w:rFonts w:cs="Segoe UI"/>
        </w:rPr>
        <w:t xml:space="preserve"> independent</w:t>
      </w:r>
      <w:proofErr w:type="gramEnd"/>
      <w:r w:rsidRPr="00FB490F">
        <w:rPr>
          <w:rFonts w:cs="Segoe UI"/>
        </w:rPr>
        <w:t xml:space="preserve"> modelling</w:t>
      </w:r>
      <w:r>
        <w:rPr>
          <w:rFonts w:cs="Segoe UI"/>
        </w:rPr>
        <w:t>,</w:t>
      </w:r>
      <w:r w:rsidRPr="00FB490F">
        <w:rPr>
          <w:rFonts w:cs="Segoe UI"/>
        </w:rPr>
        <w:t xml:space="preserve"> where appropriate</w:t>
      </w:r>
      <w:r w:rsidRPr="79F0D2C0">
        <w:rPr>
          <w:rFonts w:cs="Segoe UI"/>
        </w:rPr>
        <w:t xml:space="preserve">. </w:t>
      </w:r>
    </w:p>
    <w:p w14:paraId="2E3AB88B" w14:textId="65A32BD2" w:rsidR="00EA3EFB" w:rsidRPr="00DE3E4A" w:rsidRDefault="00DE3E4A" w:rsidP="00A318F7">
      <w:pPr>
        <w:pStyle w:val="SummaryofRecRecheading"/>
        <w:ind w:left="0" w:firstLine="0"/>
      </w:pPr>
      <w:r>
        <w:t xml:space="preserve">  </w:t>
      </w:r>
      <w:r w:rsidR="00EA3EFB" w:rsidRPr="0056542B">
        <w:t xml:space="preserve">Improved processes, accountability and timeliness for </w:t>
      </w:r>
      <w:r w:rsidR="00EA3EFB">
        <w:t>h</w:t>
      </w:r>
      <w:r w:rsidR="00EA3EFB" w:rsidRPr="0056542B">
        <w:t xml:space="preserve">ighly </w:t>
      </w:r>
      <w:r w:rsidR="00EA3EFB">
        <w:t>s</w:t>
      </w:r>
      <w:r w:rsidR="00EA3EFB" w:rsidRPr="0056542B">
        <w:t xml:space="preserve">pecialised </w:t>
      </w:r>
      <w:r w:rsidR="00EA3EFB">
        <w:t>t</w:t>
      </w:r>
      <w:r w:rsidR="00EA3EFB" w:rsidRPr="0056542B">
        <w:t>herapies and other therapies co-funded b</w:t>
      </w:r>
      <w:r w:rsidR="00EA3EFB">
        <w:t>y</w:t>
      </w:r>
      <w:r w:rsidR="00EA3EFB" w:rsidRPr="0056542B">
        <w:t xml:space="preserve"> the </w:t>
      </w:r>
      <w:r w:rsidR="00EA3EFB">
        <w:t>Australian</w:t>
      </w:r>
      <w:r w:rsidR="00EA3EFB" w:rsidRPr="0056542B">
        <w:t xml:space="preserve"> and state and territory governments</w:t>
      </w:r>
    </w:p>
    <w:p w14:paraId="1DC68A75" w14:textId="77777777" w:rsidR="00EA3EFB" w:rsidRPr="000A53B0" w:rsidRDefault="00EA3EFB" w:rsidP="009C1805">
      <w:pPr>
        <w:snapToGrid w:val="0"/>
        <w:spacing w:after="120" w:line="22" w:lineRule="atLeast"/>
        <w:rPr>
          <w:rFonts w:cs="Segoe UI"/>
          <w:b/>
        </w:rPr>
      </w:pPr>
      <w:r w:rsidRPr="79F0D2C0">
        <w:rPr>
          <w:rFonts w:cs="Segoe UI"/>
        </w:rPr>
        <w:t xml:space="preserve">Encourage and provide support for expediting the development and implementation of </w:t>
      </w:r>
      <w:r>
        <w:rPr>
          <w:rFonts w:cs="Segoe UI"/>
        </w:rPr>
        <w:t>a</w:t>
      </w:r>
      <w:r w:rsidRPr="79F0D2C0">
        <w:rPr>
          <w:rFonts w:cs="Segoe UI"/>
        </w:rPr>
        <w:t xml:space="preserve"> nationally cohesive approach to HTA as outlined in Schedule C of the 2020</w:t>
      </w:r>
      <w:r>
        <w:rPr>
          <w:rFonts w:cs="Segoe UI"/>
        </w:rPr>
        <w:t>–‍2</w:t>
      </w:r>
      <w:r w:rsidRPr="79F0D2C0">
        <w:rPr>
          <w:rFonts w:cs="Segoe UI"/>
        </w:rPr>
        <w:t xml:space="preserve">5 </w:t>
      </w:r>
      <w:r>
        <w:rPr>
          <w:rFonts w:cs="Segoe UI"/>
        </w:rPr>
        <w:t xml:space="preserve">Addendum to the </w:t>
      </w:r>
      <w:r w:rsidRPr="79F0D2C0">
        <w:rPr>
          <w:rFonts w:cs="Segoe UI"/>
        </w:rPr>
        <w:t>National Health Reform Agreement</w:t>
      </w:r>
      <w:r>
        <w:rPr>
          <w:rFonts w:cs="Segoe UI"/>
        </w:rPr>
        <w:t>.</w:t>
      </w:r>
      <w:r>
        <w:rPr>
          <w:rStyle w:val="FootnoteReference"/>
          <w:rFonts w:cs="Segoe UI"/>
        </w:rPr>
        <w:footnoteReference w:id="12"/>
      </w:r>
      <w:r w:rsidRPr="79F0D2C0">
        <w:rPr>
          <w:rFonts w:cs="Segoe UI"/>
        </w:rPr>
        <w:t xml:space="preserve"> </w:t>
      </w:r>
    </w:p>
    <w:p w14:paraId="64BA7BCD" w14:textId="6479F067" w:rsidR="00EA3EFB" w:rsidRPr="000A53B0" w:rsidRDefault="00EA3EFB" w:rsidP="009C1805">
      <w:pPr>
        <w:snapToGrid w:val="0"/>
        <w:spacing w:after="120" w:line="22" w:lineRule="atLeast"/>
        <w:rPr>
          <w:rFonts w:cs="Segoe UI"/>
          <w:b/>
        </w:rPr>
      </w:pPr>
      <w:r w:rsidRPr="79F0D2C0">
        <w:rPr>
          <w:rFonts w:cs="Segoe UI"/>
        </w:rPr>
        <w:t>Encourage and provide support for expediting the development of a national HTA framework</w:t>
      </w:r>
      <w:r>
        <w:rPr>
          <w:rFonts w:cs="Segoe UI"/>
        </w:rPr>
        <w:t>,</w:t>
      </w:r>
      <w:r w:rsidRPr="79F0D2C0">
        <w:rPr>
          <w:rFonts w:cs="Segoe UI"/>
        </w:rPr>
        <w:t xml:space="preserve"> including processes for HTA to inform advice on implementation, investment and disinvestment opportunities at Commonwealth and </w:t>
      </w:r>
      <w:r>
        <w:rPr>
          <w:rFonts w:cs="Segoe UI"/>
        </w:rPr>
        <w:t>s</w:t>
      </w:r>
      <w:r w:rsidRPr="79F0D2C0">
        <w:rPr>
          <w:rFonts w:cs="Segoe UI"/>
        </w:rPr>
        <w:t xml:space="preserve">tate </w:t>
      </w:r>
      <w:r>
        <w:rPr>
          <w:rFonts w:cs="Segoe UI"/>
        </w:rPr>
        <w:t xml:space="preserve">and territory </w:t>
      </w:r>
      <w:r w:rsidRPr="79F0D2C0">
        <w:rPr>
          <w:rFonts w:cs="Segoe UI"/>
        </w:rPr>
        <w:t xml:space="preserve">levels. </w:t>
      </w:r>
    </w:p>
    <w:p w14:paraId="612C4462" w14:textId="6CD92F9B" w:rsidR="00EA3EFB" w:rsidRDefault="00EA3EFB" w:rsidP="009C1805">
      <w:pPr>
        <w:snapToGrid w:val="0"/>
        <w:spacing w:after="120" w:line="22" w:lineRule="atLeast"/>
        <w:rPr>
          <w:rFonts w:cs="Segoe UI"/>
          <w:bCs/>
        </w:rPr>
      </w:pPr>
      <w:r w:rsidRPr="79F0D2C0">
        <w:rPr>
          <w:rFonts w:cs="Segoe UI"/>
        </w:rPr>
        <w:t xml:space="preserve">Work with </w:t>
      </w:r>
      <w:r>
        <w:rPr>
          <w:rFonts w:cs="Segoe UI"/>
        </w:rPr>
        <w:t>s</w:t>
      </w:r>
      <w:r w:rsidRPr="79F0D2C0">
        <w:rPr>
          <w:rFonts w:cs="Segoe UI"/>
        </w:rPr>
        <w:t xml:space="preserve">tate and </w:t>
      </w:r>
      <w:r>
        <w:rPr>
          <w:rFonts w:cs="Segoe UI"/>
        </w:rPr>
        <w:t>t</w:t>
      </w:r>
      <w:r w:rsidRPr="79F0D2C0">
        <w:rPr>
          <w:rFonts w:cs="Segoe UI"/>
        </w:rPr>
        <w:t xml:space="preserve">erritory </w:t>
      </w:r>
      <w:r>
        <w:rPr>
          <w:rFonts w:cs="Segoe UI"/>
        </w:rPr>
        <w:t>g</w:t>
      </w:r>
      <w:r w:rsidRPr="79F0D2C0">
        <w:rPr>
          <w:rFonts w:cs="Segoe UI"/>
        </w:rPr>
        <w:t xml:space="preserve">overnments and industry to establish processes for ensuring high-cost </w:t>
      </w:r>
      <w:r>
        <w:rPr>
          <w:rFonts w:cs="Segoe UI"/>
        </w:rPr>
        <w:t>highly specialised therapies</w:t>
      </w:r>
      <w:r w:rsidRPr="79F0D2C0">
        <w:rPr>
          <w:rFonts w:cs="Segoe UI"/>
        </w:rPr>
        <w:t xml:space="preserve"> are accessible to all </w:t>
      </w:r>
      <w:r w:rsidR="00206E65">
        <w:rPr>
          <w:rFonts w:cs="Segoe UI"/>
        </w:rPr>
        <w:t>eligible</w:t>
      </w:r>
      <w:r w:rsidRPr="00B61FDC">
        <w:rPr>
          <w:rFonts w:cs="Segoe UI"/>
        </w:rPr>
        <w:t xml:space="preserve"> patients</w:t>
      </w:r>
      <w:r w:rsidRPr="79F0D2C0">
        <w:rPr>
          <w:rFonts w:cs="Segoe UI"/>
        </w:rPr>
        <w:t xml:space="preserve"> within 6 months of</w:t>
      </w:r>
      <w:r w:rsidRPr="00915105">
        <w:rPr>
          <w:rFonts w:cs="Segoe UI"/>
        </w:rPr>
        <w:t xml:space="preserve"> r</w:t>
      </w:r>
      <w:r w:rsidRPr="00B61FDC">
        <w:rPr>
          <w:rFonts w:cs="Segoe UI"/>
        </w:rPr>
        <w:t>eaching</w:t>
      </w:r>
      <w:r w:rsidRPr="00964E3C">
        <w:rPr>
          <w:rFonts w:cs="Segoe UI"/>
        </w:rPr>
        <w:t xml:space="preserve"> </w:t>
      </w:r>
      <w:r w:rsidRPr="79F0D2C0">
        <w:rPr>
          <w:rFonts w:cs="Segoe UI"/>
        </w:rPr>
        <w:t>an in-principal pricing agreement.</w:t>
      </w:r>
    </w:p>
    <w:p w14:paraId="7A48466E" w14:textId="36DC4F3D" w:rsidR="00EA3EFB" w:rsidRPr="008526FC" w:rsidRDefault="00EA3EFB" w:rsidP="009C1805">
      <w:pPr>
        <w:snapToGrid w:val="0"/>
        <w:spacing w:after="120" w:line="22" w:lineRule="atLeast"/>
        <w:rPr>
          <w:rFonts w:cs="Segoe UI"/>
          <w:b/>
          <w:bCs/>
        </w:rPr>
      </w:pPr>
      <w:r w:rsidRPr="52A86770">
        <w:rPr>
          <w:rFonts w:eastAsia="Calibri" w:cs="Segoe UI"/>
        </w:rPr>
        <w:lastRenderedPageBreak/>
        <w:t xml:space="preserve">Develop a </w:t>
      </w:r>
      <w:r w:rsidRPr="43CC5F5D">
        <w:rPr>
          <w:rFonts w:eastAsia="Calibri" w:cs="Segoe UI"/>
        </w:rPr>
        <w:t>framework for</w:t>
      </w:r>
      <w:r w:rsidRPr="52A86770">
        <w:rPr>
          <w:rFonts w:eastAsia="Calibri" w:cs="Segoe UI"/>
        </w:rPr>
        <w:t xml:space="preserve"> systematic input</w:t>
      </w:r>
      <w:r w:rsidRPr="008526FC">
        <w:rPr>
          <w:rFonts w:eastAsia="Calibri" w:cs="Segoe UI"/>
        </w:rPr>
        <w:t>, consultation and work sharing by state and territory governments across the health technology lifecycle</w:t>
      </w:r>
      <w:r>
        <w:rPr>
          <w:rFonts w:eastAsia="Calibri" w:cs="Segoe UI"/>
        </w:rPr>
        <w:t>.</w:t>
      </w:r>
    </w:p>
    <w:p w14:paraId="41C2DA34" w14:textId="5CEEE27E" w:rsidR="00EA3EFB" w:rsidRPr="00B4757B" w:rsidRDefault="00F03509" w:rsidP="00A318F7">
      <w:pPr>
        <w:pStyle w:val="SummaryofRecRecheading"/>
        <w:ind w:left="0" w:firstLine="0"/>
      </w:pPr>
      <w:r>
        <w:t xml:space="preserve">  </w:t>
      </w:r>
      <w:r w:rsidR="00EA3EFB">
        <w:t>Improving time to access</w:t>
      </w:r>
      <w:r w:rsidR="00EA3EFB" w:rsidRPr="006F523F">
        <w:t xml:space="preserve"> </w:t>
      </w:r>
      <w:r w:rsidR="00EA3EFB" w:rsidRPr="00B61FDC">
        <w:t>life-saving</w:t>
      </w:r>
      <w:r w:rsidR="00EA3EFB" w:rsidRPr="000A53B0">
        <w:t xml:space="preserve"> drugs for patients with ultra-rare diseases (Life Saving Drugs Program</w:t>
      </w:r>
      <w:r w:rsidR="00EA3EFB">
        <w:t xml:space="preserve">) </w:t>
      </w:r>
      <w:r w:rsidR="00EA3EFB" w:rsidRPr="00B4757B">
        <w:t xml:space="preserve"> </w:t>
      </w:r>
    </w:p>
    <w:p w14:paraId="6B39DAA0" w14:textId="5373F229" w:rsidR="00EA3EFB" w:rsidRPr="000A53B0" w:rsidRDefault="00EA3EFB" w:rsidP="002F2E23">
      <w:pPr>
        <w:keepNext/>
        <w:keepLines/>
        <w:snapToGrid w:val="0"/>
        <w:spacing w:after="120" w:line="22" w:lineRule="atLeast"/>
        <w:rPr>
          <w:rFonts w:cs="Segoe UI"/>
          <w:b/>
          <w:bCs/>
        </w:rPr>
      </w:pPr>
      <w:r w:rsidRPr="002B3DFC">
        <w:rPr>
          <w:rFonts w:cs="Segoe UI"/>
        </w:rPr>
        <w:t xml:space="preserve">Develop a statement of rationale for the </w:t>
      </w:r>
      <w:r>
        <w:rPr>
          <w:rFonts w:cs="Segoe UI"/>
        </w:rPr>
        <w:t>Life Saving Drugs Program,</w:t>
      </w:r>
      <w:r w:rsidRPr="002B3DFC">
        <w:rPr>
          <w:rFonts w:cs="Segoe UI"/>
        </w:rPr>
        <w:t xml:space="preserve"> outlining the principles underpinning the program and eligibility criteria.</w:t>
      </w:r>
    </w:p>
    <w:p w14:paraId="25850EE2" w14:textId="221DE870" w:rsidR="00EA3EFB" w:rsidRPr="000A53B0" w:rsidRDefault="00EA3EFB" w:rsidP="009C1805">
      <w:pPr>
        <w:snapToGrid w:val="0"/>
        <w:spacing w:after="120" w:line="22" w:lineRule="atLeast"/>
        <w:rPr>
          <w:rFonts w:cs="Segoe UI"/>
        </w:rPr>
      </w:pPr>
      <w:r w:rsidRPr="000A53B0">
        <w:rPr>
          <w:rFonts w:cs="Segoe UI"/>
        </w:rPr>
        <w:t xml:space="preserve">Make necessary process and policy reforms to enable the </w:t>
      </w:r>
      <w:r w:rsidRPr="00FE6A94">
        <w:rPr>
          <w:rFonts w:cs="Segoe UI"/>
        </w:rPr>
        <w:t>Pharmaceutical Benefits Advisory Committee</w:t>
      </w:r>
      <w:r w:rsidRPr="000A53B0">
        <w:rPr>
          <w:rFonts w:cs="Segoe UI"/>
        </w:rPr>
        <w:t xml:space="preserve"> to become the sole HTA committee </w:t>
      </w:r>
      <w:r>
        <w:rPr>
          <w:rFonts w:cs="Segoe UI"/>
        </w:rPr>
        <w:t>that</w:t>
      </w:r>
      <w:r w:rsidRPr="000A53B0">
        <w:rPr>
          <w:rFonts w:cs="Segoe UI"/>
        </w:rPr>
        <w:t xml:space="preserve"> assess</w:t>
      </w:r>
      <w:r>
        <w:rPr>
          <w:rFonts w:cs="Segoe UI"/>
        </w:rPr>
        <w:t>es</w:t>
      </w:r>
      <w:r w:rsidRPr="000A53B0">
        <w:rPr>
          <w:rFonts w:cs="Segoe UI"/>
        </w:rPr>
        <w:t xml:space="preserve"> and recommend</w:t>
      </w:r>
      <w:r>
        <w:rPr>
          <w:rFonts w:cs="Segoe UI"/>
        </w:rPr>
        <w:t>s</w:t>
      </w:r>
      <w:r w:rsidRPr="000A53B0">
        <w:rPr>
          <w:rFonts w:cs="Segoe UI"/>
        </w:rPr>
        <w:t xml:space="preserve"> funding of health technologies for ultra-rare diseases. </w:t>
      </w:r>
    </w:p>
    <w:p w14:paraId="7C98B729" w14:textId="54A92529" w:rsidR="00EA3EFB" w:rsidRPr="000A53B0" w:rsidRDefault="00F03509" w:rsidP="00A318F7">
      <w:pPr>
        <w:pStyle w:val="SummaryofRecRecheading"/>
        <w:ind w:left="0" w:firstLine="0"/>
        <w:rPr>
          <w:b/>
          <w:bCs/>
        </w:rPr>
      </w:pPr>
      <w:r>
        <w:t xml:space="preserve">  </w:t>
      </w:r>
      <w:r w:rsidR="00EA3EFB" w:rsidRPr="000A53B0">
        <w:t>Jointly owned performance targets</w:t>
      </w:r>
    </w:p>
    <w:p w14:paraId="09B78F8B" w14:textId="66727425" w:rsidR="00EA3EFB" w:rsidRPr="00103171" w:rsidRDefault="00EA3EFB" w:rsidP="009C1805">
      <w:pPr>
        <w:snapToGrid w:val="0"/>
        <w:spacing w:after="120" w:line="22" w:lineRule="atLeast"/>
        <w:rPr>
          <w:rFonts w:cs="Segoe UI"/>
        </w:rPr>
      </w:pPr>
      <w:r w:rsidRPr="00103171">
        <w:rPr>
          <w:rFonts w:cs="Segoe UI"/>
        </w:rPr>
        <w:t>Get the Australian Government and industry to each reaffirm their commitment to good faith negotiations aimed at minimising the time to complete an HTA and commercial agreements for products claimed to be superior to existing therapies. In addition, they should negotiate reciprocal commitments for these elements in any agreement, and compile and publish performance metrics annually.</w:t>
      </w:r>
    </w:p>
    <w:p w14:paraId="45170B68" w14:textId="17B78B6F" w:rsidR="00EA3EFB" w:rsidRPr="00E6202B" w:rsidRDefault="00EA3EFB" w:rsidP="00E6202B">
      <w:pPr>
        <w:spacing w:after="120"/>
        <w:rPr>
          <w:b/>
          <w:bCs/>
        </w:rPr>
      </w:pPr>
      <w:r w:rsidRPr="00103171">
        <w:t>Comment by Ms Elizabeth de Somer, Member Nominated by Medicines Australia</w:t>
      </w:r>
      <w:r w:rsidR="00551DFB">
        <w:t>:</w:t>
      </w:r>
      <w:r w:rsidR="005D3049" w:rsidRPr="00103171">
        <w:t xml:space="preserve"> ‘</w:t>
      </w:r>
      <w:r w:rsidR="00551DFB">
        <w:t>T</w:t>
      </w:r>
      <w:r w:rsidRPr="00103171">
        <w:t xml:space="preserve">he industry supports mutually agreed targets that reduce delays in patient access and recommends that a time frame for PBS listing within 60 days </w:t>
      </w:r>
      <w:r w:rsidR="00C8239E" w:rsidRPr="00103171">
        <w:t>of ARTG</w:t>
      </w:r>
      <w:r w:rsidRPr="00103171">
        <w:t xml:space="preserve"> registration for all submissions should be a future target.’ </w:t>
      </w:r>
    </w:p>
    <w:p w14:paraId="201D7B10" w14:textId="77777777" w:rsidR="00EA3EFB" w:rsidRPr="00E6202B" w:rsidRDefault="00EA3EFB" w:rsidP="00A318F7">
      <w:pPr>
        <w:pStyle w:val="SummaryofRecChapterheading"/>
      </w:pPr>
      <w:r w:rsidRPr="00E6202B">
        <w:t>CHAPTER 5: Policies, methods and processes supporting the translation of HTA Recommendations into patient access</w:t>
      </w:r>
    </w:p>
    <w:p w14:paraId="2606C5F8" w14:textId="40470EC0" w:rsidR="00EA3EFB" w:rsidRPr="000A53B0" w:rsidRDefault="00F03509" w:rsidP="00A318F7">
      <w:pPr>
        <w:pStyle w:val="SummaryofRecRecheading"/>
        <w:ind w:left="0" w:firstLine="0"/>
        <w:rPr>
          <w:b/>
        </w:rPr>
      </w:pPr>
      <w:r>
        <w:t xml:space="preserve">  </w:t>
      </w:r>
      <w:r w:rsidR="00EA3EFB" w:rsidRPr="79F0D2C0">
        <w:t xml:space="preserve">Addressing </w:t>
      </w:r>
      <w:r w:rsidR="00EA3EFB">
        <w:t xml:space="preserve">the </w:t>
      </w:r>
      <w:r w:rsidR="00EA3EFB" w:rsidRPr="79F0D2C0">
        <w:t>implications of high</w:t>
      </w:r>
      <w:r w:rsidR="00EA3EFB">
        <w:t>-</w:t>
      </w:r>
      <w:r w:rsidR="00EA3EFB" w:rsidRPr="79F0D2C0">
        <w:t>cost/</w:t>
      </w:r>
      <w:r w:rsidR="00EA3EFB" w:rsidRPr="00DB5BE2">
        <w:t>high</w:t>
      </w:r>
      <w:r w:rsidR="00EA3EFB">
        <w:t>-</w:t>
      </w:r>
      <w:r w:rsidR="00EA3EFB" w:rsidRPr="79F0D2C0">
        <w:t>impact health technologies</w:t>
      </w:r>
    </w:p>
    <w:p w14:paraId="6CE57490" w14:textId="00A54514" w:rsidR="00EA3EFB" w:rsidRPr="000A53B0" w:rsidRDefault="00EA3EFB" w:rsidP="009C1805">
      <w:pPr>
        <w:snapToGrid w:val="0"/>
        <w:spacing w:after="120" w:line="22" w:lineRule="atLeast"/>
        <w:rPr>
          <w:rFonts w:eastAsia="Times New Roman" w:cs="Segoe UI"/>
          <w:kern w:val="24"/>
          <w:lang w:eastAsia="en-AU"/>
        </w:rPr>
      </w:pPr>
      <w:r w:rsidRPr="000A53B0">
        <w:rPr>
          <w:rFonts w:cs="Segoe UI"/>
        </w:rPr>
        <w:t xml:space="preserve">Design a framework that supports </w:t>
      </w:r>
      <w:r>
        <w:rPr>
          <w:rFonts w:cs="Segoe UI"/>
        </w:rPr>
        <w:t>using</w:t>
      </w:r>
      <w:r w:rsidRPr="000A53B0">
        <w:rPr>
          <w:rFonts w:cs="Segoe UI"/>
        </w:rPr>
        <w:t xml:space="preserve"> different contract and funding mechanisms to subsidise health technologies</w:t>
      </w:r>
      <w:r>
        <w:rPr>
          <w:rFonts w:cs="Segoe UI"/>
        </w:rPr>
        <w:t>, in addition to</w:t>
      </w:r>
      <w:r w:rsidRPr="000A53B0">
        <w:rPr>
          <w:rFonts w:cs="Segoe UI"/>
        </w:rPr>
        <w:t xml:space="preserve"> the </w:t>
      </w:r>
      <w:r w:rsidRPr="000A53B0">
        <w:rPr>
          <w:rFonts w:eastAsia="Times New Roman" w:cs="Segoe UI"/>
          <w:kern w:val="24"/>
          <w:lang w:eastAsia="en-AU"/>
        </w:rPr>
        <w:t xml:space="preserve">standard ‘price per unit’ approach. </w:t>
      </w:r>
    </w:p>
    <w:p w14:paraId="39B59E5E" w14:textId="7DEC11EB" w:rsidR="00EA3EFB" w:rsidRPr="000A53B0" w:rsidRDefault="00F03509" w:rsidP="00A318F7">
      <w:pPr>
        <w:pStyle w:val="SummaryofRecRecheading"/>
        <w:ind w:left="0" w:firstLine="0"/>
        <w:rPr>
          <w:b/>
          <w:bCs/>
        </w:rPr>
      </w:pPr>
      <w:r>
        <w:t xml:space="preserve">  </w:t>
      </w:r>
      <w:r w:rsidR="00EA3EFB" w:rsidRPr="000A53B0">
        <w:t xml:space="preserve">Pricing </w:t>
      </w:r>
      <w:r w:rsidR="00EA3EFB">
        <w:t>o</w:t>
      </w:r>
      <w:r w:rsidR="00EA3EFB" w:rsidRPr="000A53B0">
        <w:t xml:space="preserve">ffer </w:t>
      </w:r>
      <w:r w:rsidR="00EA3EFB">
        <w:t>f</w:t>
      </w:r>
      <w:r w:rsidR="00EA3EFB" w:rsidRPr="000A53B0">
        <w:t>ramework</w:t>
      </w:r>
    </w:p>
    <w:p w14:paraId="07893EEA" w14:textId="462DD3FD" w:rsidR="00EA3EFB" w:rsidRPr="000A53B0" w:rsidRDefault="00EA3EFB" w:rsidP="009C1805">
      <w:pPr>
        <w:snapToGrid w:val="0"/>
        <w:spacing w:after="120" w:line="22" w:lineRule="atLeast"/>
        <w:rPr>
          <w:rFonts w:cs="Segoe UI"/>
        </w:rPr>
      </w:pPr>
      <w:r w:rsidRPr="79F0D2C0">
        <w:rPr>
          <w:rFonts w:cs="Segoe UI"/>
        </w:rPr>
        <w:t>Publish (after appropriate consultation and development) a regularly updated post</w:t>
      </w:r>
      <w:r>
        <w:rPr>
          <w:rFonts w:cs="Segoe UI"/>
        </w:rPr>
        <w:noBreakHyphen/>
      </w:r>
      <w:r w:rsidRPr="79F0D2C0">
        <w:rPr>
          <w:rFonts w:cs="Segoe UI"/>
        </w:rPr>
        <w:t xml:space="preserve">HTA pricing, negotiation and listing policy framework that provides stakeholders with clarity and visibility about matters relevant to translating a positive HTA recommendation into subsidised access for patients. </w:t>
      </w:r>
    </w:p>
    <w:p w14:paraId="373F446A" w14:textId="672A66ED" w:rsidR="00EA3EFB" w:rsidRPr="000A53B0" w:rsidRDefault="00593FA7" w:rsidP="00A318F7">
      <w:pPr>
        <w:pStyle w:val="SummaryofRecRecheading"/>
        <w:ind w:left="0" w:firstLine="0"/>
        <w:rPr>
          <w:b/>
          <w:bCs/>
        </w:rPr>
      </w:pPr>
      <w:r>
        <w:t xml:space="preserve">  </w:t>
      </w:r>
      <w:r w:rsidR="00EA3EFB" w:rsidRPr="000A53B0">
        <w:t>Updated post-</w:t>
      </w:r>
      <w:r w:rsidR="00EA3EFB">
        <w:t>r</w:t>
      </w:r>
      <w:r w:rsidR="00EA3EFB" w:rsidRPr="000A53B0">
        <w:t>eview framework</w:t>
      </w:r>
    </w:p>
    <w:p w14:paraId="11307333" w14:textId="749FF139" w:rsidR="00EA3EFB" w:rsidRPr="000A53B0" w:rsidRDefault="00EA3EFB" w:rsidP="009C1805">
      <w:pPr>
        <w:snapToGrid w:val="0"/>
        <w:spacing w:after="120" w:line="22" w:lineRule="atLeast"/>
        <w:rPr>
          <w:rFonts w:cs="Segoe UI"/>
        </w:rPr>
      </w:pPr>
      <w:r w:rsidRPr="000A53B0">
        <w:rPr>
          <w:rFonts w:cs="Segoe UI"/>
        </w:rPr>
        <w:t xml:space="preserve">Build on existing </w:t>
      </w:r>
      <w:r w:rsidRPr="000A53B0">
        <w:rPr>
          <w:rFonts w:eastAsia="Times New Roman" w:cs="Segoe UI"/>
          <w:lang w:eastAsia="en-AU"/>
        </w:rPr>
        <w:t xml:space="preserve">health technology review and evaluation arrangements </w:t>
      </w:r>
      <w:r w:rsidR="004104F7">
        <w:rPr>
          <w:rFonts w:eastAsia="Times New Roman" w:cs="Segoe UI"/>
          <w:lang w:eastAsia="en-AU"/>
        </w:rPr>
        <w:t xml:space="preserve">to support regular and periodic examination of the performance, utilisation, displacement, and clinical place of health technologies </w:t>
      </w:r>
      <w:r w:rsidRPr="000A53B0">
        <w:rPr>
          <w:rFonts w:eastAsia="Times New Roman" w:cs="Segoe UI"/>
          <w:lang w:eastAsia="en-AU"/>
        </w:rPr>
        <w:t>and include activities supporting review</w:t>
      </w:r>
      <w:r>
        <w:rPr>
          <w:rFonts w:eastAsia="Times New Roman" w:cs="Segoe UI"/>
          <w:lang w:eastAsia="en-AU"/>
        </w:rPr>
        <w:t>s</w:t>
      </w:r>
      <w:r w:rsidRPr="000A53B0">
        <w:rPr>
          <w:rFonts w:eastAsia="Times New Roman" w:cs="Segoe UI"/>
          <w:lang w:eastAsia="en-AU"/>
        </w:rPr>
        <w:t xml:space="preserve"> throughout a health technology’s post-listing utilisation lifecycle. </w:t>
      </w:r>
    </w:p>
    <w:p w14:paraId="0AC01318" w14:textId="64592E43" w:rsidR="00EA3EFB" w:rsidRPr="000A53B0" w:rsidRDefault="00593FA7" w:rsidP="005E64D2">
      <w:pPr>
        <w:pStyle w:val="SummaryofRecRecheading"/>
        <w:keepNext/>
        <w:ind w:left="0" w:firstLine="0"/>
        <w:rPr>
          <w:b/>
          <w:bCs/>
        </w:rPr>
      </w:pPr>
      <w:r>
        <w:lastRenderedPageBreak/>
        <w:t xml:space="preserve">  </w:t>
      </w:r>
      <w:r w:rsidR="00EA3EFB" w:rsidRPr="000A53B0">
        <w:t xml:space="preserve">Managed </w:t>
      </w:r>
      <w:r w:rsidR="00EA3EFB">
        <w:t>e</w:t>
      </w:r>
      <w:r w:rsidR="00EA3EFB" w:rsidRPr="000A53B0">
        <w:t xml:space="preserve">ntry </w:t>
      </w:r>
      <w:r w:rsidR="00EA3EFB">
        <w:t xml:space="preserve">agreements </w:t>
      </w:r>
    </w:p>
    <w:p w14:paraId="05A92F9A" w14:textId="60BB8004" w:rsidR="00EA3EFB" w:rsidRPr="000A53B0" w:rsidRDefault="00EA3EFB" w:rsidP="005E64D2">
      <w:pPr>
        <w:keepNext/>
        <w:snapToGrid w:val="0"/>
        <w:spacing w:after="120" w:line="22" w:lineRule="atLeast"/>
        <w:rPr>
          <w:rFonts w:cs="Segoe UI"/>
          <w:b/>
        </w:rPr>
      </w:pPr>
      <w:r w:rsidRPr="79F0D2C0">
        <w:rPr>
          <w:rFonts w:cs="Segoe UI"/>
        </w:rPr>
        <w:t xml:space="preserve">Revise the policy and guidance framework of </w:t>
      </w:r>
      <w:r>
        <w:rPr>
          <w:rFonts w:cs="Segoe UI"/>
        </w:rPr>
        <w:t>managed entry agreements</w:t>
      </w:r>
      <w:r w:rsidRPr="79F0D2C0">
        <w:rPr>
          <w:rFonts w:cs="Segoe UI"/>
        </w:rPr>
        <w:t xml:space="preserve">, to provide more flexibility for sponsors and the Commonwealth to address identified uncertainties while better supporting timely access to health technologies for patients. </w:t>
      </w:r>
    </w:p>
    <w:p w14:paraId="4693DD0B" w14:textId="2C23CCC0" w:rsidR="00EA3EFB" w:rsidRPr="000A53B0" w:rsidRDefault="00593FA7" w:rsidP="00A318F7">
      <w:pPr>
        <w:pStyle w:val="SummaryofRecRecheading"/>
        <w:ind w:left="0" w:firstLine="0"/>
        <w:rPr>
          <w:b/>
          <w:bCs/>
        </w:rPr>
      </w:pPr>
      <w:r>
        <w:t xml:space="preserve">  </w:t>
      </w:r>
      <w:r w:rsidR="00EA3EFB" w:rsidRPr="000A53B0">
        <w:t xml:space="preserve">Bridging </w:t>
      </w:r>
      <w:r w:rsidR="00EA3EFB">
        <w:t>f</w:t>
      </w:r>
      <w:r w:rsidR="00EA3EFB" w:rsidRPr="000A53B0">
        <w:t>unding program</w:t>
      </w:r>
    </w:p>
    <w:p w14:paraId="3193CE62" w14:textId="4B4D6CEC" w:rsidR="00EA3EFB" w:rsidRPr="0052593F" w:rsidRDefault="00EA3EFB" w:rsidP="009C1805">
      <w:pPr>
        <w:snapToGrid w:val="0"/>
        <w:spacing w:after="120" w:line="22" w:lineRule="atLeast"/>
        <w:rPr>
          <w:rFonts w:eastAsia="Times New Roman" w:cs="Segoe UI"/>
          <w:b/>
          <w:bCs/>
          <w:lang w:eastAsia="en-AU"/>
        </w:rPr>
      </w:pPr>
      <w:r w:rsidRPr="00B61FDC">
        <w:rPr>
          <w:rFonts w:eastAsia="Times New Roman" w:cs="Segoe UI"/>
          <w:lang w:eastAsia="en-AU"/>
        </w:rPr>
        <w:t>Establish a bridging fund to facilitate earlier, temporary subsidised access to eligible therapies of high added therapeutic value that address high unmet clinical need for patients.</w:t>
      </w:r>
      <w:r w:rsidRPr="0052593F">
        <w:rPr>
          <w:rFonts w:eastAsia="Times New Roman" w:cs="Segoe UI"/>
          <w:lang w:eastAsia="en-AU"/>
        </w:rPr>
        <w:t xml:space="preserve"> </w:t>
      </w:r>
    </w:p>
    <w:p w14:paraId="0E6141D9" w14:textId="74586688" w:rsidR="00EA3EFB" w:rsidRPr="000A53B0" w:rsidRDefault="00593FA7" w:rsidP="00A318F7">
      <w:pPr>
        <w:pStyle w:val="SummaryofRecRecheading"/>
        <w:ind w:left="0" w:firstLine="0"/>
        <w:rPr>
          <w:b/>
          <w:bCs/>
        </w:rPr>
      </w:pPr>
      <w:r>
        <w:t xml:space="preserve">  </w:t>
      </w:r>
      <w:r w:rsidR="00EA3EFB">
        <w:t>Approaches to incentivise d</w:t>
      </w:r>
      <w:r w:rsidR="00EA3EFB" w:rsidRPr="000A53B0">
        <w:t xml:space="preserve">evelopment of </w:t>
      </w:r>
      <w:r w:rsidR="00EA3EFB">
        <w:t>health technologies</w:t>
      </w:r>
      <w:r w:rsidR="00EA3EFB" w:rsidRPr="000A53B0">
        <w:t xml:space="preserve"> that address antimicrobial resistance </w:t>
      </w:r>
    </w:p>
    <w:p w14:paraId="4427D6CE" w14:textId="77777777" w:rsidR="00EA3EFB" w:rsidRPr="000A53B0" w:rsidRDefault="00EA3EFB" w:rsidP="009C1805">
      <w:pPr>
        <w:snapToGrid w:val="0"/>
        <w:spacing w:after="120" w:line="22" w:lineRule="atLeast"/>
        <w:rPr>
          <w:rFonts w:eastAsia="Calibri" w:cs="Segoe UI"/>
          <w:b/>
          <w:bCs/>
          <w:kern w:val="2"/>
          <w14:ligatures w14:val="standardContextual"/>
        </w:rPr>
      </w:pPr>
      <w:r>
        <w:rPr>
          <w:rFonts w:eastAsia="Calibri" w:cs="Segoe UI"/>
          <w:kern w:val="2"/>
          <w14:ligatures w14:val="standardContextual"/>
        </w:rPr>
        <w:t>I</w:t>
      </w:r>
      <w:r w:rsidRPr="000A53B0">
        <w:rPr>
          <w:rFonts w:eastAsia="Calibri" w:cs="Segoe UI"/>
          <w:kern w:val="2"/>
          <w14:ligatures w14:val="standardContextual"/>
        </w:rPr>
        <w:t>mplement measures to incentivise the development of antimicrobials including:</w:t>
      </w:r>
    </w:p>
    <w:p w14:paraId="476886C9" w14:textId="77777777" w:rsidR="00EA3EFB" w:rsidRPr="000A53B0" w:rsidRDefault="00EA3EFB" w:rsidP="00274AA9">
      <w:pPr>
        <w:pStyle w:val="ListBullet"/>
        <w:rPr>
          <w:b/>
        </w:rPr>
      </w:pPr>
      <w:r>
        <w:t>e</w:t>
      </w:r>
      <w:r w:rsidRPr="000A53B0">
        <w:t>xempti</w:t>
      </w:r>
      <w:r>
        <w:t xml:space="preserve">ng them </w:t>
      </w:r>
      <w:r w:rsidRPr="000A53B0">
        <w:t xml:space="preserve">from HTA fee requirements </w:t>
      </w:r>
    </w:p>
    <w:p w14:paraId="1007A0B8" w14:textId="68267486" w:rsidR="00EA3EFB" w:rsidRPr="0052593F" w:rsidRDefault="00EA3EFB" w:rsidP="00274AA9">
      <w:pPr>
        <w:pStyle w:val="ListBullet"/>
        <w:rPr>
          <w:b/>
        </w:rPr>
      </w:pPr>
      <w:r w:rsidRPr="000A53B0">
        <w:t xml:space="preserve">developing a framework to inform changes to HTA policy and </w:t>
      </w:r>
      <w:r w:rsidRPr="00B61FDC">
        <w:t>methods for antimicrobials</w:t>
      </w:r>
    </w:p>
    <w:p w14:paraId="099D1094" w14:textId="36F60CAC" w:rsidR="00EA3EFB" w:rsidRPr="008526FC" w:rsidRDefault="00EA3EFB" w:rsidP="00274AA9">
      <w:pPr>
        <w:pStyle w:val="ListBullet"/>
        <w:rPr>
          <w:b/>
        </w:rPr>
      </w:pPr>
      <w:r w:rsidRPr="0052593F">
        <w:t xml:space="preserve">designing </w:t>
      </w:r>
      <w:r w:rsidRPr="00B61FDC">
        <w:t>a flexible reimbursement policy for antimicrobials</w:t>
      </w:r>
      <w:r>
        <w:t>,</w:t>
      </w:r>
      <w:r w:rsidRPr="000A53B0">
        <w:t xml:space="preserve"> </w:t>
      </w:r>
      <w:r>
        <w:t xml:space="preserve">including examining and </w:t>
      </w:r>
      <w:r w:rsidRPr="000A53B0">
        <w:t>test</w:t>
      </w:r>
      <w:r>
        <w:t>ing</w:t>
      </w:r>
      <w:r w:rsidRPr="000A53B0">
        <w:t xml:space="preserve"> multiple payment and incentive models</w:t>
      </w:r>
      <w:r>
        <w:t xml:space="preserve"> including establishing </w:t>
      </w:r>
      <w:r w:rsidRPr="000A53B0">
        <w:t xml:space="preserve">a subscription </w:t>
      </w:r>
      <w:r>
        <w:t>model</w:t>
      </w:r>
      <w:r w:rsidRPr="000A53B0">
        <w:t xml:space="preserve"> </w:t>
      </w:r>
      <w:r>
        <w:t xml:space="preserve">to </w:t>
      </w:r>
      <w:r w:rsidRPr="000A53B0">
        <w:t>fund novel antimicrobials</w:t>
      </w:r>
      <w:r>
        <w:t xml:space="preserve"> in the short term</w:t>
      </w:r>
      <w:r w:rsidRPr="000A53B0">
        <w:t>.</w:t>
      </w:r>
    </w:p>
    <w:p w14:paraId="6991AD45" w14:textId="77777777" w:rsidR="00EA3EFB" w:rsidRPr="009703DB" w:rsidRDefault="00EA3EFB" w:rsidP="00A318F7">
      <w:pPr>
        <w:pStyle w:val="SummaryofRecChapterheading"/>
      </w:pPr>
      <w:r w:rsidRPr="009703DB">
        <w:t>CHAPTER 6: Transparency and stakeholder involvement</w:t>
      </w:r>
    </w:p>
    <w:p w14:paraId="14B1100D" w14:textId="02125F40" w:rsidR="00EA3EFB" w:rsidRPr="000A53B0" w:rsidRDefault="00593FA7" w:rsidP="00A318F7">
      <w:pPr>
        <w:pStyle w:val="SummaryofRecRecheading"/>
        <w:ind w:left="0" w:firstLine="0"/>
        <w:rPr>
          <w:b/>
          <w:bCs/>
        </w:rPr>
      </w:pPr>
      <w:r>
        <w:t xml:space="preserve">  </w:t>
      </w:r>
      <w:r w:rsidR="00EA3EFB" w:rsidRPr="000A53B0">
        <w:t>Publish</w:t>
      </w:r>
      <w:r w:rsidR="00EA3EFB">
        <w:t>ing</w:t>
      </w:r>
      <w:r w:rsidR="00EA3EFB" w:rsidRPr="000A53B0">
        <w:t xml:space="preserve"> plain language summaries</w:t>
      </w:r>
    </w:p>
    <w:p w14:paraId="67C19059" w14:textId="7E627693" w:rsidR="00EA3EFB" w:rsidRDefault="00EA3EFB" w:rsidP="009C1805">
      <w:pPr>
        <w:snapToGrid w:val="0"/>
        <w:spacing w:after="120" w:line="22" w:lineRule="atLeast"/>
        <w:rPr>
          <w:rFonts w:cs="Segoe UI"/>
        </w:rPr>
      </w:pPr>
      <w:r w:rsidRPr="79F0D2C0">
        <w:rPr>
          <w:rFonts w:cs="Segoe UI"/>
        </w:rPr>
        <w:t>P</w:t>
      </w:r>
      <w:r>
        <w:rPr>
          <w:rFonts w:cs="Segoe UI"/>
        </w:rPr>
        <w:t>rovide p</w:t>
      </w:r>
      <w:r w:rsidRPr="79F0D2C0">
        <w:rPr>
          <w:rFonts w:cs="Segoe UI"/>
        </w:rPr>
        <w:t xml:space="preserve">lain language summaries of </w:t>
      </w:r>
      <w:r w:rsidRPr="00FE6A94">
        <w:rPr>
          <w:rFonts w:cs="Segoe UI"/>
        </w:rPr>
        <w:t>Pharmaceutical Benefits Advisory Committee</w:t>
      </w:r>
      <w:r w:rsidRPr="79F0D2C0">
        <w:rPr>
          <w:rFonts w:cs="Segoe UI"/>
        </w:rPr>
        <w:t xml:space="preserve"> submissions</w:t>
      </w:r>
      <w:r>
        <w:rPr>
          <w:rFonts w:cs="Segoe UI"/>
        </w:rPr>
        <w:t xml:space="preserve"> (</w:t>
      </w:r>
      <w:r w:rsidRPr="79F0D2C0">
        <w:rPr>
          <w:rFonts w:cs="Segoe UI"/>
        </w:rPr>
        <w:t xml:space="preserve">developed </w:t>
      </w:r>
      <w:r>
        <w:rPr>
          <w:rFonts w:cs="Segoe UI"/>
        </w:rPr>
        <w:t>by</w:t>
      </w:r>
      <w:r w:rsidRPr="79F0D2C0">
        <w:rPr>
          <w:rFonts w:cs="Segoe UI"/>
        </w:rPr>
        <w:t xml:space="preserve"> </w:t>
      </w:r>
      <w:r>
        <w:rPr>
          <w:rFonts w:cs="Segoe UI"/>
        </w:rPr>
        <w:t xml:space="preserve">each submission’s </w:t>
      </w:r>
      <w:r w:rsidRPr="79F0D2C0">
        <w:rPr>
          <w:rFonts w:cs="Segoe UI"/>
        </w:rPr>
        <w:t>sponsor</w:t>
      </w:r>
      <w:r>
        <w:rPr>
          <w:rFonts w:cs="Segoe UI"/>
        </w:rPr>
        <w:t xml:space="preserve"> </w:t>
      </w:r>
      <w:r w:rsidRPr="79F0D2C0">
        <w:rPr>
          <w:rFonts w:cs="Segoe UI"/>
        </w:rPr>
        <w:t>and the Department</w:t>
      </w:r>
      <w:r>
        <w:rPr>
          <w:rFonts w:cs="Segoe UI"/>
        </w:rPr>
        <w:t xml:space="preserve"> </w:t>
      </w:r>
      <w:r w:rsidRPr="00B61FDC">
        <w:rPr>
          <w:rFonts w:cs="Segoe UI"/>
        </w:rPr>
        <w:t>of Health and Aged Care</w:t>
      </w:r>
      <w:r>
        <w:rPr>
          <w:rFonts w:cs="Segoe UI"/>
        </w:rPr>
        <w:t xml:space="preserve"> in collaboration</w:t>
      </w:r>
      <w:r w:rsidRPr="00B61FDC">
        <w:rPr>
          <w:rFonts w:cs="Segoe UI"/>
        </w:rPr>
        <w:t>)</w:t>
      </w:r>
      <w:r>
        <w:rPr>
          <w:rFonts w:cs="Segoe UI"/>
        </w:rPr>
        <w:t xml:space="preserve"> at the time of publishing the </w:t>
      </w:r>
      <w:r w:rsidR="00F21A0F">
        <w:rPr>
          <w:rFonts w:cs="Segoe UI"/>
        </w:rPr>
        <w:t>Pharmaceutical</w:t>
      </w:r>
      <w:r w:rsidR="00366BEF">
        <w:rPr>
          <w:rFonts w:cs="Segoe UI"/>
        </w:rPr>
        <w:t xml:space="preserve"> </w:t>
      </w:r>
      <w:r>
        <w:rPr>
          <w:rFonts w:cs="Segoe UI"/>
        </w:rPr>
        <w:t>B</w:t>
      </w:r>
      <w:r w:rsidR="00366BEF">
        <w:rPr>
          <w:rFonts w:cs="Segoe UI"/>
        </w:rPr>
        <w:t xml:space="preserve">enefits </w:t>
      </w:r>
      <w:r>
        <w:rPr>
          <w:rFonts w:cs="Segoe UI"/>
        </w:rPr>
        <w:t>A</w:t>
      </w:r>
      <w:r w:rsidR="00366BEF">
        <w:rPr>
          <w:rFonts w:cs="Segoe UI"/>
        </w:rPr>
        <w:t xml:space="preserve">dvisory </w:t>
      </w:r>
      <w:r>
        <w:rPr>
          <w:rFonts w:cs="Segoe UI"/>
        </w:rPr>
        <w:t>C</w:t>
      </w:r>
      <w:r w:rsidR="00366BEF">
        <w:rPr>
          <w:rFonts w:cs="Segoe UI"/>
        </w:rPr>
        <w:t>ommittee</w:t>
      </w:r>
      <w:r>
        <w:rPr>
          <w:rFonts w:cs="Segoe UI"/>
        </w:rPr>
        <w:t xml:space="preserve"> agenda</w:t>
      </w:r>
      <w:r w:rsidRPr="79F0D2C0">
        <w:rPr>
          <w:rFonts w:cs="Segoe UI"/>
        </w:rPr>
        <w:t xml:space="preserve"> </w:t>
      </w:r>
      <w:r>
        <w:rPr>
          <w:rFonts w:cs="Segoe UI"/>
        </w:rPr>
        <w:t>so that</w:t>
      </w:r>
      <w:r w:rsidRPr="79F0D2C0">
        <w:rPr>
          <w:rFonts w:cs="Segoe UI"/>
        </w:rPr>
        <w:t xml:space="preserve"> consumers </w:t>
      </w:r>
      <w:r>
        <w:rPr>
          <w:rFonts w:cs="Segoe UI"/>
        </w:rPr>
        <w:t xml:space="preserve">have enough information </w:t>
      </w:r>
      <w:r w:rsidRPr="79F0D2C0">
        <w:rPr>
          <w:rFonts w:cs="Segoe UI"/>
        </w:rPr>
        <w:t xml:space="preserve">to participate in </w:t>
      </w:r>
      <w:r>
        <w:rPr>
          <w:rFonts w:cs="Segoe UI"/>
        </w:rPr>
        <w:t>the </w:t>
      </w:r>
      <w:r w:rsidRPr="79F0D2C0">
        <w:rPr>
          <w:rFonts w:cs="Segoe UI"/>
        </w:rPr>
        <w:t>HTA</w:t>
      </w:r>
      <w:r w:rsidR="003B7F44">
        <w:rPr>
          <w:rFonts w:cs="Segoe UI"/>
        </w:rPr>
        <w:t xml:space="preserve"> and understand the </w:t>
      </w:r>
      <w:r w:rsidR="00E60787">
        <w:rPr>
          <w:rFonts w:cs="Segoe UI"/>
        </w:rPr>
        <w:t>expected benefit of the therapy and the proposed population, without ambiguity</w:t>
      </w:r>
      <w:r w:rsidRPr="79F0D2C0">
        <w:rPr>
          <w:rFonts w:cs="Segoe UI"/>
        </w:rPr>
        <w:t>.</w:t>
      </w:r>
    </w:p>
    <w:p w14:paraId="07CB8711" w14:textId="26512D1F" w:rsidR="00EA3EFB" w:rsidRPr="000A53B0" w:rsidRDefault="00593FA7" w:rsidP="00A318F7">
      <w:pPr>
        <w:pStyle w:val="SummaryofRecRecheading"/>
        <w:ind w:left="0" w:firstLine="0"/>
        <w:rPr>
          <w:b/>
          <w:bCs/>
        </w:rPr>
      </w:pPr>
      <w:r>
        <w:t xml:space="preserve">  </w:t>
      </w:r>
      <w:r w:rsidR="00EA3EFB" w:rsidRPr="000A53B0">
        <w:t>Improv</w:t>
      </w:r>
      <w:r w:rsidR="00EA3EFB">
        <w:t>ing</w:t>
      </w:r>
      <w:r w:rsidR="00EA3EFB" w:rsidRPr="000A53B0">
        <w:t xml:space="preserve"> </w:t>
      </w:r>
      <w:r w:rsidR="00EA3EFB">
        <w:t xml:space="preserve">the </w:t>
      </w:r>
      <w:r w:rsidR="00EA3EFB" w:rsidRPr="000A53B0">
        <w:t xml:space="preserve">HTA </w:t>
      </w:r>
      <w:r w:rsidR="00EA3EFB" w:rsidRPr="00BF1129">
        <w:t>website</w:t>
      </w:r>
      <w:r w:rsidR="00EA3EFB" w:rsidRPr="000A53B0">
        <w:t xml:space="preserve"> </w:t>
      </w:r>
      <w:r w:rsidR="00EA3EFB">
        <w:t>including the development of a</w:t>
      </w:r>
      <w:r w:rsidR="00EA3EFB" w:rsidRPr="000A53B0">
        <w:t xml:space="preserve"> dashboard</w:t>
      </w:r>
    </w:p>
    <w:p w14:paraId="26095DC3" w14:textId="77777777" w:rsidR="00EA3EFB" w:rsidRPr="000A53B0" w:rsidRDefault="00EA3EFB" w:rsidP="009C1805">
      <w:pPr>
        <w:snapToGrid w:val="0"/>
        <w:spacing w:after="120" w:line="22" w:lineRule="atLeast"/>
        <w:rPr>
          <w:rFonts w:cs="Segoe UI"/>
          <w:b/>
          <w:bCs/>
        </w:rPr>
      </w:pPr>
      <w:r w:rsidRPr="000A53B0">
        <w:rPr>
          <w:rFonts w:cs="Segoe UI"/>
        </w:rPr>
        <w:t xml:space="preserve">Enhance </w:t>
      </w:r>
      <w:r>
        <w:rPr>
          <w:rFonts w:cs="Segoe UI"/>
        </w:rPr>
        <w:t xml:space="preserve">the </w:t>
      </w:r>
      <w:r w:rsidRPr="00140C11">
        <w:rPr>
          <w:rFonts w:cs="Segoe UI"/>
        </w:rPr>
        <w:t xml:space="preserve">HTA </w:t>
      </w:r>
      <w:r w:rsidRPr="00B61FDC">
        <w:rPr>
          <w:rFonts w:cs="Segoe UI"/>
        </w:rPr>
        <w:t>website</w:t>
      </w:r>
      <w:r w:rsidRPr="000A53B0">
        <w:rPr>
          <w:rFonts w:cs="Segoe UI"/>
        </w:rPr>
        <w:t xml:space="preserve"> by improving navigation, using accessible language and tailored information for stakeholders with differing levels of HTA experience</w:t>
      </w:r>
      <w:r>
        <w:rPr>
          <w:rFonts w:cs="Segoe UI"/>
        </w:rPr>
        <w:t>,</w:t>
      </w:r>
      <w:r w:rsidRPr="000A53B0">
        <w:rPr>
          <w:rFonts w:cs="Segoe UI"/>
        </w:rPr>
        <w:t xml:space="preserve"> and providing information in a range of formats</w:t>
      </w:r>
      <w:r>
        <w:rPr>
          <w:rFonts w:cs="Segoe UI"/>
        </w:rPr>
        <w:t xml:space="preserve"> such as examples and case studies</w:t>
      </w:r>
      <w:r w:rsidRPr="000A53B0">
        <w:rPr>
          <w:rFonts w:cs="Segoe UI"/>
        </w:rPr>
        <w:t>.</w:t>
      </w:r>
    </w:p>
    <w:p w14:paraId="505EB95C" w14:textId="133CBC15" w:rsidR="00EA3EFB" w:rsidRPr="00D87F50" w:rsidRDefault="00EA3EFB" w:rsidP="009C1805">
      <w:pPr>
        <w:snapToGrid w:val="0"/>
        <w:spacing w:after="120" w:line="22" w:lineRule="atLeast"/>
        <w:rPr>
          <w:rFonts w:cs="Segoe UI"/>
          <w:b/>
          <w:color w:val="00808A" w:themeColor="accent3"/>
        </w:rPr>
      </w:pPr>
      <w:r w:rsidRPr="79F0D2C0">
        <w:rPr>
          <w:rFonts w:cs="Segoe UI"/>
        </w:rPr>
        <w:t>Develop a user-friendly data-driven dashboard that makes it easier to find out about HTA processes, outcomes and performance.</w:t>
      </w:r>
    </w:p>
    <w:p w14:paraId="5CF9EF1D" w14:textId="1C081F7D" w:rsidR="00EA3EFB" w:rsidRPr="000A53B0" w:rsidRDefault="00593FA7" w:rsidP="00A318F7">
      <w:pPr>
        <w:pStyle w:val="SummaryofRecRecheading"/>
        <w:ind w:left="0" w:firstLine="0"/>
        <w:rPr>
          <w:b/>
          <w:bCs/>
        </w:rPr>
      </w:pPr>
      <w:r>
        <w:t xml:space="preserve">  </w:t>
      </w:r>
      <w:r w:rsidR="00EA3EFB" w:rsidRPr="000A53B0">
        <w:t>Develop</w:t>
      </w:r>
      <w:r w:rsidR="00EA3EFB">
        <w:t>ing</w:t>
      </w:r>
      <w:r w:rsidR="00EA3EFB" w:rsidRPr="000A53B0">
        <w:t xml:space="preserve"> a stakeholder engagement framework</w:t>
      </w:r>
    </w:p>
    <w:p w14:paraId="7B570C90" w14:textId="226BD952" w:rsidR="00EA3EFB" w:rsidRPr="000A53B0" w:rsidRDefault="00EA3EFB" w:rsidP="009C1805">
      <w:pPr>
        <w:snapToGrid w:val="0"/>
        <w:spacing w:after="120" w:line="22" w:lineRule="atLeast"/>
        <w:rPr>
          <w:rFonts w:cs="Segoe UI"/>
          <w:b/>
          <w:bCs/>
        </w:rPr>
      </w:pPr>
      <w:r w:rsidRPr="000A53B0">
        <w:rPr>
          <w:rFonts w:cs="Segoe UI"/>
        </w:rPr>
        <w:t>Co-design a stakeholder engagement framework to describe how and why engagement with stakeholders is used across all HTA processes</w:t>
      </w:r>
      <w:r>
        <w:rPr>
          <w:rFonts w:cs="Segoe UI"/>
        </w:rPr>
        <w:t>,</w:t>
      </w:r>
      <w:r w:rsidRPr="000A53B0">
        <w:rPr>
          <w:rFonts w:cs="Segoe UI"/>
        </w:rPr>
        <w:t xml:space="preserve"> from horizon scanning to post-market review</w:t>
      </w:r>
      <w:r>
        <w:rPr>
          <w:rFonts w:cs="Segoe UI"/>
        </w:rPr>
        <w:t>s</w:t>
      </w:r>
      <w:r w:rsidRPr="000A53B0">
        <w:rPr>
          <w:rFonts w:cs="Segoe UI"/>
        </w:rPr>
        <w:t xml:space="preserve">. </w:t>
      </w:r>
    </w:p>
    <w:p w14:paraId="5589F921" w14:textId="1FFFBB9D" w:rsidR="00EA3EFB" w:rsidRPr="000A53B0" w:rsidRDefault="00593FA7" w:rsidP="005E64D2">
      <w:pPr>
        <w:pStyle w:val="SummaryofRecRecheading"/>
        <w:keepNext/>
        <w:ind w:left="0" w:firstLine="0"/>
        <w:rPr>
          <w:b/>
          <w:bCs/>
        </w:rPr>
      </w:pPr>
      <w:r>
        <w:lastRenderedPageBreak/>
        <w:t xml:space="preserve">  </w:t>
      </w:r>
      <w:r w:rsidR="00EA3EFB" w:rsidRPr="000A53B0">
        <w:t xml:space="preserve">Improving </w:t>
      </w:r>
      <w:r w:rsidR="00EA3EFB">
        <w:t xml:space="preserve">the </w:t>
      </w:r>
      <w:r w:rsidR="00EA3EFB" w:rsidRPr="000A53B0">
        <w:t>involvement of consumers in HTA</w:t>
      </w:r>
      <w:r w:rsidR="00EA3EFB">
        <w:t>s</w:t>
      </w:r>
    </w:p>
    <w:p w14:paraId="29275AE7" w14:textId="77777777" w:rsidR="00EA3EFB" w:rsidRDefault="00EA3EFB" w:rsidP="005E64D2">
      <w:pPr>
        <w:keepNext/>
        <w:snapToGrid w:val="0"/>
        <w:spacing w:after="120" w:line="22" w:lineRule="atLeast"/>
        <w:rPr>
          <w:rFonts w:cs="Segoe UI"/>
        </w:rPr>
      </w:pPr>
      <w:r w:rsidRPr="000A53B0">
        <w:rPr>
          <w:rFonts w:cs="Segoe UI"/>
        </w:rPr>
        <w:t xml:space="preserve">Actively engage consumers across the HTA continuum, including </w:t>
      </w:r>
      <w:r>
        <w:rPr>
          <w:rFonts w:cs="Segoe UI"/>
        </w:rPr>
        <w:t xml:space="preserve">by </w:t>
      </w:r>
      <w:r w:rsidRPr="00DE1A56">
        <w:rPr>
          <w:rFonts w:cs="Segoe UI"/>
        </w:rPr>
        <w:t>offering support and training</w:t>
      </w:r>
      <w:r w:rsidRPr="000A53B0">
        <w:rPr>
          <w:rFonts w:cs="Segoe UI"/>
        </w:rPr>
        <w:t xml:space="preserve">. </w:t>
      </w:r>
    </w:p>
    <w:p w14:paraId="65D729AE" w14:textId="52B623D4" w:rsidR="00EA3EFB" w:rsidRPr="000A53B0" w:rsidRDefault="00EA3EFB" w:rsidP="009C1805">
      <w:pPr>
        <w:snapToGrid w:val="0"/>
        <w:spacing w:after="120" w:line="22" w:lineRule="atLeast"/>
        <w:rPr>
          <w:rFonts w:cs="Segoe UI"/>
        </w:rPr>
      </w:pPr>
      <w:r w:rsidRPr="000A53B0">
        <w:rPr>
          <w:rFonts w:cs="Segoe UI"/>
        </w:rPr>
        <w:t xml:space="preserve">Update the </w:t>
      </w:r>
      <w:r w:rsidRPr="00077DD5">
        <w:rPr>
          <w:rFonts w:cs="Segoe UI"/>
        </w:rPr>
        <w:t>Pharmaceutical Benefits Advisory Committee</w:t>
      </w:r>
      <w:r w:rsidRPr="000A53B0">
        <w:rPr>
          <w:rFonts w:cs="Segoe UI"/>
        </w:rPr>
        <w:t xml:space="preserve"> </w:t>
      </w:r>
      <w:r>
        <w:rPr>
          <w:rFonts w:cs="Segoe UI"/>
        </w:rPr>
        <w:t>G</w:t>
      </w:r>
      <w:r w:rsidRPr="000A53B0">
        <w:rPr>
          <w:rFonts w:cs="Segoe UI"/>
        </w:rPr>
        <w:t xml:space="preserve">uidelines to request information from </w:t>
      </w:r>
      <w:r>
        <w:rPr>
          <w:rFonts w:cs="Segoe UI"/>
        </w:rPr>
        <w:t>s</w:t>
      </w:r>
      <w:r w:rsidRPr="000A53B0">
        <w:rPr>
          <w:rFonts w:cs="Segoe UI"/>
        </w:rPr>
        <w:t xml:space="preserve">ponsors </w:t>
      </w:r>
      <w:r>
        <w:rPr>
          <w:rFonts w:cs="Segoe UI"/>
        </w:rPr>
        <w:t xml:space="preserve">of HTAs </w:t>
      </w:r>
      <w:r w:rsidRPr="000A53B0">
        <w:rPr>
          <w:rFonts w:cs="Segoe UI"/>
        </w:rPr>
        <w:t xml:space="preserve">about </w:t>
      </w:r>
      <w:r>
        <w:rPr>
          <w:rFonts w:cs="Segoe UI"/>
        </w:rPr>
        <w:t xml:space="preserve">how they engaged with </w:t>
      </w:r>
      <w:r w:rsidRPr="000A53B0">
        <w:rPr>
          <w:rFonts w:cs="Segoe UI"/>
        </w:rPr>
        <w:t xml:space="preserve">consumers </w:t>
      </w:r>
      <w:r>
        <w:rPr>
          <w:rFonts w:cs="Segoe UI"/>
        </w:rPr>
        <w:t>during</w:t>
      </w:r>
      <w:r w:rsidRPr="000A53B0">
        <w:rPr>
          <w:rFonts w:cs="Segoe UI"/>
        </w:rPr>
        <w:t xml:space="preserve"> pre-HTA processes</w:t>
      </w:r>
      <w:r>
        <w:rPr>
          <w:rFonts w:cs="Segoe UI"/>
        </w:rPr>
        <w:t xml:space="preserve"> including clinical trial design</w:t>
      </w:r>
      <w:r w:rsidRPr="000A53B0">
        <w:rPr>
          <w:rFonts w:cs="Segoe UI"/>
        </w:rPr>
        <w:t xml:space="preserve">. </w:t>
      </w:r>
    </w:p>
    <w:p w14:paraId="0A66E948" w14:textId="1E7CD244" w:rsidR="00EA3EFB" w:rsidRPr="000A53B0" w:rsidRDefault="00593FA7" w:rsidP="00A318F7">
      <w:pPr>
        <w:pStyle w:val="SummaryofRecRecheading"/>
        <w:ind w:left="0" w:firstLine="0"/>
        <w:rPr>
          <w:b/>
          <w:bCs/>
        </w:rPr>
      </w:pPr>
      <w:r>
        <w:t xml:space="preserve">  </w:t>
      </w:r>
      <w:r w:rsidR="00EA3EFB" w:rsidRPr="000A53B0">
        <w:t>Develop</w:t>
      </w:r>
      <w:r w:rsidR="00EA3EFB">
        <w:t>ing</w:t>
      </w:r>
      <w:r w:rsidR="00EA3EFB" w:rsidRPr="000A53B0">
        <w:t xml:space="preserve"> an explicit qualitative values framework </w:t>
      </w:r>
    </w:p>
    <w:p w14:paraId="6B9A4C2F" w14:textId="21CDD844" w:rsidR="00EA3EFB" w:rsidRPr="003008AC" w:rsidRDefault="00EA3EFB" w:rsidP="009C1805">
      <w:pPr>
        <w:snapToGrid w:val="0"/>
        <w:spacing w:after="120" w:line="22" w:lineRule="atLeast"/>
        <w:rPr>
          <w:rFonts w:cs="Segoe UI"/>
          <w:bCs/>
        </w:rPr>
      </w:pPr>
      <w:r>
        <w:rPr>
          <w:rFonts w:cs="Segoe UI"/>
        </w:rPr>
        <w:t>Support HTA committees to develop,</w:t>
      </w:r>
      <w:r w:rsidR="003848CF">
        <w:rPr>
          <w:rFonts w:cs="Segoe UI"/>
        </w:rPr>
        <w:t xml:space="preserve"> </w:t>
      </w:r>
      <w:r>
        <w:rPr>
          <w:rFonts w:cs="Segoe UI"/>
        </w:rPr>
        <w:t xml:space="preserve">in </w:t>
      </w:r>
      <w:r w:rsidRPr="79F0D2C0">
        <w:rPr>
          <w:rFonts w:cs="Segoe UI"/>
        </w:rPr>
        <w:t xml:space="preserve">consultation with stakeholders, explicit guidelines and communications </w:t>
      </w:r>
      <w:r>
        <w:rPr>
          <w:rFonts w:cs="Segoe UI"/>
        </w:rPr>
        <w:t>on</w:t>
      </w:r>
      <w:r w:rsidRPr="79F0D2C0">
        <w:rPr>
          <w:rFonts w:cs="Segoe UI"/>
        </w:rPr>
        <w:t xml:space="preserve"> the elements (beyond clinical effectiveness, cost-effectiveness and financial impact) the</w:t>
      </w:r>
      <w:r>
        <w:rPr>
          <w:rFonts w:cs="Segoe UI"/>
        </w:rPr>
        <w:t>y</w:t>
      </w:r>
      <w:r w:rsidRPr="79F0D2C0">
        <w:rPr>
          <w:rFonts w:cs="Segoe UI"/>
        </w:rPr>
        <w:t xml:space="preserve"> consider.</w:t>
      </w:r>
    </w:p>
    <w:p w14:paraId="19699CB7" w14:textId="77B7E4C8" w:rsidR="00EA3EFB" w:rsidRPr="003008AC" w:rsidRDefault="00EA3EFB" w:rsidP="00A318F7">
      <w:pPr>
        <w:pStyle w:val="SummaryofRecChapterheading"/>
      </w:pPr>
      <w:r w:rsidRPr="003008AC">
        <w:t>CHAPTER 7: ENHANCING REAL-WOR</w:t>
      </w:r>
      <w:r w:rsidR="008C0D1B">
        <w:t>l</w:t>
      </w:r>
      <w:r w:rsidRPr="003008AC">
        <w:t>D DATA AND REAL-WORLD EVIDENCE FOR HTA</w:t>
      </w:r>
    </w:p>
    <w:p w14:paraId="03ADD2DB" w14:textId="627B84F0" w:rsidR="00EA3EFB" w:rsidRPr="000A53B0" w:rsidRDefault="00593FA7" w:rsidP="00A318F7">
      <w:pPr>
        <w:pStyle w:val="SummaryofRecRecheading"/>
        <w:ind w:left="0" w:firstLine="0"/>
        <w:rPr>
          <w:b/>
          <w:bCs/>
        </w:rPr>
      </w:pPr>
      <w:r>
        <w:t xml:space="preserve">  </w:t>
      </w:r>
      <w:r w:rsidR="00EA3EFB" w:rsidRPr="000A53B0">
        <w:t xml:space="preserve">Governance and </w:t>
      </w:r>
      <w:r w:rsidR="00EA3EFB">
        <w:t>strategic o</w:t>
      </w:r>
      <w:r w:rsidR="00EA3EFB" w:rsidRPr="000A53B0">
        <w:t>versight</w:t>
      </w:r>
      <w:r w:rsidR="00EA3EFB">
        <w:t xml:space="preserve"> of real-world data to support HTAs</w:t>
      </w:r>
    </w:p>
    <w:p w14:paraId="3E7EBBC7" w14:textId="1A389321" w:rsidR="00EA3EFB" w:rsidRPr="000A53B0" w:rsidRDefault="00EA3EFB" w:rsidP="009C1805">
      <w:pPr>
        <w:snapToGrid w:val="0"/>
        <w:spacing w:after="120" w:line="22" w:lineRule="atLeast"/>
        <w:rPr>
          <w:rFonts w:cs="Segoe UI"/>
          <w:b/>
        </w:rPr>
      </w:pPr>
      <w:r w:rsidRPr="79F0D2C0">
        <w:rPr>
          <w:rFonts w:cs="Segoe UI"/>
        </w:rPr>
        <w:t xml:space="preserve">Develop </w:t>
      </w:r>
      <w:r>
        <w:rPr>
          <w:rFonts w:cs="Segoe UI"/>
        </w:rPr>
        <w:t xml:space="preserve">an </w:t>
      </w:r>
      <w:r w:rsidRPr="79F0D2C0">
        <w:rPr>
          <w:rFonts w:cs="Segoe UI"/>
        </w:rPr>
        <w:t xml:space="preserve">Australian framework to optimise timely access to relevant </w:t>
      </w:r>
      <w:r>
        <w:rPr>
          <w:rFonts w:cs="Segoe UI"/>
        </w:rPr>
        <w:t xml:space="preserve">real-world </w:t>
      </w:r>
      <w:r w:rsidR="00981F61">
        <w:rPr>
          <w:rFonts w:cs="Segoe UI"/>
        </w:rPr>
        <w:t xml:space="preserve">data </w:t>
      </w:r>
      <w:r w:rsidR="00981F61" w:rsidRPr="79F0D2C0">
        <w:rPr>
          <w:rFonts w:cs="Segoe UI"/>
        </w:rPr>
        <w:t>for</w:t>
      </w:r>
      <w:r w:rsidRPr="79F0D2C0">
        <w:rPr>
          <w:rFonts w:cs="Segoe UI"/>
        </w:rPr>
        <w:t xml:space="preserve"> HTA, covering enabling systems, pathways</w:t>
      </w:r>
      <w:r>
        <w:rPr>
          <w:rFonts w:cs="Segoe UI"/>
        </w:rPr>
        <w:t xml:space="preserve"> and</w:t>
      </w:r>
      <w:r w:rsidRPr="79F0D2C0">
        <w:rPr>
          <w:rFonts w:cs="Segoe UI"/>
        </w:rPr>
        <w:t xml:space="preserve"> evaluation</w:t>
      </w:r>
      <w:r>
        <w:rPr>
          <w:rFonts w:cs="Segoe UI"/>
        </w:rPr>
        <w:t>s</w:t>
      </w:r>
      <w:r w:rsidRPr="79F0D2C0">
        <w:rPr>
          <w:rFonts w:cs="Segoe UI"/>
        </w:rPr>
        <w:t xml:space="preserve">, and research the collection and use of </w:t>
      </w:r>
      <w:r w:rsidR="001B6A7A">
        <w:rPr>
          <w:rFonts w:cs="Segoe UI"/>
        </w:rPr>
        <w:t>real-world data</w:t>
      </w:r>
      <w:r w:rsidRPr="79F0D2C0">
        <w:rPr>
          <w:rFonts w:cs="Segoe UI"/>
        </w:rPr>
        <w:t xml:space="preserve"> for HTA. This framework should:</w:t>
      </w:r>
    </w:p>
    <w:p w14:paraId="1EF69F2E" w14:textId="77777777" w:rsidR="00EA3EFB" w:rsidRPr="000A53B0" w:rsidRDefault="00EA3EFB" w:rsidP="00274AA9">
      <w:pPr>
        <w:pStyle w:val="ListBullet"/>
        <w:rPr>
          <w:b/>
        </w:rPr>
      </w:pPr>
      <w:proofErr w:type="gramStart"/>
      <w:r w:rsidRPr="79F0D2C0">
        <w:t>be</w:t>
      </w:r>
      <w:proofErr w:type="gramEnd"/>
      <w:r w:rsidRPr="79F0D2C0">
        <w:t xml:space="preserve"> co-designed by a multi-stakeholder advisory group </w:t>
      </w:r>
      <w:r>
        <w:t xml:space="preserve">that </w:t>
      </w:r>
      <w:r w:rsidRPr="79F0D2C0">
        <w:t>report</w:t>
      </w:r>
      <w:r>
        <w:t>s</w:t>
      </w:r>
      <w:r w:rsidRPr="79F0D2C0">
        <w:t xml:space="preserve"> to </w:t>
      </w:r>
      <w:r>
        <w:t>the Australian G</w:t>
      </w:r>
      <w:r w:rsidRPr="79F0D2C0">
        <w:t xml:space="preserve">overnment, </w:t>
      </w:r>
      <w:r>
        <w:t>and</w:t>
      </w:r>
      <w:r w:rsidRPr="79F0D2C0">
        <w:t xml:space="preserve"> oversee</w:t>
      </w:r>
      <w:r>
        <w:t>s</w:t>
      </w:r>
      <w:r w:rsidRPr="79F0D2C0">
        <w:t xml:space="preserve"> </w:t>
      </w:r>
      <w:r>
        <w:t xml:space="preserve">the </w:t>
      </w:r>
      <w:r w:rsidRPr="79F0D2C0">
        <w:t xml:space="preserve">implementation </w:t>
      </w:r>
      <w:r>
        <w:t xml:space="preserve">of the framework </w:t>
      </w:r>
      <w:r w:rsidRPr="79F0D2C0">
        <w:t>and related activities</w:t>
      </w:r>
    </w:p>
    <w:p w14:paraId="76457209" w14:textId="60D1DF4E" w:rsidR="00EA3EFB" w:rsidRPr="000A53B0" w:rsidRDefault="00EA3EFB" w:rsidP="00274AA9">
      <w:pPr>
        <w:pStyle w:val="ListBullet"/>
      </w:pPr>
      <w:r w:rsidRPr="79F0D2C0">
        <w:t xml:space="preserve">include a strategy to increase confidence, awareness and acceptance of cross-jurisdictional and cross-sectoral </w:t>
      </w:r>
      <w:r w:rsidR="001B6A7A">
        <w:t>real-world data</w:t>
      </w:r>
      <w:r w:rsidRPr="79F0D2C0">
        <w:t xml:space="preserve"> access and use in HTA.</w:t>
      </w:r>
    </w:p>
    <w:p w14:paraId="6134CAAA" w14:textId="73E23C37" w:rsidR="00EA3EFB" w:rsidRPr="000A53B0" w:rsidRDefault="00593FA7" w:rsidP="00A318F7">
      <w:pPr>
        <w:pStyle w:val="SummaryofRecRecheading"/>
        <w:ind w:left="0" w:firstLine="0"/>
        <w:rPr>
          <w:b/>
          <w:bCs/>
        </w:rPr>
      </w:pPr>
      <w:r>
        <w:t xml:space="preserve">  </w:t>
      </w:r>
      <w:r w:rsidR="00EA3EFB" w:rsidRPr="000A53B0">
        <w:t xml:space="preserve">Data infrastructure </w:t>
      </w:r>
      <w:r w:rsidR="00EA3EFB">
        <w:t>to support HTAs</w:t>
      </w:r>
    </w:p>
    <w:p w14:paraId="414FBE4A" w14:textId="07711562" w:rsidR="00EA3EFB" w:rsidRPr="000A53B0" w:rsidRDefault="00EA3EFB" w:rsidP="009C1805">
      <w:pPr>
        <w:snapToGrid w:val="0"/>
        <w:spacing w:after="120" w:line="22" w:lineRule="atLeast"/>
        <w:rPr>
          <w:rFonts w:cs="Segoe UI"/>
          <w:b/>
          <w:bCs/>
        </w:rPr>
      </w:pPr>
      <w:r w:rsidRPr="000A53B0">
        <w:rPr>
          <w:rFonts w:cs="Segoe UI"/>
        </w:rPr>
        <w:t xml:space="preserve">Develop a dynamic, enduring whole-of-government data infrastructure </w:t>
      </w:r>
      <w:r>
        <w:rPr>
          <w:rFonts w:cs="Segoe UI"/>
        </w:rPr>
        <w:t>that</w:t>
      </w:r>
      <w:r w:rsidRPr="000A53B0">
        <w:rPr>
          <w:rFonts w:cs="Segoe UI"/>
        </w:rPr>
        <w:t>:</w:t>
      </w:r>
    </w:p>
    <w:p w14:paraId="2B43F141" w14:textId="77777777" w:rsidR="00EA3EFB" w:rsidRPr="000A53B0" w:rsidRDefault="00EA3EFB" w:rsidP="00274AA9">
      <w:pPr>
        <w:pStyle w:val="ListBullet"/>
        <w:rPr>
          <w:b/>
          <w:bCs/>
        </w:rPr>
      </w:pPr>
      <w:r w:rsidRPr="000A53B0">
        <w:t>evolves over time, based on needs</w:t>
      </w:r>
    </w:p>
    <w:p w14:paraId="688B1251" w14:textId="184E1384" w:rsidR="00EA3EFB" w:rsidRPr="000A53B0" w:rsidRDefault="00EA3EFB" w:rsidP="00274AA9">
      <w:pPr>
        <w:pStyle w:val="ListBullet"/>
        <w:rPr>
          <w:b/>
          <w:bCs/>
        </w:rPr>
      </w:pPr>
      <w:r>
        <w:t>i</w:t>
      </w:r>
      <w:r w:rsidRPr="000A53B0">
        <w:t xml:space="preserve">s internationally harmonised, flexible, scalable and transparent </w:t>
      </w:r>
    </w:p>
    <w:p w14:paraId="5CF9B669" w14:textId="45CD64A9" w:rsidR="00EA3EFB" w:rsidRPr="000A53B0" w:rsidRDefault="00EA3EFB" w:rsidP="009C1805">
      <w:pPr>
        <w:snapToGrid w:val="0"/>
        <w:spacing w:after="120" w:line="22" w:lineRule="atLeast"/>
        <w:rPr>
          <w:rFonts w:cs="Segoe UI"/>
        </w:rPr>
      </w:pPr>
      <w:r w:rsidRPr="79F0D2C0">
        <w:rPr>
          <w:rFonts w:cs="Segoe UI"/>
        </w:rPr>
        <w:t>As an initial step, priorit</w:t>
      </w:r>
      <w:r>
        <w:rPr>
          <w:rFonts w:cs="Segoe UI"/>
        </w:rPr>
        <w:t>ise</w:t>
      </w:r>
      <w:r w:rsidRPr="79F0D2C0">
        <w:rPr>
          <w:rFonts w:cs="Segoe UI"/>
        </w:rPr>
        <w:t xml:space="preserve"> </w:t>
      </w:r>
      <w:r>
        <w:rPr>
          <w:rFonts w:cs="Segoe UI"/>
        </w:rPr>
        <w:t xml:space="preserve">mapping </w:t>
      </w:r>
      <w:r w:rsidRPr="79F0D2C0">
        <w:rPr>
          <w:rFonts w:cs="Segoe UI"/>
        </w:rPr>
        <w:t xml:space="preserve">Australian </w:t>
      </w:r>
      <w:r w:rsidR="001B6A7A">
        <w:rPr>
          <w:rFonts w:cs="Segoe UI"/>
        </w:rPr>
        <w:t>real-world data</w:t>
      </w:r>
      <w:r w:rsidRPr="79F0D2C0">
        <w:rPr>
          <w:rFonts w:cs="Segoe UI"/>
        </w:rPr>
        <w:t xml:space="preserve"> collections that </w:t>
      </w:r>
      <w:r>
        <w:rPr>
          <w:rFonts w:cs="Segoe UI"/>
        </w:rPr>
        <w:t xml:space="preserve">could </w:t>
      </w:r>
      <w:r w:rsidRPr="79F0D2C0">
        <w:rPr>
          <w:rFonts w:cs="Segoe UI"/>
        </w:rPr>
        <w:t>meet HTA needs, and facilitate</w:t>
      </w:r>
      <w:r>
        <w:rPr>
          <w:rFonts w:cs="Segoe UI"/>
        </w:rPr>
        <w:t xml:space="preserve"> </w:t>
      </w:r>
      <w:r w:rsidRPr="79F0D2C0">
        <w:rPr>
          <w:rFonts w:cs="Segoe UI"/>
        </w:rPr>
        <w:t xml:space="preserve">access for relevant stakeholders. </w:t>
      </w:r>
    </w:p>
    <w:p w14:paraId="72D7C0CB" w14:textId="70EE76ED" w:rsidR="00EA3EFB" w:rsidRPr="000A53B0" w:rsidRDefault="00593FA7" w:rsidP="00A318F7">
      <w:pPr>
        <w:pStyle w:val="SummaryofRecRecheading"/>
        <w:ind w:left="0" w:firstLine="0"/>
        <w:rPr>
          <w:b/>
          <w:bCs/>
        </w:rPr>
      </w:pPr>
      <w:r>
        <w:t xml:space="preserve">  </w:t>
      </w:r>
      <w:r w:rsidR="00EA3EFB" w:rsidRPr="000A53B0">
        <w:t>Inter-</w:t>
      </w:r>
      <w:r w:rsidR="00EA3EFB">
        <w:t>g</w:t>
      </w:r>
      <w:r w:rsidR="00EA3EFB" w:rsidRPr="000A53B0">
        <w:t>overnmental data collaboration</w:t>
      </w:r>
      <w:r w:rsidR="00EA3EFB">
        <w:t xml:space="preserve"> in standardised collection and sharing of health technology–related data</w:t>
      </w:r>
    </w:p>
    <w:p w14:paraId="5A0C261A" w14:textId="07555438" w:rsidR="00EA3EFB" w:rsidRPr="000A53B0" w:rsidRDefault="00EA3EFB" w:rsidP="009C1805">
      <w:pPr>
        <w:snapToGrid w:val="0"/>
        <w:spacing w:after="120" w:line="22" w:lineRule="atLeast"/>
        <w:rPr>
          <w:rFonts w:eastAsia="Times New Roman" w:cs="Segoe UI"/>
          <w:lang w:eastAsia="en-AU"/>
        </w:rPr>
      </w:pPr>
      <w:r w:rsidRPr="79F0D2C0">
        <w:rPr>
          <w:rFonts w:eastAsia="Times New Roman" w:cs="Segoe UI"/>
          <w:lang w:eastAsia="en-AU"/>
        </w:rPr>
        <w:t xml:space="preserve">Promote </w:t>
      </w:r>
      <w:r>
        <w:rPr>
          <w:rFonts w:eastAsia="Times New Roman" w:cs="Segoe UI"/>
          <w:lang w:eastAsia="en-AU"/>
        </w:rPr>
        <w:t>s</w:t>
      </w:r>
      <w:r w:rsidRPr="79F0D2C0">
        <w:rPr>
          <w:rFonts w:eastAsia="Times New Roman" w:cs="Segoe UI"/>
          <w:lang w:eastAsia="en-AU"/>
        </w:rPr>
        <w:t xml:space="preserve">tate and </w:t>
      </w:r>
      <w:r>
        <w:rPr>
          <w:rFonts w:eastAsia="Times New Roman" w:cs="Segoe UI"/>
          <w:lang w:eastAsia="en-AU"/>
        </w:rPr>
        <w:t>t</w:t>
      </w:r>
      <w:r w:rsidRPr="79F0D2C0">
        <w:rPr>
          <w:rFonts w:eastAsia="Times New Roman" w:cs="Segoe UI"/>
          <w:lang w:eastAsia="en-AU"/>
        </w:rPr>
        <w:t xml:space="preserve">erritory </w:t>
      </w:r>
      <w:r>
        <w:rPr>
          <w:rFonts w:eastAsia="Times New Roman" w:cs="Segoe UI"/>
          <w:lang w:eastAsia="en-AU"/>
        </w:rPr>
        <w:t>g</w:t>
      </w:r>
      <w:r w:rsidRPr="79F0D2C0">
        <w:rPr>
          <w:rFonts w:eastAsia="Times New Roman" w:cs="Segoe UI"/>
          <w:lang w:eastAsia="en-AU"/>
        </w:rPr>
        <w:t>overnment collaboration and participation in cross-jurisdictional data</w:t>
      </w:r>
      <w:r>
        <w:rPr>
          <w:rFonts w:eastAsia="Times New Roman" w:cs="Segoe UI"/>
          <w:lang w:eastAsia="en-AU"/>
        </w:rPr>
        <w:t xml:space="preserve"> </w:t>
      </w:r>
      <w:r w:rsidRPr="79F0D2C0">
        <w:rPr>
          <w:rFonts w:eastAsia="Times New Roman" w:cs="Segoe UI"/>
          <w:lang w:eastAsia="en-AU"/>
        </w:rPr>
        <w:t>sharing to support nationally cohesive HTA</w:t>
      </w:r>
      <w:r w:rsidR="007F354F">
        <w:rPr>
          <w:rFonts w:eastAsia="Times New Roman" w:cs="Segoe UI"/>
          <w:lang w:eastAsia="en-AU"/>
        </w:rPr>
        <w:t>. This should be</w:t>
      </w:r>
      <w:r w:rsidRPr="79F0D2C0">
        <w:rPr>
          <w:rFonts w:eastAsia="Times New Roman" w:cs="Segoe UI"/>
          <w:lang w:eastAsia="en-AU"/>
        </w:rPr>
        <w:t xml:space="preserve"> facilitated </w:t>
      </w:r>
      <w:r w:rsidR="007F354F">
        <w:rPr>
          <w:rFonts w:eastAsia="Times New Roman" w:cs="Segoe UI"/>
          <w:lang w:eastAsia="en-AU"/>
        </w:rPr>
        <w:t>by</w:t>
      </w:r>
      <w:r w:rsidRPr="79F0D2C0">
        <w:rPr>
          <w:rFonts w:eastAsia="Times New Roman" w:cs="Segoe UI"/>
          <w:lang w:eastAsia="en-AU"/>
        </w:rPr>
        <w:t xml:space="preserve"> centralised data-sharing infrastructure and harmonisation of access to existing government-held </w:t>
      </w:r>
      <w:r>
        <w:rPr>
          <w:rFonts w:eastAsia="Times New Roman" w:cs="Segoe UI"/>
          <w:lang w:eastAsia="en-AU"/>
        </w:rPr>
        <w:t>real-world data</w:t>
      </w:r>
      <w:r w:rsidRPr="79F0D2C0">
        <w:rPr>
          <w:rFonts w:eastAsia="Times New Roman" w:cs="Segoe UI"/>
          <w:lang w:eastAsia="en-AU"/>
        </w:rPr>
        <w:t xml:space="preserve"> collections</w:t>
      </w:r>
      <w:r w:rsidRPr="000A53B0">
        <w:rPr>
          <w:rFonts w:eastAsia="Times New Roman" w:cs="Segoe UI"/>
          <w:lang w:eastAsia="en-AU"/>
        </w:rPr>
        <w:fldChar w:fldCharType="begin" w:fldLock="1"/>
      </w:r>
      <w:r w:rsidRPr="000A53B0">
        <w:rPr>
          <w:rFonts w:eastAsia="Times New Roman" w:cs="Segoe UI"/>
          <w:lang w:eastAsia="en-AU"/>
        </w:rPr>
        <w:instrText xml:space="preserve"> REF _Ref164113527 \r \h </w:instrText>
      </w:r>
      <w:r w:rsidRPr="000A53B0">
        <w:rPr>
          <w:rFonts w:cs="Segoe UI"/>
          <w:lang w:eastAsia="en-AU"/>
        </w:rPr>
        <w:instrText xml:space="preserve"> \* MERGEFORMAT </w:instrText>
      </w:r>
      <w:r w:rsidRPr="000A53B0">
        <w:rPr>
          <w:rFonts w:eastAsia="Times New Roman" w:cs="Segoe UI"/>
          <w:lang w:eastAsia="en-AU"/>
        </w:rPr>
      </w:r>
      <w:r w:rsidR="00847484">
        <w:rPr>
          <w:rFonts w:eastAsia="Times New Roman" w:cs="Segoe UI"/>
          <w:lang w:eastAsia="en-AU"/>
        </w:rPr>
        <w:fldChar w:fldCharType="separate"/>
      </w:r>
      <w:r w:rsidRPr="000A53B0">
        <w:rPr>
          <w:rFonts w:eastAsia="Times New Roman" w:cs="Segoe UI"/>
          <w:lang w:eastAsia="en-AU"/>
        </w:rPr>
        <w:fldChar w:fldCharType="end"/>
      </w:r>
      <w:r w:rsidRPr="79F0D2C0">
        <w:rPr>
          <w:rFonts w:eastAsia="Times New Roman" w:cs="Segoe UI"/>
          <w:lang w:eastAsia="en-AU"/>
        </w:rPr>
        <w:t xml:space="preserve">. </w:t>
      </w:r>
    </w:p>
    <w:p w14:paraId="1F1EA51D" w14:textId="6F8C8E08" w:rsidR="00EA3EFB" w:rsidRPr="0004117A" w:rsidRDefault="00593FA7" w:rsidP="005E64D2">
      <w:pPr>
        <w:pStyle w:val="SummaryofRecRecheading"/>
        <w:keepNext/>
        <w:ind w:left="0" w:firstLine="0"/>
        <w:rPr>
          <w:b/>
          <w:bCs/>
        </w:rPr>
      </w:pPr>
      <w:r>
        <w:lastRenderedPageBreak/>
        <w:t xml:space="preserve">  </w:t>
      </w:r>
      <w:r w:rsidR="00EA3EFB" w:rsidRPr="000A53B0">
        <w:t>R</w:t>
      </w:r>
      <w:r w:rsidR="00EA3EFB">
        <w:t>eal-world data</w:t>
      </w:r>
      <w:r w:rsidR="00EA3EFB" w:rsidRPr="000A53B0">
        <w:t xml:space="preserve"> and </w:t>
      </w:r>
      <w:r w:rsidR="00EA3EFB">
        <w:t>real-world evidence</w:t>
      </w:r>
      <w:r w:rsidR="00EA3EFB" w:rsidRPr="000A53B0">
        <w:t xml:space="preserve"> methods development </w:t>
      </w:r>
    </w:p>
    <w:p w14:paraId="75B11210" w14:textId="7A3BAA5A" w:rsidR="00EA3EFB" w:rsidRPr="0004117A" w:rsidRDefault="00EA3EFB" w:rsidP="005E64D2">
      <w:pPr>
        <w:keepNext/>
        <w:snapToGrid w:val="0"/>
        <w:spacing w:after="120" w:line="22" w:lineRule="atLeast"/>
        <w:ind w:left="-45"/>
        <w:rPr>
          <w:rFonts w:cs="Segoe UI"/>
          <w:b/>
          <w:bCs/>
        </w:rPr>
      </w:pPr>
      <w:r w:rsidRPr="0004117A">
        <w:rPr>
          <w:rFonts w:cs="Segoe UI"/>
        </w:rPr>
        <w:t xml:space="preserve">With oversight by the multi-stakeholder advisory group, </w:t>
      </w:r>
      <w:r>
        <w:rPr>
          <w:rFonts w:cs="Segoe UI"/>
        </w:rPr>
        <w:t>establish</w:t>
      </w:r>
      <w:r w:rsidRPr="0004117A">
        <w:rPr>
          <w:rFonts w:cs="Segoe UI"/>
        </w:rPr>
        <w:t xml:space="preserve"> a multi-stakeholder coordinated approach to </w:t>
      </w:r>
      <w:r>
        <w:rPr>
          <w:rFonts w:cs="Segoe UI"/>
        </w:rPr>
        <w:t xml:space="preserve">developing </w:t>
      </w:r>
      <w:r w:rsidRPr="0004117A">
        <w:rPr>
          <w:rFonts w:cs="Segoe UI"/>
        </w:rPr>
        <w:t>transparent evidence for HTA using best</w:t>
      </w:r>
      <w:r>
        <w:rPr>
          <w:rFonts w:cs="Segoe UI"/>
        </w:rPr>
        <w:noBreakHyphen/>
      </w:r>
      <w:r w:rsidRPr="0004117A">
        <w:rPr>
          <w:rFonts w:cs="Segoe UI"/>
        </w:rPr>
        <w:t>practice methods</w:t>
      </w:r>
      <w:r>
        <w:rPr>
          <w:rFonts w:cs="Segoe UI"/>
        </w:rPr>
        <w:t xml:space="preserve"> that</w:t>
      </w:r>
      <w:r w:rsidRPr="0004117A">
        <w:rPr>
          <w:rFonts w:cs="Segoe UI"/>
        </w:rPr>
        <w:t xml:space="preserve"> span data standardisation, standardised analytics and reporting.</w:t>
      </w:r>
    </w:p>
    <w:p w14:paraId="250EE96C" w14:textId="57FE5684" w:rsidR="00EA3EFB" w:rsidRPr="000A53B0" w:rsidRDefault="00593FA7" w:rsidP="00A318F7">
      <w:pPr>
        <w:pStyle w:val="SummaryofRecRecheading"/>
        <w:ind w:left="0" w:firstLine="0"/>
        <w:rPr>
          <w:b/>
          <w:bCs/>
        </w:rPr>
      </w:pPr>
      <w:r>
        <w:t xml:space="preserve">  </w:t>
      </w:r>
      <w:r w:rsidR="00EA3EFB" w:rsidRPr="000A53B0">
        <w:t>Collecti</w:t>
      </w:r>
      <w:r w:rsidR="00EA3EFB">
        <w:t>ng</w:t>
      </w:r>
      <w:r w:rsidR="00EA3EFB" w:rsidRPr="000A53B0">
        <w:t xml:space="preserve"> and us</w:t>
      </w:r>
      <w:r w:rsidR="00EA3EFB">
        <w:t>ing</w:t>
      </w:r>
      <w:r w:rsidR="00EA3EFB" w:rsidRPr="000A53B0">
        <w:t xml:space="preserve"> </w:t>
      </w:r>
      <w:r w:rsidR="00EA3EFB">
        <w:t>real-world data</w:t>
      </w:r>
      <w:r w:rsidR="00EA3EFB" w:rsidRPr="000A53B0">
        <w:t xml:space="preserve"> to resolve uncertainty</w:t>
      </w:r>
    </w:p>
    <w:p w14:paraId="481DA695" w14:textId="07D84E05" w:rsidR="00EA3EFB" w:rsidRPr="000A53B0" w:rsidRDefault="00EA3EFB" w:rsidP="009E41D0">
      <w:pPr>
        <w:snapToGrid w:val="0"/>
        <w:spacing w:after="120" w:line="22" w:lineRule="atLeast"/>
        <w:rPr>
          <w:rFonts w:cs="Segoe UI"/>
          <w:b/>
          <w:bCs/>
        </w:rPr>
      </w:pPr>
      <w:r w:rsidRPr="000A53B0">
        <w:rPr>
          <w:rFonts w:cs="Segoe UI"/>
        </w:rPr>
        <w:t xml:space="preserve">Ensure early identification and/or configuration of data collections </w:t>
      </w:r>
      <w:r>
        <w:rPr>
          <w:rFonts w:cs="Segoe UI"/>
        </w:rPr>
        <w:t>that could help resolve</w:t>
      </w:r>
      <w:r w:rsidRPr="000A53B0">
        <w:rPr>
          <w:rFonts w:cs="Segoe UI"/>
        </w:rPr>
        <w:t xml:space="preserve"> uncertainties whe</w:t>
      </w:r>
      <w:r>
        <w:rPr>
          <w:rFonts w:cs="Segoe UI"/>
        </w:rPr>
        <w:t>n</w:t>
      </w:r>
      <w:r w:rsidRPr="000A53B0">
        <w:rPr>
          <w:rFonts w:cs="Segoe UI"/>
        </w:rPr>
        <w:t xml:space="preserve"> </w:t>
      </w:r>
      <w:r w:rsidRPr="000A53B0" w:rsidDel="001451E4">
        <w:rPr>
          <w:rFonts w:cs="Segoe UI"/>
        </w:rPr>
        <w:t>it</w:t>
      </w:r>
      <w:r w:rsidRPr="000A53B0" w:rsidDel="007D2772">
        <w:rPr>
          <w:rFonts w:cs="Segoe UI"/>
        </w:rPr>
        <w:t xml:space="preserve"> is expected that </w:t>
      </w:r>
      <w:r w:rsidRPr="000A53B0">
        <w:rPr>
          <w:rFonts w:cs="Segoe UI"/>
        </w:rPr>
        <w:t>an application is likely to result in a</w:t>
      </w:r>
      <w:r>
        <w:rPr>
          <w:rFonts w:cs="Segoe UI"/>
        </w:rPr>
        <w:t xml:space="preserve"> managed entry agreement</w:t>
      </w:r>
      <w:r w:rsidRPr="000A53B0">
        <w:rPr>
          <w:rFonts w:cs="Segoe UI"/>
        </w:rPr>
        <w:t>.</w:t>
      </w:r>
    </w:p>
    <w:p w14:paraId="0A51E3BB" w14:textId="5356D306" w:rsidR="00EA3EFB" w:rsidRPr="000A53B0" w:rsidRDefault="00EA3EFB" w:rsidP="00C44592">
      <w:r>
        <w:t>Begin e</w:t>
      </w:r>
      <w:r w:rsidRPr="37F487CC">
        <w:t xml:space="preserve">arly exploration and negotiation </w:t>
      </w:r>
      <w:r w:rsidRPr="37F487CC" w:rsidDel="00FD7519">
        <w:t xml:space="preserve">to </w:t>
      </w:r>
      <w:r w:rsidRPr="37F487CC">
        <w:t xml:space="preserve">determine feasibility and resourcing requirements </w:t>
      </w:r>
      <w:r>
        <w:t>that would</w:t>
      </w:r>
      <w:r w:rsidRPr="37F487CC">
        <w:t xml:space="preserve"> meet the intended purpose. Resourcing </w:t>
      </w:r>
      <w:r>
        <w:t>should</w:t>
      </w:r>
      <w:r w:rsidRPr="37F487CC">
        <w:t xml:space="preserve"> be joint</w:t>
      </w:r>
      <w:r>
        <w:t xml:space="preserve">ly </w:t>
      </w:r>
      <w:r w:rsidRPr="37F487CC">
        <w:t xml:space="preserve">funded by relevant parties, with all details resolved </w:t>
      </w:r>
      <w:r>
        <w:t>before</w:t>
      </w:r>
      <w:r w:rsidRPr="37F487CC">
        <w:t xml:space="preserve"> entering into </w:t>
      </w:r>
      <w:r w:rsidR="00194597" w:rsidRPr="37F487CC">
        <w:t>a</w:t>
      </w:r>
      <w:r w:rsidRPr="37F487CC">
        <w:t xml:space="preserve"> </w:t>
      </w:r>
      <w:r w:rsidR="00A015DC">
        <w:rPr>
          <w:rFonts w:cs="Segoe UI"/>
        </w:rPr>
        <w:t>managed entry agreement</w:t>
      </w:r>
      <w:r w:rsidRPr="37F487CC">
        <w:t>.</w:t>
      </w:r>
      <w:r>
        <w:t xml:space="preserve"> </w:t>
      </w:r>
      <w:r w:rsidRPr="00572BC4">
        <w:t xml:space="preserve">In the case of ultra-rare diseases and other small populations, international collaboration </w:t>
      </w:r>
      <w:r w:rsidRPr="00572BC4" w:rsidDel="00FD7519">
        <w:t>in the</w:t>
      </w:r>
      <w:r w:rsidRPr="00572BC4">
        <w:t xml:space="preserve"> collect</w:t>
      </w:r>
      <w:r w:rsidRPr="00572BC4" w:rsidDel="00FD7519">
        <w:t xml:space="preserve">ion of </w:t>
      </w:r>
      <w:r w:rsidRPr="00572BC4">
        <w:t>patient-level data should be undertaken</w:t>
      </w:r>
      <w:r>
        <w:t>,</w:t>
      </w:r>
      <w:r w:rsidRPr="00572BC4">
        <w:t xml:space="preserve"> where possible.</w:t>
      </w:r>
    </w:p>
    <w:p w14:paraId="029A25B3" w14:textId="77777777" w:rsidR="00EA3EFB" w:rsidRPr="00E87C6D" w:rsidRDefault="00EA3EFB" w:rsidP="00A318F7">
      <w:pPr>
        <w:pStyle w:val="SummaryofRecChapterheading"/>
      </w:pPr>
      <w:r w:rsidRPr="00E87C6D">
        <w:t xml:space="preserve">Chapter 8: Methods for confident decisions </w:t>
      </w:r>
    </w:p>
    <w:p w14:paraId="6EA4F04F" w14:textId="44EA7135" w:rsidR="00EA3EFB" w:rsidRPr="00FE6A94" w:rsidRDefault="00593FA7" w:rsidP="00A318F7">
      <w:pPr>
        <w:pStyle w:val="SummaryofRecRecheading"/>
        <w:ind w:left="0" w:firstLine="0"/>
        <w:rPr>
          <w:b/>
          <w:bCs/>
        </w:rPr>
      </w:pPr>
      <w:r>
        <w:t xml:space="preserve">  </w:t>
      </w:r>
      <w:r w:rsidR="00EA3EFB" w:rsidRPr="00FE6A94">
        <w:t>Creat</w:t>
      </w:r>
      <w:r w:rsidR="00EA3EFB">
        <w:t>ing</w:t>
      </w:r>
      <w:r w:rsidR="00EA3EFB" w:rsidRPr="00FE6A94">
        <w:t xml:space="preserve"> a framework for </w:t>
      </w:r>
      <w:r w:rsidR="00EA3EFB" w:rsidRPr="007D508C">
        <w:t>Population, Intervention, Comparator</w:t>
      </w:r>
      <w:r w:rsidR="00EA3EFB">
        <w:t>,</w:t>
      </w:r>
      <w:r w:rsidR="00EA3EFB" w:rsidRPr="007D508C">
        <w:t xml:space="preserve"> and Outcome</w:t>
      </w:r>
      <w:r w:rsidR="00EA3EFB">
        <w:t xml:space="preserve"> – or </w:t>
      </w:r>
      <w:r w:rsidR="00EA3EFB" w:rsidRPr="00FE6A94">
        <w:t>PICO</w:t>
      </w:r>
      <w:r w:rsidR="00EA3EFB">
        <w:t xml:space="preserve"> –</w:t>
      </w:r>
      <w:r w:rsidR="00EA3EFB" w:rsidRPr="00FE6A94">
        <w:t xml:space="preserve"> </w:t>
      </w:r>
      <w:r w:rsidR="0069272B">
        <w:t>scoping</w:t>
      </w:r>
      <w:r w:rsidR="00EA3EFB">
        <w:t xml:space="preserve"> to support HTA submissions</w:t>
      </w:r>
    </w:p>
    <w:p w14:paraId="48A3EDF4" w14:textId="7105EAE6" w:rsidR="00EA3EFB" w:rsidRPr="00FE6A94" w:rsidRDefault="00EA3EFB" w:rsidP="009C1805">
      <w:pPr>
        <w:snapToGrid w:val="0"/>
        <w:spacing w:after="120" w:line="22" w:lineRule="atLeast"/>
        <w:rPr>
          <w:rFonts w:cs="Segoe UI"/>
          <w:b/>
          <w:bCs/>
        </w:rPr>
      </w:pPr>
      <w:r>
        <w:rPr>
          <w:rFonts w:cs="Segoe UI"/>
        </w:rPr>
        <w:t>E</w:t>
      </w:r>
      <w:r w:rsidRPr="00FE6A94">
        <w:rPr>
          <w:rFonts w:cs="Segoe UI"/>
        </w:rPr>
        <w:t>stablish a framework t</w:t>
      </w:r>
      <w:r>
        <w:rPr>
          <w:rFonts w:cs="Segoe UI"/>
        </w:rPr>
        <w:t>o</w:t>
      </w:r>
      <w:r w:rsidRPr="00FE6A94">
        <w:rPr>
          <w:rFonts w:cs="Segoe UI"/>
        </w:rPr>
        <w:t xml:space="preserve"> govern how </w:t>
      </w:r>
      <w:r>
        <w:rPr>
          <w:rFonts w:cs="Segoe UI"/>
        </w:rPr>
        <w:t>P</w:t>
      </w:r>
      <w:r w:rsidRPr="00BC3EEA">
        <w:rPr>
          <w:rFonts w:cs="Segoe UI"/>
        </w:rPr>
        <w:t>opulation, Intervention, Comparator, and Outcome (PICO)</w:t>
      </w:r>
      <w:r>
        <w:rPr>
          <w:rFonts w:cs="Segoe UI"/>
        </w:rPr>
        <w:t xml:space="preserve"> </w:t>
      </w:r>
      <w:r w:rsidRPr="00BC3EEA">
        <w:rPr>
          <w:rFonts w:cs="Segoe UI"/>
        </w:rPr>
        <w:t xml:space="preserve">scoping and engagement </w:t>
      </w:r>
      <w:r w:rsidR="0069272B">
        <w:rPr>
          <w:rFonts w:cs="Segoe UI"/>
        </w:rPr>
        <w:t>occurs</w:t>
      </w:r>
      <w:r>
        <w:rPr>
          <w:rFonts w:cs="Segoe UI"/>
        </w:rPr>
        <w:t xml:space="preserve"> (t</w:t>
      </w:r>
      <w:r w:rsidRPr="00FE6A94">
        <w:rPr>
          <w:rFonts w:cs="Segoe UI"/>
        </w:rPr>
        <w:t xml:space="preserve">he Australian Government </w:t>
      </w:r>
      <w:r>
        <w:rPr>
          <w:rFonts w:cs="Segoe UI"/>
        </w:rPr>
        <w:t xml:space="preserve">should </w:t>
      </w:r>
      <w:r w:rsidRPr="00FE6A94">
        <w:rPr>
          <w:rFonts w:cs="Segoe UI"/>
        </w:rPr>
        <w:t>work with stakeholders to</w:t>
      </w:r>
      <w:r>
        <w:rPr>
          <w:rFonts w:cs="Segoe UI"/>
        </w:rPr>
        <w:t xml:space="preserve"> achieve this)</w:t>
      </w:r>
      <w:r w:rsidRPr="00FE6A94">
        <w:rPr>
          <w:rFonts w:cs="Segoe UI"/>
        </w:rPr>
        <w:t>. The framework should establish circumstances where comprehensive PICO scoping would add value to HTA process</w:t>
      </w:r>
      <w:r>
        <w:rPr>
          <w:rFonts w:cs="Segoe UI"/>
        </w:rPr>
        <w:t>es</w:t>
      </w:r>
      <w:r w:rsidRPr="00FE6A94">
        <w:rPr>
          <w:rFonts w:cs="Segoe UI"/>
        </w:rPr>
        <w:t xml:space="preserve">. The framework should ensure that criteria that are important to patients and clinicians are appropriately considered while also avoiding adding time or complexity to </w:t>
      </w:r>
      <w:r>
        <w:rPr>
          <w:rFonts w:cs="Segoe UI"/>
        </w:rPr>
        <w:t xml:space="preserve">the </w:t>
      </w:r>
      <w:r w:rsidRPr="00FE6A94">
        <w:rPr>
          <w:rFonts w:cs="Segoe UI"/>
        </w:rPr>
        <w:t xml:space="preserve">HTA. </w:t>
      </w:r>
    </w:p>
    <w:p w14:paraId="53EC7FBB" w14:textId="0B1161EF" w:rsidR="00EA3EFB" w:rsidRPr="00FE6A94" w:rsidRDefault="00593FA7" w:rsidP="00A318F7">
      <w:pPr>
        <w:pStyle w:val="SummaryofRecRecheading"/>
        <w:ind w:left="0" w:firstLine="0"/>
        <w:rPr>
          <w:b/>
          <w:bCs/>
        </w:rPr>
      </w:pPr>
      <w:r>
        <w:t xml:space="preserve">  </w:t>
      </w:r>
      <w:r w:rsidR="00EA3EFB" w:rsidRPr="00FE6A94">
        <w:t>Methods for assess</w:t>
      </w:r>
      <w:r w:rsidR="00EA3EFB">
        <w:t xml:space="preserve">ing </w:t>
      </w:r>
      <w:r w:rsidR="00EA3EFB" w:rsidRPr="00FE6A94">
        <w:t>consumer evidence</w:t>
      </w:r>
    </w:p>
    <w:p w14:paraId="32ED1DD3" w14:textId="34E6C25A" w:rsidR="00EA3EFB" w:rsidRPr="00FE6A94" w:rsidRDefault="00EA3EFB" w:rsidP="009C1805">
      <w:pPr>
        <w:snapToGrid w:val="0"/>
        <w:spacing w:after="120" w:line="22" w:lineRule="atLeast"/>
        <w:ind w:left="-45"/>
        <w:rPr>
          <w:rFonts w:cs="Segoe UI"/>
          <w:b/>
          <w:bCs/>
        </w:rPr>
      </w:pPr>
      <w:r w:rsidRPr="00FE6A94">
        <w:rPr>
          <w:rFonts w:cs="Segoe UI"/>
        </w:rPr>
        <w:t xml:space="preserve">Support the development of updates to the </w:t>
      </w:r>
      <w:r w:rsidRPr="00B61FDC">
        <w:rPr>
          <w:rFonts w:cs="Segoe UI"/>
        </w:rPr>
        <w:t>Pharmaceutical Benefits Advisory Committee’s and Medical Services Advisory Committee’s</w:t>
      </w:r>
      <w:r w:rsidRPr="00FE6A94">
        <w:rPr>
          <w:rFonts w:cs="Segoe UI"/>
        </w:rPr>
        <w:t xml:space="preserve"> guidelines, assessment methods, public summaries and other explanatory materials. Updates should </w:t>
      </w:r>
      <w:r>
        <w:rPr>
          <w:rFonts w:cs="Segoe UI"/>
        </w:rPr>
        <w:t>be</w:t>
      </w:r>
      <w:r w:rsidRPr="00FE6A94">
        <w:rPr>
          <w:rFonts w:cs="Segoe UI"/>
        </w:rPr>
        <w:t xml:space="preserve"> clear </w:t>
      </w:r>
      <w:r>
        <w:rPr>
          <w:rFonts w:cs="Segoe UI"/>
        </w:rPr>
        <w:t xml:space="preserve">about </w:t>
      </w:r>
      <w:r w:rsidRPr="00FE6A94">
        <w:rPr>
          <w:rFonts w:cs="Segoe UI"/>
        </w:rPr>
        <w:t>how</w:t>
      </w:r>
      <w:r>
        <w:rPr>
          <w:rFonts w:cs="Segoe UI"/>
        </w:rPr>
        <w:t xml:space="preserve"> to integrate</w:t>
      </w:r>
      <w:r w:rsidRPr="00FE6A94">
        <w:rPr>
          <w:rFonts w:cs="Segoe UI"/>
        </w:rPr>
        <w:t xml:space="preserve"> consumer evidence (research into patients’ needs, preferences, experiences and perspectives) and consumer input</w:t>
      </w:r>
      <w:r>
        <w:rPr>
          <w:rFonts w:cs="Segoe UI"/>
        </w:rPr>
        <w:t>s</w:t>
      </w:r>
      <w:r w:rsidRPr="00FE6A94">
        <w:rPr>
          <w:rFonts w:cs="Segoe UI"/>
        </w:rPr>
        <w:t xml:space="preserve"> arising from engagement processes (see Chapter 6) into HTA</w:t>
      </w:r>
      <w:r>
        <w:rPr>
          <w:rFonts w:cs="Segoe UI"/>
        </w:rPr>
        <w:t xml:space="preserve"> processe</w:t>
      </w:r>
      <w:r w:rsidRPr="00FE6A94">
        <w:rPr>
          <w:rFonts w:cs="Segoe UI"/>
        </w:rPr>
        <w:t>s.</w:t>
      </w:r>
    </w:p>
    <w:p w14:paraId="4D9DE8EA" w14:textId="47B82040" w:rsidR="00EA3EFB" w:rsidRPr="00FE6A94" w:rsidRDefault="00593FA7" w:rsidP="00A318F7">
      <w:pPr>
        <w:pStyle w:val="SummaryofRecRecheading"/>
        <w:ind w:left="0" w:firstLine="0"/>
        <w:rPr>
          <w:b/>
          <w:bCs/>
        </w:rPr>
      </w:pPr>
      <w:r>
        <w:t xml:space="preserve">  </w:t>
      </w:r>
      <w:r w:rsidR="00EA3EFB" w:rsidRPr="00FE6A94">
        <w:t>Overarching principles for adopting methods in Australian HTA</w:t>
      </w:r>
      <w:r w:rsidR="00EA3EFB">
        <w:t>s</w:t>
      </w:r>
    </w:p>
    <w:p w14:paraId="3DFD3ADD" w14:textId="0317FF58" w:rsidR="00EA3EFB" w:rsidRPr="00FE6A94" w:rsidRDefault="00EA3EFB" w:rsidP="009C1805">
      <w:pPr>
        <w:snapToGrid w:val="0"/>
        <w:spacing w:after="120" w:line="22" w:lineRule="atLeast"/>
        <w:rPr>
          <w:rFonts w:cs="Segoe UI"/>
          <w:b/>
          <w:bCs/>
        </w:rPr>
      </w:pPr>
      <w:r w:rsidRPr="00FE6A94">
        <w:rPr>
          <w:rFonts w:cs="Segoe UI"/>
        </w:rPr>
        <w:t xml:space="preserve">Support </w:t>
      </w:r>
      <w:r>
        <w:rPr>
          <w:rFonts w:cs="Segoe UI"/>
        </w:rPr>
        <w:t xml:space="preserve">the </w:t>
      </w:r>
      <w:r w:rsidRPr="00FE6A94">
        <w:rPr>
          <w:rFonts w:cs="Segoe UI"/>
        </w:rPr>
        <w:t xml:space="preserve">adoption of overarching principles for </w:t>
      </w:r>
      <w:r>
        <w:rPr>
          <w:rFonts w:cs="Segoe UI"/>
        </w:rPr>
        <w:t xml:space="preserve">the </w:t>
      </w:r>
      <w:r w:rsidRPr="00FE6A94">
        <w:rPr>
          <w:rFonts w:cs="Segoe UI"/>
        </w:rPr>
        <w:t xml:space="preserve">methods </w:t>
      </w:r>
      <w:r>
        <w:rPr>
          <w:rFonts w:cs="Segoe UI"/>
        </w:rPr>
        <w:t xml:space="preserve">used </w:t>
      </w:r>
      <w:r w:rsidRPr="00FE6A94">
        <w:rPr>
          <w:rFonts w:cs="Segoe UI"/>
        </w:rPr>
        <w:t>in Australian HTA</w:t>
      </w:r>
      <w:r>
        <w:rPr>
          <w:rFonts w:cs="Segoe UI"/>
        </w:rPr>
        <w:t>s</w:t>
      </w:r>
      <w:r w:rsidRPr="00FE6A94">
        <w:rPr>
          <w:rFonts w:cs="Segoe UI"/>
        </w:rPr>
        <w:t xml:space="preserve"> to ensure that decision-makers have the best possible evidence </w:t>
      </w:r>
      <w:proofErr w:type="gramStart"/>
      <w:r w:rsidRPr="00FE6A94">
        <w:rPr>
          <w:rFonts w:cs="Segoe UI"/>
        </w:rPr>
        <w:t>available</w:t>
      </w:r>
      <w:proofErr w:type="gramEnd"/>
      <w:r w:rsidRPr="00FE6A94">
        <w:rPr>
          <w:rFonts w:cs="Segoe UI"/>
        </w:rPr>
        <w:t xml:space="preserve"> and sponsors and evaluators understand preferred methods and approaches.</w:t>
      </w:r>
    </w:p>
    <w:p w14:paraId="51994789" w14:textId="4FF8D98D" w:rsidR="00EA3EFB" w:rsidRPr="00FE6A94" w:rsidRDefault="00593FA7" w:rsidP="005E64D2">
      <w:pPr>
        <w:pStyle w:val="SummaryofRecRecheading"/>
        <w:keepNext/>
        <w:ind w:left="0" w:firstLine="0"/>
        <w:rPr>
          <w:b/>
          <w:bCs/>
        </w:rPr>
      </w:pPr>
      <w:r>
        <w:lastRenderedPageBreak/>
        <w:t xml:space="preserve">  </w:t>
      </w:r>
      <w:r w:rsidR="00EA3EFB" w:rsidRPr="00FE6A94">
        <w:t>Methods for assess</w:t>
      </w:r>
      <w:r w:rsidR="00EA3EFB">
        <w:t>ing</w:t>
      </w:r>
      <w:r w:rsidR="00EA3EFB" w:rsidRPr="00FE6A94">
        <w:t xml:space="preserve"> non-randomised and observational evidence</w:t>
      </w:r>
    </w:p>
    <w:p w14:paraId="6439525F" w14:textId="77777777" w:rsidR="00187491" w:rsidRPr="00187491" w:rsidRDefault="00EA3EFB" w:rsidP="005E64D2">
      <w:pPr>
        <w:keepNext/>
        <w:snapToGrid w:val="0"/>
        <w:spacing w:after="120" w:line="22" w:lineRule="atLeast"/>
        <w:ind w:left="-45"/>
        <w:rPr>
          <w:rFonts w:cs="Segoe UI"/>
          <w:b/>
          <w:color w:val="00808A" w:themeColor="accent3"/>
        </w:rPr>
      </w:pPr>
      <w:r w:rsidRPr="00FE6A94">
        <w:rPr>
          <w:rFonts w:cs="Segoe UI"/>
        </w:rPr>
        <w:t xml:space="preserve">Support </w:t>
      </w:r>
      <w:r>
        <w:rPr>
          <w:rFonts w:cs="Segoe UI"/>
        </w:rPr>
        <w:t xml:space="preserve">the </w:t>
      </w:r>
      <w:r w:rsidRPr="00FE6A94">
        <w:rPr>
          <w:rFonts w:cs="Segoe UI"/>
        </w:rPr>
        <w:t xml:space="preserve">development of updates to methods for </w:t>
      </w:r>
      <w:r>
        <w:rPr>
          <w:rFonts w:cs="Segoe UI"/>
        </w:rPr>
        <w:t>using</w:t>
      </w:r>
      <w:r w:rsidRPr="00FE6A94">
        <w:rPr>
          <w:rFonts w:cs="Segoe UI"/>
        </w:rPr>
        <w:t xml:space="preserve"> non</w:t>
      </w:r>
      <w:r>
        <w:rPr>
          <w:rFonts w:cs="Segoe UI"/>
        </w:rPr>
        <w:t>-</w:t>
      </w:r>
      <w:r w:rsidRPr="00FE6A94">
        <w:rPr>
          <w:rFonts w:cs="Segoe UI"/>
        </w:rPr>
        <w:t xml:space="preserve">randomised and observational evidence </w:t>
      </w:r>
      <w:r>
        <w:rPr>
          <w:rFonts w:cs="Segoe UI"/>
        </w:rPr>
        <w:t xml:space="preserve">that are </w:t>
      </w:r>
      <w:r w:rsidRPr="00FE6A94">
        <w:rPr>
          <w:rFonts w:cs="Segoe UI"/>
        </w:rPr>
        <w:t>in line with the overarching principles for adopting methods in Australian HTA</w:t>
      </w:r>
      <w:r>
        <w:rPr>
          <w:rFonts w:cs="Segoe UI"/>
        </w:rPr>
        <w:t>s</w:t>
      </w:r>
      <w:r w:rsidRPr="00FE6A94">
        <w:rPr>
          <w:rFonts w:cs="Segoe UI"/>
        </w:rPr>
        <w:t>.</w:t>
      </w:r>
    </w:p>
    <w:p w14:paraId="3B469FF7" w14:textId="1C1CFA49" w:rsidR="00EA3EFB" w:rsidRPr="00FE6A94" w:rsidRDefault="00593FA7" w:rsidP="00A318F7">
      <w:pPr>
        <w:pStyle w:val="SummaryofRecRecheading"/>
        <w:ind w:left="0" w:firstLine="0"/>
        <w:rPr>
          <w:b/>
          <w:bCs/>
        </w:rPr>
      </w:pPr>
      <w:r>
        <w:t xml:space="preserve">  </w:t>
      </w:r>
      <w:r w:rsidR="00EA3EFB" w:rsidRPr="00FE6A94">
        <w:t>Methods for assess</w:t>
      </w:r>
      <w:r w:rsidR="00EA3EFB">
        <w:t xml:space="preserve">ing </w:t>
      </w:r>
      <w:r w:rsidR="00EA3EFB" w:rsidRPr="00FE6A94">
        <w:t>surrogate end</w:t>
      </w:r>
      <w:r w:rsidR="00EA3EFB">
        <w:t xml:space="preserve"> </w:t>
      </w:r>
      <w:r w:rsidR="00EA3EFB" w:rsidRPr="00FE6A94">
        <w:t>points</w:t>
      </w:r>
    </w:p>
    <w:p w14:paraId="1F73A55E" w14:textId="7F6D936B" w:rsidR="00EA3EFB" w:rsidRDefault="00EA3EFB" w:rsidP="009C1805">
      <w:pPr>
        <w:snapToGrid w:val="0"/>
        <w:spacing w:after="120" w:line="22" w:lineRule="atLeast"/>
        <w:rPr>
          <w:rFonts w:cs="Segoe UI"/>
          <w:lang w:eastAsia="en-AU"/>
        </w:rPr>
      </w:pPr>
      <w:r w:rsidRPr="00FE6A94">
        <w:rPr>
          <w:rFonts w:cs="Segoe UI"/>
        </w:rPr>
        <w:t xml:space="preserve">Support </w:t>
      </w:r>
      <w:r>
        <w:rPr>
          <w:rFonts w:cs="Segoe UI"/>
        </w:rPr>
        <w:t xml:space="preserve">the </w:t>
      </w:r>
      <w:r w:rsidRPr="00FE6A94">
        <w:rPr>
          <w:rFonts w:eastAsia="Segoe UI" w:cs="Segoe UI"/>
          <w:color w:val="000000" w:themeColor="text1"/>
        </w:rPr>
        <w:t>development of additional methods</w:t>
      </w:r>
      <w:r w:rsidRPr="00FE6A94">
        <w:rPr>
          <w:rFonts w:cs="Segoe UI"/>
          <w:lang w:eastAsia="en-AU"/>
        </w:rPr>
        <w:t xml:space="preserve"> for </w:t>
      </w:r>
      <w:r>
        <w:rPr>
          <w:rFonts w:cs="Segoe UI"/>
          <w:lang w:eastAsia="en-AU"/>
        </w:rPr>
        <w:t>using</w:t>
      </w:r>
      <w:r w:rsidRPr="00FE6A94">
        <w:rPr>
          <w:rFonts w:cs="Segoe UI"/>
          <w:lang w:eastAsia="en-AU"/>
        </w:rPr>
        <w:t xml:space="preserve"> surrogate end</w:t>
      </w:r>
      <w:r>
        <w:rPr>
          <w:rFonts w:cs="Segoe UI"/>
          <w:lang w:eastAsia="en-AU"/>
        </w:rPr>
        <w:t xml:space="preserve"> </w:t>
      </w:r>
      <w:r w:rsidRPr="00FE6A94">
        <w:rPr>
          <w:rFonts w:cs="Segoe UI"/>
          <w:lang w:eastAsia="en-AU"/>
        </w:rPr>
        <w:t>points in HTA</w:t>
      </w:r>
      <w:r>
        <w:rPr>
          <w:rFonts w:cs="Segoe UI"/>
          <w:lang w:eastAsia="en-AU"/>
        </w:rPr>
        <w:t>s that align</w:t>
      </w:r>
      <w:r w:rsidRPr="00FE6A94">
        <w:rPr>
          <w:rFonts w:cs="Segoe UI"/>
          <w:lang w:eastAsia="en-AU"/>
        </w:rPr>
        <w:t xml:space="preserve"> with the overarching principles</w:t>
      </w:r>
      <w:r>
        <w:rPr>
          <w:rFonts w:cs="Segoe UI"/>
          <w:lang w:eastAsia="en-AU"/>
        </w:rPr>
        <w:t>.</w:t>
      </w:r>
    </w:p>
    <w:p w14:paraId="329BCA6F" w14:textId="4C54579B" w:rsidR="00EA3EFB" w:rsidRPr="00FE6A94" w:rsidRDefault="00593FA7" w:rsidP="00A318F7">
      <w:pPr>
        <w:pStyle w:val="SummaryofRecRecheading"/>
        <w:ind w:left="0" w:firstLine="0"/>
        <w:rPr>
          <w:b/>
          <w:bCs/>
        </w:rPr>
      </w:pPr>
      <w:r>
        <w:t xml:space="preserve">  </w:t>
      </w:r>
      <w:r w:rsidR="00EA3EFB" w:rsidRPr="00FE6A94">
        <w:t>Methods preferred by decision-makers</w:t>
      </w:r>
    </w:p>
    <w:p w14:paraId="1DB1E283" w14:textId="77777777" w:rsidR="00EA3EFB" w:rsidRPr="00187491" w:rsidRDefault="00EA3EFB" w:rsidP="009C1805">
      <w:pPr>
        <w:snapToGrid w:val="0"/>
        <w:spacing w:after="120" w:line="22" w:lineRule="atLeast"/>
        <w:rPr>
          <w:rFonts w:cs="Segoe UI"/>
          <w:b/>
          <w:lang w:val="en-GB" w:eastAsia="ja-JP"/>
        </w:rPr>
      </w:pPr>
      <w:r w:rsidRPr="00FE6A94">
        <w:rPr>
          <w:rFonts w:cs="Segoe UI"/>
        </w:rPr>
        <w:t>Support</w:t>
      </w:r>
      <w:r>
        <w:rPr>
          <w:rFonts w:cs="Segoe UI"/>
        </w:rPr>
        <w:t xml:space="preserve"> the</w:t>
      </w:r>
      <w:r w:rsidRPr="00FE6A94">
        <w:rPr>
          <w:rFonts w:cs="Segoe UI"/>
        </w:rPr>
        <w:t xml:space="preserve"> generation of a curated list of methodologies preferred by decision-makers. </w:t>
      </w:r>
    </w:p>
    <w:p w14:paraId="4C4B7B6E" w14:textId="658E2B58" w:rsidR="00EA3EFB" w:rsidRPr="00FE6A94" w:rsidRDefault="00593FA7" w:rsidP="00A318F7">
      <w:pPr>
        <w:pStyle w:val="SummaryofRecRecheading"/>
        <w:ind w:left="0" w:firstLine="0"/>
        <w:rPr>
          <w:b/>
          <w:bCs/>
        </w:rPr>
      </w:pPr>
      <w:r>
        <w:t xml:space="preserve">  </w:t>
      </w:r>
      <w:r w:rsidR="00EA3EFB" w:rsidRPr="00FE6A94">
        <w:t>Therapies that target biomarkers (e.g. tumour</w:t>
      </w:r>
      <w:r w:rsidR="00EA3EFB">
        <w:t>-</w:t>
      </w:r>
      <w:r w:rsidR="00EA3EFB" w:rsidRPr="00FE6A94">
        <w:t>agnostic cancer therapies</w:t>
      </w:r>
      <w:r w:rsidR="00EA3EFB">
        <w:t xml:space="preserve"> and</w:t>
      </w:r>
      <w:r w:rsidR="00EA3EFB" w:rsidRPr="00FE6A94">
        <w:t xml:space="preserve"> therapies that target cells with </w:t>
      </w:r>
      <w:proofErr w:type="gramStart"/>
      <w:r w:rsidR="00EA3EFB" w:rsidRPr="00FE6A94">
        <w:t>particular gene</w:t>
      </w:r>
      <w:proofErr w:type="gramEnd"/>
      <w:r w:rsidR="00EA3EFB" w:rsidRPr="00FE6A94">
        <w:t xml:space="preserve"> alterations)</w:t>
      </w:r>
    </w:p>
    <w:p w14:paraId="06CAFB83" w14:textId="222F7618" w:rsidR="00EA3EFB" w:rsidRPr="00FE6A94" w:rsidRDefault="00EA3EFB" w:rsidP="009C1805">
      <w:pPr>
        <w:snapToGrid w:val="0"/>
        <w:spacing w:after="120" w:line="22" w:lineRule="atLeast"/>
        <w:rPr>
          <w:rFonts w:cs="Segoe UI"/>
          <w:b/>
          <w:bCs/>
        </w:rPr>
      </w:pPr>
      <w:r w:rsidRPr="00FE6A94">
        <w:rPr>
          <w:rFonts w:cs="Segoe UI"/>
          <w:lang w:eastAsia="en-AU"/>
        </w:rPr>
        <w:t xml:space="preserve">Support </w:t>
      </w:r>
      <w:r>
        <w:rPr>
          <w:rFonts w:cs="Segoe UI"/>
          <w:lang w:eastAsia="en-AU"/>
        </w:rPr>
        <w:t xml:space="preserve">the </w:t>
      </w:r>
      <w:r w:rsidRPr="00FE6A94">
        <w:rPr>
          <w:rFonts w:cs="Segoe UI"/>
          <w:lang w:eastAsia="en-AU"/>
        </w:rPr>
        <w:t>development of further guidance on methods for assessing tumour</w:t>
      </w:r>
      <w:r>
        <w:rPr>
          <w:rFonts w:cs="Segoe UI"/>
          <w:lang w:eastAsia="en-AU"/>
        </w:rPr>
        <w:t>-</w:t>
      </w:r>
      <w:r w:rsidRPr="00FE6A94">
        <w:rPr>
          <w:rFonts w:cs="Segoe UI"/>
          <w:lang w:eastAsia="en-AU"/>
        </w:rPr>
        <w:t xml:space="preserve">agnostic therapies, genomic technologies and gene therapies. </w:t>
      </w:r>
    </w:p>
    <w:p w14:paraId="341F8E2F" w14:textId="2F36FC8E" w:rsidR="00EA3EFB" w:rsidRPr="00FE6A94" w:rsidRDefault="00593FA7" w:rsidP="00A318F7">
      <w:pPr>
        <w:pStyle w:val="SummaryofRecRecheading"/>
        <w:ind w:left="0" w:firstLine="0"/>
        <w:rPr>
          <w:b/>
          <w:bCs/>
        </w:rPr>
      </w:pPr>
      <w:r>
        <w:t xml:space="preserve">  </w:t>
      </w:r>
      <w:r w:rsidR="00EA3EFB" w:rsidRPr="00FE6A94">
        <w:t>Discount rate</w:t>
      </w:r>
    </w:p>
    <w:p w14:paraId="399E6064" w14:textId="7D04F5CC" w:rsidR="00EA3EFB" w:rsidRPr="00FE6A94" w:rsidRDefault="00EA3EFB" w:rsidP="00FD7889">
      <w:pPr>
        <w:keepNext/>
        <w:keepLines/>
        <w:snapToGrid w:val="0"/>
        <w:spacing w:after="120" w:line="22" w:lineRule="atLeast"/>
        <w:rPr>
          <w:rFonts w:cs="Segoe UI"/>
          <w:b/>
          <w:bCs/>
        </w:rPr>
      </w:pPr>
      <w:r w:rsidRPr="00FE6A94">
        <w:rPr>
          <w:rFonts w:cs="Segoe UI"/>
        </w:rPr>
        <w:t xml:space="preserve">Support reduction of the </w:t>
      </w:r>
      <w:r w:rsidRPr="00EB4CCD">
        <w:rPr>
          <w:rFonts w:cs="Segoe UI"/>
        </w:rPr>
        <w:t>base case discount rate</w:t>
      </w:r>
      <w:r w:rsidRPr="00FE6A94">
        <w:rPr>
          <w:rFonts w:cs="Segoe UI"/>
        </w:rPr>
        <w:t xml:space="preserve"> to no lower than 3.5</w:t>
      </w:r>
      <w:r>
        <w:rPr>
          <w:rFonts w:cs="Segoe UI"/>
        </w:rPr>
        <w:t>%</w:t>
      </w:r>
      <w:r w:rsidRPr="00FE6A94">
        <w:rPr>
          <w:rFonts w:cs="Segoe UI"/>
        </w:rPr>
        <w:t xml:space="preserve"> for health technologies that have upfront costs and benefits that are claimed to accrue over a long period (such as gene therapies and some vaccines).</w:t>
      </w:r>
      <w:r>
        <w:rPr>
          <w:rFonts w:cs="Segoe UI"/>
        </w:rPr>
        <w:t xml:space="preserve"> </w:t>
      </w:r>
    </w:p>
    <w:p w14:paraId="0BE4A277" w14:textId="3F883107" w:rsidR="00EA3EFB" w:rsidRPr="00FE6A94" w:rsidRDefault="00EA3EFB" w:rsidP="00AB1DFC">
      <w:pPr>
        <w:spacing w:after="120"/>
        <w:rPr>
          <w:rFonts w:cs="Segoe UI"/>
          <w:b/>
          <w:bCs/>
        </w:rPr>
      </w:pPr>
      <w:r w:rsidRPr="00FE6A94">
        <w:t>Comment by Ms Elizabeth de Somer, Member Nominated by Medicines Australia</w:t>
      </w:r>
      <w:r w:rsidR="00551DFB">
        <w:t>:</w:t>
      </w:r>
      <w:r w:rsidRPr="00FE6A94">
        <w:t xml:space="preserve"> </w:t>
      </w:r>
      <w:r>
        <w:t>‘</w:t>
      </w:r>
      <w:r w:rsidR="00551DFB">
        <w:t>T</w:t>
      </w:r>
      <w:r w:rsidRPr="00FE6A94">
        <w:t>he industry recognises the movement in the discount rate in the recommendation and maintains that the base case discount rate should be reduced to 3.5% for all health technologies and 1.5% for those medicines where the benefits accrue over a longer time.</w:t>
      </w:r>
      <w:r>
        <w:t xml:space="preserve">’ </w:t>
      </w:r>
    </w:p>
    <w:p w14:paraId="5D39634E" w14:textId="0564C450" w:rsidR="00EA3EFB" w:rsidRPr="00FE6A94" w:rsidRDefault="00593FA7" w:rsidP="00A318F7">
      <w:pPr>
        <w:pStyle w:val="SummaryofRecRecheading"/>
        <w:ind w:left="0" w:firstLine="0"/>
        <w:rPr>
          <w:b/>
          <w:bCs/>
        </w:rPr>
      </w:pPr>
      <w:r>
        <w:t xml:space="preserve">  </w:t>
      </w:r>
      <w:r w:rsidR="00EA3EFB" w:rsidRPr="00FE6A94">
        <w:t>Comparator selection</w:t>
      </w:r>
    </w:p>
    <w:p w14:paraId="7DA38A63" w14:textId="67D98B6B" w:rsidR="00EA3EFB" w:rsidRPr="00FE6A94" w:rsidRDefault="00EA3EFB" w:rsidP="009C1805">
      <w:pPr>
        <w:snapToGrid w:val="0"/>
        <w:spacing w:after="120" w:line="22" w:lineRule="atLeast"/>
        <w:rPr>
          <w:rFonts w:cs="Segoe UI"/>
          <w:b/>
          <w:bCs/>
        </w:rPr>
      </w:pPr>
      <w:r w:rsidRPr="00FE6A94">
        <w:rPr>
          <w:rFonts w:cs="Segoe UI"/>
        </w:rPr>
        <w:t>Support updates to the Pharmaceutical Benefits Advisory Committee</w:t>
      </w:r>
      <w:r>
        <w:rPr>
          <w:rFonts w:cs="Segoe UI"/>
        </w:rPr>
        <w:t xml:space="preserve"> </w:t>
      </w:r>
      <w:r w:rsidRPr="00FE6A94">
        <w:rPr>
          <w:rFonts w:cs="Segoe UI"/>
        </w:rPr>
        <w:t xml:space="preserve">Guidelines to clarify what alternative therapy should be selected as the main comparator in </w:t>
      </w:r>
      <w:r w:rsidRPr="00B61FDC">
        <w:rPr>
          <w:rFonts w:cs="Segoe UI"/>
        </w:rPr>
        <w:t>submissions</w:t>
      </w:r>
      <w:r w:rsidRPr="00FE6A94">
        <w:rPr>
          <w:rFonts w:cs="Segoe UI"/>
        </w:rPr>
        <w:t xml:space="preserve"> for health technologies </w:t>
      </w:r>
      <w:r>
        <w:rPr>
          <w:rFonts w:cs="Segoe UI"/>
        </w:rPr>
        <w:t xml:space="preserve">with </w:t>
      </w:r>
      <w:r w:rsidRPr="00FE6A94">
        <w:rPr>
          <w:rFonts w:cs="Segoe UI"/>
        </w:rPr>
        <w:t xml:space="preserve">multiple alternative therapies. The updates should make clear that health technologies claiming </w:t>
      </w:r>
      <w:r w:rsidRPr="00B61FDC">
        <w:rPr>
          <w:rFonts w:cs="Segoe UI"/>
        </w:rPr>
        <w:t>non-inferiority to the main comparator can be more expensive than lower-cost alternatives when those alternatives are inferior or for other clinical reasons no longer considered alternatives</w:t>
      </w:r>
      <w:r w:rsidRPr="00FE6A94">
        <w:rPr>
          <w:rFonts w:cs="Segoe UI"/>
        </w:rPr>
        <w:t xml:space="preserve">. </w:t>
      </w:r>
    </w:p>
    <w:p w14:paraId="0600FD1E" w14:textId="57E1BE12" w:rsidR="00EA3EFB" w:rsidRPr="00FE6A94" w:rsidRDefault="00EA3EFB" w:rsidP="00775233">
      <w:pPr>
        <w:spacing w:after="120"/>
        <w:rPr>
          <w:b/>
          <w:bCs/>
        </w:rPr>
      </w:pPr>
      <w:r w:rsidRPr="00FE6A94">
        <w:rPr>
          <w:rFonts w:eastAsia="Times New Roman" w:cs="Segoe UI"/>
        </w:rPr>
        <w:t xml:space="preserve">Comment by Ms </w:t>
      </w:r>
      <w:r w:rsidRPr="00FE6A94">
        <w:t>Elizabeth de Somer, Member Nominated by Medicines Australia</w:t>
      </w:r>
      <w:r w:rsidR="00551DFB">
        <w:t>:</w:t>
      </w:r>
      <w:r w:rsidRPr="00FE6A94">
        <w:t xml:space="preserve"> </w:t>
      </w:r>
      <w:r>
        <w:t>‘</w:t>
      </w:r>
      <w:r w:rsidR="00551DFB">
        <w:t>T</w:t>
      </w:r>
      <w:r w:rsidRPr="00FE6A94">
        <w:t xml:space="preserve">he industry recognises the importance of the updated </w:t>
      </w:r>
      <w:r w:rsidR="00484D0B">
        <w:rPr>
          <w:rFonts w:cs="Segoe UI"/>
        </w:rPr>
        <w:t>PBAC</w:t>
      </w:r>
      <w:r w:rsidRPr="00FE6A94">
        <w:t xml:space="preserve"> </w:t>
      </w:r>
      <w:r>
        <w:t>G</w:t>
      </w:r>
      <w:r w:rsidRPr="00FE6A94">
        <w:t xml:space="preserve">uidelines that provide clarity to the </w:t>
      </w:r>
      <w:r w:rsidR="00484D0B">
        <w:rPr>
          <w:rFonts w:cs="Segoe UI"/>
        </w:rPr>
        <w:t>PBAC</w:t>
      </w:r>
      <w:r w:rsidRPr="00FE6A94">
        <w:t xml:space="preserve"> and maintains this would be strengthened with an alternative recommendation: The National Health Act includes an additional clause to clarify that, in subsections 101(3A) and (3B), in having regard to the alternative therapy or therapies for the relevant patient population and any sub-populations, the Committee must consider the therapy or therapies most likely to be replaced in clinical practice.</w:t>
      </w:r>
      <w:r>
        <w:t>’</w:t>
      </w:r>
    </w:p>
    <w:p w14:paraId="6EFB12D4" w14:textId="1D3FF5BC" w:rsidR="00EA3EFB" w:rsidRPr="00FE6A94" w:rsidRDefault="00593FA7" w:rsidP="00046DDC">
      <w:pPr>
        <w:pStyle w:val="SummaryofRecRecheading"/>
        <w:keepNext/>
        <w:keepLines/>
        <w:ind w:left="0" w:firstLine="0"/>
        <w:rPr>
          <w:b/>
          <w:bCs/>
        </w:rPr>
      </w:pPr>
      <w:r>
        <w:lastRenderedPageBreak/>
        <w:t xml:space="preserve">  </w:t>
      </w:r>
      <w:r w:rsidR="00EA3EFB" w:rsidRPr="00FE6A94">
        <w:t>Cost-minimisation submissions</w:t>
      </w:r>
    </w:p>
    <w:p w14:paraId="310E524B" w14:textId="66CDA61E" w:rsidR="00EA3EFB" w:rsidRPr="00FE6A94" w:rsidRDefault="00EA3EFB" w:rsidP="00046DDC">
      <w:pPr>
        <w:keepNext/>
        <w:keepLines/>
        <w:snapToGrid w:val="0"/>
        <w:spacing w:after="120" w:line="22" w:lineRule="atLeast"/>
        <w:rPr>
          <w:rFonts w:cs="Segoe UI"/>
          <w:b/>
          <w:bCs/>
        </w:rPr>
      </w:pPr>
      <w:r w:rsidRPr="00FE6A94">
        <w:rPr>
          <w:rFonts w:cs="Segoe UI"/>
        </w:rPr>
        <w:t xml:space="preserve">Investigate mechanisms to differentiate cost-minimisation submissions based on </w:t>
      </w:r>
      <w:r>
        <w:rPr>
          <w:rFonts w:cs="Segoe UI"/>
        </w:rPr>
        <w:t xml:space="preserve">the </w:t>
      </w:r>
      <w:r w:rsidRPr="00FE6A94">
        <w:rPr>
          <w:rFonts w:cs="Segoe UI"/>
        </w:rPr>
        <w:t>proportiona</w:t>
      </w:r>
      <w:r>
        <w:rPr>
          <w:rFonts w:cs="Segoe UI"/>
        </w:rPr>
        <w:t>te</w:t>
      </w:r>
      <w:r w:rsidRPr="00FE6A94">
        <w:rPr>
          <w:rFonts w:cs="Segoe UI"/>
        </w:rPr>
        <w:t xml:space="preserve"> benefit and relative cost. </w:t>
      </w:r>
    </w:p>
    <w:p w14:paraId="0D77C3B7" w14:textId="39681ECB" w:rsidR="00EA3EFB" w:rsidRPr="000A53B0" w:rsidRDefault="00593FA7" w:rsidP="00A318F7">
      <w:pPr>
        <w:pStyle w:val="SummaryofRecRecheading"/>
        <w:ind w:left="0" w:firstLine="0"/>
        <w:rPr>
          <w:b/>
          <w:bCs/>
        </w:rPr>
      </w:pPr>
      <w:r>
        <w:t xml:space="preserve">  </w:t>
      </w:r>
      <w:r w:rsidR="00EA3EFB" w:rsidRPr="000A53B0">
        <w:t>Valuing and pricing</w:t>
      </w:r>
    </w:p>
    <w:p w14:paraId="469C0D5C" w14:textId="77777777" w:rsidR="00EA3EFB" w:rsidRDefault="00EA3EFB" w:rsidP="009C1805">
      <w:pPr>
        <w:snapToGrid w:val="0"/>
        <w:spacing w:after="120" w:line="22" w:lineRule="atLeast"/>
        <w:rPr>
          <w:rFonts w:cs="Segoe UI"/>
        </w:rPr>
      </w:pPr>
      <w:r w:rsidRPr="000A53B0">
        <w:rPr>
          <w:rFonts w:cs="Segoe UI"/>
        </w:rPr>
        <w:t>Conduct research to understand if and where it may be reasonable for HTA committees to accept higher prices for health technologies than are currently accepted.</w:t>
      </w:r>
    </w:p>
    <w:p w14:paraId="6BB96001" w14:textId="06653E5D" w:rsidR="00EA3EFB" w:rsidRPr="0076757C" w:rsidRDefault="00593FA7" w:rsidP="00A318F7">
      <w:pPr>
        <w:pStyle w:val="SummaryofRecRecheading"/>
        <w:ind w:left="0" w:firstLine="0"/>
        <w:rPr>
          <w:b/>
          <w:bCs/>
        </w:rPr>
      </w:pPr>
      <w:r>
        <w:t xml:space="preserve">  </w:t>
      </w:r>
      <w:r w:rsidR="00EA3EFB">
        <w:t>Environmental impact reporting</w:t>
      </w:r>
    </w:p>
    <w:p w14:paraId="72392302" w14:textId="7A6ABF29" w:rsidR="00EA3EFB" w:rsidRPr="00BF2D24" w:rsidRDefault="00EA3EFB" w:rsidP="009C1805">
      <w:pPr>
        <w:snapToGrid w:val="0"/>
        <w:spacing w:after="120" w:line="22" w:lineRule="atLeast"/>
        <w:ind w:left="-45"/>
        <w:rPr>
          <w:rFonts w:cs="Segoe UI"/>
        </w:rPr>
      </w:pPr>
      <w:r>
        <w:rPr>
          <w:rFonts w:cs="Segoe UI"/>
        </w:rPr>
        <w:t xml:space="preserve">Investigate options, in consultation with industry and stakeholders, for reporting environmental impacts in the assessment of health technologies. </w:t>
      </w:r>
    </w:p>
    <w:p w14:paraId="15010B0D" w14:textId="77777777" w:rsidR="00EA3EFB" w:rsidRPr="00BF2D24" w:rsidRDefault="00EA3EFB" w:rsidP="00A318F7">
      <w:pPr>
        <w:pStyle w:val="SummaryofRecChapterheading"/>
      </w:pPr>
      <w:r w:rsidRPr="00BF2D24">
        <w:t>CHAPTER 9: SUPPORTING ARCHITECTURE FOR HEALTH TECHNOLOGY ASSESSMENTS</w:t>
      </w:r>
    </w:p>
    <w:p w14:paraId="6411A6FF" w14:textId="6C34882B" w:rsidR="00EA3EFB" w:rsidRPr="000A53B0" w:rsidRDefault="00593FA7" w:rsidP="00A318F7">
      <w:pPr>
        <w:pStyle w:val="SummaryofRecRecheading"/>
        <w:ind w:left="0" w:firstLine="0"/>
        <w:rPr>
          <w:b/>
        </w:rPr>
      </w:pPr>
      <w:r>
        <w:t xml:space="preserve">  </w:t>
      </w:r>
      <w:r w:rsidR="00EA3EFB" w:rsidRPr="79F0D2C0">
        <w:t xml:space="preserve">Identifying therapeutic areas of </w:t>
      </w:r>
      <w:r w:rsidR="00EA3EFB">
        <w:t>h</w:t>
      </w:r>
      <w:r w:rsidR="00EA3EFB" w:rsidRPr="79F0D2C0">
        <w:t xml:space="preserve">igh </w:t>
      </w:r>
      <w:r w:rsidR="00EA3EFB">
        <w:t>u</w:t>
      </w:r>
      <w:r w:rsidR="00EA3EFB" w:rsidRPr="79F0D2C0">
        <w:t xml:space="preserve">nmet </w:t>
      </w:r>
      <w:r w:rsidR="00EA3EFB">
        <w:t>c</w:t>
      </w:r>
      <w:r w:rsidR="00EA3EFB" w:rsidRPr="79F0D2C0">
        <w:t xml:space="preserve">linical </w:t>
      </w:r>
      <w:r w:rsidR="00EA3EFB">
        <w:t>n</w:t>
      </w:r>
      <w:r w:rsidR="00EA3EFB" w:rsidRPr="79F0D2C0">
        <w:t>eed</w:t>
      </w:r>
      <w:r w:rsidR="00EA3EFB">
        <w:t xml:space="preserve"> </w:t>
      </w:r>
    </w:p>
    <w:p w14:paraId="14406419" w14:textId="3658D8A0" w:rsidR="00EA3EFB" w:rsidRPr="000A53B0" w:rsidRDefault="00EA3EFB" w:rsidP="009C1805">
      <w:pPr>
        <w:snapToGrid w:val="0"/>
        <w:spacing w:after="120" w:line="22" w:lineRule="atLeast"/>
        <w:rPr>
          <w:rFonts w:cs="Segoe UI"/>
          <w:b/>
          <w:bCs/>
        </w:rPr>
      </w:pPr>
      <w:r w:rsidRPr="000A53B0">
        <w:rPr>
          <w:rFonts w:cs="Segoe UI"/>
        </w:rPr>
        <w:t xml:space="preserve">Develop a process and criteria to support ongoing identification of therapeutic areas of </w:t>
      </w:r>
      <w:r w:rsidR="00AB2BEE" w:rsidRPr="00AB2BEE">
        <w:rPr>
          <w:rFonts w:cs="Segoe UI"/>
        </w:rPr>
        <w:t>high unmet clinical need</w:t>
      </w:r>
      <w:r w:rsidRPr="000A53B0">
        <w:rPr>
          <w:rFonts w:cs="Segoe UI"/>
        </w:rPr>
        <w:t xml:space="preserve">. </w:t>
      </w:r>
    </w:p>
    <w:p w14:paraId="054CD64C" w14:textId="097B4779" w:rsidR="00EA3EFB" w:rsidRPr="000A53B0" w:rsidRDefault="00593FA7" w:rsidP="00A318F7">
      <w:pPr>
        <w:pStyle w:val="SummaryofRecRecheading"/>
        <w:ind w:left="0" w:firstLine="0"/>
        <w:rPr>
          <w:b/>
        </w:rPr>
      </w:pPr>
      <w:r>
        <w:t xml:space="preserve">  </w:t>
      </w:r>
      <w:r w:rsidR="00EA3EFB" w:rsidRPr="79F0D2C0">
        <w:t xml:space="preserve">Identifying therapies to address </w:t>
      </w:r>
      <w:r w:rsidR="00EA3EFB">
        <w:t>t</w:t>
      </w:r>
      <w:r w:rsidR="00EA3EFB" w:rsidRPr="79F0D2C0">
        <w:t xml:space="preserve">herapeutic </w:t>
      </w:r>
      <w:r w:rsidR="00EA3EFB">
        <w:t>a</w:t>
      </w:r>
      <w:r w:rsidR="00EA3EFB" w:rsidRPr="79F0D2C0">
        <w:t xml:space="preserve">reas </w:t>
      </w:r>
      <w:r w:rsidR="00EA3EFB">
        <w:t>of h</w:t>
      </w:r>
      <w:r w:rsidR="00EA3EFB" w:rsidRPr="79F0D2C0">
        <w:t xml:space="preserve">igh </w:t>
      </w:r>
      <w:r w:rsidR="00EA3EFB">
        <w:t>u</w:t>
      </w:r>
      <w:r w:rsidR="00EA3EFB" w:rsidRPr="79F0D2C0">
        <w:t xml:space="preserve">nmet </w:t>
      </w:r>
      <w:r w:rsidR="00EA3EFB">
        <w:t>c</w:t>
      </w:r>
      <w:r w:rsidR="00EA3EFB" w:rsidRPr="79F0D2C0">
        <w:t xml:space="preserve">linical </w:t>
      </w:r>
      <w:r w:rsidR="00EA3EFB">
        <w:t>n</w:t>
      </w:r>
      <w:r w:rsidR="00EA3EFB" w:rsidRPr="79F0D2C0">
        <w:t>eed</w:t>
      </w:r>
      <w:r w:rsidR="00EA3EFB">
        <w:t xml:space="preserve"> </w:t>
      </w:r>
    </w:p>
    <w:p w14:paraId="6FC5D276" w14:textId="7680BB5D" w:rsidR="00EA3EFB" w:rsidRDefault="00EA3EFB" w:rsidP="009C1805">
      <w:pPr>
        <w:snapToGrid w:val="0"/>
        <w:spacing w:after="120" w:line="22" w:lineRule="atLeast"/>
        <w:rPr>
          <w:rFonts w:cs="Segoe UI"/>
        </w:rPr>
      </w:pPr>
      <w:r w:rsidRPr="79F0D2C0">
        <w:rPr>
          <w:rFonts w:cs="Segoe UI"/>
        </w:rPr>
        <w:t xml:space="preserve">Develop a process for identifying high added therapeutic value health technologies that may address identified </w:t>
      </w:r>
      <w:r w:rsidR="00174E37" w:rsidRPr="00AB2BEE">
        <w:rPr>
          <w:rFonts w:cs="Segoe UI"/>
        </w:rPr>
        <w:t>high unmet clinical need</w:t>
      </w:r>
      <w:r w:rsidRPr="79F0D2C0">
        <w:rPr>
          <w:rFonts w:cs="Segoe UI"/>
        </w:rPr>
        <w:t xml:space="preserve">. </w:t>
      </w:r>
    </w:p>
    <w:p w14:paraId="1327E332" w14:textId="43A0E342" w:rsidR="00EA3EFB" w:rsidRPr="000A53B0" w:rsidRDefault="00593FA7" w:rsidP="00A318F7">
      <w:pPr>
        <w:pStyle w:val="SummaryofRecRecheading"/>
        <w:ind w:left="0" w:firstLine="0"/>
        <w:rPr>
          <w:b/>
        </w:rPr>
      </w:pPr>
      <w:r>
        <w:t xml:space="preserve">  </w:t>
      </w:r>
      <w:r w:rsidR="00EA3EFB" w:rsidRPr="79F0D2C0">
        <w:t xml:space="preserve">Proactive pre-HTA processes supporting </w:t>
      </w:r>
      <w:r w:rsidR="00EA3EFB">
        <w:t xml:space="preserve">the </w:t>
      </w:r>
      <w:r w:rsidR="00EA3EFB" w:rsidRPr="79F0D2C0">
        <w:t xml:space="preserve">introduction of identified health technologies for high unmet clinical need </w:t>
      </w:r>
    </w:p>
    <w:p w14:paraId="7C439F0C" w14:textId="0E3B3A37" w:rsidR="00EA3EFB" w:rsidRPr="000A53B0" w:rsidRDefault="00EA3EFB" w:rsidP="009C1805">
      <w:pPr>
        <w:snapToGrid w:val="0"/>
        <w:spacing w:after="120" w:line="22" w:lineRule="atLeast"/>
        <w:rPr>
          <w:rFonts w:cs="Segoe UI"/>
        </w:rPr>
      </w:pPr>
      <w:r w:rsidRPr="79F0D2C0">
        <w:rPr>
          <w:rFonts w:cs="Segoe UI"/>
        </w:rPr>
        <w:t xml:space="preserve">Establish arrangements that bring key stakeholders together to discuss how </w:t>
      </w:r>
      <w:r>
        <w:rPr>
          <w:rFonts w:cs="Segoe UI"/>
        </w:rPr>
        <w:t xml:space="preserve">to bring forward </w:t>
      </w:r>
      <w:r w:rsidRPr="79F0D2C0">
        <w:rPr>
          <w:rFonts w:cs="Segoe UI"/>
        </w:rPr>
        <w:t xml:space="preserve">timely development and lodgement of HTA submissions for identified health technologies </w:t>
      </w:r>
      <w:r>
        <w:rPr>
          <w:rFonts w:cs="Segoe UI"/>
        </w:rPr>
        <w:t>that</w:t>
      </w:r>
      <w:r w:rsidRPr="79F0D2C0">
        <w:rPr>
          <w:rFonts w:cs="Segoe UI"/>
        </w:rPr>
        <w:t xml:space="preserve"> address identified </w:t>
      </w:r>
      <w:r>
        <w:rPr>
          <w:rFonts w:cs="Segoe UI"/>
        </w:rPr>
        <w:t xml:space="preserve">high </w:t>
      </w:r>
      <w:r w:rsidRPr="79F0D2C0">
        <w:rPr>
          <w:rFonts w:cs="Segoe UI"/>
        </w:rPr>
        <w:t>unmet</w:t>
      </w:r>
      <w:r>
        <w:rPr>
          <w:rFonts w:cs="Segoe UI"/>
        </w:rPr>
        <w:t xml:space="preserve"> clinical</w:t>
      </w:r>
      <w:r w:rsidRPr="79F0D2C0">
        <w:rPr>
          <w:rFonts w:cs="Segoe UI"/>
        </w:rPr>
        <w:t xml:space="preserve"> need. </w:t>
      </w:r>
    </w:p>
    <w:p w14:paraId="49397DCE" w14:textId="142DE55B" w:rsidR="00EA3EFB" w:rsidRPr="000A53B0" w:rsidRDefault="00593FA7" w:rsidP="00A318F7">
      <w:pPr>
        <w:pStyle w:val="SummaryofRecRecheading"/>
        <w:ind w:left="0" w:firstLine="0"/>
        <w:rPr>
          <w:b/>
          <w:bCs/>
        </w:rPr>
      </w:pPr>
      <w:r>
        <w:t xml:space="preserve">  </w:t>
      </w:r>
      <w:r w:rsidR="00EA3EFB" w:rsidRPr="000A53B0">
        <w:t xml:space="preserve">Horizon </w:t>
      </w:r>
      <w:r w:rsidR="00EA3EFB">
        <w:t>s</w:t>
      </w:r>
      <w:r w:rsidR="00EA3EFB" w:rsidRPr="000A53B0">
        <w:t xml:space="preserve">canning </w:t>
      </w:r>
    </w:p>
    <w:p w14:paraId="3D9C17C9" w14:textId="1134FE4A" w:rsidR="00EA3EFB" w:rsidRPr="000A53B0" w:rsidRDefault="00EA3EFB" w:rsidP="009C1805">
      <w:pPr>
        <w:snapToGrid w:val="0"/>
        <w:spacing w:after="120" w:line="22" w:lineRule="atLeast"/>
        <w:rPr>
          <w:rFonts w:cs="Segoe UI"/>
        </w:rPr>
      </w:pPr>
      <w:r w:rsidRPr="79F0D2C0">
        <w:rPr>
          <w:rFonts w:cs="Segoe UI"/>
        </w:rPr>
        <w:t xml:space="preserve">Establish and resource an Australian horizon scanning function that </w:t>
      </w:r>
      <w:r>
        <w:rPr>
          <w:rFonts w:cs="Segoe UI"/>
        </w:rPr>
        <w:t>improves stakeholder engagement in considering the implications of new and emerging health technologies</w:t>
      </w:r>
      <w:r w:rsidRPr="79F0D2C0">
        <w:rPr>
          <w:rFonts w:cs="Segoe UI"/>
        </w:rPr>
        <w:t xml:space="preserve"> </w:t>
      </w:r>
      <w:r>
        <w:rPr>
          <w:rFonts w:cs="Segoe UI"/>
        </w:rPr>
        <w:t>and</w:t>
      </w:r>
      <w:r w:rsidRPr="79F0D2C0">
        <w:rPr>
          <w:rFonts w:cs="Segoe UI"/>
        </w:rPr>
        <w:t xml:space="preserve"> support healthcare forward planning and priority setting by health</w:t>
      </w:r>
      <w:r>
        <w:rPr>
          <w:rFonts w:cs="Segoe UI"/>
        </w:rPr>
        <w:t>care</w:t>
      </w:r>
      <w:r w:rsidRPr="79F0D2C0">
        <w:rPr>
          <w:rFonts w:cs="Segoe UI"/>
        </w:rPr>
        <w:t xml:space="preserve"> payers. </w:t>
      </w:r>
    </w:p>
    <w:p w14:paraId="28494C98" w14:textId="5E127828" w:rsidR="00EA3EFB" w:rsidRPr="000A53B0" w:rsidRDefault="00593FA7" w:rsidP="00A318F7">
      <w:pPr>
        <w:pStyle w:val="SummaryofRecRecheading"/>
        <w:ind w:left="0" w:firstLine="0"/>
        <w:rPr>
          <w:b/>
          <w:bCs/>
        </w:rPr>
      </w:pPr>
      <w:r>
        <w:t xml:space="preserve">  </w:t>
      </w:r>
      <w:r w:rsidR="00EA3EFB" w:rsidRPr="000A53B0">
        <w:t xml:space="preserve">Mechanisms for continuous review and improvement </w:t>
      </w:r>
    </w:p>
    <w:p w14:paraId="1F0C1D24" w14:textId="34CFD2BD" w:rsidR="00EA3EFB" w:rsidRPr="000C5623" w:rsidRDefault="00EA3EFB" w:rsidP="009C1805">
      <w:pPr>
        <w:snapToGrid w:val="0"/>
        <w:spacing w:after="120" w:line="22" w:lineRule="atLeast"/>
        <w:rPr>
          <w:rFonts w:cs="Segoe UI"/>
          <w:b/>
        </w:rPr>
      </w:pPr>
      <w:r w:rsidRPr="79F0D2C0">
        <w:rPr>
          <w:rFonts w:cs="Segoe UI"/>
        </w:rPr>
        <w:t>Design and establish (in consultation with stakeholders) a program arrangement that supports the continuous review and updating of HTA polic</w:t>
      </w:r>
      <w:r>
        <w:rPr>
          <w:rFonts w:cs="Segoe UI"/>
        </w:rPr>
        <w:t>y</w:t>
      </w:r>
      <w:r w:rsidRPr="79F0D2C0">
        <w:rPr>
          <w:rFonts w:cs="Segoe UI"/>
        </w:rPr>
        <w:t xml:space="preserve"> and methods </w:t>
      </w:r>
      <w:r>
        <w:rPr>
          <w:rFonts w:cs="Segoe UI"/>
        </w:rPr>
        <w:t xml:space="preserve">that </w:t>
      </w:r>
      <w:r w:rsidRPr="79F0D2C0">
        <w:rPr>
          <w:rFonts w:cs="Segoe UI"/>
        </w:rPr>
        <w:t xml:space="preserve">support of the core pillars of the </w:t>
      </w:r>
      <w:r w:rsidRPr="00B61FDC">
        <w:rPr>
          <w:rFonts w:cs="Segoe UI"/>
        </w:rPr>
        <w:t>National Medicines Policy</w:t>
      </w:r>
      <w:r w:rsidRPr="79F0D2C0">
        <w:rPr>
          <w:rFonts w:cs="Segoe UI"/>
        </w:rPr>
        <w:t>.</w:t>
      </w:r>
    </w:p>
    <w:p w14:paraId="2EC6B137" w14:textId="23D477DA" w:rsidR="00EA3EFB" w:rsidRPr="000A53B0" w:rsidRDefault="00593FA7" w:rsidP="00A318F7">
      <w:pPr>
        <w:pStyle w:val="SummaryofRecRecheading"/>
        <w:ind w:left="0" w:firstLine="0"/>
        <w:rPr>
          <w:b/>
          <w:bCs/>
        </w:rPr>
      </w:pPr>
      <w:r>
        <w:t xml:space="preserve">  </w:t>
      </w:r>
      <w:r w:rsidR="00EA3EFB" w:rsidRPr="000A53B0">
        <w:t>HTA evaluation workforce</w:t>
      </w:r>
    </w:p>
    <w:p w14:paraId="17895B3B" w14:textId="29069BD8" w:rsidR="00EA3EFB" w:rsidRDefault="00EA3EFB" w:rsidP="009C1805">
      <w:pPr>
        <w:snapToGrid w:val="0"/>
        <w:spacing w:after="120" w:line="22" w:lineRule="atLeast"/>
        <w:rPr>
          <w:rFonts w:cs="Segoe UI"/>
        </w:rPr>
      </w:pPr>
      <w:r w:rsidRPr="000A53B0">
        <w:rPr>
          <w:rFonts w:cs="Segoe UI"/>
        </w:rPr>
        <w:t>Develop education programs and/or training activities to enhance HTA workforce competency and capability.</w:t>
      </w:r>
      <w:r>
        <w:rPr>
          <w:rFonts w:cs="Segoe UI"/>
        </w:rPr>
        <w:t xml:space="preserve"> </w:t>
      </w:r>
    </w:p>
    <w:p w14:paraId="0B7DAE85" w14:textId="390C1A1A" w:rsidR="00EA3EFB" w:rsidRPr="000A53B0" w:rsidRDefault="00EA3EFB" w:rsidP="009C1805">
      <w:pPr>
        <w:snapToGrid w:val="0"/>
        <w:spacing w:after="120" w:line="22" w:lineRule="atLeast"/>
        <w:rPr>
          <w:rFonts w:cs="Segoe UI"/>
          <w:b/>
          <w:bCs/>
        </w:rPr>
      </w:pPr>
      <w:r>
        <w:rPr>
          <w:rFonts w:cs="Segoe UI"/>
        </w:rPr>
        <w:t xml:space="preserve">Progress reforms to support uptake of work-sharing arrangements. </w:t>
      </w:r>
    </w:p>
    <w:p w14:paraId="6F9CCDC0" w14:textId="25369A9C" w:rsidR="00EA3EFB" w:rsidRPr="000A53B0" w:rsidRDefault="00593FA7" w:rsidP="005E64D2">
      <w:pPr>
        <w:pStyle w:val="SummaryofRecRecheading"/>
        <w:keepNext/>
        <w:ind w:left="0" w:firstLine="0"/>
        <w:rPr>
          <w:b/>
          <w:bCs/>
        </w:rPr>
      </w:pPr>
      <w:r>
        <w:lastRenderedPageBreak/>
        <w:t xml:space="preserve">  </w:t>
      </w:r>
      <w:r w:rsidR="00EA3EFB" w:rsidRPr="000A53B0">
        <w:t>Supporting architecture resourcing</w:t>
      </w:r>
    </w:p>
    <w:p w14:paraId="6D8E29BF" w14:textId="360C296D" w:rsidR="00EA3EFB" w:rsidRPr="00966C67" w:rsidRDefault="00EA3EFB" w:rsidP="005E64D2">
      <w:pPr>
        <w:keepNext/>
        <w:snapToGrid w:val="0"/>
        <w:spacing w:after="120" w:line="22" w:lineRule="atLeast"/>
        <w:rPr>
          <w:rFonts w:cs="Segoe UI"/>
          <w:b/>
          <w:bCs/>
        </w:rPr>
      </w:pPr>
      <w:r w:rsidRPr="000A53B0">
        <w:rPr>
          <w:rFonts w:cs="Segoe UI"/>
        </w:rPr>
        <w:t>Appropriately resource (</w:t>
      </w:r>
      <w:r>
        <w:rPr>
          <w:rFonts w:cs="Segoe UI"/>
        </w:rPr>
        <w:t>in</w:t>
      </w:r>
      <w:r w:rsidRPr="000A53B0">
        <w:rPr>
          <w:rFonts w:cs="Segoe UI"/>
        </w:rPr>
        <w:t xml:space="preserve"> quantity and alignment) the Department of Health and Aged Care to implement agreed recommendations arising from this Review, including new activities and improvements to existing functions.</w:t>
      </w:r>
    </w:p>
    <w:p w14:paraId="636F3AC0" w14:textId="77777777" w:rsidR="008C5227" w:rsidRDefault="008C5227">
      <w:pPr>
        <w:rPr>
          <w:rFonts w:eastAsia="Times New Roman" w:cs="Segoe UI"/>
          <w:color w:val="0A1D37" w:themeColor="text2" w:themeShade="80"/>
          <w:kern w:val="28"/>
          <w:sz w:val="56"/>
          <w:szCs w:val="36"/>
        </w:rPr>
      </w:pPr>
      <w:r>
        <w:br w:type="page"/>
      </w:r>
    </w:p>
    <w:p w14:paraId="04BD3E02" w14:textId="3758C44B" w:rsidR="007A3D96" w:rsidRDefault="00011633" w:rsidP="00A318F7">
      <w:pPr>
        <w:pStyle w:val="Heading1"/>
      </w:pPr>
      <w:bookmarkStart w:id="43" w:name="_Toc164685807"/>
      <w:bookmarkStart w:id="44" w:name="_Toc164691379"/>
      <w:bookmarkStart w:id="45" w:name="_Toc164696177"/>
      <w:bookmarkStart w:id="46" w:name="_Toc164696323"/>
      <w:bookmarkStart w:id="47" w:name="_Toc164767712"/>
      <w:bookmarkStart w:id="48" w:name="_Toc164781621"/>
      <w:bookmarkStart w:id="49" w:name="_Toc171935854"/>
      <w:r>
        <w:lastRenderedPageBreak/>
        <w:t>Chapter 1</w:t>
      </w:r>
      <w:r w:rsidR="002272AA">
        <w:t>:</w:t>
      </w:r>
      <w:r>
        <w:t xml:space="preserve"> </w:t>
      </w:r>
      <w:r w:rsidR="007A3D96">
        <w:t>Introduction</w:t>
      </w:r>
      <w:bookmarkEnd w:id="43"/>
      <w:bookmarkEnd w:id="44"/>
      <w:bookmarkEnd w:id="45"/>
      <w:bookmarkEnd w:id="46"/>
      <w:bookmarkEnd w:id="47"/>
      <w:bookmarkEnd w:id="48"/>
      <w:bookmarkEnd w:id="49"/>
      <w:r w:rsidR="007A3D96">
        <w:t xml:space="preserve"> </w:t>
      </w:r>
    </w:p>
    <w:p w14:paraId="7E3E4D31" w14:textId="5BEFD528" w:rsidR="00E020D3" w:rsidRDefault="71A6162E" w:rsidP="00F51C08">
      <w:pPr>
        <w:pStyle w:val="Heading2"/>
        <w:rPr>
          <w:rFonts w:eastAsia="Segoe UI"/>
        </w:rPr>
      </w:pPr>
      <w:bookmarkStart w:id="50" w:name="_Toc164781622"/>
      <w:bookmarkStart w:id="51" w:name="_Toc171935855"/>
      <w:r w:rsidRPr="225E66FA">
        <w:rPr>
          <w:rFonts w:eastAsia="Segoe UI"/>
        </w:rPr>
        <w:t>Policy context</w:t>
      </w:r>
      <w:bookmarkEnd w:id="50"/>
      <w:bookmarkEnd w:id="51"/>
    </w:p>
    <w:p w14:paraId="3A96C6E3" w14:textId="20521A49" w:rsidR="00E020D3" w:rsidRDefault="009F333F" w:rsidP="00A318F7">
      <w:pPr>
        <w:spacing w:after="240"/>
      </w:pPr>
      <w:r w:rsidRPr="009F333F">
        <w:rPr>
          <w:rFonts w:eastAsia="Segoe UI" w:cs="Segoe UI"/>
        </w:rPr>
        <w:t>Australia</w:t>
      </w:r>
      <w:r w:rsidR="009A76B6">
        <w:rPr>
          <w:rFonts w:eastAsia="Segoe UI" w:cs="Segoe UI"/>
        </w:rPr>
        <w:t>’</w:t>
      </w:r>
      <w:r w:rsidRPr="009F333F">
        <w:rPr>
          <w:rFonts w:eastAsia="Segoe UI" w:cs="Segoe UI"/>
        </w:rPr>
        <w:t>s health system provides universal access to high</w:t>
      </w:r>
      <w:r w:rsidR="009A76B6">
        <w:rPr>
          <w:rFonts w:eastAsia="Segoe UI" w:cs="Segoe UI"/>
        </w:rPr>
        <w:t>-</w:t>
      </w:r>
      <w:r w:rsidRPr="009F333F">
        <w:rPr>
          <w:rFonts w:eastAsia="Segoe UI" w:cs="Segoe UI"/>
        </w:rPr>
        <w:t xml:space="preserve">quality, safe, effective and appropriate health care through a range of </w:t>
      </w:r>
      <w:r w:rsidR="009A76B6">
        <w:rPr>
          <w:rFonts w:eastAsia="Segoe UI" w:cs="Segoe UI"/>
        </w:rPr>
        <w:t>g</w:t>
      </w:r>
      <w:r w:rsidRPr="009F333F">
        <w:rPr>
          <w:rFonts w:eastAsia="Segoe UI" w:cs="Segoe UI"/>
        </w:rPr>
        <w:t>overnment funding programs</w:t>
      </w:r>
      <w:r w:rsidR="009A76B6">
        <w:rPr>
          <w:rFonts w:eastAsia="Segoe UI" w:cs="Segoe UI"/>
        </w:rPr>
        <w:t>,</w:t>
      </w:r>
      <w:r w:rsidRPr="009F333F">
        <w:rPr>
          <w:rFonts w:eastAsia="Segoe UI" w:cs="Segoe UI"/>
        </w:rPr>
        <w:t xml:space="preserve"> including the </w:t>
      </w:r>
      <w:r w:rsidR="00F1491C" w:rsidRPr="00F1491C">
        <w:rPr>
          <w:rFonts w:eastAsia="Segoe UI" w:cs="Segoe UI"/>
        </w:rPr>
        <w:t>Pharmaceutical Benefits Scheme (</w:t>
      </w:r>
      <w:r w:rsidR="00D0205C">
        <w:rPr>
          <w:rFonts w:eastAsia="Segoe UI" w:cs="Segoe UI"/>
        </w:rPr>
        <w:t>PBS</w:t>
      </w:r>
      <w:r w:rsidR="00F1491C" w:rsidRPr="00F1491C">
        <w:rPr>
          <w:rFonts w:eastAsia="Segoe UI" w:cs="Segoe UI"/>
        </w:rPr>
        <w:t>)</w:t>
      </w:r>
      <w:r w:rsidR="00F1491C" w:rsidRPr="00F1491C" w:rsidDel="00F1491C">
        <w:rPr>
          <w:rFonts w:eastAsia="Segoe UI" w:cs="Segoe UI"/>
        </w:rPr>
        <w:t xml:space="preserve"> </w:t>
      </w:r>
      <w:r w:rsidRPr="009F333F">
        <w:rPr>
          <w:rFonts w:eastAsia="Segoe UI" w:cs="Segoe UI"/>
        </w:rPr>
        <w:t>and M</w:t>
      </w:r>
      <w:r w:rsidR="004C695D">
        <w:rPr>
          <w:rFonts w:eastAsia="Segoe UI" w:cs="Segoe UI"/>
        </w:rPr>
        <w:t>edicare</w:t>
      </w:r>
      <w:r w:rsidRPr="009F333F">
        <w:rPr>
          <w:rFonts w:eastAsia="Segoe UI" w:cs="Segoe UI"/>
        </w:rPr>
        <w:t xml:space="preserve">. </w:t>
      </w:r>
      <w:r w:rsidR="004C695D">
        <w:rPr>
          <w:rFonts w:eastAsia="Segoe UI" w:cs="Segoe UI"/>
        </w:rPr>
        <w:t>Australian citizens</w:t>
      </w:r>
      <w:r w:rsidRPr="009F333F">
        <w:rPr>
          <w:rFonts w:eastAsia="Segoe UI" w:cs="Segoe UI"/>
        </w:rPr>
        <w:t xml:space="preserve"> have come to expect that this will include timely access to new health technologies</w:t>
      </w:r>
      <w:r w:rsidR="009A76B6">
        <w:rPr>
          <w:rFonts w:eastAsia="Segoe UI" w:cs="Segoe UI"/>
        </w:rPr>
        <w:t>,</w:t>
      </w:r>
      <w:r w:rsidR="009A76B6" w:rsidRPr="009A76B6">
        <w:rPr>
          <w:rFonts w:eastAsia="Segoe UI" w:cs="Segoe UI"/>
        </w:rPr>
        <w:t xml:space="preserve"> </w:t>
      </w:r>
      <w:r w:rsidR="009A76B6" w:rsidRPr="009F333F">
        <w:rPr>
          <w:rFonts w:eastAsia="Segoe UI" w:cs="Segoe UI"/>
        </w:rPr>
        <w:t>including innovative medicines and vaccine</w:t>
      </w:r>
      <w:r w:rsidR="009A76B6">
        <w:rPr>
          <w:rFonts w:eastAsia="Segoe UI" w:cs="Segoe UI"/>
        </w:rPr>
        <w:t>s,</w:t>
      </w:r>
      <w:r w:rsidRPr="009F333F">
        <w:rPr>
          <w:rFonts w:eastAsia="Segoe UI" w:cs="Segoe UI"/>
        </w:rPr>
        <w:t xml:space="preserve"> that may further improve health care and health outcomes</w:t>
      </w:r>
      <w:r w:rsidR="004C695D" w:rsidRPr="00436247">
        <w:rPr>
          <w:rFonts w:eastAsia="Times New Roman" w:cs="Segoe UI"/>
        </w:rPr>
        <w:t>.</w:t>
      </w:r>
      <w:r w:rsidR="71A6162E" w:rsidRPr="00436247">
        <w:rPr>
          <w:rFonts w:eastAsia="Times New Roman" w:cs="Segoe UI"/>
        </w:rPr>
        <w:t xml:space="preserve"> </w:t>
      </w:r>
    </w:p>
    <w:p w14:paraId="0E3C9B94" w14:textId="63C5B1FD" w:rsidR="00E020D3" w:rsidRDefault="71A6162E" w:rsidP="00E54757">
      <w:pPr>
        <w:spacing w:after="0"/>
      </w:pPr>
      <w:r w:rsidRPr="225E66FA">
        <w:rPr>
          <w:rFonts w:eastAsia="Segoe UI" w:cs="Segoe UI"/>
          <w:color w:val="000000" w:themeColor="text1"/>
        </w:rPr>
        <w:t xml:space="preserve">The </w:t>
      </w:r>
      <w:r w:rsidR="004240C5" w:rsidRPr="004240C5">
        <w:rPr>
          <w:rFonts w:eastAsia="Segoe UI" w:cs="Segoe UI"/>
          <w:color w:val="000000" w:themeColor="text1"/>
        </w:rPr>
        <w:t>National Medicines Policy (NMP)</w:t>
      </w:r>
      <w:bookmarkStart w:id="52" w:name="_Ref165620199"/>
      <w:r w:rsidR="00EE11C7" w:rsidDel="00B8537F">
        <w:rPr>
          <w:rStyle w:val="FootnoteReference"/>
          <w:rFonts w:eastAsia="Segoe UI" w:cs="Segoe UI"/>
          <w:color w:val="000000" w:themeColor="text1"/>
        </w:rPr>
        <w:footnoteReference w:id="13"/>
      </w:r>
      <w:bookmarkEnd w:id="52"/>
      <w:r w:rsidRPr="225E66FA">
        <w:rPr>
          <w:rFonts w:eastAsia="Segoe UI" w:cs="Segoe UI"/>
          <w:color w:val="000000" w:themeColor="text1"/>
        </w:rPr>
        <w:t xml:space="preserve"> is the overall framework for the use of medicines in Australia</w:t>
      </w:r>
      <w:r w:rsidR="009A76B6">
        <w:rPr>
          <w:rFonts w:eastAsia="Segoe UI" w:cs="Segoe UI"/>
          <w:color w:val="000000" w:themeColor="text1"/>
        </w:rPr>
        <w:t>. It</w:t>
      </w:r>
      <w:r w:rsidRPr="225E66FA">
        <w:rPr>
          <w:rFonts w:eastAsia="Segoe UI" w:cs="Segoe UI"/>
          <w:color w:val="000000" w:themeColor="text1"/>
        </w:rPr>
        <w:t xml:space="preserve"> has four central pillars</w:t>
      </w:r>
      <w:r w:rsidR="009A76B6">
        <w:rPr>
          <w:rFonts w:eastAsia="Segoe UI" w:cs="Segoe UI"/>
          <w:color w:val="000000" w:themeColor="text1"/>
        </w:rPr>
        <w:t xml:space="preserve"> that</w:t>
      </w:r>
      <w:r w:rsidR="00E61C68">
        <w:rPr>
          <w:rFonts w:eastAsia="Segoe UI" w:cs="Segoe UI"/>
          <w:color w:val="000000" w:themeColor="text1"/>
        </w:rPr>
        <w:t xml:space="preserve"> seek to ensure</w:t>
      </w:r>
      <w:r w:rsidRPr="225E66FA">
        <w:rPr>
          <w:rFonts w:eastAsia="Segoe UI" w:cs="Segoe UI"/>
          <w:color w:val="000000" w:themeColor="text1"/>
        </w:rPr>
        <w:t>:</w:t>
      </w:r>
    </w:p>
    <w:p w14:paraId="4B5A9CCE" w14:textId="2120439A" w:rsidR="00E020D3" w:rsidRDefault="00F16F68" w:rsidP="00281153">
      <w:pPr>
        <w:pStyle w:val="ListBullet"/>
        <w:numPr>
          <w:ilvl w:val="0"/>
          <w:numId w:val="98"/>
        </w:numPr>
      </w:pPr>
      <w:r>
        <w:t xml:space="preserve">that </w:t>
      </w:r>
      <w:r w:rsidR="009A76B6" w:rsidRPr="225E66FA">
        <w:t>individuals and the community</w:t>
      </w:r>
      <w:r w:rsidR="009A76B6">
        <w:t xml:space="preserve"> have e</w:t>
      </w:r>
      <w:r w:rsidR="71A6162E" w:rsidRPr="225E66FA">
        <w:t>quitable, timely, safe and reliable access to medicines and medicine</w:t>
      </w:r>
      <w:r w:rsidR="00F659F0">
        <w:t>s</w:t>
      </w:r>
      <w:r w:rsidR="71A6162E" w:rsidRPr="225E66FA">
        <w:t>-related services at a cost th</w:t>
      </w:r>
      <w:r w:rsidR="009A76B6">
        <w:t>ey</w:t>
      </w:r>
      <w:r w:rsidR="71A6162E" w:rsidRPr="225E66FA">
        <w:t xml:space="preserve"> can afford </w:t>
      </w:r>
    </w:p>
    <w:p w14:paraId="16D66DF8" w14:textId="5DE52E5D" w:rsidR="00E020D3" w:rsidRDefault="00F16F68" w:rsidP="00281153">
      <w:pPr>
        <w:pStyle w:val="ListBullet"/>
        <w:numPr>
          <w:ilvl w:val="0"/>
          <w:numId w:val="98"/>
        </w:numPr>
      </w:pPr>
      <w:r>
        <w:t>m</w:t>
      </w:r>
      <w:r w:rsidR="71A6162E" w:rsidRPr="225E66FA">
        <w:t xml:space="preserve">edicines meet the required standards of quality, </w:t>
      </w:r>
      <w:r w:rsidR="71A6162E" w:rsidRPr="6280D17B">
        <w:rPr>
          <w:rFonts w:eastAsiaTheme="minorEastAsia"/>
        </w:rPr>
        <w:t>safety</w:t>
      </w:r>
      <w:r w:rsidR="71A6162E" w:rsidRPr="225E66FA">
        <w:t xml:space="preserve"> and efficacy</w:t>
      </w:r>
    </w:p>
    <w:p w14:paraId="26925606" w14:textId="3482F8C1" w:rsidR="00E020D3" w:rsidRDefault="00F16F68" w:rsidP="00281153">
      <w:pPr>
        <w:pStyle w:val="ListBullet"/>
        <w:numPr>
          <w:ilvl w:val="0"/>
          <w:numId w:val="98"/>
        </w:numPr>
      </w:pPr>
      <w:r>
        <w:t>q</w:t>
      </w:r>
      <w:r w:rsidRPr="225E66FA">
        <w:t xml:space="preserve">uality </w:t>
      </w:r>
      <w:r w:rsidR="71A6162E" w:rsidRPr="225E66FA">
        <w:t>use of medicines and medicines safety</w:t>
      </w:r>
    </w:p>
    <w:p w14:paraId="71224910" w14:textId="38DD8B3A" w:rsidR="00E020D3" w:rsidRDefault="00F16F68" w:rsidP="00281153">
      <w:pPr>
        <w:pStyle w:val="ListBullet"/>
        <w:numPr>
          <w:ilvl w:val="0"/>
          <w:numId w:val="98"/>
        </w:numPr>
      </w:pPr>
      <w:r>
        <w:t xml:space="preserve">a </w:t>
      </w:r>
      <w:r w:rsidR="71A6162E" w:rsidRPr="225E66FA">
        <w:t>collaborative, innovative and sustainable medicines industry and research sectors with the capability, capacity and expertise to respond to current and future health needs.</w:t>
      </w:r>
    </w:p>
    <w:p w14:paraId="75C9328C" w14:textId="49D41B46" w:rsidR="00E020D3" w:rsidRDefault="004240C5" w:rsidP="00A318F7">
      <w:r>
        <w:rPr>
          <w:rFonts w:eastAsia="Segoe UI" w:cs="Segoe UI"/>
          <w:color w:val="000000" w:themeColor="text1"/>
        </w:rPr>
        <w:t>Health technology assessment (</w:t>
      </w:r>
      <w:r w:rsidR="00C221C7">
        <w:rPr>
          <w:rFonts w:eastAsia="Segoe UI" w:cs="Segoe UI"/>
          <w:color w:val="000000" w:themeColor="text1"/>
        </w:rPr>
        <w:t>HTA</w:t>
      </w:r>
      <w:r>
        <w:rPr>
          <w:rFonts w:eastAsia="Segoe UI" w:cs="Segoe UI"/>
          <w:color w:val="000000" w:themeColor="text1"/>
        </w:rPr>
        <w:t>)</w:t>
      </w:r>
      <w:r w:rsidR="00C221C7">
        <w:rPr>
          <w:rFonts w:eastAsia="Segoe UI" w:cs="Segoe UI"/>
          <w:color w:val="000000" w:themeColor="text1"/>
        </w:rPr>
        <w:t xml:space="preserve"> </w:t>
      </w:r>
      <w:r w:rsidR="71A6162E" w:rsidRPr="225E66FA">
        <w:rPr>
          <w:rFonts w:eastAsia="Segoe UI" w:cs="Segoe UI"/>
          <w:color w:val="000000" w:themeColor="text1"/>
        </w:rPr>
        <w:t xml:space="preserve">plays a central role in meeting the objectives of these pillars. </w:t>
      </w:r>
      <w:r w:rsidR="71A6162E" w:rsidRPr="00436247">
        <w:rPr>
          <w:rFonts w:eastAsia="Segoe UI" w:cs="Segoe UI"/>
          <w:color w:val="000000" w:themeColor="text1"/>
        </w:rPr>
        <w:t>T</w:t>
      </w:r>
      <w:r w:rsidR="00C221C7">
        <w:rPr>
          <w:rFonts w:eastAsia="Segoe UI" w:cs="Segoe UI"/>
          <w:color w:val="000000" w:themeColor="text1"/>
        </w:rPr>
        <w:t>he</w:t>
      </w:r>
      <w:r w:rsidR="71A6162E" w:rsidRPr="225E66FA">
        <w:rPr>
          <w:rFonts w:eastAsia="Segoe UI" w:cs="Segoe UI"/>
          <w:color w:val="000000" w:themeColor="text1"/>
        </w:rPr>
        <w:t xml:space="preserve"> Review </w:t>
      </w:r>
      <w:r w:rsidR="00F16F68">
        <w:rPr>
          <w:rFonts w:eastAsia="Segoe UI" w:cs="Segoe UI"/>
          <w:color w:val="000000" w:themeColor="text1"/>
        </w:rPr>
        <w:t>provided</w:t>
      </w:r>
      <w:r w:rsidR="71A6162E" w:rsidRPr="225E66FA">
        <w:rPr>
          <w:rFonts w:eastAsia="Segoe UI" w:cs="Segoe UI"/>
          <w:color w:val="000000" w:themeColor="text1"/>
        </w:rPr>
        <w:t xml:space="preserve"> a significant and timely opportunity to examine Australia’s approach to HTA</w:t>
      </w:r>
      <w:r w:rsidR="00BB34D8">
        <w:rPr>
          <w:rFonts w:eastAsia="Segoe UI" w:cs="Segoe UI"/>
          <w:color w:val="000000" w:themeColor="text1"/>
        </w:rPr>
        <w:t>s</w:t>
      </w:r>
      <w:r w:rsidR="71A6162E" w:rsidRPr="225E66FA">
        <w:rPr>
          <w:rFonts w:eastAsia="Segoe UI" w:cs="Segoe UI"/>
          <w:color w:val="000000" w:themeColor="text1"/>
        </w:rPr>
        <w:t xml:space="preserve"> to determine what is working effectively, how </w:t>
      </w:r>
      <w:r w:rsidR="00F16F68">
        <w:rPr>
          <w:rFonts w:eastAsia="Segoe UI" w:cs="Segoe UI"/>
          <w:color w:val="000000" w:themeColor="text1"/>
        </w:rPr>
        <w:t xml:space="preserve">to improve </w:t>
      </w:r>
      <w:r w:rsidR="71A6162E" w:rsidRPr="225E66FA">
        <w:rPr>
          <w:rFonts w:eastAsia="Segoe UI" w:cs="Segoe UI"/>
          <w:color w:val="000000" w:themeColor="text1"/>
        </w:rPr>
        <w:t xml:space="preserve">the current settings and how </w:t>
      </w:r>
      <w:r w:rsidR="00F16F68">
        <w:rPr>
          <w:rFonts w:eastAsia="Segoe UI" w:cs="Segoe UI"/>
          <w:color w:val="000000" w:themeColor="text1"/>
        </w:rPr>
        <w:t xml:space="preserve">to futureproof </w:t>
      </w:r>
      <w:r w:rsidR="71A6162E" w:rsidRPr="225E66FA">
        <w:rPr>
          <w:rFonts w:eastAsia="Segoe UI" w:cs="Segoe UI"/>
          <w:color w:val="000000" w:themeColor="text1"/>
        </w:rPr>
        <w:t>the system to best meet the opportunities and challenges of the future.</w:t>
      </w:r>
    </w:p>
    <w:p w14:paraId="6E6CB734" w14:textId="41A441A4" w:rsidR="00E020D3" w:rsidRDefault="71A6162E" w:rsidP="002A599A">
      <w:pPr>
        <w:pStyle w:val="Heading2"/>
        <w:rPr>
          <w:rFonts w:eastAsia="Segoe UI"/>
        </w:rPr>
      </w:pPr>
      <w:bookmarkStart w:id="53" w:name="_Toc164781623"/>
      <w:bookmarkStart w:id="54" w:name="_Toc171935856"/>
      <w:r w:rsidRPr="007305C7">
        <w:rPr>
          <w:rFonts w:eastAsia="Segoe UI"/>
        </w:rPr>
        <w:t xml:space="preserve">How </w:t>
      </w:r>
      <w:r w:rsidRPr="002A599A">
        <w:rPr>
          <w:rFonts w:eastAsia="Segoe UI"/>
        </w:rPr>
        <w:t>the</w:t>
      </w:r>
      <w:r w:rsidRPr="007305C7">
        <w:rPr>
          <w:rFonts w:eastAsia="Segoe UI"/>
        </w:rPr>
        <w:t xml:space="preserve"> </w:t>
      </w:r>
      <w:r w:rsidR="00C221C7" w:rsidRPr="007305C7">
        <w:rPr>
          <w:rFonts w:eastAsia="Segoe UI"/>
        </w:rPr>
        <w:t>R</w:t>
      </w:r>
      <w:r w:rsidRPr="007305C7">
        <w:rPr>
          <w:rFonts w:eastAsia="Segoe UI"/>
        </w:rPr>
        <w:t>eview was conducted</w:t>
      </w:r>
      <w:bookmarkEnd w:id="53"/>
      <w:bookmarkEnd w:id="54"/>
    </w:p>
    <w:p w14:paraId="3EAF9FFD" w14:textId="0EC46ABC" w:rsidR="00E020D3" w:rsidRDefault="71A6162E" w:rsidP="00E54757">
      <w:pPr>
        <w:spacing w:after="0"/>
        <w:rPr>
          <w:rFonts w:eastAsia="Segoe UI" w:cs="Segoe UI"/>
          <w:color w:val="000000" w:themeColor="text1"/>
        </w:rPr>
      </w:pPr>
      <w:r w:rsidRPr="225E66FA">
        <w:rPr>
          <w:rFonts w:eastAsia="Segoe UI" w:cs="Segoe UI"/>
          <w:color w:val="000000" w:themeColor="text1"/>
        </w:rPr>
        <w:t xml:space="preserve">The Review was one of the key commitments in the </w:t>
      </w:r>
      <w:r w:rsidR="00ED1628" w:rsidRPr="00ED1628">
        <w:rPr>
          <w:rFonts w:eastAsia="Segoe UI" w:cs="Segoe UI"/>
          <w:i/>
          <w:iCs/>
          <w:color w:val="000000" w:themeColor="text1"/>
        </w:rPr>
        <w:t>2022–2027 Strategic Agreement between the Commonwealth and Medicines Australia</w:t>
      </w:r>
      <w:bookmarkStart w:id="55" w:name="_Ref165622147"/>
      <w:r w:rsidR="008556ED">
        <w:rPr>
          <w:rFonts w:eastAsia="Segoe UI" w:cs="Segoe UI"/>
          <w:i/>
          <w:iCs/>
          <w:color w:val="000000" w:themeColor="text1"/>
        </w:rPr>
        <w:t>.</w:t>
      </w:r>
      <w:r w:rsidR="00FF2B22">
        <w:rPr>
          <w:rStyle w:val="FootnoteReference"/>
          <w:rFonts w:eastAsia="Segoe UI" w:cs="Segoe UI"/>
          <w:color w:val="000000" w:themeColor="text1"/>
        </w:rPr>
        <w:footnoteReference w:id="14"/>
      </w:r>
      <w:bookmarkEnd w:id="55"/>
      <w:r w:rsidRPr="225E66FA">
        <w:rPr>
          <w:rFonts w:eastAsia="Segoe UI" w:cs="Segoe UI"/>
          <w:color w:val="000000" w:themeColor="text1"/>
        </w:rPr>
        <w:t xml:space="preserve"> The Minister for Health </w:t>
      </w:r>
      <w:r w:rsidR="008843FA">
        <w:rPr>
          <w:rFonts w:eastAsia="Segoe UI" w:cs="Segoe UI"/>
          <w:color w:val="000000" w:themeColor="text1"/>
        </w:rPr>
        <w:t xml:space="preserve">and Aged Care </w:t>
      </w:r>
      <w:r w:rsidRPr="225E66FA">
        <w:rPr>
          <w:rFonts w:eastAsia="Segoe UI" w:cs="Segoe UI"/>
          <w:color w:val="000000" w:themeColor="text1"/>
        </w:rPr>
        <w:t xml:space="preserve">appointed the following </w:t>
      </w:r>
      <w:r w:rsidR="0063382D">
        <w:rPr>
          <w:rFonts w:eastAsia="Segoe UI" w:cs="Segoe UI"/>
          <w:color w:val="000000" w:themeColor="text1"/>
        </w:rPr>
        <w:t>R</w:t>
      </w:r>
      <w:r w:rsidRPr="225E66FA">
        <w:rPr>
          <w:rFonts w:eastAsia="Segoe UI" w:cs="Segoe UI"/>
          <w:color w:val="000000" w:themeColor="text1"/>
        </w:rPr>
        <w:t xml:space="preserve">eference </w:t>
      </w:r>
      <w:r w:rsidR="0063382D">
        <w:rPr>
          <w:rFonts w:eastAsia="Segoe UI" w:cs="Segoe UI"/>
          <w:color w:val="000000" w:themeColor="text1"/>
        </w:rPr>
        <w:t>C</w:t>
      </w:r>
      <w:r w:rsidRPr="225E66FA">
        <w:rPr>
          <w:rFonts w:eastAsia="Segoe UI" w:cs="Segoe UI"/>
          <w:color w:val="000000" w:themeColor="text1"/>
        </w:rPr>
        <w:t>ommittee to conduct the Review.</w:t>
      </w:r>
    </w:p>
    <w:p w14:paraId="2FD50FF6" w14:textId="77777777" w:rsidR="00C23627" w:rsidRDefault="00C23627" w:rsidP="00E54757">
      <w:pPr>
        <w:spacing w:after="0"/>
      </w:pPr>
    </w:p>
    <w:p w14:paraId="40EBAD7D" w14:textId="77777777" w:rsidR="00B62AB6" w:rsidRDefault="00B62AB6" w:rsidP="00E54757">
      <w:pPr>
        <w:rPr>
          <w:i/>
          <w:iCs/>
          <w:color w:val="00869B" w:themeColor="accent6" w:themeShade="BF"/>
          <w:szCs w:val="18"/>
        </w:rPr>
      </w:pPr>
      <w:r>
        <w:br w:type="page"/>
      </w:r>
    </w:p>
    <w:p w14:paraId="6C0A0307" w14:textId="41D02213" w:rsidR="00E020D3" w:rsidRDefault="00573813" w:rsidP="00E54757">
      <w:pPr>
        <w:pStyle w:val="Caption"/>
      </w:pPr>
      <w:bookmarkStart w:id="56" w:name="_Toc171948107"/>
      <w:r>
        <w:lastRenderedPageBreak/>
        <w:t xml:space="preserve">Table </w:t>
      </w:r>
      <w:r>
        <w:fldChar w:fldCharType="begin" w:fldLock="1"/>
      </w:r>
      <w:r>
        <w:instrText>SEQ Table \* ARABIC</w:instrText>
      </w:r>
      <w:r>
        <w:fldChar w:fldCharType="separate"/>
      </w:r>
      <w:r w:rsidR="005A5207">
        <w:rPr>
          <w:noProof/>
        </w:rPr>
        <w:t>1</w:t>
      </w:r>
      <w:r>
        <w:fldChar w:fldCharType="end"/>
      </w:r>
      <w:r w:rsidR="005E4DBC">
        <w:t>: HTA Review Reference Committee membership</w:t>
      </w:r>
      <w:bookmarkEnd w:id="56"/>
      <w:r w:rsidR="71A6162E" w:rsidRPr="225E66FA">
        <w:rPr>
          <w:rFonts w:eastAsia="Segoe UI" w:cs="Segoe UI"/>
          <w:color w:val="000000" w:themeColor="text1"/>
        </w:rPr>
        <w:t xml:space="preserve"> </w:t>
      </w:r>
    </w:p>
    <w:tbl>
      <w:tblPr>
        <w:tblStyle w:val="ListTable3-Accent1"/>
        <w:tblW w:w="9188" w:type="dxa"/>
        <w:tblLook w:val="04A0" w:firstRow="1" w:lastRow="0" w:firstColumn="1" w:lastColumn="0" w:noHBand="0" w:noVBand="1"/>
      </w:tblPr>
      <w:tblGrid>
        <w:gridCol w:w="4245"/>
        <w:gridCol w:w="4943"/>
      </w:tblGrid>
      <w:tr w:rsidR="00840162" w:rsidRPr="00D0197A" w14:paraId="29675633" w14:textId="77777777" w:rsidTr="00514E65">
        <w:trPr>
          <w:cnfStyle w:val="100000000000" w:firstRow="1" w:lastRow="0" w:firstColumn="0" w:lastColumn="0" w:oddVBand="0" w:evenVBand="0" w:oddHBand="0" w:evenHBand="0" w:firstRowFirstColumn="0" w:firstRowLastColumn="0" w:lastRowFirstColumn="0" w:lastRowLastColumn="0"/>
          <w:trHeight w:val="335"/>
        </w:trPr>
        <w:tc>
          <w:tcPr>
            <w:cnfStyle w:val="001000000100" w:firstRow="0" w:lastRow="0" w:firstColumn="1" w:lastColumn="0" w:oddVBand="0" w:evenVBand="0" w:oddHBand="0" w:evenHBand="0" w:firstRowFirstColumn="1" w:firstRowLastColumn="0" w:lastRowFirstColumn="0" w:lastRowLastColumn="0"/>
            <w:tcW w:w="4245" w:type="dxa"/>
            <w:shd w:val="clear" w:color="auto" w:fill="1D437F"/>
            <w:hideMark/>
          </w:tcPr>
          <w:p w14:paraId="3E48D085" w14:textId="77777777" w:rsidR="00840162" w:rsidRPr="00D0197A" w:rsidRDefault="00840162">
            <w:pPr>
              <w:spacing w:before="100" w:beforeAutospacing="1" w:after="100" w:afterAutospacing="1"/>
              <w:jc w:val="center"/>
              <w:textAlignment w:val="baseline"/>
              <w:rPr>
                <w:rFonts w:ascii="Times New Roman" w:eastAsia="Times New Roman" w:hAnsi="Times New Roman"/>
                <w:color w:val="000000"/>
                <w:lang w:val="en-US" w:eastAsia="en-AU"/>
              </w:rPr>
            </w:pPr>
            <w:r w:rsidRPr="00D0197A">
              <w:rPr>
                <w:rFonts w:ascii="Times New Roman" w:eastAsia="Times New Roman" w:hAnsi="Times New Roman"/>
                <w:lang w:eastAsia="en-AU"/>
              </w:rPr>
              <w:t> </w:t>
            </w:r>
            <w:r w:rsidRPr="00D0197A">
              <w:rPr>
                <w:rFonts w:ascii="Arial Nova" w:eastAsia="Times New Roman" w:hAnsi="Arial Nova"/>
                <w:color w:val="FFFFFF"/>
                <w:position w:val="-1"/>
                <w:lang w:eastAsia="en-AU"/>
              </w:rPr>
              <w:t>Member</w:t>
            </w:r>
            <w:r w:rsidRPr="00D0197A">
              <w:rPr>
                <w:rFonts w:ascii="Arial" w:eastAsia="Times New Roman" w:hAnsi="Arial" w:cs="Arial"/>
                <w:color w:val="000000"/>
                <w:lang w:val="en-US" w:eastAsia="en-AU"/>
              </w:rPr>
              <w:t>​</w:t>
            </w:r>
          </w:p>
        </w:tc>
        <w:tc>
          <w:tcPr>
            <w:tcW w:w="4943" w:type="dxa"/>
            <w:hideMark/>
          </w:tcPr>
          <w:p w14:paraId="0A744428" w14:textId="77777777" w:rsidR="00840162" w:rsidRPr="00D0197A" w:rsidRDefault="00840162">
            <w:pPr>
              <w:spacing w:before="100" w:beforeAutospacing="1" w:after="100" w:afterAutospacing="1"/>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w:eastAsia="Times New Roman" w:hAnsi="Arial Nova"/>
                <w:color w:val="FFFFFF"/>
                <w:position w:val="-1"/>
                <w:lang w:eastAsia="en-AU"/>
              </w:rPr>
              <w:t xml:space="preserve">Role on the </w:t>
            </w:r>
            <w:r>
              <w:rPr>
                <w:rFonts w:ascii="Arial Nova" w:eastAsia="Times New Roman" w:hAnsi="Arial Nova"/>
                <w:color w:val="FFFFFF"/>
                <w:position w:val="-1"/>
                <w:lang w:eastAsia="en-AU"/>
              </w:rPr>
              <w:t xml:space="preserve">Reference </w:t>
            </w:r>
            <w:r w:rsidRPr="00D0197A">
              <w:rPr>
                <w:rFonts w:ascii="Arial Nova" w:eastAsia="Times New Roman" w:hAnsi="Arial Nova"/>
                <w:color w:val="FFFFFF"/>
                <w:position w:val="-1"/>
                <w:lang w:eastAsia="en-AU"/>
              </w:rPr>
              <w:t>Committee</w:t>
            </w:r>
            <w:r w:rsidRPr="00D0197A">
              <w:rPr>
                <w:rFonts w:ascii="Arial" w:eastAsia="Times New Roman" w:hAnsi="Arial" w:cs="Arial"/>
                <w:color w:val="000000"/>
                <w:lang w:val="en-US" w:eastAsia="en-AU"/>
              </w:rPr>
              <w:t>​</w:t>
            </w:r>
          </w:p>
        </w:tc>
      </w:tr>
      <w:tr w:rsidR="00840162" w:rsidRPr="00D0197A" w14:paraId="60A3AF01" w14:textId="77777777" w:rsidTr="00A92F6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7C62A7AF"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val="pt-BR" w:eastAsia="en-AU"/>
              </w:rPr>
              <w:t>Adjunct Professor Debora Picone AO</w:t>
            </w:r>
            <w:r w:rsidRPr="00A92F6D">
              <w:rPr>
                <w:rFonts w:ascii="Arial" w:eastAsia="Times New Roman" w:hAnsi="Arial" w:cs="Arial"/>
                <w:b w:val="0"/>
                <w:color w:val="000000"/>
                <w:lang w:val="en-US" w:eastAsia="en-AU"/>
              </w:rPr>
              <w:t>​</w:t>
            </w:r>
          </w:p>
        </w:tc>
        <w:tc>
          <w:tcPr>
            <w:tcW w:w="4943" w:type="dxa"/>
            <w:hideMark/>
          </w:tcPr>
          <w:p w14:paraId="6FC7D783" w14:textId="77777777" w:rsidR="00840162" w:rsidRPr="00D0197A" w:rsidRDefault="00840162">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Independent Chair</w:t>
            </w:r>
            <w:r w:rsidRPr="00D0197A">
              <w:rPr>
                <w:rFonts w:ascii="Arial" w:eastAsia="Times New Roman" w:hAnsi="Arial" w:cs="Arial"/>
                <w:color w:val="000000"/>
                <w:lang w:val="en-US" w:eastAsia="en-AU"/>
              </w:rPr>
              <w:t>​</w:t>
            </w:r>
          </w:p>
        </w:tc>
      </w:tr>
      <w:tr w:rsidR="00840162" w:rsidRPr="00D0197A" w14:paraId="539C4826" w14:textId="77777777" w:rsidTr="00A92F6D">
        <w:trPr>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027DA14B"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Dr Dawn Casey PSM</w:t>
            </w:r>
            <w:r w:rsidRPr="00A92F6D">
              <w:rPr>
                <w:rFonts w:ascii="Arial" w:eastAsia="Times New Roman" w:hAnsi="Arial" w:cs="Arial"/>
                <w:b w:val="0"/>
                <w:color w:val="000000"/>
                <w:lang w:val="en-US" w:eastAsia="en-AU"/>
              </w:rPr>
              <w:t>​</w:t>
            </w:r>
          </w:p>
        </w:tc>
        <w:tc>
          <w:tcPr>
            <w:tcW w:w="4943" w:type="dxa"/>
            <w:hideMark/>
          </w:tcPr>
          <w:p w14:paraId="28A16B40" w14:textId="77777777" w:rsidR="00840162" w:rsidRPr="00D0197A" w:rsidRDefault="00840162">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 xml:space="preserve">Patient </w:t>
            </w:r>
            <w:r>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840162" w:rsidRPr="00D0197A" w14:paraId="0E998AFE" w14:textId="77777777" w:rsidTr="00A92F6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2D88B8BE"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Ann Single</w:t>
            </w:r>
            <w:r w:rsidRPr="00A92F6D">
              <w:rPr>
                <w:rFonts w:ascii="Arial" w:eastAsia="Times New Roman" w:hAnsi="Arial" w:cs="Arial"/>
                <w:b w:val="0"/>
                <w:color w:val="000000"/>
                <w:lang w:val="en-US" w:eastAsia="en-AU"/>
              </w:rPr>
              <w:t>​</w:t>
            </w:r>
          </w:p>
        </w:tc>
        <w:tc>
          <w:tcPr>
            <w:tcW w:w="4943" w:type="dxa"/>
            <w:hideMark/>
          </w:tcPr>
          <w:p w14:paraId="712409D1" w14:textId="77777777" w:rsidR="00840162" w:rsidRPr="00D0197A" w:rsidRDefault="00840162">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 xml:space="preserve">Patient </w:t>
            </w:r>
            <w:r>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840162" w:rsidRPr="00D0197A" w14:paraId="116DA04A" w14:textId="77777777" w:rsidTr="00A92F6D">
        <w:trPr>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3375F3B0" w14:textId="1B02442F"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Professor Andrew Wilson</w:t>
            </w:r>
            <w:r w:rsidRPr="00A92F6D">
              <w:rPr>
                <w:rFonts w:ascii="Arial" w:eastAsia="Times New Roman" w:hAnsi="Arial" w:cs="Arial"/>
                <w:b w:val="0"/>
                <w:color w:val="000000"/>
                <w:lang w:val="en-US" w:eastAsia="en-AU"/>
              </w:rPr>
              <w:t>​</w:t>
            </w:r>
            <w:r w:rsidR="00143903">
              <w:rPr>
                <w:rFonts w:ascii="Arial" w:eastAsia="Times New Roman" w:hAnsi="Arial" w:cs="Arial"/>
                <w:b w:val="0"/>
                <w:color w:val="000000"/>
                <w:lang w:val="en-US" w:eastAsia="en-AU"/>
              </w:rPr>
              <w:t xml:space="preserve"> AO</w:t>
            </w:r>
          </w:p>
        </w:tc>
        <w:tc>
          <w:tcPr>
            <w:tcW w:w="4943" w:type="dxa"/>
            <w:hideMark/>
          </w:tcPr>
          <w:p w14:paraId="4F12705E" w14:textId="77777777" w:rsidR="00840162" w:rsidRPr="00D0197A" w:rsidRDefault="00840162">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Chair of the P</w:t>
            </w:r>
            <w:r>
              <w:rPr>
                <w:rFonts w:ascii="Arial Nova Light" w:eastAsia="Times New Roman" w:hAnsi="Arial Nova Light"/>
                <w:color w:val="000000"/>
                <w:position w:val="-1"/>
                <w:lang w:eastAsia="en-AU"/>
              </w:rPr>
              <w:t xml:space="preserve">harmaceutical </w:t>
            </w:r>
            <w:r w:rsidRPr="00D0197A">
              <w:rPr>
                <w:rFonts w:ascii="Arial Nova Light" w:eastAsia="Times New Roman" w:hAnsi="Arial Nova Light"/>
                <w:color w:val="000000"/>
                <w:position w:val="-1"/>
                <w:lang w:eastAsia="en-AU"/>
              </w:rPr>
              <w:t>B</w:t>
            </w:r>
            <w:r>
              <w:rPr>
                <w:rFonts w:ascii="Arial Nova Light" w:eastAsia="Times New Roman" w:hAnsi="Arial Nova Light"/>
                <w:color w:val="000000"/>
                <w:position w:val="-1"/>
                <w:lang w:eastAsia="en-AU"/>
              </w:rPr>
              <w:t xml:space="preserve">enefits </w:t>
            </w:r>
            <w:r w:rsidRPr="00D0197A">
              <w:rPr>
                <w:rFonts w:ascii="Arial Nova Light" w:eastAsia="Times New Roman" w:hAnsi="Arial Nova Light"/>
                <w:color w:val="000000"/>
                <w:position w:val="-1"/>
                <w:lang w:eastAsia="en-AU"/>
              </w:rPr>
              <w:t>A</w:t>
            </w:r>
            <w:r>
              <w:rPr>
                <w:rFonts w:ascii="Arial Nova Light" w:eastAsia="Times New Roman" w:hAnsi="Arial Nova Light"/>
                <w:color w:val="000000"/>
                <w:position w:val="-1"/>
                <w:lang w:eastAsia="en-AU"/>
              </w:rPr>
              <w:t xml:space="preserve">dvisory </w:t>
            </w:r>
            <w:r w:rsidRPr="00D0197A">
              <w:rPr>
                <w:rFonts w:ascii="Arial Nova Light" w:eastAsia="Times New Roman" w:hAnsi="Arial Nova Light"/>
                <w:color w:val="000000"/>
                <w:position w:val="-1"/>
                <w:lang w:eastAsia="en-AU"/>
              </w:rPr>
              <w:t>C</w:t>
            </w:r>
            <w:r>
              <w:rPr>
                <w:rFonts w:ascii="Arial Nova Light" w:eastAsia="Times New Roman" w:hAnsi="Arial Nova Light"/>
                <w:color w:val="000000"/>
                <w:position w:val="-1"/>
                <w:lang w:eastAsia="en-AU"/>
              </w:rPr>
              <w:t>ommittee</w:t>
            </w:r>
            <w:r w:rsidRPr="00D0197A">
              <w:rPr>
                <w:rFonts w:ascii="Arial" w:eastAsia="Times New Roman" w:hAnsi="Arial" w:cs="Arial"/>
                <w:color w:val="000000"/>
                <w:lang w:val="en-US" w:eastAsia="en-AU"/>
              </w:rPr>
              <w:t>​</w:t>
            </w:r>
          </w:p>
        </w:tc>
      </w:tr>
      <w:tr w:rsidR="00840162" w:rsidRPr="00D0197A" w14:paraId="1907445B" w14:textId="77777777" w:rsidTr="00A92F6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35AAFE11"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Professor Andrew Roberts AM</w:t>
            </w:r>
            <w:r w:rsidRPr="00A92F6D">
              <w:rPr>
                <w:rFonts w:ascii="Arial" w:eastAsia="Times New Roman" w:hAnsi="Arial" w:cs="Arial"/>
                <w:b w:val="0"/>
                <w:color w:val="000000"/>
                <w:lang w:val="en-US" w:eastAsia="en-AU"/>
              </w:rPr>
              <w:t>​</w:t>
            </w:r>
          </w:p>
        </w:tc>
        <w:tc>
          <w:tcPr>
            <w:tcW w:w="4943" w:type="dxa"/>
            <w:hideMark/>
          </w:tcPr>
          <w:p w14:paraId="7BE19B14" w14:textId="77777777" w:rsidR="00840162" w:rsidRPr="00D0197A" w:rsidRDefault="00840162">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Clinical/</w:t>
            </w:r>
            <w:r>
              <w:rPr>
                <w:rFonts w:ascii="Arial Nova Light" w:eastAsia="Times New Roman" w:hAnsi="Arial Nova Light"/>
                <w:color w:val="000000"/>
                <w:position w:val="-1"/>
                <w:lang w:eastAsia="en-AU"/>
              </w:rPr>
              <w:t>s</w:t>
            </w:r>
            <w:r w:rsidRPr="00D0197A">
              <w:rPr>
                <w:rFonts w:ascii="Arial Nova Light" w:eastAsia="Times New Roman" w:hAnsi="Arial Nova Light"/>
                <w:color w:val="000000"/>
                <w:position w:val="-1"/>
                <w:lang w:eastAsia="en-AU"/>
              </w:rPr>
              <w:t>cientific </w:t>
            </w:r>
            <w:r>
              <w:rPr>
                <w:rFonts w:ascii="Arial Nova Light" w:eastAsia="Times New Roman" w:hAnsi="Arial Nova Light"/>
                <w:color w:val="000000"/>
                <w:position w:val="-1"/>
                <w:lang w:eastAsia="en-AU"/>
              </w:rPr>
              <w:t>r</w:t>
            </w:r>
            <w:r w:rsidRPr="00D0197A">
              <w:rPr>
                <w:rFonts w:ascii="Arial Nova Light" w:eastAsia="Times New Roman" w:hAnsi="Arial Nova Light"/>
                <w:color w:val="000000"/>
                <w:position w:val="-1"/>
                <w:lang w:eastAsia="en-AU"/>
              </w:rPr>
              <w:t>epresentative</w:t>
            </w:r>
            <w:r w:rsidRPr="00D0197A">
              <w:rPr>
                <w:rFonts w:ascii="Arial" w:eastAsia="Times New Roman" w:hAnsi="Arial" w:cs="Arial"/>
                <w:color w:val="000000"/>
                <w:lang w:val="en-US" w:eastAsia="en-AU"/>
              </w:rPr>
              <w:t>​</w:t>
            </w:r>
          </w:p>
        </w:tc>
      </w:tr>
      <w:tr w:rsidR="00840162" w:rsidRPr="00D0197A" w14:paraId="18493893" w14:textId="77777777" w:rsidTr="00A92F6D">
        <w:trPr>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46D614B9"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Elizabeth de Somer</w:t>
            </w:r>
            <w:r w:rsidRPr="00A92F6D">
              <w:rPr>
                <w:rFonts w:ascii="Arial" w:eastAsia="Times New Roman" w:hAnsi="Arial" w:cs="Arial"/>
                <w:b w:val="0"/>
                <w:color w:val="000000"/>
                <w:lang w:val="en-US" w:eastAsia="en-AU"/>
              </w:rPr>
              <w:t>​</w:t>
            </w:r>
          </w:p>
        </w:tc>
        <w:tc>
          <w:tcPr>
            <w:tcW w:w="4943" w:type="dxa"/>
            <w:hideMark/>
          </w:tcPr>
          <w:p w14:paraId="1DE5E9DB" w14:textId="77777777" w:rsidR="00840162" w:rsidRPr="00D0197A" w:rsidRDefault="00840162">
            <w:pPr>
              <w:spacing w:before="100" w:beforeAutospacing="1" w:after="100" w:afterAutospacing="1"/>
              <w:jc w:val="left"/>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Member nominated by Medicines Australia</w:t>
            </w:r>
            <w:r w:rsidRPr="00D0197A">
              <w:rPr>
                <w:rFonts w:ascii="Arial" w:eastAsia="Times New Roman" w:hAnsi="Arial" w:cs="Arial"/>
                <w:color w:val="000000"/>
                <w:lang w:val="en-US" w:eastAsia="en-AU"/>
              </w:rPr>
              <w:t>​</w:t>
            </w:r>
          </w:p>
        </w:tc>
      </w:tr>
      <w:tr w:rsidR="00840162" w:rsidRPr="00D0197A" w14:paraId="09B1DD1E" w14:textId="77777777" w:rsidTr="00A92F6D">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4245" w:type="dxa"/>
            <w:hideMark/>
          </w:tcPr>
          <w:p w14:paraId="4C0C13DA" w14:textId="77777777" w:rsidR="00840162" w:rsidRPr="00A92F6D" w:rsidRDefault="00840162">
            <w:pPr>
              <w:spacing w:before="100" w:beforeAutospacing="1" w:after="100" w:afterAutospacing="1"/>
              <w:jc w:val="left"/>
              <w:textAlignment w:val="baseline"/>
              <w:rPr>
                <w:rFonts w:ascii="Times New Roman" w:eastAsia="Times New Roman" w:hAnsi="Times New Roman"/>
                <w:b w:val="0"/>
                <w:color w:val="000000"/>
                <w:lang w:val="en-US" w:eastAsia="en-AU"/>
              </w:rPr>
            </w:pPr>
            <w:r w:rsidRPr="00A92F6D">
              <w:rPr>
                <w:rFonts w:ascii="Arial Nova Light" w:eastAsia="Times New Roman" w:hAnsi="Arial Nova Light"/>
                <w:b w:val="0"/>
                <w:color w:val="000000"/>
                <w:position w:val="-1"/>
                <w:lang w:eastAsia="en-AU"/>
              </w:rPr>
              <w:t>Adjunct Professor Adriana Platona PSM</w:t>
            </w:r>
            <w:r w:rsidRPr="00A92F6D">
              <w:rPr>
                <w:rFonts w:ascii="Arial" w:eastAsia="Times New Roman" w:hAnsi="Arial" w:cs="Arial"/>
                <w:b w:val="0"/>
                <w:color w:val="000000"/>
                <w:lang w:val="en-US" w:eastAsia="en-AU"/>
              </w:rPr>
              <w:t>​</w:t>
            </w:r>
          </w:p>
        </w:tc>
        <w:tc>
          <w:tcPr>
            <w:tcW w:w="4943" w:type="dxa"/>
            <w:hideMark/>
          </w:tcPr>
          <w:p w14:paraId="066271BC" w14:textId="77777777" w:rsidR="00840162" w:rsidRPr="00D0197A" w:rsidRDefault="00840162">
            <w:pPr>
              <w:spacing w:before="100" w:beforeAutospacing="1" w:after="100" w:afterAutospacing="1"/>
              <w:jc w:val="left"/>
              <w:textAlignment w:val="baseline"/>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olor w:val="000000"/>
                <w:lang w:val="en-US" w:eastAsia="en-AU"/>
              </w:rPr>
            </w:pPr>
            <w:r w:rsidRPr="00D0197A">
              <w:rPr>
                <w:rFonts w:ascii="Arial Nova Light" w:eastAsia="Times New Roman" w:hAnsi="Arial Nova Light"/>
                <w:color w:val="000000"/>
                <w:position w:val="-1"/>
                <w:lang w:eastAsia="en-AU"/>
              </w:rPr>
              <w:t>Member nominated by </w:t>
            </w:r>
            <w:r>
              <w:rPr>
                <w:rFonts w:ascii="Arial Nova Light" w:eastAsia="Times New Roman" w:hAnsi="Arial Nova Light"/>
                <w:color w:val="000000"/>
                <w:position w:val="-1"/>
                <w:lang w:eastAsia="en-AU"/>
              </w:rPr>
              <w:t>the</w:t>
            </w:r>
            <w:r w:rsidRPr="00D0197A">
              <w:rPr>
                <w:rFonts w:ascii="Arial Nova Light" w:eastAsia="Times New Roman" w:hAnsi="Arial Nova Light"/>
                <w:color w:val="000000"/>
                <w:position w:val="-1"/>
                <w:lang w:eastAsia="en-AU"/>
              </w:rPr>
              <w:t xml:space="preserve"> Australia</w:t>
            </w:r>
            <w:r>
              <w:rPr>
                <w:rFonts w:ascii="Arial Nova Light" w:eastAsia="Times New Roman" w:hAnsi="Arial Nova Light"/>
                <w:color w:val="000000"/>
                <w:position w:val="-1"/>
                <w:lang w:eastAsia="en-AU"/>
              </w:rPr>
              <w:t>n Government</w:t>
            </w:r>
          </w:p>
        </w:tc>
      </w:tr>
    </w:tbl>
    <w:p w14:paraId="7A766EA2" w14:textId="1296B75A" w:rsidR="00FD7889" w:rsidRPr="0035195F" w:rsidRDefault="71A6162E" w:rsidP="00FD7889">
      <w:pPr>
        <w:rPr>
          <w:rFonts w:eastAsia="Segoe UI" w:cs="Segoe UI"/>
          <w:b/>
          <w:bCs/>
          <w:i/>
          <w:iCs/>
          <w:color w:val="313131"/>
        </w:rPr>
      </w:pPr>
      <w:r w:rsidRPr="225E66FA">
        <w:rPr>
          <w:rFonts w:eastAsia="Segoe UI" w:cs="Segoe UI"/>
          <w:color w:val="000000" w:themeColor="text1"/>
        </w:rPr>
        <w:t xml:space="preserve"> </w:t>
      </w:r>
      <w:r w:rsidR="00FD7889" w:rsidRPr="0035195F">
        <w:rPr>
          <w:rFonts w:eastAsia="Segoe UI" w:cs="Segoe UI"/>
          <w:b/>
          <w:bCs/>
          <w:i/>
          <w:iCs/>
          <w:color w:val="313131"/>
          <w:sz w:val="20"/>
          <w:szCs w:val="20"/>
        </w:rPr>
        <w:t>*</w:t>
      </w:r>
      <w:r w:rsidR="00FD7889">
        <w:rPr>
          <w:rFonts w:eastAsia="Segoe UI" w:cs="Segoe UI"/>
          <w:b/>
          <w:bCs/>
          <w:i/>
          <w:iCs/>
          <w:color w:val="313131"/>
          <w:sz w:val="20"/>
          <w:szCs w:val="20"/>
        </w:rPr>
        <w:t xml:space="preserve"> Before</w:t>
      </w:r>
      <w:r w:rsidR="00FD7889" w:rsidRPr="0035195F">
        <w:rPr>
          <w:rFonts w:eastAsia="Segoe UI" w:cs="Segoe UI"/>
          <w:b/>
          <w:bCs/>
          <w:i/>
          <w:iCs/>
          <w:color w:val="313131"/>
          <w:sz w:val="20"/>
          <w:szCs w:val="20"/>
        </w:rPr>
        <w:t xml:space="preserve"> </w:t>
      </w:r>
      <w:r w:rsidR="00FD7889">
        <w:rPr>
          <w:rFonts w:eastAsia="Segoe UI" w:cs="Segoe UI"/>
          <w:b/>
          <w:bCs/>
          <w:i/>
          <w:iCs/>
          <w:color w:val="313131"/>
          <w:sz w:val="20"/>
          <w:szCs w:val="20"/>
        </w:rPr>
        <w:t>Elizabeth</w:t>
      </w:r>
      <w:r w:rsidR="00FD7889" w:rsidRPr="0035195F">
        <w:rPr>
          <w:rFonts w:eastAsia="Segoe UI" w:cs="Segoe UI"/>
          <w:b/>
          <w:bCs/>
          <w:i/>
          <w:iCs/>
          <w:color w:val="313131"/>
          <w:sz w:val="20"/>
          <w:szCs w:val="20"/>
        </w:rPr>
        <w:t xml:space="preserve"> de </w:t>
      </w:r>
      <w:proofErr w:type="spellStart"/>
      <w:r w:rsidR="00FD7889" w:rsidRPr="0035195F">
        <w:rPr>
          <w:rFonts w:eastAsia="Segoe UI" w:cs="Segoe UI"/>
          <w:b/>
          <w:bCs/>
          <w:i/>
          <w:iCs/>
          <w:color w:val="313131"/>
          <w:sz w:val="20"/>
          <w:szCs w:val="20"/>
        </w:rPr>
        <w:t>Somer’s</w:t>
      </w:r>
      <w:proofErr w:type="spellEnd"/>
      <w:r w:rsidR="00FD7889" w:rsidRPr="0035195F">
        <w:rPr>
          <w:rFonts w:eastAsia="Segoe UI" w:cs="Segoe UI"/>
          <w:b/>
          <w:bCs/>
          <w:i/>
          <w:iCs/>
          <w:color w:val="313131"/>
          <w:sz w:val="20"/>
          <w:szCs w:val="20"/>
        </w:rPr>
        <w:t xml:space="preserve"> appointment to the Reference Committee, John Young was Medicine</w:t>
      </w:r>
      <w:r w:rsidR="00FD7889">
        <w:rPr>
          <w:rFonts w:eastAsia="Segoe UI" w:cs="Segoe UI"/>
          <w:b/>
          <w:bCs/>
          <w:i/>
          <w:iCs/>
          <w:color w:val="313131"/>
          <w:sz w:val="20"/>
          <w:szCs w:val="20"/>
        </w:rPr>
        <w:t>s</w:t>
      </w:r>
      <w:r w:rsidR="00FD7889" w:rsidRPr="0035195F">
        <w:rPr>
          <w:rFonts w:eastAsia="Segoe UI" w:cs="Segoe UI"/>
          <w:b/>
          <w:bCs/>
          <w:i/>
          <w:iCs/>
          <w:color w:val="313131"/>
          <w:sz w:val="20"/>
          <w:szCs w:val="20"/>
        </w:rPr>
        <w:t xml:space="preserve"> Australia</w:t>
      </w:r>
      <w:r w:rsidR="00FD7889">
        <w:rPr>
          <w:rFonts w:eastAsia="Segoe UI" w:cs="Segoe UI"/>
          <w:b/>
          <w:bCs/>
          <w:i/>
          <w:iCs/>
          <w:color w:val="313131"/>
          <w:sz w:val="20"/>
          <w:szCs w:val="20"/>
        </w:rPr>
        <w:t>’s</w:t>
      </w:r>
      <w:r w:rsidR="00FD7889" w:rsidRPr="0035195F">
        <w:rPr>
          <w:rFonts w:eastAsia="Segoe UI" w:cs="Segoe UI"/>
          <w:b/>
          <w:bCs/>
          <w:i/>
          <w:iCs/>
          <w:color w:val="313131"/>
          <w:sz w:val="20"/>
          <w:szCs w:val="20"/>
        </w:rPr>
        <w:t xml:space="preserve"> nominated member. </w:t>
      </w:r>
      <w:r w:rsidR="00FD7889">
        <w:rPr>
          <w:rFonts w:eastAsia="Segoe UI" w:cs="Segoe UI"/>
          <w:b/>
          <w:bCs/>
          <w:i/>
          <w:iCs/>
          <w:color w:val="313131"/>
          <w:sz w:val="20"/>
          <w:szCs w:val="20"/>
        </w:rPr>
        <w:t>He</w:t>
      </w:r>
      <w:r w:rsidR="00FD7889" w:rsidRPr="0035195F">
        <w:rPr>
          <w:rFonts w:eastAsia="Segoe UI" w:cs="Segoe UI"/>
          <w:b/>
          <w:bCs/>
          <w:i/>
          <w:iCs/>
          <w:color w:val="313131"/>
          <w:sz w:val="20"/>
          <w:szCs w:val="20"/>
        </w:rPr>
        <w:t xml:space="preserve"> stepped down from 7 March 2023 due to </w:t>
      </w:r>
      <w:r w:rsidR="00FD7889">
        <w:rPr>
          <w:rFonts w:eastAsia="Segoe UI" w:cs="Segoe UI"/>
          <w:b/>
          <w:bCs/>
          <w:i/>
          <w:iCs/>
          <w:color w:val="313131"/>
          <w:sz w:val="20"/>
          <w:szCs w:val="20"/>
        </w:rPr>
        <w:t>taking up</w:t>
      </w:r>
      <w:r w:rsidR="00FD7889" w:rsidRPr="0035195F">
        <w:rPr>
          <w:rFonts w:eastAsia="Segoe UI" w:cs="Segoe UI"/>
          <w:b/>
          <w:bCs/>
          <w:i/>
          <w:iCs/>
          <w:color w:val="313131"/>
          <w:sz w:val="20"/>
          <w:szCs w:val="20"/>
        </w:rPr>
        <w:t xml:space="preserve"> a</w:t>
      </w:r>
      <w:r w:rsidR="00FD7889">
        <w:rPr>
          <w:rFonts w:eastAsia="Segoe UI" w:cs="Segoe UI"/>
          <w:b/>
          <w:bCs/>
          <w:i/>
          <w:iCs/>
          <w:color w:val="313131"/>
          <w:sz w:val="20"/>
          <w:szCs w:val="20"/>
        </w:rPr>
        <w:t>nother</w:t>
      </w:r>
      <w:r w:rsidR="00FD7889" w:rsidRPr="0035195F">
        <w:rPr>
          <w:rFonts w:eastAsia="Segoe UI" w:cs="Segoe UI"/>
          <w:b/>
          <w:bCs/>
          <w:i/>
          <w:iCs/>
          <w:color w:val="313131"/>
          <w:sz w:val="20"/>
          <w:szCs w:val="20"/>
        </w:rPr>
        <w:t xml:space="preserve"> position.</w:t>
      </w:r>
    </w:p>
    <w:p w14:paraId="7D5823EA" w14:textId="5DD844ED" w:rsidR="00E020D3" w:rsidRDefault="71A6162E" w:rsidP="00A318F7">
      <w:pPr>
        <w:rPr>
          <w:rFonts w:eastAsia="Segoe UI" w:cs="Segoe UI"/>
          <w:color w:val="000000" w:themeColor="text1"/>
        </w:rPr>
      </w:pPr>
      <w:r w:rsidRPr="225E66FA">
        <w:rPr>
          <w:rFonts w:eastAsia="Segoe UI" w:cs="Segoe UI"/>
          <w:color w:val="000000" w:themeColor="text1"/>
        </w:rPr>
        <w:t xml:space="preserve">The </w:t>
      </w:r>
      <w:r w:rsidR="00144E85">
        <w:rPr>
          <w:rFonts w:eastAsia="Segoe UI" w:cs="Segoe UI"/>
          <w:color w:val="000000" w:themeColor="text1"/>
        </w:rPr>
        <w:t>R</w:t>
      </w:r>
      <w:r w:rsidRPr="225E66FA">
        <w:rPr>
          <w:rFonts w:eastAsia="Segoe UI" w:cs="Segoe UI"/>
          <w:color w:val="000000" w:themeColor="text1"/>
        </w:rPr>
        <w:t xml:space="preserve">eference </w:t>
      </w:r>
      <w:r w:rsidR="00144E85">
        <w:rPr>
          <w:rFonts w:eastAsia="Segoe UI" w:cs="Segoe UI"/>
          <w:color w:val="000000" w:themeColor="text1"/>
        </w:rPr>
        <w:t>C</w:t>
      </w:r>
      <w:r w:rsidRPr="225E66FA">
        <w:rPr>
          <w:rFonts w:eastAsia="Segoe UI" w:cs="Segoe UI"/>
          <w:color w:val="000000" w:themeColor="text1"/>
        </w:rPr>
        <w:t xml:space="preserve">ommittee </w:t>
      </w:r>
      <w:r w:rsidR="67A4237C" w:rsidRPr="71B5724F">
        <w:rPr>
          <w:rFonts w:eastAsia="Segoe UI" w:cs="Segoe UI"/>
          <w:color w:val="000000" w:themeColor="text1"/>
        </w:rPr>
        <w:t xml:space="preserve">developed the </w:t>
      </w:r>
      <w:r w:rsidR="00CA4113">
        <w:rPr>
          <w:rFonts w:eastAsia="Segoe UI" w:cs="Segoe UI"/>
        </w:rPr>
        <w:fldChar w:fldCharType="begin" w:fldLock="1"/>
      </w:r>
      <w:r w:rsidR="00CA4113">
        <w:rPr>
          <w:rFonts w:eastAsia="Segoe UI" w:cs="Segoe UI"/>
          <w:color w:val="000000" w:themeColor="text1"/>
        </w:rPr>
        <w:instrText xml:space="preserve"> REF _Ref166770790 \h </w:instrText>
      </w:r>
      <w:r w:rsidR="00CA4113">
        <w:rPr>
          <w:rFonts w:eastAsia="Segoe UI" w:cs="Segoe UI"/>
        </w:rPr>
      </w:r>
      <w:r w:rsidR="00CA4113">
        <w:rPr>
          <w:rFonts w:eastAsia="Segoe UI" w:cs="Segoe UI"/>
        </w:rPr>
        <w:fldChar w:fldCharType="separate"/>
      </w:r>
      <w:r w:rsidR="00CA4113">
        <w:t>Terms of Reference</w:t>
      </w:r>
      <w:r w:rsidR="00CA4113">
        <w:rPr>
          <w:rFonts w:eastAsia="Segoe UI" w:cs="Segoe UI"/>
        </w:rPr>
        <w:fldChar w:fldCharType="end"/>
      </w:r>
      <w:r w:rsidR="004C642D">
        <w:rPr>
          <w:rFonts w:eastAsia="Segoe UI" w:cs="Segoe UI"/>
        </w:rPr>
        <w:t xml:space="preserve"> </w:t>
      </w:r>
      <w:r w:rsidR="00AE3B72">
        <w:rPr>
          <w:rFonts w:eastAsia="Segoe UI" w:cs="Segoe UI"/>
          <w:color w:val="000000" w:themeColor="text1"/>
        </w:rPr>
        <w:t>for the Review,</w:t>
      </w:r>
      <w:r w:rsidR="67A4237C" w:rsidRPr="00725EC8">
        <w:rPr>
          <w:rFonts w:eastAsia="Segoe UI" w:cs="Segoe UI"/>
          <w:color w:val="000000" w:themeColor="text1"/>
        </w:rPr>
        <w:t xml:space="preserve"> </w:t>
      </w:r>
      <w:r w:rsidRPr="225E66FA">
        <w:rPr>
          <w:rFonts w:eastAsia="Segoe UI" w:cs="Segoe UI"/>
          <w:color w:val="000000" w:themeColor="text1"/>
        </w:rPr>
        <w:t xml:space="preserve">met regularly and made an early decision to be open and inclusive with stakeholders throughout the Review. </w:t>
      </w:r>
    </w:p>
    <w:p w14:paraId="4F95BB27" w14:textId="5A9AC510" w:rsidR="004542D1" w:rsidRPr="00D76602" w:rsidRDefault="004542D1" w:rsidP="00D76602">
      <w:pPr>
        <w:pStyle w:val="Heading3"/>
      </w:pPr>
      <w:r>
        <w:t>Consultation</w:t>
      </w:r>
    </w:p>
    <w:p w14:paraId="188BBF7A" w14:textId="11C1FBA0" w:rsidR="004542D1" w:rsidRDefault="004542D1" w:rsidP="004542D1">
      <w:r>
        <w:t>Extensive consultations were undertaken to support the Review and develop reform propos</w:t>
      </w:r>
      <w:r w:rsidR="00D76602">
        <w:t>als. Th</w:t>
      </w:r>
      <w:r w:rsidR="008556ED">
        <w:t>ese</w:t>
      </w:r>
      <w:r w:rsidR="00D76602">
        <w:t xml:space="preserve"> included: </w:t>
      </w:r>
    </w:p>
    <w:p w14:paraId="2F3ED1AE" w14:textId="324A1DA3" w:rsidR="00D76602" w:rsidRDefault="00D76602" w:rsidP="00281153">
      <w:pPr>
        <w:pStyle w:val="ListBullet"/>
        <w:numPr>
          <w:ilvl w:val="0"/>
          <w:numId w:val="57"/>
        </w:numPr>
      </w:pPr>
      <w:r w:rsidRPr="002A5C3E">
        <w:rPr>
          <w:b/>
        </w:rPr>
        <w:t>Two public consultations</w:t>
      </w:r>
      <w:r w:rsidRPr="00456076">
        <w:rPr>
          <w:b/>
        </w:rPr>
        <w:t>:</w:t>
      </w:r>
      <w:r w:rsidRPr="002A5C3E">
        <w:t xml:space="preserve"> the first </w:t>
      </w:r>
      <w:r>
        <w:t xml:space="preserve">consultation </w:t>
      </w:r>
      <w:r w:rsidRPr="002A5C3E">
        <w:t xml:space="preserve">closed in June 2023 and received </w:t>
      </w:r>
      <w:r>
        <w:t>114 submissions</w:t>
      </w:r>
      <w:r w:rsidR="007861CD">
        <w:t>,</w:t>
      </w:r>
      <w:r>
        <w:t xml:space="preserve"> which included responses to an online survey, emailed submissions and online video forums with the Reference Committee. </w:t>
      </w:r>
      <w:r w:rsidR="00F853ED">
        <w:t>T</w:t>
      </w:r>
      <w:r w:rsidR="00F853ED" w:rsidRPr="002A5C3E">
        <w:t xml:space="preserve">he </w:t>
      </w:r>
      <w:r w:rsidRPr="002A5C3E">
        <w:t xml:space="preserve">second </w:t>
      </w:r>
      <w:r>
        <w:t>consultation</w:t>
      </w:r>
      <w:r w:rsidRPr="002A5C3E">
        <w:t xml:space="preserve"> </w:t>
      </w:r>
      <w:r>
        <w:t>sought feedback on</w:t>
      </w:r>
      <w:r w:rsidRPr="002A5C3E">
        <w:t xml:space="preserve"> options </w:t>
      </w:r>
      <w:r>
        <w:t>for reform</w:t>
      </w:r>
      <w:r w:rsidRPr="002A5C3E">
        <w:t xml:space="preserve"> and closed in February 2024.</w:t>
      </w:r>
      <w:r w:rsidRPr="6CC68A72">
        <w:t xml:space="preserve"> </w:t>
      </w:r>
      <w:r>
        <w:t xml:space="preserve">It received 139 written submissions and additional feedback through </w:t>
      </w:r>
      <w:r w:rsidR="00D102E0">
        <w:t xml:space="preserve">three </w:t>
      </w:r>
      <w:r>
        <w:t>online workshops and one in-person workshop</w:t>
      </w:r>
      <w:r w:rsidRPr="002A5C3E">
        <w:t>.</w:t>
      </w:r>
      <w:r w:rsidRPr="6CC68A72">
        <w:t xml:space="preserve"> </w:t>
      </w:r>
      <w:r w:rsidR="00F320C4">
        <w:t>Reports on the consultations and submissions a</w:t>
      </w:r>
      <w:r w:rsidR="007A3191">
        <w:t>re</w:t>
      </w:r>
      <w:r w:rsidR="00F320C4">
        <w:t xml:space="preserve"> </w:t>
      </w:r>
      <w:r w:rsidR="00F320C4" w:rsidRPr="008552DD">
        <w:t>published on the Department</w:t>
      </w:r>
      <w:r w:rsidR="00897CB5">
        <w:t>’s</w:t>
      </w:r>
      <w:r w:rsidR="00F320C4" w:rsidRPr="008552DD">
        <w:t xml:space="preserve"> website</w:t>
      </w:r>
      <w:r w:rsidR="008618CB">
        <w:t xml:space="preserve"> and </w:t>
      </w:r>
      <w:r w:rsidR="00D24860">
        <w:t>Consultation Hub</w:t>
      </w:r>
      <w:r w:rsidR="00F320C4">
        <w:t>.</w:t>
      </w:r>
    </w:p>
    <w:p w14:paraId="17FED302" w14:textId="1C423994" w:rsidR="00D76602" w:rsidRDefault="00D76602" w:rsidP="00281153">
      <w:pPr>
        <w:pStyle w:val="ListBullet"/>
        <w:numPr>
          <w:ilvl w:val="0"/>
          <w:numId w:val="57"/>
        </w:numPr>
      </w:pPr>
      <w:r w:rsidRPr="002A5C3E">
        <w:rPr>
          <w:b/>
        </w:rPr>
        <w:t>Deep dives</w:t>
      </w:r>
      <w:r w:rsidRPr="00456076">
        <w:rPr>
          <w:b/>
        </w:rPr>
        <w:t xml:space="preserve"> with stakeholders</w:t>
      </w:r>
      <w:r w:rsidR="007861CD">
        <w:rPr>
          <w:b/>
        </w:rPr>
        <w:t xml:space="preserve">: </w:t>
      </w:r>
      <w:r w:rsidR="007861CD" w:rsidRPr="000C5623">
        <w:rPr>
          <w:bCs/>
        </w:rPr>
        <w:t>these</w:t>
      </w:r>
      <w:r w:rsidRPr="002A5C3E">
        <w:t xml:space="preserve"> allowed the </w:t>
      </w:r>
      <w:r>
        <w:t>R</w:t>
      </w:r>
      <w:r w:rsidRPr="002A5C3E">
        <w:t xml:space="preserve">eference </w:t>
      </w:r>
      <w:r>
        <w:t>C</w:t>
      </w:r>
      <w:r w:rsidRPr="002A5C3E">
        <w:t xml:space="preserve">ommittee to gain an in-depth understanding </w:t>
      </w:r>
      <w:r>
        <w:t>of</w:t>
      </w:r>
      <w:r w:rsidRPr="002A5C3E">
        <w:t xml:space="preserve"> specific complex topics, issues, challenges and opportunities for HTA</w:t>
      </w:r>
      <w:r>
        <w:t xml:space="preserve">. </w:t>
      </w:r>
      <w:r w:rsidR="003673FF">
        <w:t xml:space="preserve">A total of </w:t>
      </w:r>
      <w:r>
        <w:t>26 deep dives were held</w:t>
      </w:r>
      <w:r w:rsidR="003673FF">
        <w:t>, with</w:t>
      </w:r>
      <w:r>
        <w:t xml:space="preserve"> 116 participants representing industry, consumers and patients, clinicians, First Nations </w:t>
      </w:r>
      <w:r w:rsidR="003673FF">
        <w:t>p</w:t>
      </w:r>
      <w:r>
        <w:t>eople, and state and territory governments</w:t>
      </w:r>
      <w:r w:rsidRPr="00BD34D3">
        <w:t xml:space="preserve">. </w:t>
      </w:r>
    </w:p>
    <w:p w14:paraId="3D3C087E" w14:textId="33A7A1EE" w:rsidR="00B91D9F" w:rsidRDefault="00B91D9F" w:rsidP="00B91D9F">
      <w:pPr>
        <w:spacing w:before="240" w:after="240"/>
      </w:pPr>
      <w:r w:rsidRPr="00B91D9F">
        <w:rPr>
          <w:rFonts w:eastAsia="Segoe UI" w:cs="Segoe UI"/>
          <w:color w:val="313131"/>
        </w:rPr>
        <w:t xml:space="preserve">The quantity and quality of the responses to the Review’s consultations are clear demonstrations of how important the HTA processes are </w:t>
      </w:r>
      <w:proofErr w:type="spellStart"/>
      <w:r w:rsidRPr="00B91D9F">
        <w:rPr>
          <w:rFonts w:eastAsia="Segoe UI" w:cs="Segoe UI"/>
          <w:color w:val="313131"/>
        </w:rPr>
        <w:t>to</w:t>
      </w:r>
      <w:proofErr w:type="spellEnd"/>
      <w:r w:rsidRPr="00B91D9F">
        <w:rPr>
          <w:rFonts w:eastAsia="Segoe UI" w:cs="Segoe UI"/>
          <w:color w:val="313131"/>
        </w:rPr>
        <w:t xml:space="preserve"> many stakeholders</w:t>
      </w:r>
      <w:r w:rsidR="003673FF">
        <w:rPr>
          <w:rFonts w:eastAsia="Segoe UI" w:cs="Segoe UI"/>
          <w:color w:val="313131"/>
        </w:rPr>
        <w:t>. These</w:t>
      </w:r>
      <w:r w:rsidRPr="00B91D9F">
        <w:rPr>
          <w:rFonts w:eastAsia="Segoe UI" w:cs="Segoe UI"/>
          <w:color w:val="313131"/>
        </w:rPr>
        <w:t xml:space="preserve"> includ</w:t>
      </w:r>
      <w:r w:rsidR="003673FF">
        <w:rPr>
          <w:rFonts w:eastAsia="Segoe UI" w:cs="Segoe UI"/>
          <w:color w:val="313131"/>
        </w:rPr>
        <w:t>e</w:t>
      </w:r>
      <w:r w:rsidRPr="00B91D9F">
        <w:rPr>
          <w:rFonts w:eastAsia="Segoe UI" w:cs="Segoe UI"/>
          <w:color w:val="313131"/>
        </w:rPr>
        <w:t xml:space="preserve"> individuals, families and carers</w:t>
      </w:r>
      <w:r w:rsidR="00B40F5E">
        <w:rPr>
          <w:rFonts w:eastAsia="Segoe UI" w:cs="Segoe UI"/>
          <w:color w:val="313131"/>
        </w:rPr>
        <w:t>;</w:t>
      </w:r>
      <w:r w:rsidRPr="00B91D9F">
        <w:rPr>
          <w:rFonts w:eastAsia="Segoe UI" w:cs="Segoe UI"/>
          <w:color w:val="313131"/>
        </w:rPr>
        <w:t xml:space="preserve"> the Commonwealth</w:t>
      </w:r>
      <w:r w:rsidR="00B40F5E">
        <w:rPr>
          <w:rFonts w:eastAsia="Segoe UI" w:cs="Segoe UI"/>
          <w:color w:val="313131"/>
        </w:rPr>
        <w:t>;</w:t>
      </w:r>
      <w:r w:rsidRPr="00B91D9F">
        <w:rPr>
          <w:rFonts w:eastAsia="Segoe UI" w:cs="Segoe UI"/>
          <w:color w:val="313131"/>
        </w:rPr>
        <w:t xml:space="preserve"> state and territory governments and regulatory agencies</w:t>
      </w:r>
      <w:r w:rsidR="00B40F5E">
        <w:rPr>
          <w:rFonts w:eastAsia="Segoe UI" w:cs="Segoe UI"/>
          <w:color w:val="313131"/>
        </w:rPr>
        <w:t>;</w:t>
      </w:r>
      <w:r w:rsidRPr="00B91D9F">
        <w:rPr>
          <w:rFonts w:eastAsia="Segoe UI" w:cs="Segoe UI"/>
          <w:color w:val="313131"/>
        </w:rPr>
        <w:t xml:space="preserve"> non-government organisations</w:t>
      </w:r>
      <w:r w:rsidR="00B40F5E">
        <w:rPr>
          <w:rFonts w:eastAsia="Segoe UI" w:cs="Segoe UI"/>
          <w:color w:val="313131"/>
        </w:rPr>
        <w:t>;</w:t>
      </w:r>
      <w:r w:rsidRPr="00B91D9F">
        <w:rPr>
          <w:rFonts w:eastAsia="Segoe UI" w:cs="Segoe UI"/>
          <w:color w:val="313131"/>
        </w:rPr>
        <w:t xml:space="preserve"> health practitioners</w:t>
      </w:r>
      <w:r w:rsidR="00B40F5E">
        <w:rPr>
          <w:rFonts w:eastAsia="Segoe UI" w:cs="Segoe UI"/>
          <w:color w:val="313131"/>
        </w:rPr>
        <w:t>;</w:t>
      </w:r>
      <w:r w:rsidRPr="00B91D9F">
        <w:rPr>
          <w:rFonts w:eastAsia="Segoe UI" w:cs="Segoe UI"/>
          <w:color w:val="313131"/>
        </w:rPr>
        <w:t xml:space="preserve"> consumer organisations (including not-for-profits)</w:t>
      </w:r>
      <w:r w:rsidR="00422B81">
        <w:rPr>
          <w:rFonts w:eastAsia="Segoe UI" w:cs="Segoe UI"/>
          <w:color w:val="313131"/>
        </w:rPr>
        <w:t>;</w:t>
      </w:r>
      <w:r w:rsidRPr="00B91D9F">
        <w:rPr>
          <w:rFonts w:eastAsia="Segoe UI" w:cs="Segoe UI"/>
          <w:color w:val="313131"/>
        </w:rPr>
        <w:t xml:space="preserve"> the private and public health sectors</w:t>
      </w:r>
      <w:r w:rsidR="00422B81">
        <w:rPr>
          <w:rFonts w:eastAsia="Segoe UI" w:cs="Segoe UI"/>
          <w:color w:val="313131"/>
        </w:rPr>
        <w:t>;</w:t>
      </w:r>
      <w:r w:rsidRPr="00B91D9F">
        <w:rPr>
          <w:rFonts w:eastAsia="Segoe UI" w:cs="Segoe UI"/>
          <w:color w:val="313131"/>
        </w:rPr>
        <w:t xml:space="preserve"> industry (including pharmaceutical, software and medical </w:t>
      </w:r>
      <w:r w:rsidR="00CE70BB">
        <w:rPr>
          <w:rFonts w:eastAsia="Segoe UI" w:cs="Segoe UI"/>
          <w:color w:val="313131"/>
        </w:rPr>
        <w:t>technology</w:t>
      </w:r>
      <w:r w:rsidR="003673FF">
        <w:rPr>
          <w:rFonts w:eastAsia="Segoe UI" w:cs="Segoe UI"/>
          <w:color w:val="313131"/>
        </w:rPr>
        <w:t>,</w:t>
      </w:r>
      <w:r w:rsidR="00CE70BB">
        <w:rPr>
          <w:rFonts w:eastAsia="Segoe UI" w:cs="Segoe UI"/>
          <w:color w:val="313131"/>
        </w:rPr>
        <w:t xml:space="preserve"> </w:t>
      </w:r>
      <w:r w:rsidR="00CE70BB">
        <w:rPr>
          <w:rFonts w:eastAsia="Segoe UI" w:cs="Segoe UI"/>
          <w:color w:val="313131"/>
        </w:rPr>
        <w:lastRenderedPageBreak/>
        <w:t xml:space="preserve">and </w:t>
      </w:r>
      <w:r w:rsidRPr="00B91D9F">
        <w:rPr>
          <w:rFonts w:eastAsia="Segoe UI" w:cs="Segoe UI"/>
          <w:color w:val="313131"/>
        </w:rPr>
        <w:t>service delivery industries)</w:t>
      </w:r>
      <w:r w:rsidR="00422B81">
        <w:rPr>
          <w:rFonts w:eastAsia="Segoe UI" w:cs="Segoe UI"/>
          <w:color w:val="313131"/>
        </w:rPr>
        <w:t>;</w:t>
      </w:r>
      <w:r w:rsidRPr="00B91D9F">
        <w:rPr>
          <w:rFonts w:eastAsia="Segoe UI" w:cs="Segoe UI"/>
          <w:color w:val="313131"/>
        </w:rPr>
        <w:t xml:space="preserve"> researchers and academics</w:t>
      </w:r>
      <w:r w:rsidR="00422B81">
        <w:rPr>
          <w:rFonts w:eastAsia="Segoe UI" w:cs="Segoe UI"/>
          <w:color w:val="313131"/>
        </w:rPr>
        <w:t>;</w:t>
      </w:r>
      <w:r w:rsidRPr="00B91D9F">
        <w:rPr>
          <w:rFonts w:eastAsia="Segoe UI" w:cs="Segoe UI"/>
          <w:color w:val="313131"/>
        </w:rPr>
        <w:t xml:space="preserve"> health educators (including higher education and professional training bodies)</w:t>
      </w:r>
      <w:r w:rsidR="00422B81">
        <w:rPr>
          <w:rFonts w:eastAsia="Segoe UI" w:cs="Segoe UI"/>
          <w:color w:val="313131"/>
        </w:rPr>
        <w:t>;</w:t>
      </w:r>
      <w:r w:rsidRPr="00B91D9F">
        <w:rPr>
          <w:rFonts w:eastAsia="Segoe UI" w:cs="Segoe UI"/>
          <w:color w:val="313131"/>
        </w:rPr>
        <w:t xml:space="preserve"> health professional organisations and other health-related agencies</w:t>
      </w:r>
      <w:r w:rsidR="0021689A">
        <w:rPr>
          <w:rFonts w:eastAsia="Segoe UI" w:cs="Segoe UI"/>
          <w:color w:val="313131"/>
        </w:rPr>
        <w:t>;</w:t>
      </w:r>
      <w:r w:rsidRPr="00B91D9F">
        <w:rPr>
          <w:rFonts w:eastAsia="Segoe UI" w:cs="Segoe UI"/>
          <w:color w:val="313131"/>
        </w:rPr>
        <w:t xml:space="preserve"> the media</w:t>
      </w:r>
      <w:r w:rsidR="0021689A">
        <w:rPr>
          <w:rFonts w:eastAsia="Segoe UI" w:cs="Segoe UI"/>
          <w:color w:val="313131"/>
        </w:rPr>
        <w:t>;</w:t>
      </w:r>
      <w:r w:rsidRPr="00B91D9F">
        <w:rPr>
          <w:rFonts w:eastAsia="Segoe UI" w:cs="Segoe UI"/>
          <w:color w:val="313131"/>
        </w:rPr>
        <w:t xml:space="preserve"> and the general community.</w:t>
      </w:r>
    </w:p>
    <w:p w14:paraId="431E8BDC" w14:textId="4B7BFF05" w:rsidR="00B91D9F" w:rsidRDefault="00B91D9F" w:rsidP="00B91D9F">
      <w:pPr>
        <w:spacing w:before="240" w:after="240"/>
      </w:pPr>
      <w:r w:rsidRPr="00B91D9F">
        <w:rPr>
          <w:rFonts w:eastAsia="Segoe UI" w:cs="Segoe UI"/>
          <w:color w:val="313131"/>
        </w:rPr>
        <w:t>The Review would like to thank all those who shared their aspirations, insights and knowledge – their input has been invaluable.</w:t>
      </w:r>
    </w:p>
    <w:p w14:paraId="523079A0" w14:textId="383B4C8D" w:rsidR="00D76602" w:rsidRDefault="00D76602" w:rsidP="00D76602">
      <w:pPr>
        <w:pStyle w:val="Heading3"/>
      </w:pPr>
      <w:r>
        <w:t>Expert analysis</w:t>
      </w:r>
    </w:p>
    <w:p w14:paraId="7621F5F5" w14:textId="343B723A" w:rsidR="00E020D3" w:rsidRDefault="00F853ED" w:rsidP="00A318F7">
      <w:bookmarkStart w:id="57" w:name="_Hlk171528307"/>
      <w:bookmarkStart w:id="58" w:name="_Hlk171528403"/>
      <w:r w:rsidRPr="00D76602">
        <w:rPr>
          <w:rFonts w:eastAsia="Segoe UI" w:cs="Segoe UI"/>
          <w:bCs/>
        </w:rPr>
        <w:t xml:space="preserve">The </w:t>
      </w:r>
      <w:r w:rsidRPr="00D76602">
        <w:rPr>
          <w:rFonts w:eastAsia="Segoe UI" w:cs="Segoe UI"/>
        </w:rPr>
        <w:t>Review</w:t>
      </w:r>
      <w:r w:rsidRPr="00D76602">
        <w:rPr>
          <w:rFonts w:eastAsia="Segoe UI" w:cs="Segoe UI"/>
          <w:bCs/>
        </w:rPr>
        <w:t xml:space="preserve"> </w:t>
      </w:r>
      <w:r w:rsidRPr="00D76602">
        <w:rPr>
          <w:rFonts w:eastAsia="Segoe UI" w:cs="Segoe UI"/>
        </w:rPr>
        <w:t>c</w:t>
      </w:r>
      <w:r w:rsidR="71A6162E" w:rsidRPr="00D76602">
        <w:rPr>
          <w:rFonts w:eastAsia="Segoe UI" w:cs="Segoe UI"/>
        </w:rPr>
        <w:t>ommissio</w:t>
      </w:r>
      <w:r w:rsidRPr="00D76602">
        <w:rPr>
          <w:rFonts w:eastAsia="Segoe UI" w:cs="Segoe UI"/>
        </w:rPr>
        <w:t>ned</w:t>
      </w:r>
      <w:r w:rsidR="71A6162E" w:rsidRPr="00D76602">
        <w:rPr>
          <w:rFonts w:eastAsia="Segoe UI" w:cs="Segoe UI"/>
        </w:rPr>
        <w:t xml:space="preserve"> expert </w:t>
      </w:r>
      <w:r w:rsidR="00B91D9F">
        <w:rPr>
          <w:rFonts w:eastAsia="Segoe UI" w:cs="Segoe UI"/>
          <w:bCs/>
        </w:rPr>
        <w:t>analys</w:t>
      </w:r>
      <w:r w:rsidR="00990A01">
        <w:rPr>
          <w:rFonts w:eastAsia="Segoe UI" w:cs="Segoe UI"/>
          <w:bCs/>
        </w:rPr>
        <w:t>i</w:t>
      </w:r>
      <w:r w:rsidR="00B91D9F">
        <w:rPr>
          <w:rFonts w:eastAsia="Segoe UI" w:cs="Segoe UI"/>
          <w:bCs/>
        </w:rPr>
        <w:t>s</w:t>
      </w:r>
      <w:r w:rsidR="71A6162E" w:rsidRPr="002A5C3E">
        <w:rPr>
          <w:rFonts w:eastAsia="Segoe UI" w:cs="Segoe UI"/>
        </w:rPr>
        <w:t xml:space="preserve"> so that </w:t>
      </w:r>
      <w:r w:rsidR="71A6162E" w:rsidRPr="00B61FDC">
        <w:rPr>
          <w:rFonts w:eastAsia="Segoe UI" w:cs="Segoe UI"/>
        </w:rPr>
        <w:t>the Re</w:t>
      </w:r>
      <w:r w:rsidR="00990A01" w:rsidRPr="00B61FDC">
        <w:rPr>
          <w:rFonts w:eastAsia="Segoe UI" w:cs="Segoe UI"/>
        </w:rPr>
        <w:t>ference Committee</w:t>
      </w:r>
      <w:r w:rsidR="71A6162E" w:rsidRPr="002A5C3E">
        <w:rPr>
          <w:rFonts w:eastAsia="Segoe UI" w:cs="Segoe UI"/>
        </w:rPr>
        <w:t xml:space="preserve"> and stakeholders were informed by papers analysing contemporary research, relevant </w:t>
      </w:r>
      <w:bookmarkEnd w:id="57"/>
      <w:r w:rsidR="71A6162E" w:rsidRPr="002A5C3E">
        <w:rPr>
          <w:rFonts w:eastAsia="Segoe UI" w:cs="Segoe UI"/>
        </w:rPr>
        <w:t xml:space="preserve">methodologies and purchasing practices used by comparable international jurisdictions, and their applicability to the Australian context. </w:t>
      </w:r>
      <w:r w:rsidR="006847DF">
        <w:rPr>
          <w:rFonts w:eastAsia="Segoe UI" w:cs="Segoe UI"/>
        </w:rPr>
        <w:t xml:space="preserve">Drafts of these </w:t>
      </w:r>
      <w:r w:rsidR="0066664A">
        <w:rPr>
          <w:rFonts w:eastAsia="Segoe UI" w:cs="Segoe UI"/>
        </w:rPr>
        <w:t xml:space="preserve">papers </w:t>
      </w:r>
      <w:r w:rsidR="006847DF">
        <w:rPr>
          <w:rFonts w:eastAsia="Segoe UI" w:cs="Segoe UI"/>
        </w:rPr>
        <w:t xml:space="preserve">were published in advance of the second consultation. </w:t>
      </w:r>
      <w:r w:rsidR="00335D37">
        <w:rPr>
          <w:rFonts w:eastAsia="Segoe UI" w:cs="Segoe UI"/>
        </w:rPr>
        <w:t xml:space="preserve">The </w:t>
      </w:r>
      <w:r w:rsidR="00714803">
        <w:rPr>
          <w:rFonts w:eastAsia="Segoe UI" w:cs="Segoe UI"/>
        </w:rPr>
        <w:t xml:space="preserve">expert papers </w:t>
      </w:r>
      <w:r w:rsidR="00152A63">
        <w:rPr>
          <w:rFonts w:eastAsia="Segoe UI" w:cs="Segoe UI"/>
        </w:rPr>
        <w:t>and organisations that prepared them</w:t>
      </w:r>
      <w:r w:rsidR="00714803">
        <w:rPr>
          <w:rFonts w:eastAsia="Segoe UI" w:cs="Segoe UI"/>
        </w:rPr>
        <w:t xml:space="preserve"> are</w:t>
      </w:r>
      <w:r w:rsidR="0034190D">
        <w:rPr>
          <w:rFonts w:eastAsia="Segoe UI" w:cs="Segoe UI"/>
        </w:rPr>
        <w:t xml:space="preserve"> </w:t>
      </w:r>
      <w:r w:rsidR="00714803">
        <w:rPr>
          <w:rFonts w:eastAsia="Segoe UI" w:cs="Segoe UI"/>
        </w:rPr>
        <w:t xml:space="preserve">as follows: </w:t>
      </w:r>
    </w:p>
    <w:bookmarkEnd w:id="58"/>
    <w:p w14:paraId="5750A233" w14:textId="65E6D15B" w:rsidR="007752A2" w:rsidRPr="00237C21" w:rsidRDefault="007752A2" w:rsidP="00237C21">
      <w:pPr>
        <w:ind w:left="454"/>
      </w:pPr>
      <w:r w:rsidRPr="00237C21">
        <w:t xml:space="preserve">Adelaide Health Technology Assessment </w:t>
      </w:r>
    </w:p>
    <w:p w14:paraId="4B6B65A1" w14:textId="7850C912" w:rsidR="007752A2" w:rsidRPr="007752A2" w:rsidRDefault="007752A2" w:rsidP="00281153">
      <w:pPr>
        <w:pStyle w:val="ListBullet"/>
        <w:numPr>
          <w:ilvl w:val="1"/>
          <w:numId w:val="8"/>
        </w:numPr>
      </w:pPr>
      <w:r w:rsidRPr="007752A2">
        <w:t xml:space="preserve">Paper 1. </w:t>
      </w:r>
      <w:r w:rsidRPr="000C5623">
        <w:t xml:space="preserve">International </w:t>
      </w:r>
      <w:r w:rsidR="0034190D" w:rsidRPr="000C5623">
        <w:t>H</w:t>
      </w:r>
      <w:r w:rsidRPr="000C5623">
        <w:t xml:space="preserve">ealth </w:t>
      </w:r>
      <w:r w:rsidR="0034190D" w:rsidRPr="000C5623">
        <w:t>T</w:t>
      </w:r>
      <w:r w:rsidRPr="000C5623">
        <w:t xml:space="preserve">echnology </w:t>
      </w:r>
      <w:r w:rsidR="0034190D" w:rsidRPr="000C5623">
        <w:t>M</w:t>
      </w:r>
      <w:r w:rsidRPr="000C5623">
        <w:t xml:space="preserve">arket </w:t>
      </w:r>
      <w:r w:rsidR="0034190D" w:rsidRPr="000C5623">
        <w:t>A</w:t>
      </w:r>
      <w:r w:rsidRPr="000C5623">
        <w:t xml:space="preserve">pproval, </w:t>
      </w:r>
      <w:r w:rsidR="0034190D" w:rsidRPr="000C5623">
        <w:t>F</w:t>
      </w:r>
      <w:r w:rsidRPr="000C5623">
        <w:t xml:space="preserve">unding and </w:t>
      </w:r>
      <w:r w:rsidR="0034190D" w:rsidRPr="000C5623">
        <w:t>A</w:t>
      </w:r>
      <w:r w:rsidRPr="000C5623">
        <w:t xml:space="preserve">ssessment </w:t>
      </w:r>
      <w:r w:rsidR="0034190D" w:rsidRPr="000C5623">
        <w:t>P</w:t>
      </w:r>
      <w:r w:rsidRPr="000C5623">
        <w:t>athways</w:t>
      </w:r>
    </w:p>
    <w:p w14:paraId="7226A8ED" w14:textId="4E3EB1BF" w:rsidR="007752A2" w:rsidRPr="007752A2" w:rsidRDefault="007752A2" w:rsidP="00281153">
      <w:pPr>
        <w:pStyle w:val="ListBullet"/>
        <w:numPr>
          <w:ilvl w:val="1"/>
          <w:numId w:val="8"/>
        </w:numPr>
      </w:pPr>
      <w:r w:rsidRPr="007752A2">
        <w:t xml:space="preserve">Paper 2. </w:t>
      </w:r>
      <w:r w:rsidRPr="000C5623">
        <w:t xml:space="preserve">Horizon </w:t>
      </w:r>
      <w:r w:rsidR="0034190D" w:rsidRPr="000C5623">
        <w:t>S</w:t>
      </w:r>
      <w:r w:rsidRPr="000C5623">
        <w:t xml:space="preserve">canning and </w:t>
      </w:r>
      <w:r w:rsidR="00E07EA0" w:rsidRPr="000C5623">
        <w:t>E</w:t>
      </w:r>
      <w:r w:rsidRPr="000C5623">
        <w:t xml:space="preserve">arly </w:t>
      </w:r>
      <w:r w:rsidR="00E07EA0" w:rsidRPr="000C5623">
        <w:t>A</w:t>
      </w:r>
      <w:r w:rsidRPr="000C5623">
        <w:t>ssessment</w:t>
      </w:r>
    </w:p>
    <w:p w14:paraId="502B8B53" w14:textId="40FC0605" w:rsidR="007752A2" w:rsidRPr="007752A2" w:rsidRDefault="007752A2" w:rsidP="00281153">
      <w:pPr>
        <w:pStyle w:val="ListBullet"/>
        <w:numPr>
          <w:ilvl w:val="1"/>
          <w:numId w:val="8"/>
        </w:numPr>
      </w:pPr>
      <w:r w:rsidRPr="007752A2">
        <w:t>Paper</w:t>
      </w:r>
      <w:r w:rsidR="009F4120">
        <w:t xml:space="preserve"> </w:t>
      </w:r>
      <w:r w:rsidRPr="007752A2">
        <w:t xml:space="preserve">3. </w:t>
      </w:r>
      <w:r w:rsidRPr="000C5623">
        <w:t>HTA Methods: Determination of</w:t>
      </w:r>
      <w:r w:rsidR="0034190D">
        <w:t xml:space="preserve"> </w:t>
      </w:r>
      <w:r w:rsidRPr="000C5623">
        <w:t>Population</w:t>
      </w:r>
      <w:r w:rsidR="0034190D">
        <w:t>,</w:t>
      </w:r>
      <w:r w:rsidRPr="000C5623">
        <w:t xml:space="preserve"> Intervention</w:t>
      </w:r>
      <w:r w:rsidR="0034190D">
        <w:t>,</w:t>
      </w:r>
      <w:r w:rsidRPr="000C5623">
        <w:t xml:space="preserve"> Comparator</w:t>
      </w:r>
      <w:r w:rsidR="0034190D" w:rsidRPr="000C5623">
        <w:t>, and</w:t>
      </w:r>
      <w:r w:rsidRPr="000C5623">
        <w:t xml:space="preserve"> Outcome (PICO)</w:t>
      </w:r>
    </w:p>
    <w:p w14:paraId="6F392983" w14:textId="26AFE408" w:rsidR="004F30B9" w:rsidRDefault="007752A2" w:rsidP="00281153">
      <w:pPr>
        <w:pStyle w:val="ListBullet"/>
        <w:numPr>
          <w:ilvl w:val="1"/>
          <w:numId w:val="8"/>
        </w:numPr>
      </w:pPr>
      <w:r w:rsidRPr="007752A2">
        <w:t xml:space="preserve">Paper 4. </w:t>
      </w:r>
      <w:r w:rsidR="0034190D" w:rsidRPr="000C5623">
        <w:t xml:space="preserve">Clinical Evaluation Methods in </w:t>
      </w:r>
      <w:r w:rsidRPr="000C5623">
        <w:t>HTA</w:t>
      </w:r>
    </w:p>
    <w:p w14:paraId="037FED7F" w14:textId="0A9698EB" w:rsidR="007752A2" w:rsidRPr="00237C21" w:rsidRDefault="007752A2" w:rsidP="000F6B83">
      <w:pPr>
        <w:ind w:left="454"/>
        <w:jc w:val="left"/>
      </w:pPr>
      <w:r w:rsidRPr="00237C21">
        <w:t>Centre for Health Economics Research and Evaluation</w:t>
      </w:r>
    </w:p>
    <w:p w14:paraId="5DC6E23F" w14:textId="77777777" w:rsidR="007752A2" w:rsidRPr="007752A2" w:rsidRDefault="007752A2" w:rsidP="00281153">
      <w:pPr>
        <w:pStyle w:val="ListBullet"/>
        <w:numPr>
          <w:ilvl w:val="1"/>
          <w:numId w:val="8"/>
        </w:numPr>
      </w:pPr>
      <w:r w:rsidRPr="007752A2">
        <w:t xml:space="preserve">Paper 5. </w:t>
      </w:r>
      <w:r w:rsidRPr="000C5623">
        <w:t>HTA Methods: Economic evaluation</w:t>
      </w:r>
    </w:p>
    <w:p w14:paraId="31E2852C" w14:textId="553EC57F" w:rsidR="007752A2" w:rsidRPr="007752A2" w:rsidRDefault="007752A2" w:rsidP="00281153">
      <w:pPr>
        <w:pStyle w:val="ListBullet"/>
        <w:numPr>
          <w:ilvl w:val="1"/>
          <w:numId w:val="8"/>
        </w:numPr>
      </w:pPr>
      <w:r w:rsidRPr="007752A2">
        <w:t xml:space="preserve">Paper 6. </w:t>
      </w:r>
      <w:r w:rsidRPr="000C5623">
        <w:t>Funding and purchasing decisions</w:t>
      </w:r>
      <w:r w:rsidR="00C074AE" w:rsidRPr="000C5623">
        <w:t>:</w:t>
      </w:r>
      <w:r w:rsidRPr="000C5623">
        <w:t xml:space="preserve"> Managing Uncertainty</w:t>
      </w:r>
    </w:p>
    <w:p w14:paraId="5A1BAD3E" w14:textId="642B86C1" w:rsidR="007752A2" w:rsidRPr="00237C21" w:rsidRDefault="007752A2" w:rsidP="000F6B83">
      <w:pPr>
        <w:ind w:left="454"/>
        <w:jc w:val="left"/>
      </w:pPr>
      <w:r w:rsidRPr="00237C21">
        <w:t xml:space="preserve">Centre of Research Excellence in Medicines Intelligence </w:t>
      </w:r>
    </w:p>
    <w:p w14:paraId="72D20F91" w14:textId="176F6AAA" w:rsidR="007752A2" w:rsidRPr="000C5623" w:rsidRDefault="007752A2" w:rsidP="00281153">
      <w:pPr>
        <w:pStyle w:val="ListBullet"/>
        <w:numPr>
          <w:ilvl w:val="1"/>
          <w:numId w:val="8"/>
        </w:numPr>
      </w:pPr>
      <w:r w:rsidRPr="007752A2">
        <w:t xml:space="preserve">Paper 7. </w:t>
      </w:r>
      <w:r w:rsidRPr="000C5623">
        <w:t xml:space="preserve">Optimising the availability and use of </w:t>
      </w:r>
      <w:proofErr w:type="gramStart"/>
      <w:r w:rsidRPr="000C5623">
        <w:t>real world</w:t>
      </w:r>
      <w:proofErr w:type="gramEnd"/>
      <w:r w:rsidRPr="000C5623">
        <w:t xml:space="preserve"> data and real world evidence to support health technology assessment in Australia</w:t>
      </w:r>
    </w:p>
    <w:p w14:paraId="15BBFDAE" w14:textId="77777777" w:rsidR="00152A63" w:rsidRPr="00237C21" w:rsidRDefault="00152A63" w:rsidP="000F6B83">
      <w:pPr>
        <w:ind w:left="454"/>
        <w:jc w:val="left"/>
      </w:pPr>
      <w:r w:rsidRPr="00237C21">
        <w:t>The Department of Health and Aged Care</w:t>
      </w:r>
    </w:p>
    <w:p w14:paraId="67FFB617" w14:textId="77777777" w:rsidR="00152A63" w:rsidRPr="00152A63" w:rsidRDefault="00152A63" w:rsidP="00281153">
      <w:pPr>
        <w:pStyle w:val="ListBullet"/>
        <w:numPr>
          <w:ilvl w:val="1"/>
          <w:numId w:val="8"/>
        </w:numPr>
      </w:pPr>
      <w:r w:rsidRPr="00152A63">
        <w:t xml:space="preserve">Paper 8. </w:t>
      </w:r>
      <w:r w:rsidRPr="000C5623">
        <w:t>Australian market authorisation, funding and assessment pathways and timelines</w:t>
      </w:r>
    </w:p>
    <w:p w14:paraId="5904B7E2" w14:textId="05F4857D" w:rsidR="00152A63" w:rsidRDefault="00152A63" w:rsidP="00281153">
      <w:pPr>
        <w:pStyle w:val="ListBullet"/>
        <w:numPr>
          <w:ilvl w:val="1"/>
          <w:numId w:val="8"/>
        </w:numPr>
      </w:pPr>
      <w:r w:rsidRPr="00152A63">
        <w:t xml:space="preserve">Paper 9. </w:t>
      </w:r>
      <w:r w:rsidRPr="000C5623">
        <w:t>Emerging Health Technologies</w:t>
      </w:r>
    </w:p>
    <w:p w14:paraId="14B64693" w14:textId="441F188E" w:rsidR="00E020D3" w:rsidRDefault="71A6162E" w:rsidP="0049799D">
      <w:pPr>
        <w:spacing w:before="240"/>
        <w:jc w:val="left"/>
      </w:pPr>
      <w:bookmarkStart w:id="59" w:name="_Toc164781624"/>
      <w:bookmarkStart w:id="60" w:name="_Toc171935857"/>
      <w:r w:rsidRPr="00E30D6A">
        <w:rPr>
          <w:rStyle w:val="Heading2Char"/>
          <w:rFonts w:eastAsia="Segoe UI"/>
        </w:rPr>
        <w:t>The structure of th</w:t>
      </w:r>
      <w:r w:rsidR="00A649B8">
        <w:rPr>
          <w:rStyle w:val="Heading2Char"/>
          <w:rFonts w:eastAsia="Segoe UI"/>
        </w:rPr>
        <w:t>is r</w:t>
      </w:r>
      <w:r w:rsidRPr="00E30D6A">
        <w:rPr>
          <w:rStyle w:val="Heading2Char"/>
          <w:rFonts w:eastAsia="Segoe UI"/>
        </w:rPr>
        <w:t>eport</w:t>
      </w:r>
      <w:bookmarkEnd w:id="59"/>
      <w:bookmarkEnd w:id="60"/>
      <w:r w:rsidR="00E020D3">
        <w:br/>
      </w:r>
      <w:r w:rsidR="00A649B8">
        <w:rPr>
          <w:rFonts w:eastAsia="Segoe UI" w:cs="Segoe UI"/>
          <w:color w:val="313131"/>
        </w:rPr>
        <w:t xml:space="preserve">After the </w:t>
      </w:r>
      <w:r w:rsidRPr="225E66FA">
        <w:rPr>
          <w:rFonts w:eastAsia="Segoe UI" w:cs="Segoe UI"/>
          <w:color w:val="313131"/>
        </w:rPr>
        <w:t xml:space="preserve">preface, executive summary and overview of the Australian </w:t>
      </w:r>
      <w:r w:rsidR="00A649B8">
        <w:rPr>
          <w:rFonts w:eastAsia="Segoe UI" w:cs="Segoe UI"/>
          <w:color w:val="313131"/>
        </w:rPr>
        <w:t>h</w:t>
      </w:r>
      <w:r w:rsidRPr="225E66FA">
        <w:rPr>
          <w:rFonts w:eastAsia="Segoe UI" w:cs="Segoe UI"/>
          <w:color w:val="313131"/>
        </w:rPr>
        <w:t xml:space="preserve">ealth </w:t>
      </w:r>
      <w:r w:rsidR="00A649B8">
        <w:rPr>
          <w:rFonts w:eastAsia="Segoe UI" w:cs="Segoe UI"/>
          <w:color w:val="313131"/>
        </w:rPr>
        <w:t>s</w:t>
      </w:r>
      <w:r w:rsidRPr="225E66FA">
        <w:rPr>
          <w:rFonts w:eastAsia="Segoe UI" w:cs="Segoe UI"/>
          <w:color w:val="313131"/>
        </w:rPr>
        <w:t>ystem and HTA</w:t>
      </w:r>
      <w:r w:rsidR="00F35807">
        <w:rPr>
          <w:rFonts w:eastAsia="Segoe UI" w:cs="Segoe UI"/>
          <w:color w:val="313131"/>
        </w:rPr>
        <w:t>s</w:t>
      </w:r>
      <w:r w:rsidRPr="225E66FA">
        <w:rPr>
          <w:rFonts w:eastAsia="Segoe UI" w:cs="Segoe UI"/>
          <w:color w:val="313131"/>
        </w:rPr>
        <w:t>, chapters</w:t>
      </w:r>
      <w:r w:rsidR="00A649B8">
        <w:rPr>
          <w:rFonts w:eastAsia="Segoe UI" w:cs="Segoe UI"/>
          <w:color w:val="313131"/>
        </w:rPr>
        <w:t xml:space="preserve"> 2 to 9</w:t>
      </w:r>
      <w:r w:rsidRPr="225E66FA">
        <w:rPr>
          <w:rFonts w:eastAsia="Segoe UI" w:cs="Segoe UI"/>
          <w:color w:val="313131"/>
        </w:rPr>
        <w:t xml:space="preserve"> introduce the topic, give a contextual overview</w:t>
      </w:r>
      <w:r w:rsidR="00A649B8">
        <w:rPr>
          <w:rFonts w:eastAsia="Segoe UI" w:cs="Segoe UI"/>
          <w:color w:val="313131"/>
        </w:rPr>
        <w:t>,</w:t>
      </w:r>
      <w:r w:rsidRPr="225E66FA">
        <w:rPr>
          <w:rFonts w:eastAsia="Segoe UI" w:cs="Segoe UI"/>
          <w:color w:val="313131"/>
        </w:rPr>
        <w:t xml:space="preserve"> consider the issues, </w:t>
      </w:r>
      <w:r w:rsidR="00176456">
        <w:rPr>
          <w:rFonts w:eastAsia="Segoe UI" w:cs="Segoe UI"/>
          <w:color w:val="313131"/>
        </w:rPr>
        <w:t xml:space="preserve">and </w:t>
      </w:r>
      <w:r w:rsidRPr="225E66FA">
        <w:rPr>
          <w:rFonts w:eastAsia="Segoe UI" w:cs="Segoe UI"/>
          <w:color w:val="313131"/>
        </w:rPr>
        <w:t>present the</w:t>
      </w:r>
      <w:r w:rsidR="00176456">
        <w:rPr>
          <w:rFonts w:eastAsia="Segoe UI" w:cs="Segoe UI"/>
          <w:color w:val="313131"/>
        </w:rPr>
        <w:t xml:space="preserve"> Review’s</w:t>
      </w:r>
      <w:r w:rsidRPr="225E66FA">
        <w:rPr>
          <w:rFonts w:eastAsia="Segoe UI" w:cs="Segoe UI"/>
          <w:color w:val="313131"/>
        </w:rPr>
        <w:t xml:space="preserve"> findings and analysis</w:t>
      </w:r>
      <w:r w:rsidR="00F91061">
        <w:rPr>
          <w:rFonts w:eastAsia="Segoe UI" w:cs="Segoe UI"/>
          <w:color w:val="313131"/>
        </w:rPr>
        <w:t>,</w:t>
      </w:r>
      <w:r w:rsidRPr="225E66FA">
        <w:rPr>
          <w:rFonts w:eastAsia="Segoe UI" w:cs="Segoe UI"/>
          <w:color w:val="313131"/>
        </w:rPr>
        <w:t xml:space="preserve"> </w:t>
      </w:r>
      <w:r w:rsidR="00204E03">
        <w:rPr>
          <w:rFonts w:eastAsia="Segoe UI" w:cs="Segoe UI"/>
          <w:color w:val="313131"/>
        </w:rPr>
        <w:t xml:space="preserve">including </w:t>
      </w:r>
      <w:r w:rsidRPr="225E66FA">
        <w:rPr>
          <w:rFonts w:eastAsia="Segoe UI" w:cs="Segoe UI"/>
          <w:color w:val="313131"/>
        </w:rPr>
        <w:t>recommendations.</w:t>
      </w:r>
    </w:p>
    <w:p w14:paraId="225B19A9" w14:textId="2C6B1128" w:rsidR="001753EB" w:rsidRDefault="0036215C" w:rsidP="00281153">
      <w:pPr>
        <w:pStyle w:val="ListBullet"/>
        <w:numPr>
          <w:ilvl w:val="0"/>
          <w:numId w:val="58"/>
        </w:numPr>
      </w:pPr>
      <w:r>
        <w:lastRenderedPageBreak/>
        <w:t xml:space="preserve">Chapter </w:t>
      </w:r>
      <w:r w:rsidR="004408E6">
        <w:t xml:space="preserve">2: Overview of Australia’s health system and </w:t>
      </w:r>
      <w:r w:rsidR="0021275B">
        <w:t>HTA</w:t>
      </w:r>
    </w:p>
    <w:p w14:paraId="7E944EB8" w14:textId="48EF5F64" w:rsidR="0021275B" w:rsidRDefault="0021275B" w:rsidP="00281153">
      <w:pPr>
        <w:pStyle w:val="ListBullet"/>
        <w:numPr>
          <w:ilvl w:val="0"/>
          <w:numId w:val="58"/>
        </w:numPr>
      </w:pPr>
      <w:r>
        <w:t>Chapter</w:t>
      </w:r>
      <w:r w:rsidR="009F4120">
        <w:t xml:space="preserve"> </w:t>
      </w:r>
      <w:r>
        <w:t xml:space="preserve">3: </w:t>
      </w:r>
      <w:r w:rsidR="00A3501E">
        <w:t>Providing more equitable access to under</w:t>
      </w:r>
      <w:r w:rsidR="00BF6B6E">
        <w:t>-</w:t>
      </w:r>
      <w:r w:rsidR="00A3501E">
        <w:t>represented patient groups</w:t>
      </w:r>
    </w:p>
    <w:p w14:paraId="6FC09F73" w14:textId="5D853CA1" w:rsidR="00A3501E" w:rsidRDefault="00A3501E" w:rsidP="00281153">
      <w:pPr>
        <w:pStyle w:val="ListBullet"/>
        <w:numPr>
          <w:ilvl w:val="0"/>
          <w:numId w:val="58"/>
        </w:numPr>
      </w:pPr>
      <w:r>
        <w:t xml:space="preserve">Chapter 4: </w:t>
      </w:r>
      <w:r w:rsidR="009B7C58">
        <w:t>Streamlined pathways for more timely access</w:t>
      </w:r>
    </w:p>
    <w:p w14:paraId="2789C2CD" w14:textId="30FD3C94" w:rsidR="009B7C58" w:rsidRDefault="009B7C58" w:rsidP="00281153">
      <w:pPr>
        <w:pStyle w:val="ListBullet"/>
        <w:numPr>
          <w:ilvl w:val="0"/>
          <w:numId w:val="58"/>
        </w:numPr>
      </w:pPr>
      <w:r>
        <w:t xml:space="preserve">Chapter 5: </w:t>
      </w:r>
      <w:r w:rsidR="00C92A93">
        <w:t>Policies, methods and processes supporting the translation of HTA recommendations into patient access</w:t>
      </w:r>
    </w:p>
    <w:p w14:paraId="3415DBDD" w14:textId="2FAC9BB7" w:rsidR="00C92A93" w:rsidRDefault="00C92A93" w:rsidP="00281153">
      <w:pPr>
        <w:pStyle w:val="ListBullet"/>
        <w:numPr>
          <w:ilvl w:val="0"/>
          <w:numId w:val="58"/>
        </w:numPr>
      </w:pPr>
      <w:r>
        <w:t>Chapter 6: Transparency and stakeholder involvement</w:t>
      </w:r>
    </w:p>
    <w:p w14:paraId="06CE0DB2" w14:textId="1F7FD080" w:rsidR="00C92A93" w:rsidRDefault="00C92A93" w:rsidP="00281153">
      <w:pPr>
        <w:pStyle w:val="ListBullet"/>
        <w:numPr>
          <w:ilvl w:val="0"/>
          <w:numId w:val="58"/>
        </w:numPr>
      </w:pPr>
      <w:r>
        <w:t xml:space="preserve">Chapter 7: </w:t>
      </w:r>
      <w:r w:rsidR="00375575">
        <w:t>Enhancing real</w:t>
      </w:r>
      <w:r w:rsidR="00C80BFF">
        <w:t>-</w:t>
      </w:r>
      <w:r w:rsidR="00375575">
        <w:t>world data and real</w:t>
      </w:r>
      <w:r w:rsidR="00C80BFF">
        <w:t>-world evidence for HTA</w:t>
      </w:r>
    </w:p>
    <w:p w14:paraId="4BC34445" w14:textId="10F94614" w:rsidR="00C80BFF" w:rsidRDefault="00C80BFF" w:rsidP="00281153">
      <w:pPr>
        <w:pStyle w:val="ListBullet"/>
        <w:numPr>
          <w:ilvl w:val="0"/>
          <w:numId w:val="58"/>
        </w:numPr>
      </w:pPr>
      <w:r>
        <w:t>Chapter 8: Methods for confident decisions</w:t>
      </w:r>
    </w:p>
    <w:p w14:paraId="70420F50" w14:textId="0F0B9757" w:rsidR="00C80BFF" w:rsidRDefault="00D94797" w:rsidP="00281153">
      <w:pPr>
        <w:pStyle w:val="ListBullet"/>
        <w:numPr>
          <w:ilvl w:val="0"/>
          <w:numId w:val="58"/>
        </w:numPr>
      </w:pPr>
      <w:r>
        <w:t xml:space="preserve">Chapter 9: Supporting </w:t>
      </w:r>
      <w:r w:rsidR="00A649B8">
        <w:t>a</w:t>
      </w:r>
      <w:r>
        <w:t xml:space="preserve">rchitecture for </w:t>
      </w:r>
      <w:r w:rsidR="00A649B8">
        <w:t>h</w:t>
      </w:r>
      <w:r>
        <w:t xml:space="preserve">ealth </w:t>
      </w:r>
      <w:r w:rsidR="00A649B8">
        <w:t>t</w:t>
      </w:r>
      <w:r>
        <w:t xml:space="preserve">echnology </w:t>
      </w:r>
      <w:r w:rsidR="00A649B8">
        <w:t>a</w:t>
      </w:r>
      <w:r>
        <w:t>ssessment</w:t>
      </w:r>
      <w:r w:rsidR="00A72F2E">
        <w:t>s</w:t>
      </w:r>
    </w:p>
    <w:p w14:paraId="48692C73" w14:textId="77777777" w:rsidR="0075569F" w:rsidRDefault="0075569F">
      <w:pPr>
        <w:rPr>
          <w:rFonts w:eastAsia="Times New Roman" w:cs="Segoe UI"/>
          <w:color w:val="0A1D37" w:themeColor="text2" w:themeShade="80"/>
          <w:kern w:val="28"/>
          <w:sz w:val="56"/>
          <w:szCs w:val="56"/>
        </w:rPr>
      </w:pPr>
      <w:bookmarkStart w:id="61" w:name="_Toc164685808"/>
      <w:bookmarkStart w:id="62" w:name="_Toc164691380"/>
      <w:bookmarkStart w:id="63" w:name="_Toc164696178"/>
      <w:bookmarkStart w:id="64" w:name="_Toc164696324"/>
      <w:bookmarkStart w:id="65" w:name="_Toc164767713"/>
      <w:bookmarkStart w:id="66" w:name="_Toc164781625"/>
      <w:bookmarkStart w:id="67" w:name="_Ref164782608"/>
      <w:r>
        <w:br w:type="page"/>
      </w:r>
    </w:p>
    <w:p w14:paraId="769E199A" w14:textId="7FD924E4" w:rsidR="00DD006F" w:rsidRDefault="00011633" w:rsidP="00A318F7">
      <w:pPr>
        <w:pStyle w:val="Heading1"/>
      </w:pPr>
      <w:bookmarkStart w:id="68" w:name="_Toc171935858"/>
      <w:r>
        <w:lastRenderedPageBreak/>
        <w:t xml:space="preserve">Chapter 2: </w:t>
      </w:r>
      <w:r w:rsidR="00717613">
        <w:t>Overview</w:t>
      </w:r>
      <w:r w:rsidR="00F61BA4">
        <w:t xml:space="preserve"> </w:t>
      </w:r>
      <w:r w:rsidR="00361E49">
        <w:t>of</w:t>
      </w:r>
      <w:r w:rsidR="00F61BA4">
        <w:t xml:space="preserve"> </w:t>
      </w:r>
      <w:r w:rsidR="00F06B0D">
        <w:t xml:space="preserve">Australia’s health </w:t>
      </w:r>
      <w:r w:rsidR="001A4375">
        <w:t>system</w:t>
      </w:r>
      <w:r w:rsidR="00F06B0D">
        <w:t xml:space="preserve"> and HTA</w:t>
      </w:r>
      <w:bookmarkEnd w:id="61"/>
      <w:bookmarkEnd w:id="62"/>
      <w:bookmarkEnd w:id="63"/>
      <w:bookmarkEnd w:id="64"/>
      <w:bookmarkEnd w:id="65"/>
      <w:bookmarkEnd w:id="66"/>
      <w:bookmarkEnd w:id="67"/>
      <w:bookmarkEnd w:id="68"/>
      <w:r w:rsidR="00F06B0D">
        <w:t xml:space="preserve"> </w:t>
      </w:r>
    </w:p>
    <w:p w14:paraId="360A13B9" w14:textId="100B3F1E" w:rsidR="005D2C98" w:rsidRDefault="009B1BE4" w:rsidP="002A599A">
      <w:pPr>
        <w:pStyle w:val="Heading2"/>
      </w:pPr>
      <w:bookmarkStart w:id="69" w:name="_Toc164685809"/>
      <w:bookmarkStart w:id="70" w:name="_Toc164691381"/>
      <w:bookmarkStart w:id="71" w:name="_Toc164696179"/>
      <w:bookmarkStart w:id="72" w:name="_Toc164696325"/>
      <w:bookmarkStart w:id="73" w:name="_Toc164767714"/>
      <w:bookmarkStart w:id="74" w:name="_Toc164781626"/>
      <w:bookmarkStart w:id="75" w:name="_Toc171935859"/>
      <w:r>
        <w:t>Australia</w:t>
      </w:r>
      <w:r w:rsidR="00E82528">
        <w:t>’</w:t>
      </w:r>
      <w:r>
        <w:t xml:space="preserve">s health system </w:t>
      </w:r>
      <w:r w:rsidR="0069195C">
        <w:t>and access to health technologies</w:t>
      </w:r>
      <w:bookmarkEnd w:id="69"/>
      <w:bookmarkEnd w:id="70"/>
      <w:bookmarkEnd w:id="71"/>
      <w:bookmarkEnd w:id="72"/>
      <w:bookmarkEnd w:id="73"/>
      <w:bookmarkEnd w:id="74"/>
      <w:bookmarkEnd w:id="75"/>
      <w:r>
        <w:t xml:space="preserve"> </w:t>
      </w:r>
    </w:p>
    <w:p w14:paraId="74F55A9A" w14:textId="5DA0C7F0" w:rsidR="00283699" w:rsidRDefault="002039FC" w:rsidP="00E54757">
      <w:r>
        <w:t>Australi</w:t>
      </w:r>
      <w:r w:rsidR="00BC2A3F">
        <w:t xml:space="preserve">a’s </w:t>
      </w:r>
      <w:r w:rsidR="00770C94">
        <w:t xml:space="preserve">health </w:t>
      </w:r>
      <w:r w:rsidR="00BC2A3F">
        <w:t>system</w:t>
      </w:r>
      <w:r w:rsidR="00B83BDD">
        <w:t xml:space="preserve"> </w:t>
      </w:r>
      <w:r w:rsidR="00F540D3">
        <w:t>has helped</w:t>
      </w:r>
      <w:r w:rsidR="00B83BDD">
        <w:t xml:space="preserve"> to deliver </w:t>
      </w:r>
      <w:r w:rsidR="00A75BFE">
        <w:t>better</w:t>
      </w:r>
      <w:r w:rsidR="00B83BDD">
        <w:t xml:space="preserve"> health outcomes </w:t>
      </w:r>
      <w:r w:rsidR="005838EA">
        <w:t>on many measures</w:t>
      </w:r>
      <w:r w:rsidR="00B83BDD">
        <w:t xml:space="preserve"> </w:t>
      </w:r>
      <w:r w:rsidR="00E327DC">
        <w:t>for Australian citizens compared to</w:t>
      </w:r>
      <w:r w:rsidR="005C0CCE">
        <w:t xml:space="preserve"> </w:t>
      </w:r>
      <w:r w:rsidR="00922BE3">
        <w:t xml:space="preserve">other </w:t>
      </w:r>
      <w:r w:rsidR="00337DF8">
        <w:t xml:space="preserve">OECD </w:t>
      </w:r>
      <w:r w:rsidR="00922BE3">
        <w:t>countri</w:t>
      </w:r>
      <w:r w:rsidR="00DF08D0">
        <w:t>es.</w:t>
      </w:r>
      <w:bookmarkStart w:id="76" w:name="_Ref164863462"/>
      <w:r w:rsidR="00E73E5C">
        <w:rPr>
          <w:rStyle w:val="FootnoteReference"/>
        </w:rPr>
        <w:footnoteReference w:id="15"/>
      </w:r>
      <w:bookmarkEnd w:id="76"/>
      <w:r w:rsidR="00560597">
        <w:t xml:space="preserve"> </w:t>
      </w:r>
      <w:r w:rsidR="00E550C1">
        <w:t>Australia’s m</w:t>
      </w:r>
      <w:r w:rsidR="00134A7B">
        <w:t xml:space="preserve">ortality rates from </w:t>
      </w:r>
      <w:r w:rsidR="005E1DE6">
        <w:t xml:space="preserve">preventable and </w:t>
      </w:r>
      <w:r w:rsidR="00134A7B">
        <w:t xml:space="preserve">treatable causes are </w:t>
      </w:r>
      <w:r w:rsidR="00A52138">
        <w:t>among the lowest in the world</w:t>
      </w:r>
      <w:r w:rsidR="00B4782B">
        <w:t>,</w:t>
      </w:r>
      <w:r w:rsidR="00510328">
        <w:fldChar w:fldCharType="begin" w:fldLock="1"/>
      </w:r>
      <w:r w:rsidR="00510328">
        <w:instrText xml:space="preserve"> NOTEREF _Ref164863462 \f \h </w:instrText>
      </w:r>
      <w:r w:rsidR="00847484">
        <w:fldChar w:fldCharType="separate"/>
      </w:r>
      <w:r w:rsidR="00510328">
        <w:fldChar w:fldCharType="end"/>
      </w:r>
      <w:r w:rsidR="00134A7B">
        <w:t xml:space="preserve"> </w:t>
      </w:r>
      <w:r w:rsidR="00B4782B">
        <w:t>a</w:t>
      </w:r>
      <w:r w:rsidR="005E1C40">
        <w:t xml:space="preserve">nd </w:t>
      </w:r>
      <w:r w:rsidR="00686A2E">
        <w:t xml:space="preserve">Australians’ </w:t>
      </w:r>
      <w:bookmarkStart w:id="77" w:name="_Hlk167260333"/>
      <w:r w:rsidR="00FF69D5">
        <w:t>l</w:t>
      </w:r>
      <w:r w:rsidR="00457FBC">
        <w:t>i</w:t>
      </w:r>
      <w:r w:rsidR="00EB5432">
        <w:t>fe</w:t>
      </w:r>
      <w:r w:rsidR="006832E2">
        <w:t xml:space="preserve"> </w:t>
      </w:r>
      <w:r w:rsidR="0026788A">
        <w:t>expect</w:t>
      </w:r>
      <w:r w:rsidR="00623735">
        <w:t>ancy</w:t>
      </w:r>
      <w:r w:rsidR="0026788A">
        <w:t xml:space="preserve"> </w:t>
      </w:r>
      <w:r w:rsidR="00AC1B93">
        <w:t>at birth</w:t>
      </w:r>
      <w:bookmarkEnd w:id="77"/>
      <w:r w:rsidR="00AC1B93">
        <w:t xml:space="preserve"> </w:t>
      </w:r>
      <w:r w:rsidR="00686A2E">
        <w:t>(</w:t>
      </w:r>
      <w:r w:rsidR="0054119B">
        <w:t>currently</w:t>
      </w:r>
      <w:r w:rsidR="00EB5432">
        <w:t xml:space="preserve"> 83 years</w:t>
      </w:r>
      <w:r w:rsidR="00686A2E">
        <w:t>)</w:t>
      </w:r>
      <w:r w:rsidR="00EB5432">
        <w:t xml:space="preserve"> </w:t>
      </w:r>
      <w:r w:rsidR="00686A2E">
        <w:t xml:space="preserve">is </w:t>
      </w:r>
      <w:r w:rsidR="0026788A">
        <w:t xml:space="preserve">the </w:t>
      </w:r>
      <w:r w:rsidR="001F3ECE">
        <w:t>fifth</w:t>
      </w:r>
      <w:r w:rsidR="008722C8">
        <w:t xml:space="preserve"> </w:t>
      </w:r>
      <w:r w:rsidR="0026788A">
        <w:t>highest</w:t>
      </w:r>
      <w:r w:rsidR="00EB5432">
        <w:t>.</w:t>
      </w:r>
      <w:r w:rsidR="00DC79CE">
        <w:rPr>
          <w:rStyle w:val="FootnoteReference"/>
        </w:rPr>
        <w:footnoteReference w:id="16"/>
      </w:r>
      <w:r w:rsidR="00453069">
        <w:t xml:space="preserve"> </w:t>
      </w:r>
    </w:p>
    <w:p w14:paraId="3C8B85E5" w14:textId="056E7A72" w:rsidR="006B3E54" w:rsidRDefault="00E327DC" w:rsidP="00E54757">
      <w:r>
        <w:t xml:space="preserve">The </w:t>
      </w:r>
      <w:r w:rsidR="00391BF0">
        <w:t>health system</w:t>
      </w:r>
      <w:r w:rsidR="00474076">
        <w:t xml:space="preserve"> </w:t>
      </w:r>
      <w:r w:rsidR="0081433C">
        <w:t xml:space="preserve">has </w:t>
      </w:r>
      <w:r w:rsidR="00345730">
        <w:t>contributed</w:t>
      </w:r>
      <w:r w:rsidR="008C6B0D">
        <w:t xml:space="preserve"> to </w:t>
      </w:r>
      <w:r w:rsidR="00B9536E">
        <w:t xml:space="preserve">these outcomes </w:t>
      </w:r>
      <w:r w:rsidR="00345730">
        <w:t xml:space="preserve">through </w:t>
      </w:r>
      <w:r w:rsidR="00B27160">
        <w:t>funding</w:t>
      </w:r>
      <w:r w:rsidR="00345730">
        <w:t xml:space="preserve"> </w:t>
      </w:r>
      <w:r w:rsidR="00792A9E">
        <w:t>schemes</w:t>
      </w:r>
      <w:r w:rsidR="00B27160">
        <w:t xml:space="preserve"> that provide</w:t>
      </w:r>
      <w:r w:rsidR="00474076">
        <w:t xml:space="preserve"> universal access to a </w:t>
      </w:r>
      <w:r w:rsidR="000D5EEF">
        <w:t>wide range of health services</w:t>
      </w:r>
      <w:r>
        <w:t>, public hospitals</w:t>
      </w:r>
      <w:r w:rsidR="000D5EEF">
        <w:t xml:space="preserve"> and technologies at low or no cost</w:t>
      </w:r>
      <w:r w:rsidR="00C609A8">
        <w:t xml:space="preserve"> to </w:t>
      </w:r>
      <w:r w:rsidR="00AC0F48">
        <w:t>citizens</w:t>
      </w:r>
      <w:r w:rsidR="000D5EEF">
        <w:t xml:space="preserve">. These </w:t>
      </w:r>
      <w:r>
        <w:t xml:space="preserve">funding schemes </w:t>
      </w:r>
      <w:r w:rsidR="00792A9E">
        <w:t>include</w:t>
      </w:r>
      <w:r w:rsidR="00C609A8">
        <w:t xml:space="preserve"> Medicare, the </w:t>
      </w:r>
      <w:r w:rsidR="00F47B65">
        <w:t>PBS</w:t>
      </w:r>
      <w:r w:rsidR="00792A9E">
        <w:t>,</w:t>
      </w:r>
      <w:r w:rsidR="00C609A8">
        <w:t xml:space="preserve"> </w:t>
      </w:r>
      <w:r w:rsidR="00E53B87">
        <w:t>the National Immunisation Program</w:t>
      </w:r>
      <w:r w:rsidR="00792A9E">
        <w:t xml:space="preserve"> (NIP)</w:t>
      </w:r>
      <w:r w:rsidR="00E53B87">
        <w:t xml:space="preserve"> </w:t>
      </w:r>
      <w:r w:rsidR="005B7E78">
        <w:t xml:space="preserve">and </w:t>
      </w:r>
      <w:r w:rsidR="0039715C">
        <w:t>the Life Saving Drugs Program</w:t>
      </w:r>
      <w:r w:rsidR="00792A9E">
        <w:t xml:space="preserve"> (LSDP)</w:t>
      </w:r>
      <w:r w:rsidR="005B7E78">
        <w:t>.</w:t>
      </w:r>
    </w:p>
    <w:p w14:paraId="3E061CE5" w14:textId="69D933DF" w:rsidR="000376DD" w:rsidRDefault="00054E85" w:rsidP="00E54757">
      <w:r>
        <w:t>Commi</w:t>
      </w:r>
      <w:r w:rsidR="00E327DC">
        <w:t>t</w:t>
      </w:r>
      <w:r>
        <w:t>t</w:t>
      </w:r>
      <w:r w:rsidR="00E327DC">
        <w:t>ing</w:t>
      </w:r>
      <w:r>
        <w:t xml:space="preserve"> taxpayer funds to these </w:t>
      </w:r>
      <w:r w:rsidR="00BB34D8">
        <w:t xml:space="preserve">schemes </w:t>
      </w:r>
      <w:r w:rsidR="00802A34">
        <w:t>is part of</w:t>
      </w:r>
      <w:r>
        <w:t xml:space="preserve"> the Australian Government</w:t>
      </w:r>
      <w:r w:rsidR="000B231D">
        <w:t>’s</w:t>
      </w:r>
      <w:r w:rsidR="003F4781">
        <w:t xml:space="preserve"> </w:t>
      </w:r>
      <w:r w:rsidR="00D7011B">
        <w:t xml:space="preserve">broader </w:t>
      </w:r>
      <w:r w:rsidR="006A71C8">
        <w:t>goal of i</w:t>
      </w:r>
      <w:r w:rsidR="001605AF">
        <w:t>mpro</w:t>
      </w:r>
      <w:r w:rsidR="00F12330">
        <w:t>v</w:t>
      </w:r>
      <w:r w:rsidR="006A71C8">
        <w:t>ing</w:t>
      </w:r>
      <w:r w:rsidR="001605AF">
        <w:t xml:space="preserve"> living standards for all </w:t>
      </w:r>
      <w:r w:rsidR="00E327DC">
        <w:t>citizens</w:t>
      </w:r>
      <w:r w:rsidR="002A628A">
        <w:t>.</w:t>
      </w:r>
      <w:r w:rsidR="001605AF">
        <w:t xml:space="preserve"> </w:t>
      </w:r>
      <w:r w:rsidR="00EA1225">
        <w:t xml:space="preserve">Administration of </w:t>
      </w:r>
      <w:r w:rsidR="007733B7">
        <w:t>Australia</w:t>
      </w:r>
      <w:r w:rsidR="00B97DDE">
        <w:t>’s</w:t>
      </w:r>
      <w:r w:rsidR="007733B7">
        <w:t xml:space="preserve"> </w:t>
      </w:r>
      <w:r w:rsidR="005D075D">
        <w:t xml:space="preserve">healthcare </w:t>
      </w:r>
      <w:r w:rsidR="005A7BC0">
        <w:t xml:space="preserve">funding schemes </w:t>
      </w:r>
      <w:r w:rsidR="00877746">
        <w:t>is</w:t>
      </w:r>
      <w:r w:rsidR="005A7BC0">
        <w:t xml:space="preserve"> </w:t>
      </w:r>
      <w:r w:rsidR="00814B75">
        <w:t>g</w:t>
      </w:r>
      <w:r w:rsidR="005A7BC0">
        <w:t xml:space="preserve">uided </w:t>
      </w:r>
      <w:r w:rsidR="008253D4">
        <w:t xml:space="preserve">by </w:t>
      </w:r>
      <w:r w:rsidR="00297D09">
        <w:t>various</w:t>
      </w:r>
      <w:r w:rsidR="00297D09" w:rsidRPr="00297D09">
        <w:t xml:space="preserve"> </w:t>
      </w:r>
      <w:r w:rsidR="00EA1225" w:rsidRPr="00297D09">
        <w:t>policies</w:t>
      </w:r>
      <w:r w:rsidR="00552493">
        <w:t>.</w:t>
      </w:r>
    </w:p>
    <w:p w14:paraId="381EE21F" w14:textId="65C57F84" w:rsidR="00DC1C9E" w:rsidRDefault="00F64EB3" w:rsidP="00E54757">
      <w:r>
        <w:t>T</w:t>
      </w:r>
      <w:r w:rsidR="00552493">
        <w:t xml:space="preserve">he </w:t>
      </w:r>
      <w:r w:rsidR="00F87D89">
        <w:t xml:space="preserve">main policy framework that guides </w:t>
      </w:r>
      <w:r w:rsidR="0063382D">
        <w:t xml:space="preserve">the provision of </w:t>
      </w:r>
      <w:r w:rsidR="00F87D89">
        <w:t xml:space="preserve">access </w:t>
      </w:r>
      <w:r w:rsidR="0063382D">
        <w:t>to</w:t>
      </w:r>
      <w:r>
        <w:t xml:space="preserve"> health technologies </w:t>
      </w:r>
      <w:r w:rsidR="00F87D89">
        <w:t xml:space="preserve">is </w:t>
      </w:r>
      <w:r w:rsidR="00581A97">
        <w:t xml:space="preserve">Australia’s </w:t>
      </w:r>
      <w:r w:rsidR="001C6DA6">
        <w:t>NMP</w:t>
      </w:r>
      <w:r w:rsidR="0050300F">
        <w:t>.</w:t>
      </w:r>
      <w:r>
        <w:rPr>
          <w:rStyle w:val="FootnoteReference"/>
        </w:rPr>
        <w:footnoteReference w:id="17"/>
      </w:r>
      <w:r w:rsidR="00EF458F">
        <w:t xml:space="preserve"> </w:t>
      </w:r>
      <w:r w:rsidR="007B694F">
        <w:t>Its</w:t>
      </w:r>
      <w:r w:rsidR="001C6DA6">
        <w:t xml:space="preserve"> vision is </w:t>
      </w:r>
      <w:r w:rsidR="008B02AE">
        <w:t>‘</w:t>
      </w:r>
      <w:r w:rsidR="001C6DA6">
        <w:t xml:space="preserve">to achieve the world’s best health, social and economic </w:t>
      </w:r>
      <w:r w:rsidR="008B02AE">
        <w:t xml:space="preserve">results </w:t>
      </w:r>
      <w:r w:rsidR="001C6DA6">
        <w:t xml:space="preserve">for all Australians </w:t>
      </w:r>
      <w:r w:rsidR="008B02AE">
        <w:t xml:space="preserve">and to do this </w:t>
      </w:r>
      <w:r w:rsidR="001C6DA6">
        <w:t xml:space="preserve">through a supportive medicines </w:t>
      </w:r>
      <w:r w:rsidR="008B02AE">
        <w:t>policy’</w:t>
      </w:r>
      <w:r w:rsidR="00C678EB">
        <w:t>.</w:t>
      </w:r>
      <w:r w:rsidR="008B02AE">
        <w:rPr>
          <w:rStyle w:val="FootnoteReference"/>
        </w:rPr>
        <w:footnoteReference w:id="18"/>
      </w:r>
      <w:r w:rsidR="00C678EB">
        <w:t xml:space="preserve"> </w:t>
      </w:r>
    </w:p>
    <w:p w14:paraId="75B58AFC" w14:textId="0D2AC03C" w:rsidR="002F6179" w:rsidRDefault="00C678EB" w:rsidP="00E54757">
      <w:r>
        <w:t>To that end</w:t>
      </w:r>
      <w:r w:rsidR="004464E9">
        <w:t>,</w:t>
      </w:r>
      <w:r>
        <w:t xml:space="preserve"> the NMP has </w:t>
      </w:r>
      <w:r w:rsidR="00DA6966">
        <w:t xml:space="preserve">three key aims: </w:t>
      </w:r>
    </w:p>
    <w:p w14:paraId="1E4C7C56" w14:textId="5A9388D8" w:rsidR="00106A9C" w:rsidRDefault="008B02AE" w:rsidP="00281153">
      <w:pPr>
        <w:pStyle w:val="ListBullet"/>
        <w:numPr>
          <w:ilvl w:val="0"/>
          <w:numId w:val="59"/>
        </w:numPr>
      </w:pPr>
      <w:r>
        <w:t>to provide e</w:t>
      </w:r>
      <w:r w:rsidR="00106A9C">
        <w:t>quitable, timely, safe and affordable access to a high-quality and reliable supply of medicines and medicines-related services for all Australians</w:t>
      </w:r>
    </w:p>
    <w:p w14:paraId="51CB15E1" w14:textId="33475A89" w:rsidR="00106A9C" w:rsidRDefault="008B02AE" w:rsidP="00281153">
      <w:pPr>
        <w:pStyle w:val="ListBullet"/>
        <w:numPr>
          <w:ilvl w:val="0"/>
          <w:numId w:val="59"/>
        </w:numPr>
      </w:pPr>
      <w:r>
        <w:t>to ensure m</w:t>
      </w:r>
      <w:r w:rsidR="00106A9C">
        <w:t>edicines are used safely, optimally and judiciously, with a focus on informed choice and well-coordinated person-centred care</w:t>
      </w:r>
    </w:p>
    <w:p w14:paraId="5102F9D0" w14:textId="31EB5948" w:rsidR="00DA6966" w:rsidRDefault="008B02AE" w:rsidP="00281153">
      <w:pPr>
        <w:pStyle w:val="ListBullet"/>
        <w:numPr>
          <w:ilvl w:val="0"/>
          <w:numId w:val="59"/>
        </w:numPr>
      </w:pPr>
      <w:r>
        <w:t>to s</w:t>
      </w:r>
      <w:r w:rsidR="00106A9C">
        <w:t>upport a positive and sustainable policy environment t</w:t>
      </w:r>
      <w:r>
        <w:t>hat</w:t>
      </w:r>
      <w:r w:rsidR="00106A9C">
        <w:t xml:space="preserve"> drive</w:t>
      </w:r>
      <w:r>
        <w:t>s</w:t>
      </w:r>
      <w:r w:rsidR="00106A9C">
        <w:t xml:space="preserve"> world-class innovation and research, including translational research, and the successful development of medicines and medicines-related services in Australia.</w:t>
      </w:r>
      <w:r>
        <w:rPr>
          <w:rStyle w:val="FootnoteReference"/>
        </w:rPr>
        <w:footnoteReference w:id="19"/>
      </w:r>
    </w:p>
    <w:p w14:paraId="3663ED5E" w14:textId="4D28E671" w:rsidR="006C49E8" w:rsidRDefault="008B02AE" w:rsidP="00E54757">
      <w:r>
        <w:rPr>
          <w:rFonts w:cs="Arial"/>
          <w:szCs w:val="20"/>
        </w:rPr>
        <w:lastRenderedPageBreak/>
        <w:t xml:space="preserve">For many years, </w:t>
      </w:r>
      <w:r w:rsidR="006C49E8" w:rsidRPr="006C49E8">
        <w:rPr>
          <w:rFonts w:cs="Arial"/>
          <w:szCs w:val="20"/>
        </w:rPr>
        <w:t>Australia’s funding schemes have</w:t>
      </w:r>
      <w:r w:rsidR="006C49E8">
        <w:rPr>
          <w:rFonts w:cs="Arial"/>
          <w:szCs w:val="20"/>
        </w:rPr>
        <w:t xml:space="preserve"> supported these aims by</w:t>
      </w:r>
      <w:r w:rsidR="006C49E8" w:rsidRPr="006C49E8">
        <w:rPr>
          <w:rFonts w:cs="Arial"/>
          <w:szCs w:val="20"/>
        </w:rPr>
        <w:t xml:space="preserve"> </w:t>
      </w:r>
      <w:r w:rsidR="00875A74">
        <w:rPr>
          <w:rFonts w:cs="Arial"/>
          <w:szCs w:val="20"/>
        </w:rPr>
        <w:t>providing</w:t>
      </w:r>
      <w:r w:rsidR="006C49E8" w:rsidRPr="006C49E8">
        <w:rPr>
          <w:rFonts w:cs="Arial"/>
        </w:rPr>
        <w:t xml:space="preserve"> </w:t>
      </w:r>
      <w:r w:rsidR="006C49E8" w:rsidRPr="006C49E8">
        <w:rPr>
          <w:rFonts w:cs="Arial"/>
          <w:szCs w:val="20"/>
        </w:rPr>
        <w:t>Australian</w:t>
      </w:r>
      <w:r w:rsidR="008D0610">
        <w:rPr>
          <w:rFonts w:cs="Arial"/>
          <w:szCs w:val="20"/>
        </w:rPr>
        <w:t xml:space="preserve"> citizens with</w:t>
      </w:r>
      <w:r w:rsidR="006C49E8" w:rsidRPr="006C49E8">
        <w:rPr>
          <w:rFonts w:cs="Arial"/>
          <w:szCs w:val="20"/>
        </w:rPr>
        <w:t xml:space="preserve"> </w:t>
      </w:r>
      <w:r w:rsidR="007007F9">
        <w:rPr>
          <w:rFonts w:cs="Arial"/>
          <w:szCs w:val="20"/>
        </w:rPr>
        <w:t>universal</w:t>
      </w:r>
      <w:r w:rsidR="006C49E8" w:rsidRPr="006C49E8">
        <w:rPr>
          <w:rFonts w:cs="Arial"/>
          <w:szCs w:val="20"/>
        </w:rPr>
        <w:t xml:space="preserve"> access to the most effective health technologies for the prevention, management and treatment of medical conditions. </w:t>
      </w:r>
    </w:p>
    <w:p w14:paraId="35586A71" w14:textId="077AC257" w:rsidR="00E82528" w:rsidRPr="005D3D29" w:rsidRDefault="00615849" w:rsidP="002A599A">
      <w:pPr>
        <w:pStyle w:val="Heading2"/>
      </w:pPr>
      <w:bookmarkStart w:id="78" w:name="_Toc164685810"/>
      <w:bookmarkStart w:id="79" w:name="_Toc164691382"/>
      <w:bookmarkStart w:id="80" w:name="_Toc164696180"/>
      <w:bookmarkStart w:id="81" w:name="_Toc164696326"/>
      <w:bookmarkStart w:id="82" w:name="_Toc164767715"/>
      <w:bookmarkStart w:id="83" w:name="_Toc164781627"/>
      <w:bookmarkStart w:id="84" w:name="_Toc171935860"/>
      <w:r>
        <w:t>Health expenditure and funding</w:t>
      </w:r>
      <w:bookmarkEnd w:id="78"/>
      <w:bookmarkEnd w:id="79"/>
      <w:bookmarkEnd w:id="80"/>
      <w:bookmarkEnd w:id="81"/>
      <w:bookmarkEnd w:id="82"/>
      <w:bookmarkEnd w:id="83"/>
      <w:bookmarkEnd w:id="84"/>
      <w:r>
        <w:t xml:space="preserve"> </w:t>
      </w:r>
    </w:p>
    <w:p w14:paraId="65BC698C" w14:textId="2FB10F21" w:rsidR="00A90DCE" w:rsidRDefault="00E148B3" w:rsidP="00EF3149">
      <w:r>
        <w:t>Australia</w:t>
      </w:r>
      <w:r w:rsidR="002404A6">
        <w:t xml:space="preserve">’s </w:t>
      </w:r>
      <w:r w:rsidR="005154DF">
        <w:t xml:space="preserve">health outcomes </w:t>
      </w:r>
      <w:r w:rsidR="00C3237C">
        <w:t xml:space="preserve">are achieved </w:t>
      </w:r>
      <w:r w:rsidR="005154DF">
        <w:t xml:space="preserve">at a </w:t>
      </w:r>
      <w:r w:rsidR="005B7EFB">
        <w:t>sign</w:t>
      </w:r>
      <w:r w:rsidR="00127125">
        <w:t>i</w:t>
      </w:r>
      <w:r w:rsidR="005B7EFB">
        <w:t>ficant</w:t>
      </w:r>
      <w:r w:rsidR="005154DF">
        <w:t xml:space="preserve"> cost</w:t>
      </w:r>
      <w:r w:rsidR="00127125">
        <w:t xml:space="preserve"> to the taxpayer</w:t>
      </w:r>
      <w:r w:rsidR="005154DF">
        <w:t xml:space="preserve">. </w:t>
      </w:r>
      <w:r w:rsidR="001C2645">
        <w:t xml:space="preserve">In </w:t>
      </w:r>
      <w:r w:rsidR="004954A4">
        <w:t>2022</w:t>
      </w:r>
      <w:r w:rsidR="001C2645">
        <w:t xml:space="preserve">, </w:t>
      </w:r>
      <w:r w:rsidR="005154DF">
        <w:t xml:space="preserve">Australia </w:t>
      </w:r>
      <w:r w:rsidR="00C0104A">
        <w:t>ha</w:t>
      </w:r>
      <w:r w:rsidR="001C2645">
        <w:t>d</w:t>
      </w:r>
      <w:r w:rsidR="00C0104A">
        <w:t xml:space="preserve"> the </w:t>
      </w:r>
      <w:r w:rsidR="00A012E1">
        <w:t>11</w:t>
      </w:r>
      <w:r w:rsidR="00A012E1" w:rsidRPr="000553E9">
        <w:t>th</w:t>
      </w:r>
      <w:r w:rsidR="00A012E1">
        <w:t xml:space="preserve"> </w:t>
      </w:r>
      <w:r w:rsidR="00C0104A">
        <w:t xml:space="preserve">highest </w:t>
      </w:r>
      <w:r w:rsidR="00DF793C">
        <w:t xml:space="preserve">health spending per capita </w:t>
      </w:r>
      <w:r w:rsidR="00341277">
        <w:t>among</w:t>
      </w:r>
      <w:r w:rsidR="00DF793C">
        <w:t xml:space="preserve"> </w:t>
      </w:r>
      <w:r w:rsidR="00CC707D" w:rsidRPr="00CC707D">
        <w:t>Organisation for Economic Co</w:t>
      </w:r>
      <w:r w:rsidR="001557AF">
        <w:noBreakHyphen/>
      </w:r>
      <w:r w:rsidR="00CC707D" w:rsidRPr="00CC707D">
        <w:t>operation and Development (</w:t>
      </w:r>
      <w:r w:rsidR="002D6E11">
        <w:t>OECD</w:t>
      </w:r>
      <w:r w:rsidR="00CC707D" w:rsidRPr="00CC707D">
        <w:t>)</w:t>
      </w:r>
      <w:r w:rsidR="00341277">
        <w:t xml:space="preserve"> member nations</w:t>
      </w:r>
      <w:r w:rsidR="00DF793C">
        <w:t>.</w:t>
      </w:r>
      <w:r w:rsidR="00DF793C">
        <w:rPr>
          <w:rStyle w:val="FootnoteReference"/>
        </w:rPr>
        <w:footnoteReference w:id="20"/>
      </w:r>
      <w:r w:rsidR="00A90DCE">
        <w:t xml:space="preserve"> </w:t>
      </w:r>
      <w:r w:rsidR="00EC587B">
        <w:t xml:space="preserve">This has </w:t>
      </w:r>
      <w:r w:rsidR="00C3237C">
        <w:t xml:space="preserve">grown </w:t>
      </w:r>
      <w:r w:rsidR="00EC587B">
        <w:t>o</w:t>
      </w:r>
      <w:r w:rsidR="002F6179">
        <w:t xml:space="preserve">ver time, </w:t>
      </w:r>
      <w:r w:rsidR="002A2AD7">
        <w:t>driven by increased government investment</w:t>
      </w:r>
      <w:r w:rsidR="00AC41AA">
        <w:t xml:space="preserve"> and </w:t>
      </w:r>
      <w:r w:rsidR="00341277">
        <w:t xml:space="preserve">greater </w:t>
      </w:r>
      <w:r w:rsidR="00935D15">
        <w:t xml:space="preserve">use </w:t>
      </w:r>
      <w:r w:rsidR="00DA35E6">
        <w:t>of the health system by Australia’s aging population</w:t>
      </w:r>
      <w:r w:rsidR="002A2AD7">
        <w:t>.</w:t>
      </w:r>
    </w:p>
    <w:p w14:paraId="35025F96" w14:textId="5F4C9138" w:rsidR="00B34BD5" w:rsidRPr="00994BFE" w:rsidRDefault="00B873EF" w:rsidP="00E54757">
      <w:r>
        <w:t xml:space="preserve">Compared to </w:t>
      </w:r>
      <w:r w:rsidR="00B2057B">
        <w:t xml:space="preserve">international </w:t>
      </w:r>
      <w:r w:rsidR="00820622">
        <w:t>counterparts</w:t>
      </w:r>
      <w:r w:rsidR="003379D5">
        <w:t>, Australia gets good value for its</w:t>
      </w:r>
      <w:r w:rsidR="00CF0F9A">
        <w:t xml:space="preserve"> health</w:t>
      </w:r>
      <w:r w:rsidR="00B2057B">
        <w:t>care spend.</w:t>
      </w:r>
      <w:r w:rsidR="00E36B1F">
        <w:t xml:space="preserve"> </w:t>
      </w:r>
      <w:r w:rsidR="00820622">
        <w:t>Recent research by the</w:t>
      </w:r>
      <w:r w:rsidR="00E36B1F">
        <w:t xml:space="preserve"> Productivity Commission </w:t>
      </w:r>
      <w:r w:rsidR="00980661">
        <w:t>estimates</w:t>
      </w:r>
      <w:r w:rsidR="00E36B1F">
        <w:t xml:space="preserve"> </w:t>
      </w:r>
      <w:r w:rsidR="00341277">
        <w:t xml:space="preserve">that </w:t>
      </w:r>
      <w:r w:rsidR="00E36B1F">
        <w:t>Australia</w:t>
      </w:r>
      <w:r w:rsidR="00923A22">
        <w:t xml:space="preserve"> has </w:t>
      </w:r>
      <w:r w:rsidR="00336E12">
        <w:t xml:space="preserve">the </w:t>
      </w:r>
      <w:r w:rsidR="00820622">
        <w:t>third</w:t>
      </w:r>
      <w:r w:rsidR="00341277">
        <w:t>-</w:t>
      </w:r>
      <w:r w:rsidR="00336E12">
        <w:t>highest healthcare sector productivity</w:t>
      </w:r>
      <w:r w:rsidR="00874F07">
        <w:t xml:space="preserve"> </w:t>
      </w:r>
      <w:r w:rsidR="003E3736">
        <w:t>among 28 high</w:t>
      </w:r>
      <w:r w:rsidR="00341277">
        <w:t>-</w:t>
      </w:r>
      <w:r w:rsidR="003E3736">
        <w:t>income countries.</w:t>
      </w:r>
      <w:r w:rsidR="003E3736">
        <w:rPr>
          <w:rStyle w:val="FootnoteReference"/>
        </w:rPr>
        <w:footnoteReference w:id="21"/>
      </w:r>
      <w:r w:rsidR="00B2057B">
        <w:t xml:space="preserve"> </w:t>
      </w:r>
      <w:r w:rsidR="00326390">
        <w:t>Quality impro</w:t>
      </w:r>
      <w:r w:rsidR="000A6EE0">
        <w:t>vements</w:t>
      </w:r>
      <w:r w:rsidR="001D0426">
        <w:t xml:space="preserve"> have been </w:t>
      </w:r>
      <w:r w:rsidR="007B5596">
        <w:t xml:space="preserve">one of </w:t>
      </w:r>
      <w:r w:rsidR="001D0426">
        <w:t xml:space="preserve">the biggest </w:t>
      </w:r>
      <w:r w:rsidR="00032F1A">
        <w:t xml:space="preserve">contributors to productivity </w:t>
      </w:r>
      <w:r w:rsidR="00C774ED">
        <w:t xml:space="preserve">growth. </w:t>
      </w:r>
      <w:r w:rsidR="002571FE">
        <w:t>Policies</w:t>
      </w:r>
      <w:r w:rsidR="00B6789A">
        <w:t xml:space="preserve"> that </w:t>
      </w:r>
      <w:r w:rsidR="002571FE">
        <w:t xml:space="preserve">maintain </w:t>
      </w:r>
      <w:r w:rsidR="00A7445B">
        <w:t>the sustainability of health funding programs</w:t>
      </w:r>
      <w:r w:rsidR="00BD585C">
        <w:t xml:space="preserve"> and ensure rational decision</w:t>
      </w:r>
      <w:r w:rsidR="007A1307">
        <w:t xml:space="preserve">s about which </w:t>
      </w:r>
      <w:r w:rsidR="007A1307" w:rsidRPr="00B61FDC">
        <w:t xml:space="preserve">health technologies </w:t>
      </w:r>
      <w:r w:rsidR="00C3237C" w:rsidRPr="00B61FDC">
        <w:t>to</w:t>
      </w:r>
      <w:r w:rsidR="007A1307" w:rsidRPr="00B61FDC">
        <w:t xml:space="preserve"> fund</w:t>
      </w:r>
      <w:r w:rsidR="00126458" w:rsidRPr="00B61FDC">
        <w:t xml:space="preserve"> </w:t>
      </w:r>
      <w:r w:rsidR="00B6789A">
        <w:t xml:space="preserve">have </w:t>
      </w:r>
      <w:r w:rsidR="00C82C8C">
        <w:t>also had an important impact</w:t>
      </w:r>
      <w:r w:rsidR="00B560AD">
        <w:t xml:space="preserve">. </w:t>
      </w:r>
      <w:r w:rsidR="00171039">
        <w:t>The</w:t>
      </w:r>
      <w:r w:rsidR="00C3237C">
        <w:t>se policies</w:t>
      </w:r>
      <w:r w:rsidR="00171039">
        <w:t xml:space="preserve"> </w:t>
      </w:r>
      <w:r w:rsidR="00B6789A">
        <w:t xml:space="preserve">have </w:t>
      </w:r>
      <w:r w:rsidR="00341277">
        <w:t xml:space="preserve">successfully expanded </w:t>
      </w:r>
      <w:r w:rsidR="00B6789A">
        <w:t>a</w:t>
      </w:r>
      <w:r w:rsidR="002A0732">
        <w:t xml:space="preserve">ccess </w:t>
      </w:r>
      <w:r w:rsidR="00CE051C">
        <w:t xml:space="preserve">to </w:t>
      </w:r>
      <w:r w:rsidR="004B0B47">
        <w:t>new treatments</w:t>
      </w:r>
      <w:r w:rsidR="007E4319">
        <w:t>,</w:t>
      </w:r>
      <w:r w:rsidR="00A2747A">
        <w:t xml:space="preserve"> w</w:t>
      </w:r>
      <w:r w:rsidR="00A959CC">
        <w:t xml:space="preserve">hile managing growth in </w:t>
      </w:r>
      <w:r w:rsidR="00D97DF2">
        <w:t xml:space="preserve">expenditure. </w:t>
      </w:r>
    </w:p>
    <w:p w14:paraId="5B5534EC" w14:textId="112E2C20" w:rsidR="00615849" w:rsidRDefault="00615849" w:rsidP="002A599A">
      <w:pPr>
        <w:pStyle w:val="Heading2"/>
      </w:pPr>
      <w:bookmarkStart w:id="85" w:name="_Toc164685811"/>
      <w:bookmarkStart w:id="86" w:name="_Toc164691383"/>
      <w:bookmarkStart w:id="87" w:name="_Toc164696181"/>
      <w:bookmarkStart w:id="88" w:name="_Toc164696327"/>
      <w:bookmarkStart w:id="89" w:name="_Toc164767716"/>
      <w:bookmarkStart w:id="90" w:name="_Toc164781628"/>
      <w:bookmarkStart w:id="91" w:name="_Toc171935861"/>
      <w:r w:rsidRPr="008A62A3">
        <w:t>What is HTA</w:t>
      </w:r>
      <w:r>
        <w:t xml:space="preserve"> and why is it important?</w:t>
      </w:r>
      <w:bookmarkEnd w:id="85"/>
      <w:bookmarkEnd w:id="86"/>
      <w:bookmarkEnd w:id="87"/>
      <w:bookmarkEnd w:id="88"/>
      <w:bookmarkEnd w:id="89"/>
      <w:bookmarkEnd w:id="90"/>
      <w:bookmarkEnd w:id="91"/>
    </w:p>
    <w:p w14:paraId="4F30C5E7" w14:textId="15981ACF" w:rsidR="00F67E34" w:rsidRDefault="001C5F1F" w:rsidP="00E54757">
      <w:r>
        <w:t>To achieve</w:t>
      </w:r>
      <w:r w:rsidR="00681B5C">
        <w:t xml:space="preserve"> </w:t>
      </w:r>
      <w:r w:rsidR="00BC50EA">
        <w:t xml:space="preserve">the best </w:t>
      </w:r>
      <w:r w:rsidR="00D260C6">
        <w:t xml:space="preserve">possible </w:t>
      </w:r>
      <w:r w:rsidR="00BC50EA">
        <w:t>health outcomes</w:t>
      </w:r>
      <w:r>
        <w:t xml:space="preserve">, Australia’s public health system </w:t>
      </w:r>
      <w:r w:rsidR="00643B09">
        <w:t>must</w:t>
      </w:r>
      <w:r w:rsidR="000961C9">
        <w:t xml:space="preserve"> </w:t>
      </w:r>
      <w:r>
        <w:t>deliver</w:t>
      </w:r>
      <w:r w:rsidR="00D260C6">
        <w:t xml:space="preserve"> the most effective </w:t>
      </w:r>
      <w:r w:rsidR="00C62C5E">
        <w:t>treatments</w:t>
      </w:r>
      <w:r w:rsidR="0072494A">
        <w:t>,</w:t>
      </w:r>
      <w:r w:rsidR="002941CF">
        <w:t xml:space="preserve"> </w:t>
      </w:r>
      <w:r w:rsidR="007E1D2B">
        <w:t xml:space="preserve">when they </w:t>
      </w:r>
      <w:r>
        <w:t>are needed</w:t>
      </w:r>
      <w:r w:rsidR="006F5F46">
        <w:t>, and</w:t>
      </w:r>
      <w:r w:rsidR="002941CF">
        <w:t xml:space="preserve"> at a </w:t>
      </w:r>
      <w:r w:rsidR="00C45F56">
        <w:t xml:space="preserve">cost that </w:t>
      </w:r>
      <w:r w:rsidR="00955939">
        <w:t>individuals and the community can afford</w:t>
      </w:r>
      <w:r w:rsidR="00C62C5E">
        <w:t xml:space="preserve">. </w:t>
      </w:r>
    </w:p>
    <w:p w14:paraId="1B90E9B7" w14:textId="07C3A4AD" w:rsidR="005B5382" w:rsidRDefault="009D605E" w:rsidP="00E54757">
      <w:r>
        <w:t>D</w:t>
      </w:r>
      <w:r w:rsidR="00305C9F">
        <w:t>ecisions</w:t>
      </w:r>
      <w:r w:rsidR="009D7BC9">
        <w:t xml:space="preserve"> </w:t>
      </w:r>
      <w:r w:rsidR="00587D5D">
        <w:t xml:space="preserve">to </w:t>
      </w:r>
      <w:r w:rsidR="00341277">
        <w:t>make</w:t>
      </w:r>
      <w:r w:rsidR="001933D1" w:rsidRPr="00341277">
        <w:t xml:space="preserve"> </w:t>
      </w:r>
      <w:r w:rsidR="00D347FC" w:rsidRPr="00341277">
        <w:t xml:space="preserve">health technologies </w:t>
      </w:r>
      <w:r w:rsidR="00341277">
        <w:t>available under</w:t>
      </w:r>
      <w:r w:rsidR="00806E3E" w:rsidRPr="00341277">
        <w:t xml:space="preserve"> </w:t>
      </w:r>
      <w:r w:rsidR="00F8560E" w:rsidRPr="00341277">
        <w:t>Australia’s universal access schemes</w:t>
      </w:r>
      <w:r w:rsidR="009D7BC9">
        <w:t xml:space="preserve"> </w:t>
      </w:r>
      <w:r w:rsidR="006D6BFC">
        <w:t xml:space="preserve">have </w:t>
      </w:r>
      <w:r w:rsidR="00035A76">
        <w:t xml:space="preserve">an </w:t>
      </w:r>
      <w:r w:rsidR="006D6BFC">
        <w:t>enormous</w:t>
      </w:r>
      <w:r w:rsidR="00EA33A0">
        <w:t xml:space="preserve"> impact</w:t>
      </w:r>
      <w:r>
        <w:t xml:space="preserve"> on the lives of Australians</w:t>
      </w:r>
      <w:r w:rsidR="006D6BFC">
        <w:t xml:space="preserve">. </w:t>
      </w:r>
      <w:r w:rsidR="00AA13E5">
        <w:t xml:space="preserve">They </w:t>
      </w:r>
      <w:r w:rsidR="00035A76">
        <w:t>affect the</w:t>
      </w:r>
      <w:r w:rsidR="0010661E">
        <w:t xml:space="preserve"> choices </w:t>
      </w:r>
      <w:bookmarkStart w:id="92" w:name="_Int_YstufsMx"/>
      <w:proofErr w:type="gramStart"/>
      <w:r w:rsidR="0010661E">
        <w:t>patients</w:t>
      </w:r>
      <w:bookmarkEnd w:id="92"/>
      <w:proofErr w:type="gramEnd"/>
      <w:r w:rsidR="0010661E">
        <w:t xml:space="preserve"> and their treating clinicians make about</w:t>
      </w:r>
      <w:r w:rsidR="00F11812">
        <w:t xml:space="preserve"> </w:t>
      </w:r>
      <w:r w:rsidR="0058601F">
        <w:t xml:space="preserve">treatment. </w:t>
      </w:r>
      <w:r w:rsidR="0074517D">
        <w:t>They determine whether patients</w:t>
      </w:r>
      <w:r w:rsidR="00F11812">
        <w:t xml:space="preserve"> </w:t>
      </w:r>
      <w:r w:rsidR="00394DA2">
        <w:t>receive</w:t>
      </w:r>
      <w:r w:rsidR="00F11812">
        <w:t xml:space="preserve"> the best </w:t>
      </w:r>
      <w:r w:rsidR="00074E67">
        <w:t>available</w:t>
      </w:r>
      <w:r w:rsidR="007E6254">
        <w:t xml:space="preserve"> treatment</w:t>
      </w:r>
      <w:r w:rsidR="00364355">
        <w:t xml:space="preserve"> for their cir</w:t>
      </w:r>
      <w:r w:rsidR="00394DA2">
        <w:t>cumstances</w:t>
      </w:r>
      <w:r w:rsidR="007E6254">
        <w:t xml:space="preserve">, </w:t>
      </w:r>
      <w:r w:rsidR="00160293">
        <w:t xml:space="preserve">which </w:t>
      </w:r>
      <w:r w:rsidR="005D2405">
        <w:t xml:space="preserve">can </w:t>
      </w:r>
      <w:r w:rsidR="0055065B">
        <w:t>have life-changing consequences for</w:t>
      </w:r>
      <w:r w:rsidR="00EA33A0">
        <w:t xml:space="preserve"> </w:t>
      </w:r>
      <w:r w:rsidR="00746A1A">
        <w:t>them</w:t>
      </w:r>
      <w:r w:rsidR="00305C9F">
        <w:t xml:space="preserve"> </w:t>
      </w:r>
      <w:r w:rsidR="003F7F36">
        <w:t xml:space="preserve">and their </w:t>
      </w:r>
      <w:bookmarkStart w:id="93" w:name="_Int_n2Eedxoe"/>
      <w:proofErr w:type="spellStart"/>
      <w:r w:rsidR="003F7F36">
        <w:t>carers</w:t>
      </w:r>
      <w:bookmarkEnd w:id="93"/>
      <w:proofErr w:type="spellEnd"/>
      <w:r w:rsidR="00252894">
        <w:t>. They</w:t>
      </w:r>
      <w:r w:rsidR="003F7F36">
        <w:t xml:space="preserve"> </w:t>
      </w:r>
      <w:r w:rsidR="00C21E7E">
        <w:t>also</w:t>
      </w:r>
      <w:r w:rsidR="003F7F36">
        <w:t xml:space="preserve"> have </w:t>
      </w:r>
      <w:r w:rsidR="00D12966">
        <w:t>far</w:t>
      </w:r>
      <w:r w:rsidR="001B0186">
        <w:t>-</w:t>
      </w:r>
      <w:r w:rsidR="00D12966">
        <w:t xml:space="preserve">reaching </w:t>
      </w:r>
      <w:r w:rsidR="0055065B">
        <w:t>impacts</w:t>
      </w:r>
      <w:r w:rsidR="00D12966">
        <w:t xml:space="preserve"> </w:t>
      </w:r>
      <w:r w:rsidR="0055065B">
        <w:t xml:space="preserve">on </w:t>
      </w:r>
      <w:r w:rsidR="00D12966">
        <w:t xml:space="preserve">the </w:t>
      </w:r>
      <w:r w:rsidR="00BA69A2">
        <w:t xml:space="preserve">Australian community and </w:t>
      </w:r>
      <w:r w:rsidR="002845A5">
        <w:t xml:space="preserve">represent a </w:t>
      </w:r>
      <w:r w:rsidR="005D4C2B">
        <w:t>large investment</w:t>
      </w:r>
      <w:r w:rsidR="009D296B">
        <w:t xml:space="preserve"> of </w:t>
      </w:r>
      <w:r w:rsidR="00BA69A2">
        <w:t>taxpayer</w:t>
      </w:r>
      <w:r w:rsidR="00C3237C">
        <w:t> </w:t>
      </w:r>
      <w:r w:rsidR="009D296B">
        <w:t>funds</w:t>
      </w:r>
      <w:r w:rsidR="00BA69A2">
        <w:t xml:space="preserve">. </w:t>
      </w:r>
    </w:p>
    <w:p w14:paraId="5907C41A" w14:textId="0A1510B2" w:rsidR="00874D9C" w:rsidRPr="00874D9C" w:rsidRDefault="00EF33A3" w:rsidP="000C5623">
      <w:pPr>
        <w:rPr>
          <w:rFonts w:eastAsia="Calibri"/>
        </w:rPr>
      </w:pPr>
      <w:r>
        <w:t>To ensure</w:t>
      </w:r>
      <w:r w:rsidR="00FB6098">
        <w:t xml:space="preserve"> </w:t>
      </w:r>
      <w:r w:rsidR="0055504F">
        <w:t xml:space="preserve">decisions </w:t>
      </w:r>
      <w:r w:rsidR="00477DCB">
        <w:t>to</w:t>
      </w:r>
      <w:r w:rsidR="00FB6098">
        <w:t xml:space="preserve"> </w:t>
      </w:r>
      <w:r w:rsidR="00E23100">
        <w:t>fund</w:t>
      </w:r>
      <w:r w:rsidR="00FB6098">
        <w:t xml:space="preserve"> health </w:t>
      </w:r>
      <w:r w:rsidR="00E23100">
        <w:t>technologies through</w:t>
      </w:r>
      <w:r w:rsidR="008426C7">
        <w:t xml:space="preserve"> Australia’s universal access schemes</w:t>
      </w:r>
      <w:r w:rsidR="00F116EB">
        <w:t xml:space="preserve"> are in </w:t>
      </w:r>
      <w:r w:rsidR="00316F2D">
        <w:t>Australia</w:t>
      </w:r>
      <w:r w:rsidR="00477DCB">
        <w:t>ns’</w:t>
      </w:r>
      <w:r w:rsidR="00316F2D">
        <w:t xml:space="preserve"> best interests</w:t>
      </w:r>
      <w:r w:rsidR="003F13A3">
        <w:t>,</w:t>
      </w:r>
      <w:r w:rsidR="002106DE">
        <w:t xml:space="preserve"> decision</w:t>
      </w:r>
      <w:r w:rsidR="008D1EA5">
        <w:t>-</w:t>
      </w:r>
      <w:r w:rsidR="002106DE">
        <w:t>makers</w:t>
      </w:r>
      <w:r w:rsidR="00DC1C9E">
        <w:t xml:space="preserve"> </w:t>
      </w:r>
      <w:r w:rsidR="00BB77EC">
        <w:t xml:space="preserve">need to be </w:t>
      </w:r>
      <w:r w:rsidR="00FB6098">
        <w:t>confident</w:t>
      </w:r>
      <w:r w:rsidR="00341277">
        <w:t xml:space="preserve"> that</w:t>
      </w:r>
      <w:r w:rsidR="00341277">
        <w:rPr>
          <w:rFonts w:eastAsia="Calibri"/>
        </w:rPr>
        <w:t xml:space="preserve"> </w:t>
      </w:r>
      <w:r w:rsidR="00477DCB" w:rsidRPr="004749D8">
        <w:rPr>
          <w:rFonts w:eastAsia="Calibri"/>
        </w:rPr>
        <w:t>they</w:t>
      </w:r>
      <w:r w:rsidR="00072B1E" w:rsidRPr="004749D8">
        <w:rPr>
          <w:rFonts w:eastAsia="Calibri"/>
        </w:rPr>
        <w:t xml:space="preserve"> will</w:t>
      </w:r>
      <w:r w:rsidR="00874D9C" w:rsidRPr="004749D8">
        <w:rPr>
          <w:rFonts w:eastAsia="Calibri"/>
        </w:rPr>
        <w:t xml:space="preserve"> work as well as, or better than, what Australians already have access to</w:t>
      </w:r>
      <w:r w:rsidR="00B932BE" w:rsidRPr="004749D8">
        <w:rPr>
          <w:rFonts w:eastAsia="Calibri"/>
        </w:rPr>
        <w:t>, and</w:t>
      </w:r>
      <w:r w:rsidR="00341277" w:rsidRPr="004749D8">
        <w:rPr>
          <w:rFonts w:eastAsia="Calibri"/>
        </w:rPr>
        <w:t xml:space="preserve"> </w:t>
      </w:r>
      <w:r w:rsidR="00874D9C" w:rsidRPr="004749D8">
        <w:rPr>
          <w:rFonts w:eastAsia="Calibri"/>
        </w:rPr>
        <w:t xml:space="preserve">Australians </w:t>
      </w:r>
      <w:r w:rsidR="00B932BE" w:rsidRPr="004749D8">
        <w:rPr>
          <w:rFonts w:eastAsia="Calibri"/>
        </w:rPr>
        <w:t xml:space="preserve">will </w:t>
      </w:r>
      <w:r w:rsidR="00874D9C" w:rsidRPr="004749D8">
        <w:rPr>
          <w:rFonts w:eastAsia="Calibri"/>
        </w:rPr>
        <w:t>be better off</w:t>
      </w:r>
      <w:r w:rsidR="0059301E" w:rsidRPr="004749D8">
        <w:rPr>
          <w:rFonts w:eastAsia="Calibri"/>
        </w:rPr>
        <w:t>,</w:t>
      </w:r>
      <w:r w:rsidR="00874D9C" w:rsidRPr="004749D8">
        <w:rPr>
          <w:rFonts w:eastAsia="Calibri"/>
        </w:rPr>
        <w:t xml:space="preserve"> overall</w:t>
      </w:r>
      <w:r w:rsidR="0059301E" w:rsidRPr="004749D8">
        <w:rPr>
          <w:rFonts w:eastAsia="Calibri"/>
        </w:rPr>
        <w:t>,</w:t>
      </w:r>
      <w:r w:rsidR="00874D9C" w:rsidRPr="004749D8">
        <w:rPr>
          <w:rFonts w:eastAsia="Calibri"/>
        </w:rPr>
        <w:t xml:space="preserve"> if </w:t>
      </w:r>
      <w:r w:rsidR="00477DCB" w:rsidRPr="004749D8">
        <w:rPr>
          <w:rFonts w:eastAsia="Calibri"/>
        </w:rPr>
        <w:t>they are</w:t>
      </w:r>
      <w:r w:rsidR="00874D9C" w:rsidRPr="004749D8">
        <w:rPr>
          <w:rFonts w:eastAsia="Calibri"/>
        </w:rPr>
        <w:t xml:space="preserve"> funded</w:t>
      </w:r>
      <w:r w:rsidR="00B932BE">
        <w:rPr>
          <w:rFonts w:eastAsia="Calibri"/>
        </w:rPr>
        <w:t>.</w:t>
      </w:r>
    </w:p>
    <w:p w14:paraId="1FB2CD50" w14:textId="7A5C26E0" w:rsidR="003F248C" w:rsidRDefault="00072B1E" w:rsidP="00E54757">
      <w:r>
        <w:lastRenderedPageBreak/>
        <w:t xml:space="preserve">HTA </w:t>
      </w:r>
      <w:r w:rsidR="00907EA2">
        <w:t xml:space="preserve">is the process decision-makers </w:t>
      </w:r>
      <w:r w:rsidR="00035A76">
        <w:t xml:space="preserve">follow </w:t>
      </w:r>
      <w:r w:rsidR="00907EA2">
        <w:t xml:space="preserve">to </w:t>
      </w:r>
      <w:r w:rsidR="002D1E7E">
        <w:t>reach</w:t>
      </w:r>
      <w:r w:rsidR="00907EA2">
        <w:t xml:space="preserve"> the</w:t>
      </w:r>
      <w:r w:rsidR="00035A76">
        <w:t xml:space="preserve"> above</w:t>
      </w:r>
      <w:r w:rsidR="00907EA2">
        <w:t xml:space="preserve"> </w:t>
      </w:r>
      <w:r w:rsidR="002D1E7E">
        <w:t>conclusions</w:t>
      </w:r>
      <w:r w:rsidR="00907EA2">
        <w:t>.</w:t>
      </w:r>
      <w:r w:rsidR="00DF685C">
        <w:t xml:space="preserve"> HTA </w:t>
      </w:r>
      <w:r w:rsidR="00A22066">
        <w:t>evaluate</w:t>
      </w:r>
      <w:r w:rsidR="00DB6516">
        <w:t>s</w:t>
      </w:r>
      <w:r w:rsidR="00DF685C">
        <w:t xml:space="preserve"> </w:t>
      </w:r>
      <w:r w:rsidR="00A42CD3">
        <w:t>the best available</w:t>
      </w:r>
      <w:r w:rsidR="00DF685C">
        <w:t xml:space="preserve"> evidence </w:t>
      </w:r>
      <w:r w:rsidR="00981009">
        <w:t>about</w:t>
      </w:r>
      <w:r w:rsidR="00DF685C">
        <w:t xml:space="preserve"> the quality, safety, efficacy, cost-effectiveness and total costs of </w:t>
      </w:r>
      <w:r w:rsidR="00CA13B4">
        <w:t>a health technology</w:t>
      </w:r>
      <w:r w:rsidR="00DF685C">
        <w:t xml:space="preserve">. </w:t>
      </w:r>
    </w:p>
    <w:p w14:paraId="36261D18" w14:textId="5E7FD330" w:rsidR="00DF685C" w:rsidRDefault="001D1FFE" w:rsidP="00E54757">
      <w:r>
        <w:t xml:space="preserve">The </w:t>
      </w:r>
      <w:r w:rsidR="00166842">
        <w:t>main</w:t>
      </w:r>
      <w:r>
        <w:t xml:space="preserve"> output</w:t>
      </w:r>
      <w:r w:rsidR="00166842">
        <w:t>s</w:t>
      </w:r>
      <w:r>
        <w:t xml:space="preserve"> of a</w:t>
      </w:r>
      <w:r w:rsidR="00AE43EE">
        <w:t>n</w:t>
      </w:r>
      <w:r>
        <w:t xml:space="preserve"> HTA </w:t>
      </w:r>
      <w:r w:rsidR="007A50F3">
        <w:t>a</w:t>
      </w:r>
      <w:r w:rsidR="003F248C">
        <w:t>re</w:t>
      </w:r>
      <w:r>
        <w:t xml:space="preserve"> conclusion</w:t>
      </w:r>
      <w:r w:rsidR="003F248C">
        <w:t>s</w:t>
      </w:r>
      <w:r>
        <w:t xml:space="preserve"> about </w:t>
      </w:r>
      <w:r w:rsidR="00423078">
        <w:t xml:space="preserve">how </w:t>
      </w:r>
      <w:r w:rsidR="005D23D0">
        <w:t xml:space="preserve">well </w:t>
      </w:r>
      <w:r w:rsidR="00CA13B4">
        <w:t>the</w:t>
      </w:r>
      <w:r w:rsidR="005D23D0">
        <w:t xml:space="preserve"> health technology </w:t>
      </w:r>
      <w:r w:rsidR="00900BC9">
        <w:t xml:space="preserve">is likely to </w:t>
      </w:r>
      <w:r w:rsidR="005D23D0">
        <w:t xml:space="preserve">perform compared to </w:t>
      </w:r>
      <w:r w:rsidR="00B25B92">
        <w:t xml:space="preserve">the existing </w:t>
      </w:r>
      <w:r w:rsidR="005D23D0">
        <w:t>standard of care</w:t>
      </w:r>
      <w:r w:rsidR="00E57A59">
        <w:t xml:space="preserve">, </w:t>
      </w:r>
      <w:r w:rsidR="006D4FE8">
        <w:t xml:space="preserve">and </w:t>
      </w:r>
      <w:r w:rsidR="00FD5F68">
        <w:t>the</w:t>
      </w:r>
      <w:r w:rsidR="006D4FE8">
        <w:t xml:space="preserve"> </w:t>
      </w:r>
      <w:r w:rsidR="005E2327">
        <w:t xml:space="preserve">cost </w:t>
      </w:r>
      <w:r w:rsidR="006D4FE8">
        <w:t xml:space="preserve">to </w:t>
      </w:r>
      <w:r w:rsidR="005C15B7">
        <w:t xml:space="preserve">the taxpayer </w:t>
      </w:r>
      <w:r w:rsidR="00FD5F68">
        <w:t>of</w:t>
      </w:r>
      <w:r w:rsidR="00996C0F">
        <w:t xml:space="preserve"> cla</w:t>
      </w:r>
      <w:r w:rsidR="003758AC">
        <w:t>i</w:t>
      </w:r>
      <w:r w:rsidR="00996C0F">
        <w:t>med</w:t>
      </w:r>
      <w:r w:rsidR="006D4FE8">
        <w:t xml:space="preserve"> </w:t>
      </w:r>
      <w:r w:rsidR="00C23483">
        <w:t xml:space="preserve">improvements </w:t>
      </w:r>
      <w:r w:rsidR="006901B9">
        <w:t xml:space="preserve">to </w:t>
      </w:r>
      <w:r w:rsidR="00F8153F">
        <w:t>health outcomes.</w:t>
      </w:r>
      <w:r w:rsidR="006F0785">
        <w:t xml:space="preserve"> </w:t>
      </w:r>
      <w:r w:rsidR="00D05DC1">
        <w:t>Importantly, the HTA process</w:t>
      </w:r>
      <w:r w:rsidR="00C6786F">
        <w:t>es</w:t>
      </w:r>
      <w:r w:rsidR="00D05DC1">
        <w:t xml:space="preserve"> also </w:t>
      </w:r>
      <w:r w:rsidR="00B17017">
        <w:t>help decision</w:t>
      </w:r>
      <w:r w:rsidR="00C26066">
        <w:t>-</w:t>
      </w:r>
      <w:r w:rsidR="00B17017">
        <w:t xml:space="preserve">makers understand how confident </w:t>
      </w:r>
      <w:r w:rsidR="00EF1330">
        <w:t>t</w:t>
      </w:r>
      <w:r w:rsidR="007A50F3">
        <w:t>hey can be that a</w:t>
      </w:r>
      <w:r w:rsidR="003F248C">
        <w:t xml:space="preserve"> health technology will perform as claimed</w:t>
      </w:r>
      <w:r w:rsidR="007A50F3">
        <w:t xml:space="preserve"> based on the available evidence</w:t>
      </w:r>
      <w:r w:rsidR="003F248C">
        <w:t xml:space="preserve">. </w:t>
      </w:r>
    </w:p>
    <w:p w14:paraId="4F2905A1" w14:textId="38A80BCF" w:rsidR="00A06821" w:rsidRPr="006E0C85" w:rsidRDefault="00A06821" w:rsidP="00E54757">
      <w:r>
        <w:t>Australia was one of the first countries in the world to use HTA</w:t>
      </w:r>
      <w:r w:rsidR="00F9349C">
        <w:t>s</w:t>
      </w:r>
      <w:r>
        <w:t xml:space="preserve"> to inform decisions about what health technologies would be covered under its universal access schemes. </w:t>
      </w:r>
      <w:r w:rsidR="00027E11">
        <w:t>The HTA system</w:t>
      </w:r>
      <w:r>
        <w:t xml:space="preserve"> was first introduced for the PBS in 1993</w:t>
      </w:r>
      <w:r w:rsidR="202EB3A1">
        <w:t xml:space="preserve"> and</w:t>
      </w:r>
      <w:r>
        <w:t xml:space="preserve"> for Medicare in 2007. It is one of the main </w:t>
      </w:r>
      <w:r w:rsidR="00F20BD1">
        <w:t xml:space="preserve">reasons the PBS has been able to </w:t>
      </w:r>
      <w:r w:rsidR="001E1F7A">
        <w:t>continually</w:t>
      </w:r>
      <w:r w:rsidR="00F20BD1">
        <w:t xml:space="preserve"> increase access </w:t>
      </w:r>
      <w:r w:rsidR="001E1F7A">
        <w:t xml:space="preserve">for patients </w:t>
      </w:r>
      <w:r w:rsidR="00A959CC">
        <w:t>while managing grow</w:t>
      </w:r>
      <w:r w:rsidR="00FD5F68">
        <w:t>ing</w:t>
      </w:r>
      <w:r w:rsidR="005205B0">
        <w:t xml:space="preserve"> expenditure. </w:t>
      </w:r>
    </w:p>
    <w:p w14:paraId="72CFF420" w14:textId="6CDC72F8" w:rsidR="00615849" w:rsidRDefault="00615849" w:rsidP="002A599A">
      <w:pPr>
        <w:pStyle w:val="Heading2"/>
      </w:pPr>
      <w:bookmarkStart w:id="94" w:name="_Toc164685812"/>
      <w:bookmarkStart w:id="95" w:name="_Toc164691384"/>
      <w:bookmarkStart w:id="96" w:name="_Toc164696182"/>
      <w:bookmarkStart w:id="97" w:name="_Toc164696328"/>
      <w:bookmarkStart w:id="98" w:name="_Toc164767717"/>
      <w:bookmarkStart w:id="99" w:name="_Toc164781629"/>
      <w:bookmarkStart w:id="100" w:name="_Toc171935862"/>
      <w:r w:rsidRPr="00B61FDC">
        <w:t xml:space="preserve">How does Australia </w:t>
      </w:r>
      <w:r w:rsidR="00BC4ED0" w:rsidRPr="00B61FDC">
        <w:t>do</w:t>
      </w:r>
      <w:r w:rsidRPr="00B61FDC">
        <w:t xml:space="preserve"> HTA</w:t>
      </w:r>
      <w:r w:rsidR="00F9349C" w:rsidRPr="00B61FDC">
        <w:t>s</w:t>
      </w:r>
      <w:r w:rsidR="003A66A4" w:rsidRPr="00B61FDC">
        <w:t>?</w:t>
      </w:r>
      <w:bookmarkEnd w:id="94"/>
      <w:bookmarkEnd w:id="95"/>
      <w:bookmarkEnd w:id="96"/>
      <w:bookmarkEnd w:id="97"/>
      <w:bookmarkEnd w:id="98"/>
      <w:bookmarkEnd w:id="99"/>
      <w:bookmarkEnd w:id="100"/>
    </w:p>
    <w:p w14:paraId="5BC60D81" w14:textId="10AA1F67" w:rsidR="0019469A" w:rsidRDefault="00D65070" w:rsidP="00E54757">
      <w:r>
        <w:t xml:space="preserve">Decisions </w:t>
      </w:r>
      <w:r w:rsidR="00027E11">
        <w:t xml:space="preserve">about which </w:t>
      </w:r>
      <w:r>
        <w:t xml:space="preserve">health technologies </w:t>
      </w:r>
      <w:r w:rsidR="00027E11">
        <w:t xml:space="preserve">to include </w:t>
      </w:r>
      <w:r>
        <w:t xml:space="preserve">in Australia’s universal </w:t>
      </w:r>
      <w:r w:rsidR="006356D8">
        <w:t>access schemes are complex</w:t>
      </w:r>
      <w:r w:rsidR="00D6784A">
        <w:t>.</w:t>
      </w:r>
      <w:r w:rsidR="006356D8">
        <w:t xml:space="preserve"> </w:t>
      </w:r>
      <w:r w:rsidR="00F46D7B">
        <w:t>This is because h</w:t>
      </w:r>
      <w:r w:rsidR="0019469A" w:rsidRPr="001426EE">
        <w:t>uman health and the practice of medicine and health</w:t>
      </w:r>
      <w:r w:rsidR="002D33A5">
        <w:t xml:space="preserve"> </w:t>
      </w:r>
      <w:r w:rsidR="0019469A" w:rsidRPr="001426EE">
        <w:t>care are complicated</w:t>
      </w:r>
      <w:r w:rsidR="00027E11">
        <w:t>,</w:t>
      </w:r>
      <w:r w:rsidR="0019469A" w:rsidRPr="001426EE">
        <w:t xml:space="preserve"> and </w:t>
      </w:r>
      <w:r w:rsidR="00027E11" w:rsidRPr="001426EE">
        <w:t xml:space="preserve">increasingly innovative </w:t>
      </w:r>
      <w:r w:rsidR="0019469A" w:rsidRPr="001426EE">
        <w:t xml:space="preserve">health technologies </w:t>
      </w:r>
      <w:r w:rsidR="00027E11">
        <w:t xml:space="preserve">that </w:t>
      </w:r>
      <w:r w:rsidR="0019469A" w:rsidRPr="001426EE">
        <w:t>address areas of unmet</w:t>
      </w:r>
      <w:r w:rsidR="00C63E2B">
        <w:t xml:space="preserve"> need </w:t>
      </w:r>
      <w:r w:rsidR="0019469A" w:rsidRPr="001426EE">
        <w:t>are</w:t>
      </w:r>
      <w:r w:rsidR="00027E11">
        <w:t xml:space="preserve"> becoming available</w:t>
      </w:r>
      <w:r w:rsidR="0019469A">
        <w:t>.</w:t>
      </w:r>
    </w:p>
    <w:p w14:paraId="021CD247" w14:textId="0E97EC41" w:rsidR="006E0C85" w:rsidRPr="006E0C85" w:rsidRDefault="001B5456" w:rsidP="00E54757">
      <w:r>
        <w:t>To make these</w:t>
      </w:r>
      <w:r w:rsidR="006E0C85" w:rsidRPr="006E0C85">
        <w:t xml:space="preserve"> decisions</w:t>
      </w:r>
      <w:r w:rsidR="00F70C07">
        <w:t>,</w:t>
      </w:r>
      <w:r w:rsidR="006E0C85" w:rsidRPr="006E0C85">
        <w:t xml:space="preserve"> </w:t>
      </w:r>
      <w:r>
        <w:t>the Government relies on</w:t>
      </w:r>
      <w:r w:rsidR="006E0C85" w:rsidRPr="006E0C85">
        <w:t xml:space="preserve"> </w:t>
      </w:r>
      <w:r w:rsidR="009B6D49">
        <w:t>submissions from industry and</w:t>
      </w:r>
      <w:r w:rsidR="006E0C85" w:rsidRPr="006E0C85">
        <w:t xml:space="preserve"> advice from independent expert committees comprising </w:t>
      </w:r>
      <w:r w:rsidR="36D171C3">
        <w:t>medical practitioners</w:t>
      </w:r>
      <w:r w:rsidR="006E0C85" w:rsidRPr="006E0C85">
        <w:t>, health professionals, health economists</w:t>
      </w:r>
      <w:r w:rsidR="00285BF9">
        <w:t xml:space="preserve">, </w:t>
      </w:r>
      <w:r w:rsidR="00285BF9" w:rsidRPr="00285BF9">
        <w:t>other experts</w:t>
      </w:r>
      <w:r w:rsidR="006E0C85" w:rsidRPr="006E0C85">
        <w:t xml:space="preserve"> and consumer representatives. The</w:t>
      </w:r>
      <w:r w:rsidR="0025509B">
        <w:t xml:space="preserve"> committee</w:t>
      </w:r>
      <w:r w:rsidR="006E0C85" w:rsidRPr="006E0C85">
        <w:t xml:space="preserve"> members are appointed to be the pre</w:t>
      </w:r>
      <w:r w:rsidR="0025509B">
        <w:t>-</w:t>
      </w:r>
      <w:r w:rsidR="006E0C85" w:rsidRPr="006E0C85">
        <w:t>eminent source of advice to</w:t>
      </w:r>
      <w:r w:rsidR="0025509B">
        <w:t xml:space="preserve"> the</w:t>
      </w:r>
      <w:r w:rsidR="006E0C85" w:rsidRPr="006E0C85">
        <w:t xml:space="preserve"> Government on decisions </w:t>
      </w:r>
      <w:r w:rsidR="0025509B">
        <w:t xml:space="preserve">about which </w:t>
      </w:r>
      <w:r w:rsidR="006E0C85" w:rsidRPr="006E0C85">
        <w:t>health technologies</w:t>
      </w:r>
      <w:r w:rsidR="0025509B">
        <w:t xml:space="preserve"> </w:t>
      </w:r>
      <w:r w:rsidR="0025509B" w:rsidRPr="006E0C85">
        <w:t>to subsidise</w:t>
      </w:r>
      <w:r w:rsidR="0025509B">
        <w:t xml:space="preserve">, and </w:t>
      </w:r>
      <w:r w:rsidR="006E0C85" w:rsidRPr="006E0C85">
        <w:t>for whom</w:t>
      </w:r>
      <w:r w:rsidR="00672399">
        <w:t>,</w:t>
      </w:r>
      <w:r w:rsidR="006E0C85" w:rsidRPr="006E0C85">
        <w:t xml:space="preserve"> at what cost</w:t>
      </w:r>
      <w:r w:rsidR="0025509B">
        <w:t xml:space="preserve"> and under what circumstances</w:t>
      </w:r>
      <w:r w:rsidR="006E0C85" w:rsidRPr="006E0C85">
        <w:t xml:space="preserve">. </w:t>
      </w:r>
      <w:r w:rsidR="00323A51">
        <w:t>The</w:t>
      </w:r>
      <w:r w:rsidR="0025509B">
        <w:t>y</w:t>
      </w:r>
      <w:r w:rsidR="00323A51">
        <w:t xml:space="preserve"> use </w:t>
      </w:r>
      <w:r w:rsidR="00E8414B" w:rsidRPr="004749D8">
        <w:t>HTA</w:t>
      </w:r>
      <w:r w:rsidR="005F3D48" w:rsidRPr="004749D8">
        <w:t>s</w:t>
      </w:r>
      <w:r w:rsidR="00E8414B">
        <w:t xml:space="preserve"> to </w:t>
      </w:r>
      <w:r w:rsidR="006F722F">
        <w:t xml:space="preserve">inform their advice. </w:t>
      </w:r>
    </w:p>
    <w:p w14:paraId="22BC3A96" w14:textId="3C4C59CF" w:rsidR="00F273E9" w:rsidRDefault="00AE08B5" w:rsidP="00E54757">
      <w:r>
        <w:t xml:space="preserve">HTA </w:t>
      </w:r>
      <w:r w:rsidR="004E6659">
        <w:t>process</w:t>
      </w:r>
      <w:r>
        <w:t>es</w:t>
      </w:r>
      <w:r w:rsidR="004E6659">
        <w:t xml:space="preserve"> in Australia involve evaluati</w:t>
      </w:r>
      <w:r>
        <w:t>ng</w:t>
      </w:r>
      <w:r w:rsidR="00F273E9">
        <w:t xml:space="preserve"> scientific evidence to </w:t>
      </w:r>
      <w:r w:rsidR="00A46626">
        <w:t>determine</w:t>
      </w:r>
      <w:r w:rsidR="00F273E9">
        <w:t xml:space="preserve"> the quality, safety, efficacy, cost-effectiveness and total costs of health-related goods and services. HTAs allow </w:t>
      </w:r>
      <w:r w:rsidR="000C0764">
        <w:t xml:space="preserve">the </w:t>
      </w:r>
      <w:r w:rsidR="00F273E9">
        <w:t xml:space="preserve">estimation of the changes in health outcomes arising from the introduction of a new product into the Australian system relative to </w:t>
      </w:r>
      <w:r w:rsidR="00C6786F">
        <w:t xml:space="preserve">its </w:t>
      </w:r>
      <w:r w:rsidR="00F273E9">
        <w:t>costs to the health system if it is funded.</w:t>
      </w:r>
    </w:p>
    <w:p w14:paraId="666BB9B8" w14:textId="51778CBF" w:rsidR="00F53B00" w:rsidRDefault="00F53B00" w:rsidP="002A599A">
      <w:pPr>
        <w:pStyle w:val="Heading2"/>
      </w:pPr>
      <w:bookmarkStart w:id="101" w:name="_Toc164685813"/>
      <w:bookmarkStart w:id="102" w:name="_Toc164691385"/>
      <w:bookmarkStart w:id="103" w:name="_Toc164696183"/>
      <w:bookmarkStart w:id="104" w:name="_Toc164696329"/>
      <w:bookmarkStart w:id="105" w:name="_Toc164767718"/>
      <w:bookmarkStart w:id="106" w:name="_Toc164781630"/>
      <w:bookmarkStart w:id="107" w:name="_Toc171935863"/>
      <w:r>
        <w:t xml:space="preserve">Why </w:t>
      </w:r>
      <w:r w:rsidR="0070012F">
        <w:t>is</w:t>
      </w:r>
      <w:r>
        <w:t xml:space="preserve"> </w:t>
      </w:r>
      <w:r w:rsidR="0070012F" w:rsidRPr="002A599A">
        <w:t>Australia’s</w:t>
      </w:r>
      <w:r>
        <w:t xml:space="preserve"> </w:t>
      </w:r>
      <w:r w:rsidR="002057E4">
        <w:t xml:space="preserve">approach to </w:t>
      </w:r>
      <w:r>
        <w:t>HTA</w:t>
      </w:r>
      <w:r w:rsidR="00AE43EE">
        <w:t>s</w:t>
      </w:r>
      <w:r>
        <w:t xml:space="preserve"> </w:t>
      </w:r>
      <w:r w:rsidR="0070012F">
        <w:t>being</w:t>
      </w:r>
      <w:r>
        <w:t xml:space="preserve"> </w:t>
      </w:r>
      <w:r w:rsidR="0070012F">
        <w:t>reviewed?</w:t>
      </w:r>
      <w:bookmarkEnd w:id="101"/>
      <w:bookmarkEnd w:id="102"/>
      <w:bookmarkEnd w:id="103"/>
      <w:bookmarkEnd w:id="104"/>
      <w:bookmarkEnd w:id="105"/>
      <w:bookmarkEnd w:id="106"/>
      <w:bookmarkEnd w:id="107"/>
    </w:p>
    <w:p w14:paraId="600A25A4" w14:textId="0D5AF41B" w:rsidR="0045182A" w:rsidRDefault="0045182A" w:rsidP="00E54757">
      <w:r>
        <w:t>Health technologies have been a major contributor to improved healthy life expectancy over the past century. There has always been a strong case to fund them because the value they deliver for individuals and the community has</w:t>
      </w:r>
      <w:r w:rsidR="000A63E4">
        <w:t xml:space="preserve"> been </w:t>
      </w:r>
      <w:r w:rsidR="00780E89">
        <w:t>clear and</w:t>
      </w:r>
      <w:r>
        <w:t xml:space="preserve">, for the most part, </w:t>
      </w:r>
      <w:r w:rsidR="00672399">
        <w:t xml:space="preserve">has </w:t>
      </w:r>
      <w:r>
        <w:t>greatly exceeded the impost on public funds</w:t>
      </w:r>
      <w:r w:rsidR="00672399">
        <w:t xml:space="preserve"> – t</w:t>
      </w:r>
      <w:r w:rsidR="000456F0">
        <w:t>he</w:t>
      </w:r>
      <w:r w:rsidR="00672399">
        <w:t>y provide</w:t>
      </w:r>
      <w:r w:rsidR="000456F0">
        <w:t xml:space="preserve"> a positive return on investment. </w:t>
      </w:r>
    </w:p>
    <w:p w14:paraId="76B779C4" w14:textId="1BAA41E2" w:rsidR="00B507C1" w:rsidRDefault="00B507C1" w:rsidP="00E54757">
      <w:r>
        <w:lastRenderedPageBreak/>
        <w:t xml:space="preserve">Some of the latest technologies have significant promise. They may greatly improve and extend the lives of individuals living with otherwise debilitating and life-shortening conditions. They </w:t>
      </w:r>
      <w:r w:rsidR="00220DD8">
        <w:t>may</w:t>
      </w:r>
      <w:r>
        <w:t xml:space="preserve"> treat lethal and severely disabling conditions where previously no effective treatment </w:t>
      </w:r>
      <w:r w:rsidR="00CC32AF">
        <w:t xml:space="preserve">was </w:t>
      </w:r>
      <w:r>
        <w:t xml:space="preserve">available. Some </w:t>
      </w:r>
      <w:r w:rsidR="00CC32AF">
        <w:t>can</w:t>
      </w:r>
      <w:r>
        <w:t xml:space="preserve"> do this with a single </w:t>
      </w:r>
      <w:r w:rsidR="0052127E">
        <w:t>treatment</w:t>
      </w:r>
      <w:r w:rsidR="00CC32AF">
        <w:t xml:space="preserve">, providing </w:t>
      </w:r>
      <w:r w:rsidR="00ED5C0A">
        <w:t>flow</w:t>
      </w:r>
      <w:r w:rsidR="00CC32AF">
        <w:t>-</w:t>
      </w:r>
      <w:r w:rsidR="00ED5C0A">
        <w:t>on benefit</w:t>
      </w:r>
      <w:r w:rsidR="00CC32AF">
        <w:t>s</w:t>
      </w:r>
      <w:r w:rsidR="00ED5C0A">
        <w:t xml:space="preserve"> to the health system</w:t>
      </w:r>
      <w:r w:rsidR="004346ED">
        <w:t>, carers, families, productivity and society.</w:t>
      </w:r>
      <w:r w:rsidR="00453069">
        <w:t xml:space="preserve"> </w:t>
      </w:r>
    </w:p>
    <w:p w14:paraId="1C2D26BD" w14:textId="473914D4" w:rsidR="006012DD" w:rsidRDefault="002D1B7A" w:rsidP="00E54757">
      <w:r>
        <w:t>For Australian</w:t>
      </w:r>
      <w:r w:rsidR="00C0547C">
        <w:t xml:space="preserve"> citizens</w:t>
      </w:r>
      <w:r>
        <w:t xml:space="preserve"> to benefit </w:t>
      </w:r>
      <w:r w:rsidR="00A25C3F">
        <w:t>from</w:t>
      </w:r>
      <w:r>
        <w:t xml:space="preserve"> </w:t>
      </w:r>
      <w:r w:rsidR="004C358E">
        <w:t>the latest health</w:t>
      </w:r>
      <w:r>
        <w:t xml:space="preserve"> technologies, decision</w:t>
      </w:r>
      <w:r w:rsidR="00AD5F26">
        <w:t>-</w:t>
      </w:r>
      <w:r>
        <w:t xml:space="preserve">makers </w:t>
      </w:r>
      <w:r w:rsidR="00A46626">
        <w:t xml:space="preserve">need to </w:t>
      </w:r>
      <w:r w:rsidR="00A25C3F">
        <w:t>be able</w:t>
      </w:r>
      <w:r w:rsidR="00A46626">
        <w:t xml:space="preserve"> to </w:t>
      </w:r>
      <w:r w:rsidR="00197B16">
        <w:t>conclude</w:t>
      </w:r>
      <w:r w:rsidR="00EE454E">
        <w:t>,</w:t>
      </w:r>
      <w:r w:rsidR="00197B16">
        <w:t xml:space="preserve"> </w:t>
      </w:r>
      <w:r w:rsidR="00EE454E">
        <w:t>in a timely way,</w:t>
      </w:r>
      <w:r w:rsidR="00AD2F6B">
        <w:t xml:space="preserve"> that funding</w:t>
      </w:r>
      <w:r w:rsidR="00A46626">
        <w:t xml:space="preserve"> </w:t>
      </w:r>
      <w:r w:rsidR="00DA21B8">
        <w:t>them</w:t>
      </w:r>
      <w:r w:rsidR="004C327B">
        <w:t xml:space="preserve"> is in the best interests of Australian citizens. </w:t>
      </w:r>
    </w:p>
    <w:p w14:paraId="761F8E50" w14:textId="6DAE3FE2" w:rsidR="00C75B4E" w:rsidRDefault="006012DD" w:rsidP="005008F9">
      <w:r>
        <w:t>However, m</w:t>
      </w:r>
      <w:r w:rsidR="00C10B3A">
        <w:t xml:space="preserve">aking these decisions is becoming increasingly challenging. </w:t>
      </w:r>
      <w:r w:rsidR="00D13EFB">
        <w:t>T</w:t>
      </w:r>
      <w:r w:rsidR="001D2626">
        <w:t xml:space="preserve">he </w:t>
      </w:r>
      <w:r w:rsidR="00F55D2C">
        <w:t xml:space="preserve">health technologies </w:t>
      </w:r>
      <w:r w:rsidR="001D2626">
        <w:t>emerging</w:t>
      </w:r>
      <w:r w:rsidR="008C5586">
        <w:t xml:space="preserve"> </w:t>
      </w:r>
      <w:r w:rsidR="00F55D2C">
        <w:t xml:space="preserve">today, and </w:t>
      </w:r>
      <w:r w:rsidR="00E7004E">
        <w:t xml:space="preserve">that </w:t>
      </w:r>
      <w:r w:rsidR="00F55D2C">
        <w:t xml:space="preserve">are likely to emerge </w:t>
      </w:r>
      <w:proofErr w:type="gramStart"/>
      <w:r w:rsidR="00F55D2C">
        <w:t>in the near future</w:t>
      </w:r>
      <w:proofErr w:type="gramEnd"/>
      <w:r w:rsidR="00D13EFB">
        <w:t>,</w:t>
      </w:r>
      <w:r w:rsidR="00F02415">
        <w:t xml:space="preserve"> are</w:t>
      </w:r>
      <w:r w:rsidR="00F55D2C">
        <w:t xml:space="preserve"> </w:t>
      </w:r>
      <w:r w:rsidR="00B93236">
        <w:t xml:space="preserve">increasingly diverse </w:t>
      </w:r>
      <w:r w:rsidR="00AE6035">
        <w:t>and complex</w:t>
      </w:r>
      <w:r w:rsidR="00B93236">
        <w:t>.</w:t>
      </w:r>
      <w:r w:rsidR="009048A6">
        <w:t xml:space="preserve"> </w:t>
      </w:r>
    </w:p>
    <w:p w14:paraId="1516D33F" w14:textId="31EFEFE5" w:rsidR="005008F9" w:rsidRDefault="005008F9" w:rsidP="005008F9">
      <w:r>
        <w:t xml:space="preserve">Patients, clinicians, </w:t>
      </w:r>
      <w:r w:rsidR="006359F3">
        <w:t>industry</w:t>
      </w:r>
      <w:r>
        <w:t xml:space="preserve"> and the Government have expressed concern that funding new health technologies in Australia takes too long and that HTA processes need to be futureproofed for the latest emerging technologies.</w:t>
      </w:r>
      <w:r w:rsidR="00453069">
        <w:t xml:space="preserve"> </w:t>
      </w:r>
    </w:p>
    <w:p w14:paraId="37B2407C" w14:textId="5295093E" w:rsidR="0045182A" w:rsidRPr="00810A9D" w:rsidRDefault="0016790B" w:rsidP="00E54757">
      <w:r>
        <w:t>Many</w:t>
      </w:r>
      <w:r w:rsidR="00BE6CEF">
        <w:t xml:space="preserve"> </w:t>
      </w:r>
      <w:r w:rsidR="00046B70">
        <w:t xml:space="preserve">emerging technologies </w:t>
      </w:r>
      <w:r w:rsidR="00436E73">
        <w:t>do not fit neatly</w:t>
      </w:r>
      <w:r w:rsidR="00BE6CEF">
        <w:t xml:space="preserve"> into the </w:t>
      </w:r>
      <w:r w:rsidR="00BA1F29">
        <w:t>treatment</w:t>
      </w:r>
      <w:r w:rsidR="00EE0D8F">
        <w:t xml:space="preserve"> categories</w:t>
      </w:r>
      <w:r w:rsidR="00BA1F29">
        <w:t xml:space="preserve"> </w:t>
      </w:r>
      <w:r w:rsidR="30950EF5">
        <w:t xml:space="preserve">for which </w:t>
      </w:r>
      <w:r>
        <w:t xml:space="preserve">Australia’s </w:t>
      </w:r>
      <w:r w:rsidR="001D76F6">
        <w:t xml:space="preserve">funding and assessment </w:t>
      </w:r>
      <w:r w:rsidR="000361E1">
        <w:t>processes</w:t>
      </w:r>
      <w:r w:rsidR="001D76F6">
        <w:t xml:space="preserve"> were designed.</w:t>
      </w:r>
      <w:r w:rsidR="004F0A93">
        <w:rPr>
          <w:rStyle w:val="FootnoteReference"/>
        </w:rPr>
        <w:footnoteReference w:id="22"/>
      </w:r>
      <w:r w:rsidR="001D76F6">
        <w:t xml:space="preserve"> </w:t>
      </w:r>
      <w:r w:rsidR="00C93206">
        <w:t>Some</w:t>
      </w:r>
      <w:r w:rsidR="00B36CB1">
        <w:t xml:space="preserve"> are being developed to treat rarer conditions and </w:t>
      </w:r>
      <w:r w:rsidR="004B37AC">
        <w:t>potentially deliver longer</w:t>
      </w:r>
      <w:r w:rsidR="004C195A">
        <w:t>-</w:t>
      </w:r>
      <w:r w:rsidR="004B37AC">
        <w:t xml:space="preserve">term benefits. </w:t>
      </w:r>
      <w:r w:rsidR="00C7134F">
        <w:t>For many emerging therapies</w:t>
      </w:r>
      <w:r w:rsidR="004B37AC">
        <w:t xml:space="preserve">, </w:t>
      </w:r>
      <w:r w:rsidR="00B36CB1">
        <w:t xml:space="preserve">the </w:t>
      </w:r>
      <w:r w:rsidR="00372F1D">
        <w:t xml:space="preserve">evidence </w:t>
      </w:r>
      <w:r w:rsidR="00232FF5">
        <w:t xml:space="preserve">needed to </w:t>
      </w:r>
      <w:r w:rsidR="005271A0">
        <w:t>conclude</w:t>
      </w:r>
      <w:r w:rsidR="00232FF5">
        <w:t xml:space="preserve"> how </w:t>
      </w:r>
      <w:r w:rsidR="00353A07">
        <w:t xml:space="preserve">well they </w:t>
      </w:r>
      <w:r w:rsidR="006223BA">
        <w:t xml:space="preserve">are likely </w:t>
      </w:r>
      <w:r w:rsidR="00C15D48">
        <w:t xml:space="preserve">to perform </w:t>
      </w:r>
      <w:r w:rsidR="005E076E">
        <w:t xml:space="preserve">does not allow decision-makers to be as confident </w:t>
      </w:r>
      <w:r w:rsidR="00AC40AB">
        <w:t xml:space="preserve">as they </w:t>
      </w:r>
      <w:r w:rsidR="004D0E7E">
        <w:t xml:space="preserve">were </w:t>
      </w:r>
      <w:r w:rsidR="00E04650">
        <w:t>about</w:t>
      </w:r>
      <w:r w:rsidR="0008174B">
        <w:t xml:space="preserve"> </w:t>
      </w:r>
      <w:r w:rsidR="00AC0157">
        <w:t>medicines</w:t>
      </w:r>
      <w:r w:rsidR="00E66D6F">
        <w:t xml:space="preserve"> that emerged in the </w:t>
      </w:r>
      <w:r w:rsidR="00DF6C0F">
        <w:t xml:space="preserve">1990s and 2000s. </w:t>
      </w:r>
      <w:r w:rsidR="00E35A87">
        <w:t>S</w:t>
      </w:r>
      <w:r w:rsidR="00043298">
        <w:t xml:space="preserve">everal </w:t>
      </w:r>
      <w:r w:rsidR="00E04650">
        <w:t>emerging therapies</w:t>
      </w:r>
      <w:r w:rsidR="00043298">
        <w:t xml:space="preserve"> also</w:t>
      </w:r>
      <w:r w:rsidR="00647C50">
        <w:t xml:space="preserve"> </w:t>
      </w:r>
      <w:r w:rsidR="006411A1">
        <w:t xml:space="preserve">have high risks </w:t>
      </w:r>
      <w:r w:rsidR="001B65D1">
        <w:t>(including</w:t>
      </w:r>
      <w:r w:rsidR="006411A1">
        <w:t xml:space="preserve"> severe adverse </w:t>
      </w:r>
      <w:r w:rsidR="00867B65">
        <w:t>effects</w:t>
      </w:r>
      <w:r w:rsidR="001B65D1">
        <w:t>)</w:t>
      </w:r>
      <w:r w:rsidR="00E04650">
        <w:t>,</w:t>
      </w:r>
      <w:r w:rsidR="00867B65">
        <w:t xml:space="preserve"> requiring more resource</w:t>
      </w:r>
      <w:r w:rsidR="00394BEA">
        <w:t>-</w:t>
      </w:r>
      <w:r w:rsidR="00867B65">
        <w:t xml:space="preserve">intensive </w:t>
      </w:r>
      <w:r w:rsidR="00F84EFA">
        <w:t xml:space="preserve">implementation </w:t>
      </w:r>
      <w:r w:rsidR="00444D2B">
        <w:t xml:space="preserve">than traditional therapies. </w:t>
      </w:r>
    </w:p>
    <w:p w14:paraId="6D20C943" w14:textId="08ECF15D" w:rsidR="00C460B0" w:rsidRDefault="0045182A" w:rsidP="00E54757">
      <w:r>
        <w:t xml:space="preserve">They are also becoming increasingly expensive. At the beginning of 2010, the most expensive medicine subsidised through the PBS cost the taxpayer a little over $24,000 each time a patient filled a prescription for the maximum PBS-allowed quantity. In 2015, the most expensive was </w:t>
      </w:r>
      <w:r w:rsidR="00E12E8C">
        <w:t xml:space="preserve">more than </w:t>
      </w:r>
      <w:r>
        <w:t>$57,000. By 2020, the most expensive was $110,000</w:t>
      </w:r>
      <w:r w:rsidR="00D449A9">
        <w:t>. T</w:t>
      </w:r>
      <w:r>
        <w:t xml:space="preserve">oday, </w:t>
      </w:r>
      <w:r w:rsidR="00D449A9">
        <w:t>it is</w:t>
      </w:r>
      <w:r>
        <w:t xml:space="preserve"> a little over $2.5 million</w:t>
      </w:r>
      <w:r w:rsidR="00D449A9">
        <w:t>, meaning t</w:t>
      </w:r>
      <w:r w:rsidR="00674F1D">
        <w:t xml:space="preserve">he most expensive </w:t>
      </w:r>
      <w:r w:rsidR="00D95E81">
        <w:t xml:space="preserve">medicine on the PBS </w:t>
      </w:r>
      <w:r w:rsidR="00DA6AE3">
        <w:t>today</w:t>
      </w:r>
      <w:r w:rsidR="00D95E81">
        <w:t xml:space="preserve"> is 100 times more expensive than </w:t>
      </w:r>
      <w:r w:rsidR="00861C41">
        <w:t>in</w:t>
      </w:r>
      <w:r w:rsidR="0092357F">
        <w:t xml:space="preserve"> 2010. </w:t>
      </w:r>
    </w:p>
    <w:p w14:paraId="165B1DCF" w14:textId="24AF1B24" w:rsidR="0036028C" w:rsidRDefault="00A90297" w:rsidP="00E54757">
      <w:r>
        <w:t>The</w:t>
      </w:r>
      <w:r w:rsidR="002C0749">
        <w:t>se issues</w:t>
      </w:r>
      <w:r>
        <w:t xml:space="preserve"> </w:t>
      </w:r>
      <w:r w:rsidR="00A52529">
        <w:t xml:space="preserve">have been raised in other </w:t>
      </w:r>
      <w:r w:rsidR="003611BB">
        <w:t>inquiries and reform processes</w:t>
      </w:r>
      <w:r w:rsidR="00D449A9">
        <w:t>,</w:t>
      </w:r>
      <w:r w:rsidR="003611BB">
        <w:t xml:space="preserve"> including the </w:t>
      </w:r>
      <w:r w:rsidR="00761DEB" w:rsidRPr="00761DEB">
        <w:rPr>
          <w:i/>
          <w:iCs/>
        </w:rPr>
        <w:t>2022–2027 Strategic Agreement between the Commonwealth and Medicines Australia</w:t>
      </w:r>
      <w:r w:rsidR="003611BB">
        <w:t>,</w:t>
      </w:r>
      <w:r w:rsidR="00D449A9">
        <w:rPr>
          <w:rStyle w:val="FootnoteReference"/>
        </w:rPr>
        <w:footnoteReference w:id="23"/>
      </w:r>
      <w:r w:rsidR="003611BB">
        <w:t xml:space="preserve"> the </w:t>
      </w:r>
      <w:r w:rsidR="00D04CB0">
        <w:t>NMP</w:t>
      </w:r>
      <w:r w:rsidR="003611BB">
        <w:t xml:space="preserve"> Review</w:t>
      </w:r>
      <w:r w:rsidR="00451C26">
        <w:rPr>
          <w:rStyle w:val="FootnoteReference"/>
        </w:rPr>
        <w:footnoteReference w:id="24"/>
      </w:r>
      <w:r w:rsidR="003611BB">
        <w:t xml:space="preserve"> and the</w:t>
      </w:r>
      <w:r w:rsidR="00A620E4">
        <w:t xml:space="preserve"> House of Representatives</w:t>
      </w:r>
      <w:r w:rsidR="003611BB">
        <w:t xml:space="preserve"> </w:t>
      </w:r>
      <w:r w:rsidR="003611BB" w:rsidRPr="000C5623">
        <w:rPr>
          <w:iCs/>
        </w:rPr>
        <w:t xml:space="preserve">Standing Committee for Health, </w:t>
      </w:r>
      <w:r w:rsidR="003611BB" w:rsidRPr="000C5623">
        <w:rPr>
          <w:iCs/>
        </w:rPr>
        <w:lastRenderedPageBreak/>
        <w:t>Aged Care and Sport</w:t>
      </w:r>
      <w:r w:rsidR="00A620E4" w:rsidRPr="000C5623">
        <w:rPr>
          <w:iCs/>
        </w:rPr>
        <w:t>’s ‘I</w:t>
      </w:r>
      <w:r w:rsidR="003611BB" w:rsidRPr="000C5623">
        <w:rPr>
          <w:iCs/>
        </w:rPr>
        <w:t>nquiry into approval process</w:t>
      </w:r>
      <w:r w:rsidR="00A620E4">
        <w:rPr>
          <w:iCs/>
        </w:rPr>
        <w:t>es</w:t>
      </w:r>
      <w:r w:rsidR="003611BB" w:rsidRPr="000C5623">
        <w:rPr>
          <w:iCs/>
        </w:rPr>
        <w:t xml:space="preserve"> for new drugs and novel medical technologies in Australia</w:t>
      </w:r>
      <w:r w:rsidR="00A620E4" w:rsidRPr="000C5623">
        <w:rPr>
          <w:iCs/>
        </w:rPr>
        <w:t>’</w:t>
      </w:r>
      <w:r w:rsidR="000763A9" w:rsidRPr="000C5623">
        <w:rPr>
          <w:iCs/>
        </w:rPr>
        <w:t xml:space="preserve"> </w:t>
      </w:r>
      <w:r w:rsidR="000763A9" w:rsidRPr="00666C23">
        <w:t>(</w:t>
      </w:r>
      <w:bookmarkStart w:id="109" w:name="_Hlk167279117"/>
      <w:r w:rsidR="000763A9" w:rsidRPr="004F1A2B">
        <w:t xml:space="preserve">The New Frontier </w:t>
      </w:r>
      <w:r w:rsidR="00A620E4">
        <w:t>i</w:t>
      </w:r>
      <w:r w:rsidR="000763A9" w:rsidRPr="00666C23">
        <w:t>nquiry</w:t>
      </w:r>
      <w:bookmarkEnd w:id="109"/>
      <w:r w:rsidR="000763A9" w:rsidRPr="00666C23">
        <w:t>)</w:t>
      </w:r>
      <w:bookmarkStart w:id="110" w:name="_Ref165577768"/>
      <w:r w:rsidR="00A620E4">
        <w:t>.</w:t>
      </w:r>
      <w:r w:rsidR="00EE7559">
        <w:rPr>
          <w:rStyle w:val="FootnoteReference"/>
        </w:rPr>
        <w:footnoteReference w:id="25"/>
      </w:r>
      <w:bookmarkEnd w:id="110"/>
      <w:r w:rsidR="003611BB">
        <w:t xml:space="preserve"> </w:t>
      </w:r>
    </w:p>
    <w:p w14:paraId="1E192B6B" w14:textId="368AA1FA" w:rsidR="00C648A1" w:rsidRDefault="00896118" w:rsidP="00E54757">
      <w:r>
        <w:t>The Review</w:t>
      </w:r>
      <w:r w:rsidR="006D6262">
        <w:t xml:space="preserve"> </w:t>
      </w:r>
      <w:r w:rsidR="005E24B0">
        <w:t xml:space="preserve">was </w:t>
      </w:r>
      <w:r w:rsidR="006D6262">
        <w:t>undertaken</w:t>
      </w:r>
      <w:r w:rsidR="00BC6A71">
        <w:t xml:space="preserve"> </w:t>
      </w:r>
      <w:r w:rsidR="0013400E">
        <w:t xml:space="preserve">to further the work of those processes and deliver a set of recommendations for reform </w:t>
      </w:r>
      <w:r w:rsidR="0020275B">
        <w:t>to the Australian Government.</w:t>
      </w:r>
      <w:r w:rsidR="00453069">
        <w:t xml:space="preserve"> </w:t>
      </w:r>
    </w:p>
    <w:p w14:paraId="398B9CDE" w14:textId="7BB1DBB1" w:rsidR="009C5967" w:rsidRDefault="00FA60A9" w:rsidP="00F51C08">
      <w:pPr>
        <w:pStyle w:val="Heading2"/>
      </w:pPr>
      <w:bookmarkStart w:id="111" w:name="_Toc164685814"/>
      <w:bookmarkStart w:id="112" w:name="_Toc164691386"/>
      <w:bookmarkStart w:id="113" w:name="_Toc164696184"/>
      <w:bookmarkStart w:id="114" w:name="_Toc164696330"/>
      <w:bookmarkStart w:id="115" w:name="_Toc164767719"/>
      <w:bookmarkStart w:id="116" w:name="_Toc164781631"/>
      <w:bookmarkStart w:id="117" w:name="_Toc171935864"/>
      <w:bookmarkStart w:id="118" w:name="_Toc157029035"/>
      <w:r>
        <w:t>How long do</w:t>
      </w:r>
      <w:r w:rsidR="00374CC0">
        <w:t xml:space="preserve">es </w:t>
      </w:r>
      <w:r w:rsidR="002C4173">
        <w:t>Australia take</w:t>
      </w:r>
      <w:r w:rsidR="00374CC0">
        <w:t xml:space="preserve"> to provide access</w:t>
      </w:r>
      <w:r w:rsidR="00E028DD">
        <w:t>?</w:t>
      </w:r>
      <w:bookmarkEnd w:id="111"/>
      <w:bookmarkEnd w:id="112"/>
      <w:bookmarkEnd w:id="113"/>
      <w:bookmarkEnd w:id="114"/>
      <w:bookmarkEnd w:id="115"/>
      <w:bookmarkEnd w:id="116"/>
      <w:bookmarkEnd w:id="117"/>
    </w:p>
    <w:p w14:paraId="2CAF7669" w14:textId="7B1CC9B1" w:rsidR="0030411E" w:rsidRDefault="00FE0C10" w:rsidP="00E54757">
      <w:r>
        <w:t>Th</w:t>
      </w:r>
      <w:r w:rsidR="005B4D44">
        <w:t>e</w:t>
      </w:r>
      <w:r>
        <w:t xml:space="preserve"> Review </w:t>
      </w:r>
      <w:r w:rsidR="006E02BF">
        <w:t>examined</w:t>
      </w:r>
      <w:r>
        <w:t xml:space="preserve"> multiple studies on how long it takes health </w:t>
      </w:r>
      <w:r w:rsidR="0079039B">
        <w:t xml:space="preserve">technologies to gain </w:t>
      </w:r>
      <w:r w:rsidR="00757F13">
        <w:t xml:space="preserve">public or universal funding in </w:t>
      </w:r>
      <w:r w:rsidR="00E028DD">
        <w:t>Australia</w:t>
      </w:r>
      <w:r w:rsidR="00757F13">
        <w:t xml:space="preserve"> and overseas.</w:t>
      </w:r>
      <w:r w:rsidR="00D00502">
        <w:t xml:space="preserve"> </w:t>
      </w:r>
      <w:r w:rsidR="004B233E">
        <w:t xml:space="preserve">It found </w:t>
      </w:r>
      <w:r w:rsidR="00D00502">
        <w:t xml:space="preserve">that Australia’s processes rank between the top and middle of comparable </w:t>
      </w:r>
      <w:r w:rsidR="00574B02" w:rsidRPr="00CC707D">
        <w:t>OECD</w:t>
      </w:r>
      <w:r w:rsidR="00574B02" w:rsidDel="00574B02">
        <w:t xml:space="preserve"> </w:t>
      </w:r>
      <w:r w:rsidR="00D00502">
        <w:t>countries</w:t>
      </w:r>
      <w:r w:rsidR="001557AF">
        <w:t>,</w:t>
      </w:r>
      <w:r w:rsidR="00D00502">
        <w:t xml:space="preserve"> depending on the timeliness measure</w:t>
      </w:r>
      <w:bookmarkStart w:id="119" w:name="_Ref165557902"/>
      <w:r w:rsidR="001557AF">
        <w:t>.</w:t>
      </w:r>
      <w:r w:rsidR="00EF312F">
        <w:rPr>
          <w:rStyle w:val="FootnoteReference"/>
        </w:rPr>
        <w:footnoteReference w:id="26"/>
      </w:r>
      <w:bookmarkEnd w:id="119"/>
      <w:r w:rsidR="00142F7A">
        <w:rPr>
          <w:vertAlign w:val="superscript"/>
        </w:rPr>
        <w:t>,</w:t>
      </w:r>
      <w:r w:rsidR="00FC66B4">
        <w:rPr>
          <w:rStyle w:val="FootnoteReference"/>
        </w:rPr>
        <w:footnoteReference w:id="27"/>
      </w:r>
      <w:r w:rsidR="00142F7A">
        <w:rPr>
          <w:vertAlign w:val="superscript"/>
        </w:rPr>
        <w:t>,</w:t>
      </w:r>
      <w:bookmarkStart w:id="120" w:name="_Ref165558165"/>
      <w:r w:rsidR="00142F7A">
        <w:rPr>
          <w:rStyle w:val="FootnoteReference"/>
        </w:rPr>
        <w:footnoteReference w:id="28"/>
      </w:r>
      <w:bookmarkEnd w:id="120"/>
      <w:r w:rsidR="00D00502">
        <w:t xml:space="preserve"> </w:t>
      </w:r>
    </w:p>
    <w:p w14:paraId="6F727F5E" w14:textId="2FEAB965" w:rsidR="004660A8" w:rsidRPr="00CD691B" w:rsidRDefault="00CD691B" w:rsidP="00237C21">
      <w:pPr>
        <w:pStyle w:val="Caption"/>
        <w:spacing w:after="0"/>
      </w:pPr>
      <w:bookmarkStart w:id="121" w:name="_Toc171948108"/>
      <w:r>
        <w:t xml:space="preserve">Table </w:t>
      </w:r>
      <w:r>
        <w:fldChar w:fldCharType="begin" w:fldLock="1"/>
      </w:r>
      <w:r>
        <w:instrText>SEQ Table \* ARABIC</w:instrText>
      </w:r>
      <w:r>
        <w:fldChar w:fldCharType="separate"/>
      </w:r>
      <w:r w:rsidR="00584A79">
        <w:rPr>
          <w:noProof/>
        </w:rPr>
        <w:t>2</w:t>
      </w:r>
      <w:r>
        <w:fldChar w:fldCharType="end"/>
      </w:r>
      <w:r>
        <w:t xml:space="preserve">: </w:t>
      </w:r>
      <w:r w:rsidR="00652679" w:rsidRPr="00A601CA">
        <w:t xml:space="preserve">Average time for </w:t>
      </w:r>
      <w:r w:rsidR="002F7788" w:rsidRPr="00A601CA">
        <w:t>HTA decision-making and reimbursement of pharmaceuticals in Australia, ranked against comparable OECD countries</w:t>
      </w:r>
      <w:bookmarkEnd w:id="121"/>
    </w:p>
    <w:tbl>
      <w:tblPr>
        <w:tblStyle w:val="ListTable3-Accent1"/>
        <w:tblW w:w="9050" w:type="dxa"/>
        <w:tblLayout w:type="fixed"/>
        <w:tblLook w:val="04A0" w:firstRow="1" w:lastRow="0" w:firstColumn="1" w:lastColumn="0" w:noHBand="0" w:noVBand="1"/>
      </w:tblPr>
      <w:tblGrid>
        <w:gridCol w:w="2268"/>
        <w:gridCol w:w="2512"/>
        <w:gridCol w:w="2135"/>
        <w:gridCol w:w="2135"/>
      </w:tblGrid>
      <w:tr w:rsidR="00D42E82" w14:paraId="51BF5C8D" w14:textId="3A0919FE" w:rsidTr="00D42E82">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2268" w:type="dxa"/>
          </w:tcPr>
          <w:p w14:paraId="7372A19F" w14:textId="571B1F75" w:rsidR="00D42E82" w:rsidRPr="00C220AA" w:rsidRDefault="00EA3AF5" w:rsidP="00BD34D3">
            <w:pPr>
              <w:keepNext/>
              <w:keepLines/>
              <w:rPr>
                <w:sz w:val="22"/>
                <w:szCs w:val="22"/>
              </w:rPr>
            </w:pPr>
            <w:r w:rsidRPr="00840162">
              <w:rPr>
                <w:rFonts w:eastAsia="Segoe UI" w:cs="Segoe UI"/>
                <w:sz w:val="22"/>
                <w:szCs w:val="22"/>
              </w:rPr>
              <w:t>Author</w:t>
            </w:r>
            <w:r w:rsidR="0091527B" w:rsidRPr="00840162">
              <w:rPr>
                <w:rFonts w:eastAsia="Segoe UI" w:cs="Segoe UI"/>
                <w:sz w:val="22"/>
                <w:szCs w:val="22"/>
              </w:rPr>
              <w:t xml:space="preserve">, </w:t>
            </w:r>
            <w:r w:rsidR="004B233E" w:rsidRPr="00840162">
              <w:rPr>
                <w:rFonts w:eastAsia="Segoe UI" w:cs="Segoe UI"/>
                <w:sz w:val="22"/>
                <w:szCs w:val="22"/>
              </w:rPr>
              <w:t>s</w:t>
            </w:r>
            <w:r w:rsidR="00D42E82" w:rsidRPr="00840162">
              <w:rPr>
                <w:rFonts w:eastAsia="Segoe UI" w:cs="Segoe UI"/>
                <w:sz w:val="22"/>
                <w:szCs w:val="22"/>
              </w:rPr>
              <w:t>tudy</w:t>
            </w:r>
          </w:p>
        </w:tc>
        <w:tc>
          <w:tcPr>
            <w:tcW w:w="2512" w:type="dxa"/>
          </w:tcPr>
          <w:p w14:paraId="0FAF438E" w14:textId="2F0B1B13" w:rsidR="00D42E82" w:rsidRPr="00C220AA" w:rsidRDefault="00D42E82" w:rsidP="00BD34D3">
            <w:pPr>
              <w:keepNext/>
              <w:keepLines/>
              <w:cnfStyle w:val="100000000000" w:firstRow="1" w:lastRow="0" w:firstColumn="0" w:lastColumn="0" w:oddVBand="0" w:evenVBand="0" w:oddHBand="0" w:evenHBand="0" w:firstRowFirstColumn="0" w:firstRowLastColumn="0" w:lastRowFirstColumn="0" w:lastRowLastColumn="0"/>
              <w:rPr>
                <w:sz w:val="22"/>
                <w:szCs w:val="22"/>
              </w:rPr>
            </w:pPr>
            <w:r w:rsidRPr="00840162">
              <w:rPr>
                <w:rFonts w:eastAsia="Segoe UI" w:cs="Segoe UI"/>
                <w:sz w:val="22"/>
                <w:szCs w:val="22"/>
              </w:rPr>
              <w:t>Measure</w:t>
            </w:r>
          </w:p>
        </w:tc>
        <w:tc>
          <w:tcPr>
            <w:tcW w:w="2135" w:type="dxa"/>
          </w:tcPr>
          <w:p w14:paraId="3A0E7880" w14:textId="78053726" w:rsidR="00D42E82" w:rsidRPr="00840162" w:rsidRDefault="00D42E82" w:rsidP="00BD34D3">
            <w:pPr>
              <w:keepNext/>
              <w:keepLines/>
              <w:cnfStyle w:val="100000000000" w:firstRow="1" w:lastRow="0" w:firstColumn="0" w:lastColumn="0" w:oddVBand="0" w:evenVBand="0" w:oddHBand="0" w:evenHBand="0" w:firstRowFirstColumn="0" w:firstRowLastColumn="0" w:lastRowFirstColumn="0" w:lastRowLastColumn="0"/>
              <w:rPr>
                <w:rFonts w:eastAsia="Segoe UI" w:cs="Segoe UI"/>
                <w:sz w:val="22"/>
                <w:szCs w:val="22"/>
              </w:rPr>
            </w:pPr>
            <w:r w:rsidRPr="00840162">
              <w:rPr>
                <w:rFonts w:eastAsia="Segoe UI" w:cs="Segoe UI"/>
                <w:sz w:val="22"/>
                <w:szCs w:val="22"/>
              </w:rPr>
              <w:t xml:space="preserve">Result </w:t>
            </w:r>
          </w:p>
        </w:tc>
        <w:tc>
          <w:tcPr>
            <w:tcW w:w="2135" w:type="dxa"/>
          </w:tcPr>
          <w:p w14:paraId="0A3701BD" w14:textId="1F26026D" w:rsidR="00D42E82" w:rsidRPr="00840162" w:rsidRDefault="00D42E82" w:rsidP="00BD34D3">
            <w:pPr>
              <w:keepNext/>
              <w:keepLines/>
              <w:cnfStyle w:val="100000000000" w:firstRow="1" w:lastRow="0" w:firstColumn="0" w:lastColumn="0" w:oddVBand="0" w:evenVBand="0" w:oddHBand="0" w:evenHBand="0" w:firstRowFirstColumn="0" w:firstRowLastColumn="0" w:lastRowFirstColumn="0" w:lastRowLastColumn="0"/>
              <w:rPr>
                <w:rFonts w:eastAsia="Segoe UI" w:cs="Segoe UI"/>
                <w:sz w:val="22"/>
                <w:szCs w:val="22"/>
              </w:rPr>
            </w:pPr>
            <w:r w:rsidRPr="00840162">
              <w:rPr>
                <w:rFonts w:eastAsia="Segoe UI" w:cs="Segoe UI"/>
                <w:sz w:val="22"/>
                <w:szCs w:val="22"/>
              </w:rPr>
              <w:t>Rank</w:t>
            </w:r>
          </w:p>
        </w:tc>
      </w:tr>
      <w:tr w:rsidR="00D42E82" w14:paraId="17F2324D" w14:textId="14E4D644" w:rsidTr="00D42E8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68" w:type="dxa"/>
          </w:tcPr>
          <w:p w14:paraId="354E6F61" w14:textId="24E39C7A" w:rsidR="00D42E82" w:rsidRPr="00C220AA" w:rsidRDefault="00D42E82" w:rsidP="00BD34D3">
            <w:pPr>
              <w:keepNext/>
              <w:keepLines/>
              <w:jc w:val="left"/>
              <w:rPr>
                <w:b w:val="0"/>
                <w:sz w:val="22"/>
                <w:szCs w:val="22"/>
              </w:rPr>
            </w:pPr>
            <w:r w:rsidRPr="00C220AA">
              <w:rPr>
                <w:b w:val="0"/>
                <w:sz w:val="22"/>
                <w:szCs w:val="22"/>
              </w:rPr>
              <w:t xml:space="preserve">Centre for </w:t>
            </w:r>
            <w:r w:rsidR="004B233E">
              <w:rPr>
                <w:b w:val="0"/>
                <w:sz w:val="22"/>
                <w:szCs w:val="22"/>
              </w:rPr>
              <w:t>I</w:t>
            </w:r>
            <w:r w:rsidRPr="00C220AA">
              <w:rPr>
                <w:b w:val="0"/>
                <w:sz w:val="22"/>
                <w:szCs w:val="22"/>
              </w:rPr>
              <w:t xml:space="preserve">nnovation </w:t>
            </w:r>
            <w:r w:rsidR="004B233E">
              <w:rPr>
                <w:b w:val="0"/>
                <w:sz w:val="22"/>
                <w:szCs w:val="22"/>
              </w:rPr>
              <w:t>in</w:t>
            </w:r>
            <w:r w:rsidRPr="00C220AA">
              <w:rPr>
                <w:b w:val="0"/>
                <w:sz w:val="22"/>
                <w:szCs w:val="22"/>
              </w:rPr>
              <w:t xml:space="preserve"> </w:t>
            </w:r>
            <w:r w:rsidR="004B233E">
              <w:rPr>
                <w:b w:val="0"/>
                <w:sz w:val="22"/>
                <w:szCs w:val="22"/>
              </w:rPr>
              <w:t>R</w:t>
            </w:r>
            <w:r w:rsidRPr="00C220AA">
              <w:rPr>
                <w:b w:val="0"/>
                <w:sz w:val="22"/>
                <w:szCs w:val="22"/>
              </w:rPr>
              <w:t xml:space="preserve">egulatory </w:t>
            </w:r>
            <w:r w:rsidR="004B233E">
              <w:rPr>
                <w:b w:val="0"/>
                <w:sz w:val="22"/>
                <w:szCs w:val="22"/>
              </w:rPr>
              <w:t>S</w:t>
            </w:r>
            <w:r w:rsidRPr="00C220AA">
              <w:rPr>
                <w:b w:val="0"/>
                <w:sz w:val="22"/>
                <w:szCs w:val="22"/>
              </w:rPr>
              <w:t>cience</w:t>
            </w:r>
            <w:r w:rsidR="006540FB">
              <w:rPr>
                <w:b w:val="0"/>
                <w:sz w:val="22"/>
                <w:szCs w:val="22"/>
              </w:rPr>
              <w:t xml:space="preserve">, </w:t>
            </w:r>
            <w:r w:rsidR="00EA3AF5" w:rsidRPr="00B61FDC">
              <w:rPr>
                <w:b w:val="0"/>
                <w:bCs w:val="0"/>
                <w:i/>
                <w:iCs/>
                <w:sz w:val="22"/>
                <w:szCs w:val="22"/>
              </w:rPr>
              <w:t xml:space="preserve">Review of </w:t>
            </w:r>
            <w:r w:rsidR="006540FB" w:rsidRPr="00B61FDC">
              <w:rPr>
                <w:b w:val="0"/>
                <w:bCs w:val="0"/>
                <w:i/>
                <w:iCs/>
                <w:sz w:val="22"/>
                <w:szCs w:val="22"/>
              </w:rPr>
              <w:t xml:space="preserve">HTA </w:t>
            </w:r>
            <w:r w:rsidR="00EA3AF5" w:rsidRPr="00B61FDC">
              <w:rPr>
                <w:b w:val="0"/>
                <w:bCs w:val="0"/>
                <w:i/>
                <w:iCs/>
                <w:sz w:val="22"/>
                <w:szCs w:val="22"/>
              </w:rPr>
              <w:t>outcomes and timelines in Australia, Canada and Europe 2018-</w:t>
            </w:r>
            <w:r w:rsidR="00B736EB" w:rsidRPr="00B61FDC">
              <w:rPr>
                <w:b w:val="0"/>
                <w:bCs w:val="0"/>
                <w:i/>
                <w:iCs/>
                <w:sz w:val="22"/>
                <w:szCs w:val="22"/>
              </w:rPr>
              <w:t>20</w:t>
            </w:r>
            <w:r w:rsidR="00EA3AF5" w:rsidRPr="00B61FDC">
              <w:rPr>
                <w:b w:val="0"/>
                <w:bCs w:val="0"/>
                <w:i/>
                <w:iCs/>
                <w:sz w:val="22"/>
                <w:szCs w:val="22"/>
              </w:rPr>
              <w:t>22</w:t>
            </w:r>
          </w:p>
        </w:tc>
        <w:tc>
          <w:tcPr>
            <w:tcW w:w="2512" w:type="dxa"/>
          </w:tcPr>
          <w:p w14:paraId="1D13B422" w14:textId="4FCB582C" w:rsidR="00D42E82" w:rsidRPr="00C220AA" w:rsidRDefault="0058116C" w:rsidP="00BD34D3">
            <w:pPr>
              <w:keepNext/>
              <w:keepLines/>
              <w:jc w:val="left"/>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Time taken from </w:t>
            </w:r>
            <w:r w:rsidR="00EA08FA">
              <w:rPr>
                <w:sz w:val="22"/>
                <w:szCs w:val="22"/>
              </w:rPr>
              <w:t xml:space="preserve">regulatory approval to HTA </w:t>
            </w:r>
            <w:r w:rsidR="00EA08FA" w:rsidRPr="004605DE">
              <w:rPr>
                <w:sz w:val="22"/>
                <w:szCs w:val="22"/>
              </w:rPr>
              <w:t>recommendation</w:t>
            </w:r>
            <w:r w:rsidR="006540FB">
              <w:rPr>
                <w:sz w:val="22"/>
                <w:szCs w:val="22"/>
              </w:rPr>
              <w:t xml:space="preserve"> </w:t>
            </w:r>
            <w:r w:rsidR="000F52DE">
              <w:rPr>
                <w:sz w:val="22"/>
                <w:szCs w:val="22"/>
              </w:rPr>
              <w:t>(</w:t>
            </w:r>
            <w:r w:rsidR="006540FB">
              <w:rPr>
                <w:sz w:val="22"/>
                <w:szCs w:val="22"/>
              </w:rPr>
              <w:t>2022</w:t>
            </w:r>
            <w:r w:rsidR="000F52DE">
              <w:rPr>
                <w:sz w:val="22"/>
                <w:szCs w:val="22"/>
              </w:rPr>
              <w:t>)</w:t>
            </w:r>
          </w:p>
        </w:tc>
        <w:tc>
          <w:tcPr>
            <w:tcW w:w="2135" w:type="dxa"/>
          </w:tcPr>
          <w:p w14:paraId="2C17B824" w14:textId="097204C2" w:rsidR="00D42E82" w:rsidRPr="00C220AA" w:rsidRDefault="00EA08FA" w:rsidP="00BD34D3">
            <w:pPr>
              <w:keepNext/>
              <w:keepLines/>
              <w:jc w:val="left"/>
              <w:cnfStyle w:val="000000100000" w:firstRow="0" w:lastRow="0" w:firstColumn="0" w:lastColumn="0" w:oddVBand="0" w:evenVBand="0" w:oddHBand="1"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3 months</w:t>
            </w:r>
          </w:p>
        </w:tc>
        <w:tc>
          <w:tcPr>
            <w:tcW w:w="2135" w:type="dxa"/>
          </w:tcPr>
          <w:p w14:paraId="29FCB25D" w14:textId="04557F28" w:rsidR="00D42E82" w:rsidRPr="00C220AA" w:rsidRDefault="00EA08FA" w:rsidP="00BD34D3">
            <w:pPr>
              <w:keepNext/>
              <w:keepLines/>
              <w:jc w:val="left"/>
              <w:cnfStyle w:val="000000100000" w:firstRow="0" w:lastRow="0" w:firstColumn="0" w:lastColumn="0" w:oddVBand="0" w:evenVBand="0" w:oddHBand="1" w:evenHBand="0" w:firstRowFirstColumn="0" w:firstRowLastColumn="0" w:lastRowFirstColumn="0" w:lastRowLastColumn="0"/>
              <w:rPr>
                <w:rFonts w:eastAsia="Segoe UI" w:cs="Segoe UI"/>
                <w:color w:val="313131"/>
                <w:sz w:val="22"/>
                <w:szCs w:val="22"/>
              </w:rPr>
            </w:pPr>
            <w:r w:rsidRPr="000C0764">
              <w:rPr>
                <w:rFonts w:eastAsia="Segoe UI" w:cs="Segoe UI"/>
                <w:color w:val="313131"/>
                <w:sz w:val="22"/>
                <w:szCs w:val="22"/>
              </w:rPr>
              <w:t>1</w:t>
            </w:r>
            <w:r w:rsidRPr="000553E9">
              <w:rPr>
                <w:rFonts w:eastAsia="Segoe UI" w:cs="Segoe UI"/>
                <w:color w:val="313131"/>
                <w:sz w:val="22"/>
                <w:szCs w:val="22"/>
              </w:rPr>
              <w:t>st</w:t>
            </w:r>
            <w:r>
              <w:rPr>
                <w:rFonts w:eastAsia="Segoe UI" w:cs="Segoe UI"/>
                <w:color w:val="313131"/>
                <w:sz w:val="22"/>
                <w:szCs w:val="22"/>
              </w:rPr>
              <w:t xml:space="preserve"> out of </w:t>
            </w:r>
            <w:r w:rsidR="00C95CE3">
              <w:rPr>
                <w:rFonts w:eastAsia="Segoe UI" w:cs="Segoe UI"/>
                <w:color w:val="313131"/>
                <w:sz w:val="22"/>
                <w:szCs w:val="22"/>
              </w:rPr>
              <w:t>Australia, Canada, England, France, Germany, Netherlands, Poland, Scotland, Sweden</w:t>
            </w:r>
          </w:p>
        </w:tc>
      </w:tr>
      <w:tr w:rsidR="00D42E82" w14:paraId="4BD8216F" w14:textId="231E024C" w:rsidTr="00D42E82">
        <w:trPr>
          <w:trHeight w:val="300"/>
        </w:trPr>
        <w:tc>
          <w:tcPr>
            <w:cnfStyle w:val="001000000000" w:firstRow="0" w:lastRow="0" w:firstColumn="1" w:lastColumn="0" w:oddVBand="0" w:evenVBand="0" w:oddHBand="0" w:evenHBand="0" w:firstRowFirstColumn="0" w:firstRowLastColumn="0" w:lastRowFirstColumn="0" w:lastRowLastColumn="0"/>
            <w:tcW w:w="2268" w:type="dxa"/>
          </w:tcPr>
          <w:p w14:paraId="4180856C" w14:textId="044D26AF" w:rsidR="00D42E82" w:rsidRPr="00C220AA" w:rsidRDefault="00EA3AF5" w:rsidP="00BD34D3">
            <w:pPr>
              <w:keepNext/>
              <w:keepLines/>
              <w:jc w:val="left"/>
              <w:rPr>
                <w:b w:val="0"/>
                <w:sz w:val="22"/>
                <w:szCs w:val="22"/>
              </w:rPr>
            </w:pPr>
            <w:r>
              <w:rPr>
                <w:b w:val="0"/>
                <w:sz w:val="22"/>
                <w:szCs w:val="22"/>
              </w:rPr>
              <w:t xml:space="preserve">Medicines Australia, </w:t>
            </w:r>
            <w:r w:rsidRPr="00B61FDC">
              <w:rPr>
                <w:b w:val="0"/>
                <w:bCs w:val="0"/>
                <w:i/>
                <w:iCs/>
                <w:sz w:val="22"/>
                <w:szCs w:val="22"/>
              </w:rPr>
              <w:t>Medicines Matter</w:t>
            </w:r>
            <w:r w:rsidR="00783F34">
              <w:rPr>
                <w:b w:val="0"/>
                <w:i/>
                <w:sz w:val="22"/>
                <w:szCs w:val="22"/>
              </w:rPr>
              <w:t xml:space="preserve"> </w:t>
            </w:r>
            <w:r w:rsidR="00783F34">
              <w:rPr>
                <w:b w:val="0"/>
                <w:bCs w:val="0"/>
                <w:i/>
                <w:iCs/>
                <w:sz w:val="22"/>
                <w:szCs w:val="22"/>
              </w:rPr>
              <w:t>2022</w:t>
            </w:r>
            <w:r>
              <w:rPr>
                <w:b w:val="0"/>
                <w:sz w:val="22"/>
                <w:szCs w:val="22"/>
              </w:rPr>
              <w:t xml:space="preserve"> </w:t>
            </w:r>
            <w:r w:rsidR="00B736EB">
              <w:rPr>
                <w:b w:val="0"/>
                <w:sz w:val="22"/>
                <w:szCs w:val="22"/>
              </w:rPr>
              <w:t>r</w:t>
            </w:r>
            <w:r>
              <w:rPr>
                <w:b w:val="0"/>
                <w:sz w:val="22"/>
                <w:szCs w:val="22"/>
              </w:rPr>
              <w:t>eport</w:t>
            </w:r>
          </w:p>
        </w:tc>
        <w:tc>
          <w:tcPr>
            <w:tcW w:w="2512" w:type="dxa"/>
          </w:tcPr>
          <w:p w14:paraId="7A8B44B7" w14:textId="78921519" w:rsidR="00D42E82" w:rsidRPr="00C220AA" w:rsidRDefault="006540FB" w:rsidP="00BD34D3">
            <w:pPr>
              <w:keepNext/>
              <w:keepLines/>
              <w:jc w:val="left"/>
              <w:cnfStyle w:val="000000000000" w:firstRow="0" w:lastRow="0" w:firstColumn="0" w:lastColumn="0" w:oddVBand="0" w:evenVBand="0" w:oddHBand="0" w:evenHBand="0" w:firstRowFirstColumn="0" w:firstRowLastColumn="0" w:lastRowFirstColumn="0" w:lastRowLastColumn="0"/>
              <w:rPr>
                <w:sz w:val="22"/>
                <w:szCs w:val="22"/>
              </w:rPr>
            </w:pPr>
            <w:r w:rsidRPr="006540FB">
              <w:rPr>
                <w:bCs/>
                <w:sz w:val="22"/>
                <w:szCs w:val="22"/>
              </w:rPr>
              <w:t>Average time from registration to reimbursement</w:t>
            </w:r>
            <w:r>
              <w:rPr>
                <w:bCs/>
                <w:sz w:val="22"/>
                <w:szCs w:val="22"/>
              </w:rPr>
              <w:t xml:space="preserve"> </w:t>
            </w:r>
            <w:r w:rsidR="00EC5D93">
              <w:rPr>
                <w:bCs/>
                <w:sz w:val="22"/>
                <w:szCs w:val="22"/>
              </w:rPr>
              <w:t>(2016</w:t>
            </w:r>
            <w:r w:rsidR="00B736EB">
              <w:rPr>
                <w:bCs/>
                <w:sz w:val="22"/>
                <w:szCs w:val="22"/>
              </w:rPr>
              <w:t>–‍</w:t>
            </w:r>
            <w:r w:rsidR="00EC5D93">
              <w:rPr>
                <w:bCs/>
                <w:sz w:val="22"/>
                <w:szCs w:val="22"/>
              </w:rPr>
              <w:t>2021)</w:t>
            </w:r>
          </w:p>
        </w:tc>
        <w:tc>
          <w:tcPr>
            <w:tcW w:w="2135" w:type="dxa"/>
          </w:tcPr>
          <w:p w14:paraId="2422E1DF" w14:textId="77777777" w:rsidR="00D42E82" w:rsidRDefault="00BC6F64" w:rsidP="00BD34D3">
            <w:pPr>
              <w:keepNext/>
              <w:keepLines/>
              <w:jc w:val="left"/>
              <w:cnfStyle w:val="000000000000" w:firstRow="0" w:lastRow="0" w:firstColumn="0" w:lastColumn="0" w:oddVBand="0" w:evenVBand="0" w:oddHBand="0"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15 months</w:t>
            </w:r>
          </w:p>
          <w:p w14:paraId="7E6C5655" w14:textId="17406349" w:rsidR="00D42E82" w:rsidRPr="00C220AA" w:rsidRDefault="00DF26F1" w:rsidP="00BD34D3">
            <w:pPr>
              <w:keepNext/>
              <w:keepLines/>
              <w:jc w:val="left"/>
              <w:cnfStyle w:val="000000000000" w:firstRow="0" w:lastRow="0" w:firstColumn="0" w:lastColumn="0" w:oddVBand="0" w:evenVBand="0" w:oddHBand="0"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(OECD average 13</w:t>
            </w:r>
            <w:r w:rsidR="00B736EB">
              <w:rPr>
                <w:rFonts w:eastAsia="Segoe UI" w:cs="Segoe UI"/>
                <w:color w:val="313131"/>
                <w:sz w:val="22"/>
                <w:szCs w:val="22"/>
              </w:rPr>
              <w:t> </w:t>
            </w:r>
            <w:r>
              <w:rPr>
                <w:rFonts w:eastAsia="Segoe UI" w:cs="Segoe UI"/>
                <w:color w:val="313131"/>
                <w:sz w:val="22"/>
                <w:szCs w:val="22"/>
              </w:rPr>
              <w:t>months)</w:t>
            </w:r>
          </w:p>
        </w:tc>
        <w:tc>
          <w:tcPr>
            <w:tcW w:w="2135" w:type="dxa"/>
          </w:tcPr>
          <w:p w14:paraId="514AEFF4" w14:textId="1A846C02" w:rsidR="00D42E82" w:rsidRPr="00C220AA" w:rsidRDefault="00A614B0" w:rsidP="00BD34D3">
            <w:pPr>
              <w:keepNext/>
              <w:keepLines/>
              <w:jc w:val="left"/>
              <w:cnfStyle w:val="000000000000" w:firstRow="0" w:lastRow="0" w:firstColumn="0" w:lastColumn="0" w:oddVBand="0" w:evenVBand="0" w:oddHBand="0"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11</w:t>
            </w:r>
            <w:r w:rsidRPr="000553E9">
              <w:rPr>
                <w:rFonts w:eastAsia="Segoe UI" w:cs="Segoe UI"/>
                <w:color w:val="313131"/>
                <w:sz w:val="22"/>
                <w:szCs w:val="22"/>
              </w:rPr>
              <w:t>th</w:t>
            </w:r>
            <w:r>
              <w:rPr>
                <w:rFonts w:eastAsia="Segoe UI" w:cs="Segoe UI"/>
                <w:color w:val="313131"/>
                <w:sz w:val="22"/>
                <w:szCs w:val="22"/>
              </w:rPr>
              <w:t xml:space="preserve"> out of 20 OECD countries</w:t>
            </w:r>
          </w:p>
        </w:tc>
      </w:tr>
      <w:tr w:rsidR="00D42E82" w14:paraId="5E6D22EF" w14:textId="0BEF9493" w:rsidTr="00D42E8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68" w:type="dxa"/>
          </w:tcPr>
          <w:p w14:paraId="3D876A07" w14:textId="2F24ABE0" w:rsidR="00D42E82" w:rsidRPr="00C220AA" w:rsidRDefault="0081717D" w:rsidP="00BD34D3">
            <w:pPr>
              <w:keepNext/>
              <w:keepLines/>
              <w:jc w:val="left"/>
              <w:rPr>
                <w:b w:val="0"/>
                <w:sz w:val="22"/>
                <w:szCs w:val="22"/>
              </w:rPr>
            </w:pPr>
            <w:r>
              <w:rPr>
                <w:b w:val="0"/>
                <w:bCs w:val="0"/>
                <w:sz w:val="22"/>
                <w:szCs w:val="22"/>
                <w14:ligatures w14:val="standardContextual"/>
              </w:rPr>
              <w:t xml:space="preserve">Pharmaceutical Research and Manufacturers of America, </w:t>
            </w:r>
            <w:r w:rsidR="00EC7404" w:rsidRPr="00B61FDC">
              <w:rPr>
                <w:b w:val="0"/>
                <w:bCs w:val="0"/>
                <w:i/>
                <w:iCs/>
                <w:sz w:val="22"/>
                <w:szCs w:val="22"/>
                <w14:ligatures w14:val="standardContextual"/>
              </w:rPr>
              <w:t>Global Access to New Medicines Report</w:t>
            </w:r>
          </w:p>
        </w:tc>
        <w:tc>
          <w:tcPr>
            <w:tcW w:w="2512" w:type="dxa"/>
          </w:tcPr>
          <w:p w14:paraId="0EFB6C0F" w14:textId="56549E03" w:rsidR="00D42E82" w:rsidRPr="00C220AA" w:rsidRDefault="00D90877" w:rsidP="00BD34D3">
            <w:pPr>
              <w:keepNext/>
              <w:keepLines/>
              <w:jc w:val="left"/>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Time from global fi</w:t>
            </w:r>
            <w:r w:rsidR="00B736EB">
              <w:rPr>
                <w:sz w:val="22"/>
                <w:szCs w:val="22"/>
              </w:rPr>
              <w:t>r</w:t>
            </w:r>
            <w:r>
              <w:rPr>
                <w:sz w:val="22"/>
                <w:szCs w:val="22"/>
              </w:rPr>
              <w:t>st launch to public reimbursement</w:t>
            </w:r>
          </w:p>
        </w:tc>
        <w:tc>
          <w:tcPr>
            <w:tcW w:w="2135" w:type="dxa"/>
          </w:tcPr>
          <w:p w14:paraId="584BB93B" w14:textId="77777777" w:rsidR="00D42E82" w:rsidRDefault="003938EA" w:rsidP="00BD34D3">
            <w:pPr>
              <w:keepNext/>
              <w:keepLines/>
              <w:jc w:val="left"/>
              <w:cnfStyle w:val="000000100000" w:firstRow="0" w:lastRow="0" w:firstColumn="0" w:lastColumn="0" w:oddVBand="0" w:evenVBand="0" w:oddHBand="1"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47 months</w:t>
            </w:r>
          </w:p>
          <w:p w14:paraId="3E5793B9" w14:textId="1C2D9D19" w:rsidR="00D42E82" w:rsidRPr="00C220AA" w:rsidRDefault="008978E8" w:rsidP="00BD34D3">
            <w:pPr>
              <w:keepNext/>
              <w:keepLines/>
              <w:jc w:val="left"/>
              <w:cnfStyle w:val="000000100000" w:firstRow="0" w:lastRow="0" w:firstColumn="0" w:lastColumn="0" w:oddVBand="0" w:evenVBand="0" w:oddHBand="1"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 xml:space="preserve">(G20 average </w:t>
            </w:r>
            <w:r w:rsidR="000352CE">
              <w:rPr>
                <w:rFonts w:eastAsia="Segoe UI" w:cs="Segoe UI"/>
                <w:color w:val="313131"/>
                <w:sz w:val="22"/>
                <w:szCs w:val="22"/>
              </w:rPr>
              <w:t>46</w:t>
            </w:r>
            <w:r w:rsidR="00B736EB">
              <w:rPr>
                <w:rFonts w:eastAsia="Segoe UI" w:cs="Segoe UI"/>
                <w:color w:val="313131"/>
                <w:sz w:val="22"/>
                <w:szCs w:val="22"/>
              </w:rPr>
              <w:t> </w:t>
            </w:r>
            <w:r w:rsidR="000352CE">
              <w:rPr>
                <w:rFonts w:eastAsia="Segoe UI" w:cs="Segoe UI"/>
                <w:color w:val="313131"/>
                <w:sz w:val="22"/>
                <w:szCs w:val="22"/>
              </w:rPr>
              <w:t>months)</w:t>
            </w:r>
          </w:p>
        </w:tc>
        <w:tc>
          <w:tcPr>
            <w:tcW w:w="2135" w:type="dxa"/>
          </w:tcPr>
          <w:p w14:paraId="012377B0" w14:textId="50061707" w:rsidR="00D42E82" w:rsidRPr="00C220AA" w:rsidRDefault="00047282" w:rsidP="00BD34D3">
            <w:pPr>
              <w:keepNext/>
              <w:keepLines/>
              <w:jc w:val="left"/>
              <w:cnfStyle w:val="000000100000" w:firstRow="0" w:lastRow="0" w:firstColumn="0" w:lastColumn="0" w:oddVBand="0" w:evenVBand="0" w:oddHBand="1" w:evenHBand="0" w:firstRowFirstColumn="0" w:firstRowLastColumn="0" w:lastRowFirstColumn="0" w:lastRowLastColumn="0"/>
              <w:rPr>
                <w:rFonts w:eastAsia="Segoe UI" w:cs="Segoe UI"/>
                <w:color w:val="313131"/>
                <w:sz w:val="22"/>
                <w:szCs w:val="22"/>
              </w:rPr>
            </w:pPr>
            <w:r>
              <w:rPr>
                <w:rFonts w:eastAsia="Segoe UI" w:cs="Segoe UI"/>
                <w:color w:val="313131"/>
                <w:sz w:val="22"/>
                <w:szCs w:val="22"/>
              </w:rPr>
              <w:t>10</w:t>
            </w:r>
            <w:r w:rsidRPr="000553E9">
              <w:rPr>
                <w:rFonts w:eastAsia="Segoe UI" w:cs="Segoe UI"/>
                <w:color w:val="313131"/>
                <w:sz w:val="22"/>
                <w:szCs w:val="22"/>
              </w:rPr>
              <w:t>th</w:t>
            </w:r>
            <w:r>
              <w:rPr>
                <w:rFonts w:eastAsia="Segoe UI" w:cs="Segoe UI"/>
                <w:color w:val="313131"/>
                <w:sz w:val="22"/>
                <w:szCs w:val="22"/>
              </w:rPr>
              <w:t xml:space="preserve"> </w:t>
            </w:r>
            <w:r w:rsidR="003D517D">
              <w:rPr>
                <w:rFonts w:eastAsia="Segoe UI" w:cs="Segoe UI"/>
                <w:color w:val="313131"/>
                <w:sz w:val="22"/>
                <w:szCs w:val="22"/>
              </w:rPr>
              <w:t>in G20</w:t>
            </w:r>
          </w:p>
        </w:tc>
      </w:tr>
    </w:tbl>
    <w:p w14:paraId="2D5D0D8C" w14:textId="1EDCBDF0" w:rsidR="002A5E7D" w:rsidRDefault="0030411E" w:rsidP="00237C21">
      <w:pPr>
        <w:spacing w:before="240"/>
      </w:pPr>
      <w:r>
        <w:t xml:space="preserve">For medicines that were </w:t>
      </w:r>
      <w:r w:rsidR="00223B0A">
        <w:t>added to</w:t>
      </w:r>
      <w:r w:rsidR="00001DC8">
        <w:t xml:space="preserve"> the PBS in 2021 and 2022, the </w:t>
      </w:r>
      <w:r w:rsidR="00C02415">
        <w:t>shortest</w:t>
      </w:r>
      <w:r w:rsidR="00001DC8">
        <w:t xml:space="preserve"> time between</w:t>
      </w:r>
      <w:r w:rsidR="00223B0A">
        <w:t xml:space="preserve"> </w:t>
      </w:r>
      <w:r w:rsidR="007A2418" w:rsidRPr="007A2418">
        <w:t>Therapeutic Goods Administration (TGA)</w:t>
      </w:r>
      <w:r w:rsidR="007A2418" w:rsidRPr="007A2418" w:rsidDel="007A2418">
        <w:t xml:space="preserve"> </w:t>
      </w:r>
      <w:r w:rsidR="00EF02ED">
        <w:t>registration and PBS subsidy was 2 months.</w:t>
      </w:r>
      <w:r w:rsidR="00590C82">
        <w:t xml:space="preserve"> However</w:t>
      </w:r>
      <w:r w:rsidR="00E40C8D">
        <w:t xml:space="preserve">, </w:t>
      </w:r>
      <w:proofErr w:type="gramStart"/>
      <w:r w:rsidR="00E40C8D">
        <w:t>the majority of</w:t>
      </w:r>
      <w:proofErr w:type="gramEnd"/>
      <w:r w:rsidR="00E40C8D">
        <w:t xml:space="preserve"> </w:t>
      </w:r>
      <w:r w:rsidR="00E40C8D" w:rsidRPr="00B61FDC">
        <w:t>new medicines took significantly longer than this</w:t>
      </w:r>
      <w:r w:rsidR="00B25991" w:rsidRPr="00B61FDC">
        <w:t xml:space="preserve"> – the </w:t>
      </w:r>
      <w:r w:rsidR="00B25991" w:rsidRPr="00B61FDC">
        <w:lastRenderedPageBreak/>
        <w:t>median time</w:t>
      </w:r>
      <w:r w:rsidR="00F36732" w:rsidRPr="00B61FDC">
        <w:t xml:space="preserve"> to achieve</w:t>
      </w:r>
      <w:r w:rsidR="00F033DC" w:rsidRPr="00B61FDC">
        <w:t xml:space="preserve"> PBS listing</w:t>
      </w:r>
      <w:r w:rsidR="00F36732" w:rsidRPr="00B61FDC">
        <w:t xml:space="preserve"> after TGA registration</w:t>
      </w:r>
      <w:r w:rsidR="00F033DC" w:rsidRPr="00B61FDC">
        <w:t xml:space="preserve"> was 21</w:t>
      </w:r>
      <w:r w:rsidR="005F261D" w:rsidRPr="00B61FDC">
        <w:t> </w:t>
      </w:r>
      <w:r w:rsidR="00F033DC" w:rsidRPr="00B61FDC">
        <w:t>months</w:t>
      </w:r>
      <w:r w:rsidR="00E40C8D" w:rsidRPr="00B61FDC">
        <w:t>.</w:t>
      </w:r>
      <w:r w:rsidR="00270295" w:rsidRPr="00B61FDC">
        <w:rPr>
          <w:rStyle w:val="CommentReference"/>
        </w:rPr>
        <w:t xml:space="preserve"> </w:t>
      </w:r>
      <w:r w:rsidR="00270295" w:rsidRPr="00B61FDC">
        <w:t>For new medicines that improved health outcomes</w:t>
      </w:r>
      <w:r w:rsidR="005F261D">
        <w:t>,</w:t>
      </w:r>
      <w:r w:rsidR="00270295">
        <w:t xml:space="preserve"> the median time was 22 months.</w:t>
      </w:r>
      <w:r w:rsidR="00270295">
        <w:rPr>
          <w:rStyle w:val="FootnoteReference"/>
        </w:rPr>
        <w:footnoteReference w:id="29"/>
      </w:r>
      <w:r w:rsidR="00270295">
        <w:t xml:space="preserve"> </w:t>
      </w:r>
    </w:p>
    <w:p w14:paraId="27EA002E" w14:textId="23170D7C" w:rsidR="00D475B6" w:rsidRDefault="00D475B6" w:rsidP="00D475B6">
      <w:r>
        <w:t>Deeper examination of the data revealed that one of the main reasons most medicines d</w:t>
      </w:r>
      <w:r w:rsidR="00A92DB7">
        <w:t>id</w:t>
      </w:r>
      <w:r>
        <w:t xml:space="preserve"> not achieve PBS listing in the shortest possible time</w:t>
      </w:r>
      <w:r w:rsidR="004574C7">
        <w:t xml:space="preserve"> </w:t>
      </w:r>
      <w:r>
        <w:t xml:space="preserve">frame was that multiple submissions to the </w:t>
      </w:r>
      <w:r w:rsidR="007A2418" w:rsidRPr="007A2418">
        <w:t>PBAC</w:t>
      </w:r>
      <w:r w:rsidR="007A2418" w:rsidRPr="007A2418" w:rsidDel="007A2418">
        <w:t xml:space="preserve"> </w:t>
      </w:r>
      <w:r>
        <w:t xml:space="preserve">were required </w:t>
      </w:r>
      <w:r w:rsidR="00A92DB7">
        <w:t xml:space="preserve">to </w:t>
      </w:r>
      <w:r>
        <w:t>achiev</w:t>
      </w:r>
      <w:r w:rsidR="00A92DB7">
        <w:t>e</w:t>
      </w:r>
      <w:r>
        <w:t xml:space="preserve"> a positive recommendation. Another key reason was underu</w:t>
      </w:r>
      <w:r w:rsidR="00C468A7">
        <w:t>se</w:t>
      </w:r>
      <w:r>
        <w:t xml:space="preserve"> of processes that allow</w:t>
      </w:r>
      <w:r w:rsidR="00A92DB7">
        <w:t xml:space="preserve"> concurrent processing (parallel processing) of</w:t>
      </w:r>
      <w:r>
        <w:t xml:space="preserve"> TGA and PBAC applications. As such, th</w:t>
      </w:r>
      <w:r w:rsidR="005B4D44">
        <w:t>e</w:t>
      </w:r>
      <w:r>
        <w:t xml:space="preserve"> Review focused on improving the first-time success rate of health technology funding applications and incentivising use of parallel processing. </w:t>
      </w:r>
    </w:p>
    <w:p w14:paraId="689025A1" w14:textId="65C987AD" w:rsidR="00EE2315" w:rsidRPr="00A6168C" w:rsidRDefault="00D475B6">
      <w:r>
        <w:t>For highly specialised therapies</w:t>
      </w:r>
      <w:r w:rsidR="007F02AF">
        <w:t xml:space="preserve"> (HSTs)</w:t>
      </w:r>
      <w:r>
        <w:t xml:space="preserve"> funded through public hospitals, health technologies funded through the </w:t>
      </w:r>
      <w:r w:rsidR="00C771A3">
        <w:t>LSDP</w:t>
      </w:r>
      <w:r>
        <w:t xml:space="preserve">, and vaccines funded through </w:t>
      </w:r>
      <w:r w:rsidR="00C771A3">
        <w:t>NIP</w:t>
      </w:r>
      <w:r>
        <w:t>, additional steps in the process mean they take significantly longer to be funded than PBS medicines. Th</w:t>
      </w:r>
      <w:r w:rsidR="005B4D44">
        <w:t>e</w:t>
      </w:r>
      <w:r>
        <w:t xml:space="preserve"> Review, therefore, also focused on streamlining the pathways to funding through these schemes.</w:t>
      </w:r>
      <w:bookmarkEnd w:id="118"/>
      <w:r w:rsidR="003A4365">
        <w:br w:type="page"/>
      </w:r>
      <w:bookmarkStart w:id="122" w:name="_Toc164781632"/>
      <w:bookmarkStart w:id="123" w:name="_Ref164782792"/>
      <w:bookmarkStart w:id="124" w:name="_Toc164085055"/>
    </w:p>
    <w:p w14:paraId="61086EC9" w14:textId="36AF3179" w:rsidR="005B51F3" w:rsidRPr="0071296B" w:rsidRDefault="005B51F3" w:rsidP="005B51F3">
      <w:pPr>
        <w:pStyle w:val="Heading1"/>
      </w:pPr>
      <w:bookmarkStart w:id="125" w:name="_Toc171935865"/>
      <w:r>
        <w:lastRenderedPageBreak/>
        <w:t>Chapter 3: Providing more equitable access to under</w:t>
      </w:r>
      <w:r w:rsidR="00BF6B6E">
        <w:t>-</w:t>
      </w:r>
      <w:r>
        <w:t>represented patient groups</w:t>
      </w:r>
      <w:bookmarkEnd w:id="125"/>
    </w:p>
    <w:p w14:paraId="4D4A23E3" w14:textId="304F9DFF" w:rsidR="006121FB" w:rsidRDefault="006121FB" w:rsidP="00F51C08">
      <w:pPr>
        <w:pStyle w:val="Heading2"/>
      </w:pPr>
      <w:bookmarkStart w:id="126" w:name="_Toc171935866"/>
      <w:r w:rsidRPr="00B61FDC">
        <w:t>Introduction</w:t>
      </w:r>
      <w:bookmarkEnd w:id="126"/>
    </w:p>
    <w:p w14:paraId="1B8EF95A" w14:textId="574814E1" w:rsidR="005B51F3" w:rsidRPr="00831930" w:rsidRDefault="006F39BB" w:rsidP="002B221E">
      <w:pPr>
        <w:rPr>
          <w:lang w:eastAsia="en-AU"/>
        </w:rPr>
      </w:pPr>
      <w:r>
        <w:rPr>
          <w:lang w:eastAsia="en-AU"/>
        </w:rPr>
        <w:t>S</w:t>
      </w:r>
      <w:r w:rsidR="005B51F3" w:rsidRPr="00831930">
        <w:rPr>
          <w:lang w:eastAsia="en-AU"/>
        </w:rPr>
        <w:t xml:space="preserve">ome </w:t>
      </w:r>
      <w:r w:rsidR="005B51F3">
        <w:rPr>
          <w:lang w:eastAsia="en-AU"/>
        </w:rPr>
        <w:t>population groups</w:t>
      </w:r>
      <w:r w:rsidR="00933F06">
        <w:rPr>
          <w:lang w:eastAsia="en-AU"/>
        </w:rPr>
        <w:t>,</w:t>
      </w:r>
      <w:r w:rsidR="005B51F3">
        <w:rPr>
          <w:lang w:eastAsia="en-AU"/>
        </w:rPr>
        <w:t xml:space="preserve"> such as First Nations people and children</w:t>
      </w:r>
      <w:r w:rsidR="00933F06">
        <w:rPr>
          <w:lang w:eastAsia="en-AU"/>
        </w:rPr>
        <w:t>,</w:t>
      </w:r>
      <w:r w:rsidR="005B51F3">
        <w:rPr>
          <w:lang w:eastAsia="en-AU"/>
        </w:rPr>
        <w:t xml:space="preserve"> are under</w:t>
      </w:r>
      <w:r w:rsidR="00BF6B6E">
        <w:rPr>
          <w:lang w:eastAsia="en-AU"/>
        </w:rPr>
        <w:t>-</w:t>
      </w:r>
      <w:r w:rsidR="005B51F3">
        <w:rPr>
          <w:lang w:eastAsia="en-AU"/>
        </w:rPr>
        <w:t xml:space="preserve">represented in the delivery and access to vital medicines. </w:t>
      </w:r>
      <w:r w:rsidR="007670E3">
        <w:rPr>
          <w:lang w:eastAsia="en-AU"/>
        </w:rPr>
        <w:t>Providing</w:t>
      </w:r>
      <w:r w:rsidR="005B51F3">
        <w:rPr>
          <w:lang w:eastAsia="en-AU"/>
        </w:rPr>
        <w:t xml:space="preserve"> equitable access to these groups is </w:t>
      </w:r>
      <w:r w:rsidR="005B51F3" w:rsidRPr="00831930">
        <w:rPr>
          <w:lang w:eastAsia="en-AU"/>
        </w:rPr>
        <w:t>complex and require</w:t>
      </w:r>
      <w:r w:rsidR="005B51F3">
        <w:rPr>
          <w:lang w:eastAsia="en-AU"/>
        </w:rPr>
        <w:t>s</w:t>
      </w:r>
      <w:r w:rsidR="005B51F3" w:rsidRPr="00831930">
        <w:rPr>
          <w:lang w:eastAsia="en-AU"/>
        </w:rPr>
        <w:t xml:space="preserve"> holistic solutions integrated across the HTA continuum.</w:t>
      </w:r>
    </w:p>
    <w:p w14:paraId="500C6C4D" w14:textId="20898F86" w:rsidR="005B51F3" w:rsidRPr="00704503" w:rsidRDefault="005B51F3" w:rsidP="002B221E">
      <w:pPr>
        <w:rPr>
          <w:lang w:eastAsia="en-AU"/>
        </w:rPr>
      </w:pPr>
      <w:r w:rsidRPr="00704503">
        <w:rPr>
          <w:lang w:eastAsia="en-AU"/>
        </w:rPr>
        <w:t xml:space="preserve">Chapter </w:t>
      </w:r>
      <w:r w:rsidR="009875AB">
        <w:rPr>
          <w:lang w:eastAsia="en-AU"/>
        </w:rPr>
        <w:t>3</w:t>
      </w:r>
      <w:r w:rsidRPr="00704503">
        <w:rPr>
          <w:lang w:eastAsia="en-AU"/>
        </w:rPr>
        <w:t xml:space="preserve"> provides the Review</w:t>
      </w:r>
      <w:r>
        <w:rPr>
          <w:lang w:eastAsia="en-AU"/>
        </w:rPr>
        <w:t>’</w:t>
      </w:r>
      <w:r w:rsidRPr="00704503">
        <w:rPr>
          <w:lang w:eastAsia="en-AU"/>
        </w:rPr>
        <w:t>s consideration and recommendations for:</w:t>
      </w:r>
    </w:p>
    <w:p w14:paraId="07A3A24A" w14:textId="0355D954" w:rsidR="005B51F3" w:rsidRPr="00704503" w:rsidRDefault="005B51F3" w:rsidP="00281153">
      <w:pPr>
        <w:pStyle w:val="ListBullet"/>
        <w:numPr>
          <w:ilvl w:val="0"/>
          <w:numId w:val="60"/>
        </w:numPr>
        <w:rPr>
          <w:rFonts w:eastAsia="Times New Roman"/>
          <w:lang w:eastAsia="en-AU"/>
        </w:rPr>
      </w:pPr>
      <w:r w:rsidRPr="00704503">
        <w:rPr>
          <w:rFonts w:eastAsia="Times New Roman"/>
          <w:lang w:eastAsia="en-AU"/>
        </w:rPr>
        <w:t xml:space="preserve">improving engagement and consultation </w:t>
      </w:r>
      <w:r>
        <w:rPr>
          <w:rFonts w:eastAsia="Times New Roman"/>
          <w:lang w:eastAsia="en-AU"/>
        </w:rPr>
        <w:t>with</w:t>
      </w:r>
      <w:r w:rsidRPr="00704503">
        <w:rPr>
          <w:rFonts w:eastAsia="Times New Roman"/>
          <w:lang w:eastAsia="en-AU"/>
        </w:rPr>
        <w:t xml:space="preserve"> First Nations people in HTA processes </w:t>
      </w:r>
    </w:p>
    <w:p w14:paraId="258D3D95" w14:textId="6F7DD590" w:rsidR="005B51F3" w:rsidRDefault="005B51F3" w:rsidP="00281153">
      <w:pPr>
        <w:pStyle w:val="ListBullet"/>
        <w:numPr>
          <w:ilvl w:val="0"/>
          <w:numId w:val="60"/>
        </w:numPr>
        <w:rPr>
          <w:rFonts w:eastAsia="Times New Roman"/>
          <w:lang w:eastAsia="en-AU"/>
        </w:rPr>
      </w:pPr>
      <w:r>
        <w:rPr>
          <w:rFonts w:eastAsia="Times New Roman"/>
          <w:lang w:eastAsia="en-AU"/>
        </w:rPr>
        <w:t>i</w:t>
      </w:r>
      <w:r w:rsidRPr="0016434D">
        <w:rPr>
          <w:rFonts w:eastAsia="Times New Roman"/>
          <w:lang w:eastAsia="en-AU"/>
        </w:rPr>
        <w:t>mproving access to medicines for paediatric patients</w:t>
      </w:r>
      <w:r>
        <w:rPr>
          <w:rFonts w:eastAsia="Times New Roman"/>
          <w:lang w:eastAsia="en-AU"/>
        </w:rPr>
        <w:t>.</w:t>
      </w:r>
    </w:p>
    <w:p w14:paraId="3680315B" w14:textId="0F7F19F9" w:rsidR="005B51F3" w:rsidRDefault="005B51F3" w:rsidP="00F51C08">
      <w:pPr>
        <w:pStyle w:val="Heading2"/>
      </w:pPr>
      <w:bookmarkStart w:id="127" w:name="_Toc171935867"/>
      <w:r>
        <w:t xml:space="preserve">Chapter </w:t>
      </w:r>
      <w:r w:rsidR="00E74923">
        <w:t>3</w:t>
      </w:r>
      <w:r>
        <w:t>.1: Creating an equitable system for First Nations people</w:t>
      </w:r>
      <w:bookmarkEnd w:id="127"/>
      <w:r>
        <w:t xml:space="preserve"> </w:t>
      </w:r>
    </w:p>
    <w:p w14:paraId="4FC0C92F" w14:textId="4166238C" w:rsidR="007A45C9" w:rsidRPr="00621C17" w:rsidRDefault="00B42229" w:rsidP="00A318F7">
      <w:pPr>
        <w:pStyle w:val="Heading3"/>
      </w:pPr>
      <w:r>
        <w:t>Introduction and c</w:t>
      </w:r>
      <w:r w:rsidR="00444AE1">
        <w:t>ontext</w:t>
      </w:r>
    </w:p>
    <w:p w14:paraId="5DC2487A" w14:textId="1A14309D" w:rsidR="005B51F3" w:rsidRPr="00621C17" w:rsidRDefault="006F39BB" w:rsidP="002B221E">
      <w:r>
        <w:t>W</w:t>
      </w:r>
      <w:r w:rsidR="005B51F3" w:rsidRPr="00621C17">
        <w:t>hile there are mechanisms to promote equit</w:t>
      </w:r>
      <w:r w:rsidR="009367A6">
        <w:t>able</w:t>
      </w:r>
      <w:r w:rsidR="005B51F3" w:rsidRPr="00621C17">
        <w:t xml:space="preserve"> access to medicines for First Nations people, </w:t>
      </w:r>
      <w:r w:rsidR="005B51F3" w:rsidRPr="00C310EE">
        <w:t>th</w:t>
      </w:r>
      <w:r w:rsidR="00C310EE" w:rsidRPr="000C5623">
        <w:t xml:space="preserve">is population group </w:t>
      </w:r>
      <w:r w:rsidR="005B51F3" w:rsidRPr="00C310EE">
        <w:t>lack</w:t>
      </w:r>
      <w:r w:rsidR="00C310EE" w:rsidRPr="000C5623">
        <w:t xml:space="preserve">s </w:t>
      </w:r>
      <w:r w:rsidR="005B51F3" w:rsidRPr="00C310EE">
        <w:t>formal and routine involvement</w:t>
      </w:r>
      <w:r w:rsidR="00C310EE">
        <w:t xml:space="preserve"> in HTAs</w:t>
      </w:r>
      <w:r w:rsidR="005B51F3" w:rsidRPr="00621C17">
        <w:t>. The lack of embedded First Nations health representatives and consideration of First Nations perspectives and health outcomes is contributing to health inequity. Stakeholders noted that several medicines integral to the health and wellbeing of First Nations people are not listed on the PBS. Data revealed disparit</w:t>
      </w:r>
      <w:r w:rsidR="00C310EE">
        <w:t>ies</w:t>
      </w:r>
      <w:r w:rsidR="005B51F3" w:rsidRPr="00621C17">
        <w:t xml:space="preserve"> in access to medicines for First Nations people, with significantly lower expenditure on medicines for this population</w:t>
      </w:r>
      <w:r w:rsidR="001C2895">
        <w:t xml:space="preserve"> group</w:t>
      </w:r>
      <w:r w:rsidR="005B51F3" w:rsidRPr="00621C17">
        <w:t xml:space="preserve">. </w:t>
      </w:r>
    </w:p>
    <w:p w14:paraId="016368BC" w14:textId="1399B1A2" w:rsidR="005B51F3" w:rsidRPr="00621C17" w:rsidRDefault="005B51F3" w:rsidP="002B221E">
      <w:r w:rsidRPr="00621C17">
        <w:t xml:space="preserve">Chapter </w:t>
      </w:r>
      <w:r w:rsidR="00E1067E">
        <w:t>3</w:t>
      </w:r>
      <w:r w:rsidRPr="00621C17">
        <w:t xml:space="preserve">.1 explains the Review’s consideration of these issues and </w:t>
      </w:r>
      <w:r w:rsidR="00C310EE">
        <w:t xml:space="preserve">its </w:t>
      </w:r>
      <w:r w:rsidRPr="00621C17">
        <w:t>recommendations for more formal arrangements to ensure impacts on First Nations people are fully considered at all stages of HTA</w:t>
      </w:r>
      <w:r w:rsidR="001C2895">
        <w:t>s</w:t>
      </w:r>
      <w:r w:rsidRPr="00621C17">
        <w:t>.</w:t>
      </w:r>
    </w:p>
    <w:p w14:paraId="3C789498" w14:textId="0A4048FB" w:rsidR="005B51F3" w:rsidRPr="007510DB" w:rsidRDefault="005B51F3" w:rsidP="002B221E">
      <w:r w:rsidRPr="00621C17">
        <w:t>Under current arrangements, processes for involving First Nations people in HTA processes are the same as those for all Australians.</w:t>
      </w:r>
      <w:r>
        <w:t xml:space="preserve"> Stakeholders from all </w:t>
      </w:r>
      <w:r w:rsidR="0063382D">
        <w:t xml:space="preserve">impacted </w:t>
      </w:r>
      <w:r>
        <w:t xml:space="preserve">groups </w:t>
      </w:r>
      <w:r w:rsidR="001C2895">
        <w:t>can</w:t>
      </w:r>
      <w:r w:rsidRPr="007510DB">
        <w:t xml:space="preserve"> make submissions for </w:t>
      </w:r>
      <w:r w:rsidR="000C0764">
        <w:t xml:space="preserve">the </w:t>
      </w:r>
      <w:r w:rsidRPr="007510DB">
        <w:t>funding of new health technologies</w:t>
      </w:r>
      <w:r>
        <w:t xml:space="preserve"> or to provide commentary on medicines being considered by the PBAC.</w:t>
      </w:r>
    </w:p>
    <w:p w14:paraId="78E963EE" w14:textId="2CAEAB6C" w:rsidR="005B51F3" w:rsidRDefault="005B51F3" w:rsidP="002B221E">
      <w:r w:rsidRPr="007510DB">
        <w:lastRenderedPageBreak/>
        <w:t>When making a submission, sponsors have the option to include details regarding the impact of the medicine on health equity</w:t>
      </w:r>
      <w:r>
        <w:t xml:space="preserve">, </w:t>
      </w:r>
      <w:r w:rsidRPr="007510DB">
        <w:t xml:space="preserve">including </w:t>
      </w:r>
      <w:r>
        <w:t>the impact on First Nations</w:t>
      </w:r>
      <w:r w:rsidRPr="007510DB">
        <w:t xml:space="preserve"> people. However, </w:t>
      </w:r>
      <w:r w:rsidR="001C2895" w:rsidRPr="007510DB">
        <w:t xml:space="preserve">the sponsor </w:t>
      </w:r>
      <w:r w:rsidR="001C2895">
        <w:t xml:space="preserve">has </w:t>
      </w:r>
      <w:r w:rsidR="001C2895" w:rsidRPr="007510DB">
        <w:t xml:space="preserve">discretion </w:t>
      </w:r>
      <w:r w:rsidR="001C2895">
        <w:t>about whether to include</w:t>
      </w:r>
      <w:r w:rsidRPr="007510DB">
        <w:t xml:space="preserve"> this information</w:t>
      </w:r>
      <w:r>
        <w:t>,</w:t>
      </w:r>
      <w:r w:rsidRPr="007510DB">
        <w:t xml:space="preserve"> </w:t>
      </w:r>
      <w:r w:rsidR="001C2895">
        <w:t xml:space="preserve">so </w:t>
      </w:r>
      <w:r w:rsidRPr="007510DB">
        <w:t xml:space="preserve">it is often </w:t>
      </w:r>
      <w:r w:rsidR="001C2895">
        <w:t>left out. T</w:t>
      </w:r>
      <w:r>
        <w:t>herefore</w:t>
      </w:r>
      <w:r w:rsidR="001C2895">
        <w:t>,</w:t>
      </w:r>
      <w:r>
        <w:t xml:space="preserve"> </w:t>
      </w:r>
      <w:r w:rsidR="001C2895">
        <w:t xml:space="preserve">the PBAC </w:t>
      </w:r>
      <w:r w:rsidR="001D1C85">
        <w:t xml:space="preserve">does not </w:t>
      </w:r>
      <w:r w:rsidR="00282C65">
        <w:t>consistently</w:t>
      </w:r>
      <w:r>
        <w:t xml:space="preserve"> consider</w:t>
      </w:r>
      <w:r w:rsidR="006121FB">
        <w:t xml:space="preserve"> the impact on health equity and outcomes for First Nations</w:t>
      </w:r>
      <w:r w:rsidR="006121FB" w:rsidRPr="007510DB">
        <w:t xml:space="preserve"> people</w:t>
      </w:r>
      <w:r>
        <w:t xml:space="preserve"> </w:t>
      </w:r>
      <w:r w:rsidR="001C2895">
        <w:t xml:space="preserve">it in </w:t>
      </w:r>
      <w:r>
        <w:t>its decision-making.</w:t>
      </w:r>
    </w:p>
    <w:p w14:paraId="2CABA410" w14:textId="61D3D864" w:rsidR="005B51F3" w:rsidRPr="00446542" w:rsidRDefault="005B51F3" w:rsidP="002B221E">
      <w:pPr>
        <w:rPr>
          <w:rStyle w:val="normaltextrun"/>
          <w:rFonts w:cs="Segoe UI"/>
          <w:position w:val="2"/>
          <w:shd w:val="clear" w:color="auto" w:fill="FFFFFF"/>
        </w:rPr>
      </w:pPr>
      <w:r w:rsidRPr="00446542">
        <w:rPr>
          <w:rStyle w:val="normaltextrun"/>
          <w:rFonts w:cs="Segoe UI"/>
          <w:position w:val="2"/>
          <w:shd w:val="clear" w:color="auto" w:fill="FFFFFF"/>
        </w:rPr>
        <w:t>The Commonwealth has committed to delivering objectives in the National Agreement on Closing the Gap</w:t>
      </w:r>
      <w:r>
        <w:rPr>
          <w:rStyle w:val="normaltextrun"/>
          <w:rFonts w:cs="Segoe UI"/>
          <w:position w:val="2"/>
          <w:shd w:val="clear" w:color="auto" w:fill="FFFFFF"/>
        </w:rPr>
        <w:t xml:space="preserve"> (</w:t>
      </w:r>
      <w:r w:rsidRPr="00273B2E">
        <w:rPr>
          <w:rStyle w:val="normaltextrun"/>
          <w:rFonts w:cs="Segoe UI"/>
          <w:position w:val="2"/>
          <w:shd w:val="clear" w:color="auto" w:fill="FFFFFF"/>
        </w:rPr>
        <w:t>the National Agreement)</w:t>
      </w:r>
      <w:bookmarkStart w:id="128" w:name="_Ref165554132"/>
      <w:r w:rsidR="001C2895">
        <w:rPr>
          <w:rStyle w:val="normaltextrun"/>
          <w:rFonts w:cs="Segoe UI"/>
          <w:position w:val="2"/>
          <w:shd w:val="clear" w:color="auto" w:fill="FFFFFF"/>
        </w:rPr>
        <w:t>.</w:t>
      </w:r>
      <w:r w:rsidR="001F77C6">
        <w:rPr>
          <w:rStyle w:val="FootnoteReference"/>
          <w:rFonts w:cs="Segoe UI"/>
          <w:position w:val="2"/>
          <w:shd w:val="clear" w:color="auto" w:fill="FFFFFF"/>
        </w:rPr>
        <w:footnoteReference w:id="30"/>
      </w:r>
      <w:bookmarkEnd w:id="128"/>
      <w:r w:rsidRPr="00446542">
        <w:rPr>
          <w:rStyle w:val="normaltextrun"/>
          <w:rFonts w:cs="Segoe UI"/>
          <w:position w:val="2"/>
          <w:shd w:val="clear" w:color="auto" w:fill="FFFFFF"/>
        </w:rPr>
        <w:t xml:space="preserve"> The National Agreement </w:t>
      </w:r>
      <w:r w:rsidR="001C2895">
        <w:rPr>
          <w:rStyle w:val="normaltextrun"/>
          <w:rFonts w:cs="Segoe UI"/>
          <w:position w:val="2"/>
          <w:shd w:val="clear" w:color="auto" w:fill="FFFFFF"/>
        </w:rPr>
        <w:t>w</w:t>
      </w:r>
      <w:r w:rsidRPr="00446542">
        <w:rPr>
          <w:rStyle w:val="normaltextrun"/>
          <w:rFonts w:cs="Segoe UI"/>
          <w:position w:val="2"/>
          <w:shd w:val="clear" w:color="auto" w:fill="FFFFFF"/>
        </w:rPr>
        <w:t>as developed in partnership between all Australian governments and the Coalition of</w:t>
      </w:r>
      <w:r w:rsidR="001C2895">
        <w:rPr>
          <w:rStyle w:val="normaltextrun"/>
          <w:rFonts w:cs="Segoe UI"/>
          <w:position w:val="2"/>
          <w:shd w:val="clear" w:color="auto" w:fill="FFFFFF"/>
        </w:rPr>
        <w:t xml:space="preserve"> Peaks, a representative body of</w:t>
      </w:r>
      <w:r w:rsidRPr="00446542">
        <w:rPr>
          <w:rStyle w:val="normaltextrun"/>
          <w:rFonts w:cs="Segoe UI"/>
          <w:position w:val="2"/>
          <w:shd w:val="clear" w:color="auto" w:fill="FFFFFF"/>
        </w:rPr>
        <w:t xml:space="preserve"> Aboriginal and Torres Strait Islander organisations. As part of the National Agreement, </w:t>
      </w:r>
      <w:r w:rsidR="001C2895">
        <w:rPr>
          <w:rStyle w:val="normaltextrun"/>
          <w:rFonts w:cs="Segoe UI"/>
          <w:position w:val="2"/>
          <w:shd w:val="clear" w:color="auto" w:fill="FFFFFF"/>
        </w:rPr>
        <w:t>g</w:t>
      </w:r>
      <w:r w:rsidRPr="00446542">
        <w:rPr>
          <w:rStyle w:val="normaltextrun"/>
          <w:rFonts w:cs="Segoe UI"/>
          <w:position w:val="2"/>
          <w:shd w:val="clear" w:color="auto" w:fill="FFFFFF"/>
        </w:rPr>
        <w:t>overnments committed to improving engagement with First Nations people</w:t>
      </w:r>
      <w:r w:rsidR="000C0764">
        <w:rPr>
          <w:rStyle w:val="normaltextrun"/>
          <w:rFonts w:cs="Segoe UI"/>
          <w:position w:val="2"/>
          <w:shd w:val="clear" w:color="auto" w:fill="FFFFFF"/>
        </w:rPr>
        <w:t>, agreeing to</w:t>
      </w:r>
      <w:r w:rsidRPr="00446542">
        <w:rPr>
          <w:rStyle w:val="normaltextrun"/>
          <w:rFonts w:cs="Segoe UI"/>
          <w:position w:val="2"/>
          <w:shd w:val="clear" w:color="auto" w:fill="FFFFFF"/>
        </w:rPr>
        <w:t>:</w:t>
      </w:r>
    </w:p>
    <w:p w14:paraId="4FC1C45E" w14:textId="17216DB7" w:rsidR="005B51F3" w:rsidRPr="00BD34D3" w:rsidRDefault="005B51F3" w:rsidP="002B221E">
      <w:pPr>
        <w:ind w:left="720"/>
        <w:rPr>
          <w:rStyle w:val="Emphasis"/>
        </w:rPr>
      </w:pPr>
      <w:r w:rsidRPr="000C5623">
        <w:rPr>
          <w:rStyle w:val="Emphasis"/>
          <w:i w:val="0"/>
          <w:iCs w:val="0"/>
        </w:rPr>
        <w:t>Ensure when governments are undertaking significant changes to policy and programs that primarily impact on Aboriginal and Torres Strait Islander people, they engage fully and transparently. Engagements should be done in a way where Aboriginal and Torres Strait Islander people: have a leadership role in the design and conduct of engagements; know the purpose and fully understand what is being proposed; know what feedback is provided and how that is being taken account of by governments in making decisions; and are able to assess whether the engagements have been fair, transparent and open</w:t>
      </w:r>
      <w:r w:rsidRPr="00BD34D3">
        <w:rPr>
          <w:rStyle w:val="Emphasis"/>
        </w:rPr>
        <w:t>.</w:t>
      </w:r>
      <w:r w:rsidRPr="000C5623">
        <w:rPr>
          <w:rStyle w:val="Emphasis"/>
          <w:i w:val="0"/>
          <w:iCs w:val="0"/>
          <w:vertAlign w:val="superscript"/>
        </w:rPr>
        <w:footnoteReference w:id="31"/>
      </w:r>
    </w:p>
    <w:p w14:paraId="579719B9" w14:textId="787AC2D8" w:rsidR="005B51F3" w:rsidRPr="00584D2C" w:rsidRDefault="005B51F3" w:rsidP="002B221E">
      <w:pPr>
        <w:rPr>
          <w:rFonts w:cs="Segoe UI"/>
          <w:sz w:val="28"/>
          <w:szCs w:val="28"/>
        </w:rPr>
      </w:pPr>
      <w:r w:rsidRPr="00446542">
        <w:rPr>
          <w:rStyle w:val="normaltextrun"/>
          <w:rFonts w:cs="Segoe UI"/>
          <w:position w:val="2"/>
          <w:shd w:val="clear" w:color="auto" w:fill="FFFFFF"/>
        </w:rPr>
        <w:t>In line with the priority reforms under the National Agreement</w:t>
      </w:r>
      <w:r w:rsidR="001C2895">
        <w:rPr>
          <w:rStyle w:val="normaltextrun"/>
          <w:rFonts w:cs="Segoe UI"/>
          <w:position w:val="2"/>
          <w:shd w:val="clear" w:color="auto" w:fill="FFFFFF"/>
        </w:rPr>
        <w:t>,</w:t>
      </w:r>
      <w:r w:rsidRPr="00446542">
        <w:rPr>
          <w:rStyle w:val="normaltextrun"/>
          <w:rFonts w:cs="Segoe UI"/>
          <w:position w:val="2"/>
          <w:shd w:val="clear" w:color="auto" w:fill="FFFFFF"/>
        </w:rPr>
        <w:t xml:space="preserve"> it is important that the way </w:t>
      </w:r>
      <w:r w:rsidR="001C2895">
        <w:rPr>
          <w:rStyle w:val="normaltextrun"/>
          <w:rFonts w:cs="Segoe UI"/>
          <w:position w:val="2"/>
          <w:shd w:val="clear" w:color="auto" w:fill="FFFFFF"/>
        </w:rPr>
        <w:t>g</w:t>
      </w:r>
      <w:r w:rsidRPr="00446542">
        <w:rPr>
          <w:rStyle w:val="normaltextrun"/>
          <w:rFonts w:cs="Segoe UI"/>
          <w:position w:val="2"/>
          <w:shd w:val="clear" w:color="auto" w:fill="FFFFFF"/>
        </w:rPr>
        <w:t>overnment engages with First Nations people across the HTA continuum</w:t>
      </w:r>
      <w:r w:rsidR="001C2895" w:rsidRPr="001C2895">
        <w:rPr>
          <w:rStyle w:val="normaltextrun"/>
          <w:rFonts w:cs="Segoe UI"/>
          <w:position w:val="2"/>
          <w:shd w:val="clear" w:color="auto" w:fill="FFFFFF"/>
        </w:rPr>
        <w:t xml:space="preserve"> </w:t>
      </w:r>
      <w:r w:rsidR="001C2895" w:rsidRPr="00446542">
        <w:rPr>
          <w:rStyle w:val="normaltextrun"/>
          <w:rFonts w:cs="Segoe UI"/>
          <w:position w:val="2"/>
          <w:shd w:val="clear" w:color="auto" w:fill="FFFFFF"/>
        </w:rPr>
        <w:t>is</w:t>
      </w:r>
      <w:r w:rsidR="001C2895">
        <w:rPr>
          <w:rStyle w:val="normaltextrun"/>
          <w:rFonts w:cs="Segoe UI"/>
          <w:position w:val="2"/>
          <w:shd w:val="clear" w:color="auto" w:fill="FFFFFF"/>
        </w:rPr>
        <w:t xml:space="preserve"> given</w:t>
      </w:r>
      <w:r w:rsidR="001C2895" w:rsidRPr="00446542">
        <w:rPr>
          <w:rStyle w:val="normaltextrun"/>
          <w:rFonts w:cs="Segoe UI"/>
          <w:position w:val="2"/>
          <w:shd w:val="clear" w:color="auto" w:fill="FFFFFF"/>
        </w:rPr>
        <w:t xml:space="preserve"> close consideration</w:t>
      </w:r>
      <w:r w:rsidRPr="00446542">
        <w:rPr>
          <w:rStyle w:val="normaltextrun"/>
          <w:rFonts w:cs="Segoe UI"/>
          <w:position w:val="2"/>
          <w:shd w:val="clear" w:color="auto" w:fill="FFFFFF"/>
        </w:rPr>
        <w:t>.</w:t>
      </w:r>
    </w:p>
    <w:p w14:paraId="5AC2A44C" w14:textId="1891CF9C" w:rsidR="005B51F3" w:rsidRPr="00584D2C" w:rsidRDefault="005B51F3" w:rsidP="002B221E">
      <w:pPr>
        <w:rPr>
          <w:rFonts w:cs="Segoe UI"/>
        </w:rPr>
      </w:pPr>
      <w:r w:rsidRPr="00584D2C">
        <w:rPr>
          <w:rFonts w:cs="Segoe UI"/>
        </w:rPr>
        <w:t>To minimise barriers</w:t>
      </w:r>
      <w:r w:rsidR="00B8484E">
        <w:rPr>
          <w:rFonts w:cs="Segoe UI"/>
        </w:rPr>
        <w:t xml:space="preserve"> to</w:t>
      </w:r>
      <w:r w:rsidRPr="00584D2C">
        <w:rPr>
          <w:rFonts w:cs="Segoe UI"/>
        </w:rPr>
        <w:t xml:space="preserve"> First Nations people accessing PBS pharmaceuticals, a range of strategies are used, including cost-recovery fee waivers for submissions to the PBAC for medicines for First Nations people. </w:t>
      </w:r>
    </w:p>
    <w:p w14:paraId="1C4039C6" w14:textId="2CD63FF5" w:rsidR="005B51F3" w:rsidRDefault="005B51F3" w:rsidP="002B221E">
      <w:pPr>
        <w:rPr>
          <w:rFonts w:cs="Segoe UI"/>
        </w:rPr>
      </w:pPr>
      <w:r w:rsidRPr="00584D2C">
        <w:rPr>
          <w:rFonts w:cs="Segoe UI"/>
        </w:rPr>
        <w:t>In recognition of their specific health needs, a range of over-the-counter medicines (and some low-cost prescription-only items) are subsidised through the PBS specifically for prescri</w:t>
      </w:r>
      <w:r w:rsidR="00B8484E">
        <w:rPr>
          <w:rFonts w:cs="Segoe UI"/>
        </w:rPr>
        <w:t>bing for</w:t>
      </w:r>
      <w:r w:rsidRPr="00584D2C">
        <w:rPr>
          <w:rFonts w:cs="Segoe UI"/>
        </w:rPr>
        <w:t xml:space="preserve"> </w:t>
      </w:r>
      <w:r>
        <w:rPr>
          <w:rFonts w:cs="Segoe UI"/>
        </w:rPr>
        <w:t>First Nations</w:t>
      </w:r>
      <w:r w:rsidRPr="00584D2C">
        <w:rPr>
          <w:rFonts w:cs="Segoe UI"/>
        </w:rPr>
        <w:t xml:space="preserve"> people. Special supply arrangements under </w:t>
      </w:r>
      <w:r w:rsidR="00B8484E">
        <w:rPr>
          <w:rFonts w:cs="Segoe UI"/>
        </w:rPr>
        <w:t>s</w:t>
      </w:r>
      <w:r w:rsidRPr="00D8788F">
        <w:rPr>
          <w:rFonts w:cs="Segoe UI"/>
        </w:rPr>
        <w:t>ection 100 of the</w:t>
      </w:r>
      <w:r w:rsidR="00B8484E">
        <w:rPr>
          <w:rFonts w:cs="Segoe UI"/>
        </w:rPr>
        <w:t xml:space="preserve"> </w:t>
      </w:r>
      <w:r w:rsidR="00B8484E" w:rsidRPr="002724B9">
        <w:rPr>
          <w:i/>
        </w:rPr>
        <w:t xml:space="preserve">National Health Act 1953 </w:t>
      </w:r>
      <w:r w:rsidR="00B8484E">
        <w:rPr>
          <w:rFonts w:cs="Segoe UI"/>
        </w:rPr>
        <w:t>(</w:t>
      </w:r>
      <w:r w:rsidRPr="00D8788F">
        <w:rPr>
          <w:rFonts w:cs="Segoe UI"/>
        </w:rPr>
        <w:t>NHA</w:t>
      </w:r>
      <w:r w:rsidR="00B8484E">
        <w:rPr>
          <w:rFonts w:cs="Segoe UI"/>
        </w:rPr>
        <w:t>)</w:t>
      </w:r>
      <w:r>
        <w:rPr>
          <w:rFonts w:cs="Segoe UI"/>
          <w:i/>
        </w:rPr>
        <w:t xml:space="preserve"> </w:t>
      </w:r>
      <w:r w:rsidRPr="00584D2C">
        <w:rPr>
          <w:rFonts w:cs="Segoe UI"/>
        </w:rPr>
        <w:t>have been implemented to allow PBS medicines to be provided to primary healthcare services, such as Aboriginal Community Controlled Health Services (ACCHS</w:t>
      </w:r>
      <w:r>
        <w:rPr>
          <w:rFonts w:cs="Segoe UI"/>
        </w:rPr>
        <w:t>s</w:t>
      </w:r>
      <w:r w:rsidRPr="00584D2C">
        <w:rPr>
          <w:rFonts w:cs="Segoe UI"/>
        </w:rPr>
        <w:t xml:space="preserve">), </w:t>
      </w:r>
      <w:r w:rsidR="00B8484E">
        <w:rPr>
          <w:rFonts w:cs="Segoe UI"/>
        </w:rPr>
        <w:t>that</w:t>
      </w:r>
      <w:r w:rsidR="00B8484E" w:rsidRPr="00584D2C">
        <w:rPr>
          <w:rFonts w:cs="Segoe UI"/>
        </w:rPr>
        <w:t xml:space="preserve"> treat First Nations people</w:t>
      </w:r>
      <w:r w:rsidR="00B8484E">
        <w:rPr>
          <w:rFonts w:cs="Segoe UI"/>
        </w:rPr>
        <w:t xml:space="preserve"> </w:t>
      </w:r>
      <w:r w:rsidRPr="00584D2C">
        <w:rPr>
          <w:rFonts w:cs="Segoe UI"/>
        </w:rPr>
        <w:t>in remote locations. These medicines are provided at no cost, by suitably qualified and approved health service professionals, without the need for a PBS prescription.</w:t>
      </w:r>
    </w:p>
    <w:p w14:paraId="66F523EA" w14:textId="32605AE5" w:rsidR="005B51F3" w:rsidRPr="00654712" w:rsidRDefault="005B51F3" w:rsidP="002B221E">
      <w:pPr>
        <w:rPr>
          <w:rFonts w:cs="Segoe UI"/>
        </w:rPr>
      </w:pPr>
      <w:r w:rsidRPr="00584D2C">
        <w:rPr>
          <w:rFonts w:cs="Segoe UI"/>
        </w:rPr>
        <w:t xml:space="preserve">Despite the measures aimed at minimising barriers to access for First Nations people, the per-person pharmaceutical expenditure and PBS-subsidised pharmaceutical expenditure </w:t>
      </w:r>
      <w:r w:rsidR="00F76BDE">
        <w:rPr>
          <w:rFonts w:cs="Segoe UI"/>
        </w:rPr>
        <w:t xml:space="preserve">still </w:t>
      </w:r>
      <w:r w:rsidRPr="00584D2C">
        <w:rPr>
          <w:rFonts w:cs="Segoe UI"/>
        </w:rPr>
        <w:t>show disparit</w:t>
      </w:r>
      <w:r w:rsidR="00F76BDE">
        <w:rPr>
          <w:rFonts w:cs="Segoe UI"/>
        </w:rPr>
        <w:t>ies</w:t>
      </w:r>
      <w:r w:rsidRPr="00584D2C">
        <w:rPr>
          <w:rFonts w:cs="Segoe UI"/>
        </w:rPr>
        <w:t>.</w:t>
      </w:r>
      <w:r>
        <w:rPr>
          <w:rFonts w:cs="Segoe UI"/>
        </w:rPr>
        <w:t xml:space="preserve"> </w:t>
      </w:r>
      <w:r w:rsidRPr="00654712">
        <w:rPr>
          <w:rFonts w:cs="Segoe UI"/>
        </w:rPr>
        <w:t xml:space="preserve">The per-person spend on pharmaceuticals for First </w:t>
      </w:r>
      <w:r w:rsidRPr="00654712">
        <w:rPr>
          <w:rFonts w:cs="Segoe UI"/>
        </w:rPr>
        <w:lastRenderedPageBreak/>
        <w:t xml:space="preserve">Nations people </w:t>
      </w:r>
      <w:r>
        <w:rPr>
          <w:rFonts w:cs="Segoe UI"/>
        </w:rPr>
        <w:t>by the Australian Government</w:t>
      </w:r>
      <w:r w:rsidRPr="00654712">
        <w:rPr>
          <w:rFonts w:cs="Segoe UI"/>
        </w:rPr>
        <w:t xml:space="preserve"> in 2015</w:t>
      </w:r>
      <w:r>
        <w:rPr>
          <w:rFonts w:cs="Segoe UI"/>
        </w:rPr>
        <w:t>–</w:t>
      </w:r>
      <w:r w:rsidRPr="00654712">
        <w:rPr>
          <w:rFonts w:cs="Segoe UI"/>
        </w:rPr>
        <w:t>16 was $537, compared to $891 for non-Indigenous Australians</w:t>
      </w:r>
      <w:r w:rsidRPr="00F31B6B">
        <w:rPr>
          <w:rFonts w:cs="Segoe UI"/>
        </w:rPr>
        <w:t>.</w:t>
      </w:r>
      <w:r>
        <w:rPr>
          <w:rFonts w:cs="Segoe UI"/>
        </w:rPr>
        <w:t xml:space="preserve"> </w:t>
      </w:r>
      <w:r w:rsidRPr="00654712">
        <w:rPr>
          <w:rFonts w:cs="Segoe UI"/>
        </w:rPr>
        <w:t xml:space="preserve">Spending by the Government through the PBS and the </w:t>
      </w:r>
      <w:bookmarkStart w:id="130" w:name="_Hlk167285319"/>
      <w:r w:rsidRPr="00654712">
        <w:rPr>
          <w:rFonts w:eastAsia="Segoe UI" w:cs="Segoe UI"/>
          <w:color w:val="000000" w:themeColor="text1"/>
          <w:lang w:val="en-US"/>
        </w:rPr>
        <w:t>Repatriation Pharmaceutical Benefits Scheme</w:t>
      </w:r>
      <w:r w:rsidRPr="00654712">
        <w:rPr>
          <w:rFonts w:cs="Segoe UI"/>
          <w:lang w:val="en-US"/>
        </w:rPr>
        <w:t xml:space="preserve"> </w:t>
      </w:r>
      <w:bookmarkEnd w:id="130"/>
      <w:r w:rsidRPr="00654712">
        <w:rPr>
          <w:rFonts w:cs="Segoe UI"/>
        </w:rPr>
        <w:t>(RPBS) accounted for 31% of total pharmaceutical expenditure for First Nations people and 48% for non-Indigenous people</w:t>
      </w:r>
      <w:r w:rsidRPr="00F31B6B">
        <w:rPr>
          <w:rFonts w:cs="Segoe UI"/>
        </w:rPr>
        <w:t>.</w:t>
      </w:r>
      <w:r w:rsidRPr="00654712">
        <w:rPr>
          <w:rFonts w:cs="Segoe UI"/>
        </w:rPr>
        <w:t xml:space="preserve"> This represents an average expenditure by the Government of $167 per person for First Nations people</w:t>
      </w:r>
      <w:r w:rsidR="00F76BDE">
        <w:rPr>
          <w:rFonts w:cs="Segoe UI"/>
        </w:rPr>
        <w:t>,</w:t>
      </w:r>
      <w:r w:rsidRPr="00654712">
        <w:rPr>
          <w:rFonts w:cs="Segoe UI"/>
        </w:rPr>
        <w:t xml:space="preserve"> compared to $427 per person for non-Indigenous </w:t>
      </w:r>
      <w:r>
        <w:rPr>
          <w:rFonts w:cs="Segoe UI"/>
        </w:rPr>
        <w:t>Australians</w:t>
      </w:r>
      <w:r w:rsidRPr="00654712">
        <w:rPr>
          <w:rFonts w:cs="Segoe UI"/>
        </w:rPr>
        <w:t xml:space="preserve"> (2015–16 data)</w:t>
      </w:r>
      <w:r w:rsidR="00F76BDE">
        <w:rPr>
          <w:rFonts w:cs="Segoe UI"/>
        </w:rPr>
        <w:t>.</w:t>
      </w:r>
      <w:r w:rsidRPr="007510DB">
        <w:rPr>
          <w:rStyle w:val="FootnoteReference"/>
        </w:rPr>
        <w:footnoteReference w:id="32"/>
      </w:r>
    </w:p>
    <w:p w14:paraId="656FB0AE" w14:textId="77777777" w:rsidR="005B51F3" w:rsidRDefault="005B51F3" w:rsidP="002B221E">
      <w:pPr>
        <w:rPr>
          <w:rFonts w:eastAsia="Calibri"/>
        </w:rPr>
      </w:pPr>
      <w:r>
        <w:rPr>
          <w:noProof/>
        </w:rPr>
        <mc:AlternateContent>
          <mc:Choice Requires="wps">
            <w:drawing>
              <wp:inline distT="0" distB="0" distL="0" distR="0" wp14:anchorId="62744F61" wp14:editId="79008444">
                <wp:extent cx="5836920" cy="4178300"/>
                <wp:effectExtent l="0" t="0" r="0" b="0"/>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4178300"/>
                        </a:xfrm>
                        <a:prstGeom prst="round2DiagRect">
                          <a:avLst>
                            <a:gd name="adj1" fmla="val 13832"/>
                            <a:gd name="adj2" fmla="val 0"/>
                          </a:avLst>
                        </a:prstGeom>
                        <a:solidFill>
                          <a:schemeClr val="bg1">
                            <a:lumMod val="95000"/>
                          </a:schemeClr>
                        </a:solidFill>
                        <a:ln w="9525">
                          <a:noFill/>
                          <a:miter lim="800000"/>
                          <a:headEnd/>
                          <a:tailEnd/>
                        </a:ln>
                      </wps:spPr>
                      <wps:txbx>
                        <w:txbxContent>
                          <w:p w14:paraId="35574693" w14:textId="77777777" w:rsidR="005B51F3" w:rsidRPr="0040538B" w:rsidRDefault="005B51F3" w:rsidP="000C5623">
                            <w:pPr>
                              <w:ind w:right="19"/>
                              <w:rPr>
                                <w:b/>
                                <w:color w:val="005A68" w:themeColor="accent6" w:themeShade="80"/>
                              </w:rPr>
                            </w:pPr>
                            <w:r w:rsidRPr="0040538B">
                              <w:rPr>
                                <w:b/>
                                <w:color w:val="005A68" w:themeColor="accent6" w:themeShade="80"/>
                              </w:rPr>
                              <w:t>What we heard:</w:t>
                            </w:r>
                          </w:p>
                          <w:p w14:paraId="703B45F3" w14:textId="609BD1D9" w:rsidR="005B51F3" w:rsidRPr="000C5623" w:rsidRDefault="00A11C19" w:rsidP="005B51F3">
                            <w:pPr>
                              <w:ind w:left="284" w:right="521"/>
                              <w:rPr>
                                <w:color w:val="005A68" w:themeColor="accent6" w:themeShade="80"/>
                              </w:rPr>
                            </w:pPr>
                            <w:r>
                              <w:rPr>
                                <w:color w:val="005A68" w:themeColor="accent6" w:themeShade="80"/>
                              </w:rPr>
                              <w:t>‘</w:t>
                            </w:r>
                            <w:r w:rsidR="005B51F3" w:rsidRPr="000C5623">
                              <w:rPr>
                                <w:color w:val="005A68" w:themeColor="accent6" w:themeShade="80"/>
                              </w:rPr>
                              <w:t xml:space="preserve">Funding and purchasing are possibly the most acute issues for NACCHO </w:t>
                            </w:r>
                            <w:r w:rsidR="00993943">
                              <w:rPr>
                                <w:color w:val="005A68" w:themeColor="accent6" w:themeShade="80"/>
                              </w:rPr>
                              <w:t xml:space="preserve">[the </w:t>
                            </w:r>
                            <w:r w:rsidR="00993943" w:rsidRPr="001624E6">
                              <w:rPr>
                                <w:color w:val="005A68" w:themeColor="accent6" w:themeShade="80"/>
                              </w:rPr>
                              <w:t>National Aboriginal Community Controlled Health Organisation</w:t>
                            </w:r>
                            <w:r w:rsidR="00993943">
                              <w:rPr>
                                <w:color w:val="005A68" w:themeColor="accent6" w:themeShade="80"/>
                              </w:rPr>
                              <w:t xml:space="preserve">] </w:t>
                            </w:r>
                            <w:r w:rsidR="005B51F3" w:rsidRPr="000C5623">
                              <w:rPr>
                                <w:color w:val="005A68" w:themeColor="accent6" w:themeShade="80"/>
                              </w:rPr>
                              <w:t>within HTA currently. The medicines that our sector would like listed are commonly low-cost items for a relatively small population. Even with medicines and technologies with a high degree of uncertainty, the low cost and small population creates a very low financial risk for government. We therefore propose price policy should be much more explicitly addressed in relation to listing for Aboriginal and Torres Strait Islander health technologies on the MBS and PBS. Specifically, the payer should have structured means to pay a higher price for an item that will disproportionately benefit Aboriginal and Torres Strait Islander people.</w:t>
                            </w:r>
                            <w:r w:rsidR="00FA396E">
                              <w:rPr>
                                <w:color w:val="005A68" w:themeColor="accent6" w:themeShade="80"/>
                              </w:rPr>
                              <w:t xml:space="preserve"> </w:t>
                            </w:r>
                            <w:r w:rsidR="005B51F3" w:rsidRPr="000C5623">
                              <w:rPr>
                                <w:color w:val="005A68" w:themeColor="accent6" w:themeShade="80"/>
                              </w:rPr>
                              <w:t>Such an approach is a practical way of meeting equity needs expressed in the National Medicines Policy.</w:t>
                            </w:r>
                            <w:r>
                              <w:rPr>
                                <w:color w:val="005A68" w:themeColor="accent6" w:themeShade="80"/>
                              </w:rPr>
                              <w:t>’</w:t>
                            </w:r>
                          </w:p>
                          <w:p w14:paraId="2CF75F3C" w14:textId="2A76A775" w:rsidR="005B51F3" w:rsidRPr="0040538B" w:rsidRDefault="00D12BCD" w:rsidP="005B51F3">
                            <w:pPr>
                              <w:ind w:right="19"/>
                              <w:jc w:val="right"/>
                              <w:rPr>
                                <w:b/>
                                <w:color w:val="005A68" w:themeColor="accent6" w:themeShade="80"/>
                              </w:rPr>
                            </w:pPr>
                            <w:r>
                              <w:rPr>
                                <w:b/>
                                <w:color w:val="005A68" w:themeColor="accent6" w:themeShade="80"/>
                              </w:rPr>
                              <w:t xml:space="preserve">Consultation </w:t>
                            </w:r>
                            <w:r w:rsidR="00A377E7">
                              <w:rPr>
                                <w:b/>
                                <w:color w:val="005A68" w:themeColor="accent6" w:themeShade="80"/>
                              </w:rPr>
                              <w:t xml:space="preserve">1 </w:t>
                            </w:r>
                            <w:r>
                              <w:rPr>
                                <w:b/>
                                <w:color w:val="005A68" w:themeColor="accent6" w:themeShade="80"/>
                              </w:rPr>
                              <w:t xml:space="preserve">submission: </w:t>
                            </w:r>
                            <w:r w:rsidR="00E52291" w:rsidRPr="00E52291">
                              <w:rPr>
                                <w:b/>
                                <w:color w:val="005A68" w:themeColor="accent6" w:themeShade="80"/>
                              </w:rPr>
                              <w:t xml:space="preserve">National Aboriginal Community Controlled Health Organisation </w:t>
                            </w:r>
                            <w:r w:rsidR="00E52291">
                              <w:rPr>
                                <w:b/>
                                <w:color w:val="005A68" w:themeColor="accent6" w:themeShade="80"/>
                              </w:rPr>
                              <w:t>(</w:t>
                            </w:r>
                            <w:r w:rsidR="000C0764" w:rsidRPr="0040538B">
                              <w:rPr>
                                <w:b/>
                                <w:color w:val="005A68" w:themeColor="accent6" w:themeShade="80"/>
                              </w:rPr>
                              <w:t>NACCHO</w:t>
                            </w:r>
                            <w:r w:rsidR="00E52291">
                              <w:rPr>
                                <w:b/>
                                <w:color w:val="005A68" w:themeColor="accent6" w:themeShade="80"/>
                              </w:rPr>
                              <w:t>)</w:t>
                            </w:r>
                          </w:p>
                          <w:p w14:paraId="290D4043" w14:textId="77777777" w:rsidR="005B51F3" w:rsidRPr="00FF048A" w:rsidRDefault="005B51F3" w:rsidP="005B51F3">
                            <w:pPr>
                              <w:ind w:right="19"/>
                            </w:pPr>
                          </w:p>
                        </w:txbxContent>
                      </wps:txbx>
                      <wps:bodyPr rot="0" vert="horz" wrap="square" lIns="91440" tIns="45720" rIns="91440" bIns="45720" anchor="t" anchorCtr="0">
                        <a:noAutofit/>
                      </wps:bodyPr>
                    </wps:wsp>
                  </a:graphicData>
                </a:graphic>
              </wp:inline>
            </w:drawing>
          </mc:Choice>
          <mc:Fallback>
            <w:pict>
              <v:shape w14:anchorId="62744F61" id="Text Box 12" o:spid="_x0000_s1027" style="width:459.6pt;height:329pt;visibility:visible;mso-wrap-style:square;mso-left-percent:-10001;mso-top-percent:-10001;mso-position-horizontal:absolute;mso-position-horizontal-relative:char;mso-position-vertical:absolute;mso-position-vertical-relative:line;mso-left-percent:-10001;mso-top-percent:-10001;v-text-anchor:top" coordsize="5836920,41783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" adj="-11796480,,5400" path="m577942,l5836920,r,l5836920,3600358v,319189,-258753,577942,-577942,577942l,4178300r,l,577942c,258753,258753,,577942,xe" fillcolor="#f2f2f2 [3052]" stroked="f">
                <v:stroke joinstyle="miter"/>
                <v:formulas/>
                <v:path arrowok="t" o:connecttype="custom" o:connectlocs="577942,0;5836920,0;5836920,0;5836920,3600358;5258978,4178300;0,4178300;0,4178300;0,577942;577942,0" o:connectangles="0,0,0,0,0,0,0,0,0" textboxrect="0,0,5836920,4178300"/>
                <v:textbox>
                  <w:txbxContent>
                    <w:p w14:paraId="35574693" w14:textId="77777777" w:rsidR="005B51F3" w:rsidRPr="0040538B" w:rsidRDefault="005B51F3" w:rsidP="000C5623">
                      <w:pPr>
                        <w:ind w:right="19"/>
                        <w:rPr>
                          <w:b/>
                          <w:color w:val="005A68" w:themeColor="accent6" w:themeShade="80"/>
                        </w:rPr>
                      </w:pPr>
                      <w:r w:rsidRPr="0040538B">
                        <w:rPr>
                          <w:b/>
                          <w:color w:val="005A68" w:themeColor="accent6" w:themeShade="80"/>
                        </w:rPr>
                        <w:t>What we heard:</w:t>
                      </w:r>
                    </w:p>
                    <w:p w14:paraId="703B45F3" w14:textId="609BD1D9" w:rsidR="005B51F3" w:rsidRPr="000C5623" w:rsidRDefault="00A11C19" w:rsidP="005B51F3">
                      <w:pPr>
                        <w:ind w:left="284" w:right="521"/>
                        <w:rPr>
                          <w:color w:val="005A68" w:themeColor="accent6" w:themeShade="80"/>
                        </w:rPr>
                      </w:pPr>
                      <w:r>
                        <w:rPr>
                          <w:color w:val="005A68" w:themeColor="accent6" w:themeShade="80"/>
                        </w:rPr>
                        <w:t>‘</w:t>
                      </w:r>
                      <w:r w:rsidR="005B51F3" w:rsidRPr="000C5623">
                        <w:rPr>
                          <w:color w:val="005A68" w:themeColor="accent6" w:themeShade="80"/>
                        </w:rPr>
                        <w:t xml:space="preserve">Funding and purchasing are possibly the most acute issues for NACCHO </w:t>
                      </w:r>
                      <w:r w:rsidR="00993943">
                        <w:rPr>
                          <w:color w:val="005A68" w:themeColor="accent6" w:themeShade="80"/>
                        </w:rPr>
                        <w:t xml:space="preserve">[the </w:t>
                      </w:r>
                      <w:r w:rsidR="00993943" w:rsidRPr="001624E6">
                        <w:rPr>
                          <w:color w:val="005A68" w:themeColor="accent6" w:themeShade="80"/>
                        </w:rPr>
                        <w:t>National Aboriginal Community Controlled Health Organisation</w:t>
                      </w:r>
                      <w:r w:rsidR="00993943">
                        <w:rPr>
                          <w:color w:val="005A68" w:themeColor="accent6" w:themeShade="80"/>
                        </w:rPr>
                        <w:t xml:space="preserve">] </w:t>
                      </w:r>
                      <w:r w:rsidR="005B51F3" w:rsidRPr="000C5623">
                        <w:rPr>
                          <w:color w:val="005A68" w:themeColor="accent6" w:themeShade="80"/>
                        </w:rPr>
                        <w:t>within HTA currently. The medicines that our sector would like listed are commonly low-cost items for a relatively small population. Even with medicines and technologies with a high degree of uncertainty, the low cost and small population creates a very low financial risk for government. We therefore propose price policy should be much more explicitly addressed in relation to listing for Aboriginal and Torres Strait Islander health technologies on the MBS and PBS. Specifically, the payer should have structured means to pay a higher price for an item that will disproportionately benefit Aboriginal and Torres Strait Islander people.</w:t>
                      </w:r>
                      <w:r w:rsidR="00FA396E">
                        <w:rPr>
                          <w:color w:val="005A68" w:themeColor="accent6" w:themeShade="80"/>
                        </w:rPr>
                        <w:t xml:space="preserve"> </w:t>
                      </w:r>
                      <w:r w:rsidR="005B51F3" w:rsidRPr="000C5623">
                        <w:rPr>
                          <w:color w:val="005A68" w:themeColor="accent6" w:themeShade="80"/>
                        </w:rPr>
                        <w:t>Such an approach is a practical way of meeting equity needs expressed in the National Medicines Policy.</w:t>
                      </w:r>
                      <w:r>
                        <w:rPr>
                          <w:color w:val="005A68" w:themeColor="accent6" w:themeShade="80"/>
                        </w:rPr>
                        <w:t>’</w:t>
                      </w:r>
                    </w:p>
                    <w:p w14:paraId="2CF75F3C" w14:textId="2A76A775" w:rsidR="005B51F3" w:rsidRPr="0040538B" w:rsidRDefault="00D12BCD" w:rsidP="005B51F3">
                      <w:pPr>
                        <w:ind w:right="19"/>
                        <w:jc w:val="right"/>
                        <w:rPr>
                          <w:b/>
                          <w:color w:val="005A68" w:themeColor="accent6" w:themeShade="80"/>
                        </w:rPr>
                      </w:pPr>
                      <w:r>
                        <w:rPr>
                          <w:b/>
                          <w:color w:val="005A68" w:themeColor="accent6" w:themeShade="80"/>
                        </w:rPr>
                        <w:t xml:space="preserve">Consultation </w:t>
                      </w:r>
                      <w:r w:rsidR="00A377E7">
                        <w:rPr>
                          <w:b/>
                          <w:color w:val="005A68" w:themeColor="accent6" w:themeShade="80"/>
                        </w:rPr>
                        <w:t xml:space="preserve">1 </w:t>
                      </w:r>
                      <w:r>
                        <w:rPr>
                          <w:b/>
                          <w:color w:val="005A68" w:themeColor="accent6" w:themeShade="80"/>
                        </w:rPr>
                        <w:t xml:space="preserve">submission: </w:t>
                      </w:r>
                      <w:r w:rsidR="00E52291" w:rsidRPr="00E52291">
                        <w:rPr>
                          <w:b/>
                          <w:color w:val="005A68" w:themeColor="accent6" w:themeShade="80"/>
                        </w:rPr>
                        <w:t xml:space="preserve">National Aboriginal Community Controlled Health Organisation </w:t>
                      </w:r>
                      <w:r w:rsidR="00E52291">
                        <w:rPr>
                          <w:b/>
                          <w:color w:val="005A68" w:themeColor="accent6" w:themeShade="80"/>
                        </w:rPr>
                        <w:t>(</w:t>
                      </w:r>
                      <w:r w:rsidR="000C0764" w:rsidRPr="0040538B">
                        <w:rPr>
                          <w:b/>
                          <w:color w:val="005A68" w:themeColor="accent6" w:themeShade="80"/>
                        </w:rPr>
                        <w:t>NACCHO</w:t>
                      </w:r>
                      <w:r w:rsidR="00E52291">
                        <w:rPr>
                          <w:b/>
                          <w:color w:val="005A68" w:themeColor="accent6" w:themeShade="80"/>
                        </w:rPr>
                        <w:t>)</w:t>
                      </w:r>
                    </w:p>
                    <w:p w14:paraId="290D4043" w14:textId="77777777" w:rsidR="005B51F3" w:rsidRPr="00FF048A" w:rsidRDefault="005B51F3" w:rsidP="005B51F3">
                      <w:pPr>
                        <w:ind w:right="19"/>
                      </w:pPr>
                    </w:p>
                  </w:txbxContent>
                </v:textbox>
                <w10:anchorlock/>
              </v:shape>
            </w:pict>
          </mc:Fallback>
        </mc:AlternateContent>
      </w:r>
    </w:p>
    <w:p w14:paraId="2D54BB9B" w14:textId="4DA63BE0" w:rsidR="005B51F3" w:rsidRPr="00205575" w:rsidRDefault="005B51F3" w:rsidP="002B221E">
      <w:r w:rsidRPr="003C1BFC">
        <w:t xml:space="preserve">As part of the </w:t>
      </w:r>
      <w:r>
        <w:t>consultation process, s</w:t>
      </w:r>
      <w:r w:rsidRPr="003C1BFC">
        <w:t xml:space="preserve">takeholders raised concerns </w:t>
      </w:r>
      <w:r w:rsidR="006F0A75">
        <w:t xml:space="preserve">about </w:t>
      </w:r>
      <w:r w:rsidR="006F0A75" w:rsidRPr="00565513">
        <w:rPr>
          <w:iCs/>
        </w:rPr>
        <w:t>ad hoc</w:t>
      </w:r>
      <w:r w:rsidR="006F0A75" w:rsidRPr="003C1BFC">
        <w:t xml:space="preserve"> </w:t>
      </w:r>
      <w:r w:rsidRPr="003C1BFC">
        <w:t xml:space="preserve">engagement of First Nations people </w:t>
      </w:r>
      <w:r>
        <w:t>and ACCHS</w:t>
      </w:r>
      <w:r w:rsidR="006F0A75">
        <w:t>s</w:t>
      </w:r>
      <w:r>
        <w:t>. Stakeholders noted the</w:t>
      </w:r>
      <w:r w:rsidR="006F0A75">
        <w:t xml:space="preserve"> lack of</w:t>
      </w:r>
      <w:r>
        <w:t xml:space="preserve"> a</w:t>
      </w:r>
      <w:r w:rsidRPr="003C1BFC">
        <w:t xml:space="preserve"> dedicated body that foster</w:t>
      </w:r>
      <w:r>
        <w:t>s rel</w:t>
      </w:r>
      <w:r w:rsidRPr="003C1BFC">
        <w:t>ationships or systematically s</w:t>
      </w:r>
      <w:r w:rsidR="006F0A75">
        <w:t>eeks</w:t>
      </w:r>
      <w:r w:rsidRPr="003C1BFC">
        <w:t xml:space="preserve"> advice </w:t>
      </w:r>
      <w:r>
        <w:t>from First Nations people.</w:t>
      </w:r>
      <w:r w:rsidRPr="003C1BFC">
        <w:t xml:space="preserve"> </w:t>
      </w:r>
      <w:r w:rsidRPr="002D5309">
        <w:t>Stakeholders noted the absence of a proactive approach to identifying unmet clinical needs and appropriate treatment</w:t>
      </w:r>
      <w:r>
        <w:t xml:space="preserve"> options </w:t>
      </w:r>
      <w:r w:rsidR="006F0A75">
        <w:t>wa</w:t>
      </w:r>
      <w:r>
        <w:t>s</w:t>
      </w:r>
      <w:r w:rsidRPr="002D5309">
        <w:t xml:space="preserve"> disproportionately affect</w:t>
      </w:r>
      <w:r>
        <w:t>ing the proper care of</w:t>
      </w:r>
      <w:r w:rsidRPr="002D5309">
        <w:t xml:space="preserve"> First Nations people</w:t>
      </w:r>
      <w:r>
        <w:t>.</w:t>
      </w:r>
    </w:p>
    <w:p w14:paraId="26ADF4FD" w14:textId="7D53EB4B" w:rsidR="005B51F3" w:rsidRDefault="005B51F3" w:rsidP="002B221E">
      <w:r w:rsidRPr="00D943A8">
        <w:t xml:space="preserve">Stakeholders </w:t>
      </w:r>
      <w:r w:rsidR="006F0A75">
        <w:t>said</w:t>
      </w:r>
      <w:r w:rsidRPr="00D943A8">
        <w:t xml:space="preserve"> many medicines </w:t>
      </w:r>
      <w:r w:rsidR="006F0A75">
        <w:t>that</w:t>
      </w:r>
      <w:r w:rsidR="006F0A75" w:rsidRPr="00D943A8">
        <w:t xml:space="preserve"> </w:t>
      </w:r>
      <w:r w:rsidRPr="00D943A8">
        <w:t>are integral to the health and wellbeing of First Nations people are not listed on the PBS. Stakeholders noted that this was due in part to the small patient population of First Nations people</w:t>
      </w:r>
      <w:r w:rsidR="006F0A75">
        <w:t xml:space="preserve">, </w:t>
      </w:r>
      <w:r w:rsidRPr="00D943A8">
        <w:t>compar</w:t>
      </w:r>
      <w:r w:rsidR="006F0A75">
        <w:t>ed</w:t>
      </w:r>
      <w:r w:rsidRPr="00D943A8">
        <w:t xml:space="preserve"> to the wider Australian population</w:t>
      </w:r>
      <w:r w:rsidR="006F0A75">
        <w:t>. This has</w:t>
      </w:r>
      <w:r w:rsidRPr="00D943A8">
        <w:t xml:space="preserve"> result</w:t>
      </w:r>
      <w:r w:rsidR="006F0A75">
        <w:t>ed</w:t>
      </w:r>
      <w:r w:rsidRPr="00D943A8">
        <w:t xml:space="preserve"> in l</w:t>
      </w:r>
      <w:r w:rsidR="007040BA">
        <w:t>ess</w:t>
      </w:r>
      <w:r w:rsidRPr="00D943A8">
        <w:t xml:space="preserve"> commercial incentive for sponsors to make submissions. Stakeholders also felt there was inadequate support for groups to </w:t>
      </w:r>
      <w:r w:rsidRPr="00D943A8">
        <w:lastRenderedPageBreak/>
        <w:t>bring forward applications for funding for these medicines</w:t>
      </w:r>
      <w:r w:rsidRPr="00C211A8">
        <w:t>.</w:t>
      </w:r>
      <w:r>
        <w:t xml:space="preserve"> This is impacting the availability of subsidised access to prescription and </w:t>
      </w:r>
      <w:r w:rsidRPr="003C1BFC">
        <w:t>over-the-counter medications for First Nation</w:t>
      </w:r>
      <w:r w:rsidR="00F11EFC">
        <w:t>s</w:t>
      </w:r>
      <w:r w:rsidRPr="003C1BFC">
        <w:t xml:space="preserve"> people</w:t>
      </w:r>
      <w:r>
        <w:t xml:space="preserve">. </w:t>
      </w:r>
    </w:p>
    <w:p w14:paraId="7A9C52EA" w14:textId="3D84CC47" w:rsidR="005B51F3" w:rsidRDefault="005B51F3" w:rsidP="002B221E">
      <w:r>
        <w:t xml:space="preserve">Stakeholders also raised that </w:t>
      </w:r>
      <w:r w:rsidR="00F11EFC">
        <w:t>sponsors are not</w:t>
      </w:r>
      <w:r w:rsidR="005831E6">
        <w:t xml:space="preserve"> require</w:t>
      </w:r>
      <w:r w:rsidR="00F11EFC">
        <w:t>d</w:t>
      </w:r>
      <w:r w:rsidRPr="003C1BFC">
        <w:t xml:space="preserve"> to identify the needs of </w:t>
      </w:r>
      <w:proofErr w:type="gramStart"/>
      <w:r>
        <w:t>particular population</w:t>
      </w:r>
      <w:proofErr w:type="gramEnd"/>
      <w:r>
        <w:t xml:space="preserve"> groups, such as First Nations people, when submitting medicines for consideration by the PBAC. This is preventing the PBAC from considering consistent advice and evidence from sponsors </w:t>
      </w:r>
      <w:r w:rsidR="00B90350">
        <w:t xml:space="preserve">about </w:t>
      </w:r>
      <w:r>
        <w:t xml:space="preserve">potential impacts on </w:t>
      </w:r>
      <w:r w:rsidR="00D32714">
        <w:t xml:space="preserve">health equity and outcomes for </w:t>
      </w:r>
      <w:r>
        <w:t xml:space="preserve">First Nations people. </w:t>
      </w:r>
    </w:p>
    <w:p w14:paraId="5A25E660" w14:textId="6FC03F51" w:rsidR="005B51F3" w:rsidRPr="002C5F75" w:rsidRDefault="005B51F3" w:rsidP="002B221E">
      <w:r w:rsidRPr="002C5F75">
        <w:t xml:space="preserve">Following the initial consultation, the Review sought additional feedback options to: </w:t>
      </w:r>
    </w:p>
    <w:p w14:paraId="7852ACED" w14:textId="2A9DA4A6" w:rsidR="00205575" w:rsidRPr="00205575" w:rsidRDefault="00B90350" w:rsidP="00281153">
      <w:pPr>
        <w:pStyle w:val="ListBullet"/>
        <w:numPr>
          <w:ilvl w:val="0"/>
          <w:numId w:val="99"/>
        </w:numPr>
        <w:rPr>
          <w:rFonts w:eastAsia="Times New Roman"/>
          <w:kern w:val="24"/>
          <w:sz w:val="20"/>
          <w:szCs w:val="20"/>
          <w:lang w:eastAsia="en-AU"/>
        </w:rPr>
      </w:pPr>
      <w:r>
        <w:t>e</w:t>
      </w:r>
      <w:r w:rsidR="005B51F3" w:rsidRPr="002C5F75">
        <w:t>stablish decision-making</w:t>
      </w:r>
      <w:r w:rsidR="005B51F3">
        <w:t xml:space="preserve"> partnerships with </w:t>
      </w:r>
      <w:r w:rsidR="005B51F3" w:rsidRPr="002C5F75">
        <w:t>First Nations people</w:t>
      </w:r>
    </w:p>
    <w:p w14:paraId="4A502C78" w14:textId="7CC23A82" w:rsidR="002B221E" w:rsidRPr="003E7010" w:rsidRDefault="00B90350" w:rsidP="00CD422F">
      <w:pPr>
        <w:pStyle w:val="ListBullet"/>
        <w:numPr>
          <w:ilvl w:val="0"/>
          <w:numId w:val="99"/>
        </w:numPr>
        <w:rPr>
          <w:sz w:val="20"/>
          <w:szCs w:val="20"/>
          <w:lang w:eastAsia="en-AU"/>
        </w:rPr>
      </w:pPr>
      <w:r>
        <w:t>p</w:t>
      </w:r>
      <w:r w:rsidR="005B51F3" w:rsidRPr="004A58C1">
        <w:rPr>
          <w:lang w:eastAsia="en-AU"/>
        </w:rPr>
        <w:t>rovide</w:t>
      </w:r>
      <w:r w:rsidR="005B51F3" w:rsidRPr="002C5F75">
        <w:rPr>
          <w:lang w:eastAsia="en-AU"/>
        </w:rPr>
        <w:t xml:space="preserve"> a dedicated resource for HTA submissions and education</w:t>
      </w:r>
      <w:r w:rsidR="005B51F3">
        <w:rPr>
          <w:lang w:eastAsia="en-AU"/>
        </w:rPr>
        <w:t xml:space="preserve"> to support </w:t>
      </w:r>
      <w:r w:rsidR="005B51F3" w:rsidRPr="002C5F75">
        <w:rPr>
          <w:lang w:eastAsia="en-AU"/>
        </w:rPr>
        <w:t>First Nations</w:t>
      </w:r>
      <w:r w:rsidR="005B51F3">
        <w:rPr>
          <w:lang w:eastAsia="en-AU"/>
        </w:rPr>
        <w:t xml:space="preserve"> </w:t>
      </w:r>
      <w:r w:rsidR="005B51F3" w:rsidRPr="00205575">
        <w:rPr>
          <w:lang w:eastAsia="en-AU"/>
        </w:rPr>
        <w:t>people</w:t>
      </w:r>
      <w:r w:rsidR="005B51F3">
        <w:rPr>
          <w:lang w:eastAsia="en-AU"/>
        </w:rPr>
        <w:t xml:space="preserve"> and organisations</w:t>
      </w:r>
      <w:r w:rsidR="005B51F3" w:rsidRPr="002C5F75">
        <w:rPr>
          <w:lang w:eastAsia="en-AU"/>
        </w:rPr>
        <w:t>.</w:t>
      </w:r>
      <w:r w:rsidR="005B51F3" w:rsidRPr="00F140CE">
        <w:rPr>
          <w:noProof/>
        </w:rPr>
        <w:t xml:space="preserve"> </w:t>
      </w:r>
    </w:p>
    <w:p w14:paraId="5AAA29FB" w14:textId="2B3FAD96" w:rsidR="005B51F3" w:rsidRPr="00082EA1" w:rsidRDefault="005B51F3" w:rsidP="002B221E">
      <w:pPr>
        <w:pStyle w:val="ListNumber"/>
        <w:numPr>
          <w:ilvl w:val="0"/>
          <w:numId w:val="0"/>
        </w:numPr>
        <w:rPr>
          <w:rFonts w:eastAsia="Times New Roman" w:cs="Segoe UI"/>
          <w:kern w:val="24"/>
          <w:sz w:val="20"/>
          <w:szCs w:val="20"/>
          <w:lang w:eastAsia="en-AU"/>
        </w:rPr>
      </w:pPr>
      <w:r>
        <w:rPr>
          <w:noProof/>
        </w:rPr>
        <mc:AlternateContent>
          <mc:Choice Requires="wps">
            <w:drawing>
              <wp:inline distT="0" distB="0" distL="0" distR="0" wp14:anchorId="24FA452B" wp14:editId="4B0A84D4">
                <wp:extent cx="5972810" cy="4682359"/>
                <wp:effectExtent l="0" t="0" r="8890" b="4445"/>
                <wp:docPr id="683" name="Text Box 6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810" cy="4682359"/>
                        </a:xfrm>
                        <a:prstGeom prst="round2DiagRect">
                          <a:avLst>
                            <a:gd name="adj1" fmla="val 10388"/>
                            <a:gd name="adj2" fmla="val 0"/>
                          </a:avLst>
                        </a:prstGeom>
                        <a:solidFill>
                          <a:schemeClr val="bg1">
                            <a:lumMod val="95000"/>
                          </a:schemeClr>
                        </a:solidFill>
                        <a:ln w="9525">
                          <a:noFill/>
                          <a:miter lim="800000"/>
                          <a:headEnd/>
                          <a:tailEnd/>
                        </a:ln>
                      </wps:spPr>
                      <wps:txbx>
                        <w:txbxContent>
                          <w:p w14:paraId="7C671E68" w14:textId="77777777" w:rsidR="005B51F3" w:rsidRPr="00BA3CA7" w:rsidRDefault="005B51F3" w:rsidP="000C5623">
                            <w:pPr>
                              <w:ind w:right="19"/>
                              <w:rPr>
                                <w:b/>
                                <w:color w:val="005A68" w:themeColor="accent6" w:themeShade="80"/>
                              </w:rPr>
                            </w:pPr>
                            <w:r w:rsidRPr="00BA3CA7">
                              <w:rPr>
                                <w:b/>
                                <w:color w:val="005A68" w:themeColor="accent6" w:themeShade="80"/>
                              </w:rPr>
                              <w:t>What we heard:</w:t>
                            </w:r>
                          </w:p>
                          <w:p w14:paraId="1B067458" w14:textId="0CB83023" w:rsidR="005B51F3" w:rsidRPr="000C5623" w:rsidRDefault="005B51F3" w:rsidP="005B51F3">
                            <w:pPr>
                              <w:spacing w:after="0"/>
                              <w:ind w:left="284" w:right="521"/>
                              <w:rPr>
                                <w:color w:val="005A68" w:themeColor="accent6" w:themeShade="80"/>
                              </w:rPr>
                            </w:pPr>
                            <w:r w:rsidRPr="000C5623">
                              <w:rPr>
                                <w:color w:val="005A68" w:themeColor="accent6" w:themeShade="80"/>
                              </w:rPr>
                              <w:t>The involvement of First Nations people and consideration in HTA processes received strong support across Consultation 2</w:t>
                            </w:r>
                            <w:r w:rsidR="00B90350">
                              <w:rPr>
                                <w:color w:val="005A68" w:themeColor="accent6" w:themeShade="80"/>
                              </w:rPr>
                              <w:t xml:space="preserve">. The </w:t>
                            </w:r>
                            <w:r w:rsidR="00B90350" w:rsidRPr="00565513">
                              <w:rPr>
                                <w:color w:val="005A68" w:themeColor="accent6" w:themeShade="80"/>
                              </w:rPr>
                              <w:t>proposed options for reform mostly addressed the issues raised</w:t>
                            </w:r>
                            <w:r w:rsidR="00B90350">
                              <w:rPr>
                                <w:color w:val="005A68" w:themeColor="accent6" w:themeShade="80"/>
                              </w:rPr>
                              <w:t>, according to</w:t>
                            </w:r>
                            <w:r w:rsidRPr="000C5623">
                              <w:rPr>
                                <w:color w:val="005A68" w:themeColor="accent6" w:themeShade="80"/>
                              </w:rPr>
                              <w:t>:</w:t>
                            </w:r>
                          </w:p>
                          <w:p w14:paraId="61AA117C" w14:textId="111B59A7"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64% of patient and consumer groups</w:t>
                            </w:r>
                          </w:p>
                          <w:p w14:paraId="546DA0C1" w14:textId="1806AAD0"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86% of pharmaceutical</w:t>
                            </w:r>
                            <w:r w:rsidR="00B90350">
                              <w:rPr>
                                <w:color w:val="005A68" w:themeColor="accent6" w:themeShade="80"/>
                              </w:rPr>
                              <w:t xml:space="preserve"> or </w:t>
                            </w:r>
                            <w:r w:rsidRPr="000C5623">
                              <w:rPr>
                                <w:color w:val="005A68" w:themeColor="accent6" w:themeShade="80"/>
                              </w:rPr>
                              <w:t xml:space="preserve">medical technology companies </w:t>
                            </w:r>
                          </w:p>
                          <w:p w14:paraId="0CBCFCBC" w14:textId="1F3147A3"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67% of industry</w:t>
                            </w:r>
                            <w:r w:rsidR="00B90350">
                              <w:rPr>
                                <w:color w:val="005A68" w:themeColor="accent6" w:themeShade="80"/>
                              </w:rPr>
                              <w:t xml:space="preserve"> or </w:t>
                            </w:r>
                            <w:r w:rsidRPr="000C5623">
                              <w:rPr>
                                <w:color w:val="005A68" w:themeColor="accent6" w:themeShade="80"/>
                              </w:rPr>
                              <w:t xml:space="preserve">peak body representatives </w:t>
                            </w:r>
                          </w:p>
                          <w:p w14:paraId="70FE2C5B" w14:textId="77777777" w:rsidR="00B90350" w:rsidRDefault="005B51F3" w:rsidP="005B51F3">
                            <w:pPr>
                              <w:ind w:left="284" w:right="522"/>
                              <w:rPr>
                                <w:color w:val="005A68" w:themeColor="accent6" w:themeShade="80"/>
                              </w:rPr>
                            </w:pPr>
                            <w:r w:rsidRPr="000C5623">
                              <w:rPr>
                                <w:color w:val="005A68" w:themeColor="accent6" w:themeShade="80"/>
                              </w:rPr>
                              <w:t>-</w:t>
                            </w:r>
                            <w:r w:rsidRPr="000C5623">
                              <w:rPr>
                                <w:color w:val="005A68" w:themeColor="accent6" w:themeShade="80"/>
                              </w:rPr>
                              <w:tab/>
                              <w:t>50% of clinicians</w:t>
                            </w:r>
                            <w:r w:rsidR="00B90350">
                              <w:rPr>
                                <w:color w:val="005A68" w:themeColor="accent6" w:themeShade="80"/>
                              </w:rPr>
                              <w:t>.</w:t>
                            </w:r>
                          </w:p>
                          <w:p w14:paraId="1493FC37" w14:textId="13E5335C" w:rsidR="005B51F3" w:rsidRPr="000C5623" w:rsidRDefault="005B51F3" w:rsidP="005B51F3">
                            <w:pPr>
                              <w:ind w:left="284" w:right="522"/>
                              <w:rPr>
                                <w:color w:val="005A68" w:themeColor="accent6" w:themeShade="80"/>
                              </w:rPr>
                            </w:pPr>
                            <w:r w:rsidRPr="000C5623">
                              <w:rPr>
                                <w:color w:val="005A68" w:themeColor="accent6" w:themeShade="80"/>
                              </w:rPr>
                              <w:t xml:space="preserve">85% of stakeholders supported </w:t>
                            </w:r>
                            <w:r w:rsidR="00B90350">
                              <w:rPr>
                                <w:color w:val="005A68" w:themeColor="accent6" w:themeShade="80"/>
                              </w:rPr>
                              <w:t>having</w:t>
                            </w:r>
                            <w:r w:rsidRPr="000C5623">
                              <w:rPr>
                                <w:color w:val="005A68" w:themeColor="accent6" w:themeShade="80"/>
                              </w:rPr>
                              <w:t xml:space="preserve"> First Nations representative/s on the PBAC </w:t>
                            </w:r>
                            <w:r w:rsidR="00B90350">
                              <w:rPr>
                                <w:color w:val="005A68" w:themeColor="accent6" w:themeShade="80"/>
                              </w:rPr>
                              <w:t xml:space="preserve">to </w:t>
                            </w:r>
                            <w:r w:rsidRPr="000C5623">
                              <w:rPr>
                                <w:color w:val="005A68" w:themeColor="accent6" w:themeShade="80"/>
                              </w:rPr>
                              <w:t>speak specific</w:t>
                            </w:r>
                            <w:r w:rsidR="00B90350">
                              <w:rPr>
                                <w:color w:val="005A68" w:themeColor="accent6" w:themeShade="80"/>
                              </w:rPr>
                              <w:t>ally</w:t>
                            </w:r>
                            <w:r w:rsidRPr="000C5623">
                              <w:rPr>
                                <w:color w:val="005A68" w:themeColor="accent6" w:themeShade="80"/>
                              </w:rPr>
                              <w:t xml:space="preserve"> to First Nations people</w:t>
                            </w:r>
                            <w:r w:rsidR="00B90350">
                              <w:rPr>
                                <w:color w:val="005A68" w:themeColor="accent6" w:themeShade="80"/>
                              </w:rPr>
                              <w:t>’</w:t>
                            </w:r>
                            <w:r w:rsidRPr="000C5623">
                              <w:rPr>
                                <w:color w:val="005A68" w:themeColor="accent6" w:themeShade="80"/>
                              </w:rPr>
                              <w:t>s health.</w:t>
                            </w:r>
                          </w:p>
                          <w:p w14:paraId="0C3F9703" w14:textId="5AF0150E" w:rsidR="005B51F3" w:rsidRPr="000C5623" w:rsidRDefault="005B51F3" w:rsidP="005B51F3">
                            <w:pPr>
                              <w:ind w:left="284" w:right="521"/>
                              <w:rPr>
                                <w:color w:val="005A68" w:themeColor="accent6" w:themeShade="80"/>
                              </w:rPr>
                            </w:pPr>
                            <w:r w:rsidRPr="000C5623">
                              <w:rPr>
                                <w:color w:val="005A68" w:themeColor="accent6" w:themeShade="80"/>
                              </w:rPr>
                              <w:t xml:space="preserve">82% of stakeholder groups thought </w:t>
                            </w:r>
                            <w:r w:rsidR="00B90350">
                              <w:rPr>
                                <w:color w:val="005A68" w:themeColor="accent6" w:themeShade="80"/>
                              </w:rPr>
                              <w:t xml:space="preserve">having </w:t>
                            </w:r>
                            <w:r w:rsidRPr="000C5623">
                              <w:rPr>
                                <w:color w:val="005A68" w:themeColor="accent6" w:themeShade="80"/>
                              </w:rPr>
                              <w:t>a dedicated resource to assist organisations representing First Nations people would have a positive impact on themselves or their organisation.</w:t>
                            </w:r>
                          </w:p>
                          <w:p w14:paraId="7E90F712" w14:textId="07C8532B" w:rsidR="005B51F3" w:rsidRPr="000C5623" w:rsidRDefault="005B51F3" w:rsidP="003E7010">
                            <w:pPr>
                              <w:ind w:left="284" w:right="521"/>
                              <w:rPr>
                                <w:color w:val="005A68" w:themeColor="accent6" w:themeShade="80"/>
                              </w:rPr>
                            </w:pPr>
                            <w:r w:rsidRPr="000C5623">
                              <w:rPr>
                                <w:color w:val="005A68" w:themeColor="accent6" w:themeShade="80"/>
                              </w:rPr>
                              <w:t xml:space="preserve">Stakeholders also supported </w:t>
                            </w:r>
                            <w:r w:rsidR="00FA2063">
                              <w:rPr>
                                <w:color w:val="005A68" w:themeColor="accent6" w:themeShade="80"/>
                              </w:rPr>
                              <w:t xml:space="preserve">using a </w:t>
                            </w:r>
                            <w:r w:rsidRPr="000C5623">
                              <w:rPr>
                                <w:color w:val="005A68" w:themeColor="accent6" w:themeShade="80"/>
                              </w:rPr>
                              <w:t>proactive approach in HTA process</w:t>
                            </w:r>
                            <w:r w:rsidR="00FA2063">
                              <w:rPr>
                                <w:color w:val="005A68" w:themeColor="accent6" w:themeShade="80"/>
                              </w:rPr>
                              <w:t>es</w:t>
                            </w:r>
                            <w:r w:rsidRPr="000C5623">
                              <w:rPr>
                                <w:color w:val="005A68" w:themeColor="accent6" w:themeShade="80"/>
                              </w:rPr>
                              <w:t xml:space="preserve"> to identify unmet needs and potential therapies to meet these needs, based on governments</w:t>
                            </w:r>
                            <w:r w:rsidR="00FA2063">
                              <w:rPr>
                                <w:color w:val="005A68" w:themeColor="accent6" w:themeShade="80"/>
                              </w:rPr>
                              <w:t>’</w:t>
                            </w:r>
                            <w:r w:rsidRPr="000C5623">
                              <w:rPr>
                                <w:color w:val="005A68" w:themeColor="accent6" w:themeShade="80"/>
                              </w:rPr>
                              <w:t xml:space="preserve"> commitment</w:t>
                            </w:r>
                            <w:r w:rsidR="00FA2063">
                              <w:rPr>
                                <w:color w:val="005A68" w:themeColor="accent6" w:themeShade="80"/>
                              </w:rPr>
                              <w:t>s</w:t>
                            </w:r>
                            <w:r w:rsidRPr="000C5623">
                              <w:rPr>
                                <w:color w:val="005A68" w:themeColor="accent6" w:themeShade="80"/>
                              </w:rPr>
                              <w:t xml:space="preserve"> in the National Agreement.</w:t>
                            </w:r>
                          </w:p>
                          <w:p w14:paraId="1A637B75" w14:textId="77777777" w:rsidR="005B51F3" w:rsidRPr="00BA3CA7" w:rsidRDefault="005B51F3" w:rsidP="002B221E">
                            <w:pPr>
                              <w:spacing w:after="0"/>
                              <w:ind w:right="19"/>
                              <w:jc w:val="right"/>
                              <w:rPr>
                                <w:b/>
                                <w:color w:val="005A68" w:themeColor="accent6" w:themeShade="80"/>
                              </w:rPr>
                            </w:pPr>
                            <w:r w:rsidRPr="00BA3CA7">
                              <w:rPr>
                                <w:b/>
                                <w:color w:val="005A68" w:themeColor="accent6" w:themeShade="80"/>
                              </w:rPr>
                              <w:t>Representative responses to Consultation 2</w:t>
                            </w:r>
                          </w:p>
                          <w:p w14:paraId="7583EC2D" w14:textId="77777777" w:rsidR="005B51F3" w:rsidRPr="00BA3CA7" w:rsidRDefault="005B51F3" w:rsidP="005B51F3">
                            <w:pPr>
                              <w:ind w:right="19"/>
                              <w:rPr>
                                <w:b/>
                              </w:rPr>
                            </w:pPr>
                          </w:p>
                        </w:txbxContent>
                      </wps:txbx>
                      <wps:bodyPr rot="0" vert="horz" wrap="square" lIns="91440" tIns="45720" rIns="91440" bIns="45720" anchor="t" anchorCtr="0">
                        <a:noAutofit/>
                      </wps:bodyPr>
                    </wps:wsp>
                  </a:graphicData>
                </a:graphic>
              </wp:inline>
            </w:drawing>
          </mc:Choice>
          <mc:Fallback>
            <w:pict>
              <v:shape w14:anchorId="24FA452B" id="Text Box 683" o:spid="_x0000_s1028" style="width:470.3pt;height:368.7pt;visibility:visible;mso-wrap-style:square;mso-left-percent:-10001;mso-top-percent:-10001;mso-position-horizontal:absolute;mso-position-horizontal-relative:char;mso-position-vertical:absolute;mso-position-vertical-relative:line;mso-left-percent:-10001;mso-top-percent:-10001;v-text-anchor:top" coordsize="5972810,468235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" adj="-11796480,,5400" path="m486403,l5972810,r,l5972810,4195956v,268633,-217770,486403,-486403,486403l,4682359r,l,486403c,217770,217770,,486403,xe" fillcolor="#f2f2f2 [3052]" stroked="f">
                <v:stroke joinstyle="miter"/>
                <v:formulas/>
                <v:path arrowok="t" o:connecttype="custom" o:connectlocs="486403,0;5972810,0;5972810,0;5972810,4195956;5486407,4682359;0,4682359;0,4682359;0,486403;486403,0" o:connectangles="0,0,0,0,0,0,0,0,0" textboxrect="0,0,5972810,4682359"/>
                <v:textbox>
                  <w:txbxContent>
                    <w:p w14:paraId="7C671E68" w14:textId="77777777" w:rsidR="005B51F3" w:rsidRPr="00BA3CA7" w:rsidRDefault="005B51F3" w:rsidP="000C5623">
                      <w:pPr>
                        <w:ind w:right="19"/>
                        <w:rPr>
                          <w:b/>
                          <w:color w:val="005A68" w:themeColor="accent6" w:themeShade="80"/>
                        </w:rPr>
                      </w:pPr>
                      <w:r w:rsidRPr="00BA3CA7">
                        <w:rPr>
                          <w:b/>
                          <w:color w:val="005A68" w:themeColor="accent6" w:themeShade="80"/>
                        </w:rPr>
                        <w:t>What we heard:</w:t>
                      </w:r>
                    </w:p>
                    <w:p w14:paraId="1B067458" w14:textId="0CB83023" w:rsidR="005B51F3" w:rsidRPr="000C5623" w:rsidRDefault="005B51F3" w:rsidP="005B51F3">
                      <w:pPr>
                        <w:spacing w:after="0"/>
                        <w:ind w:left="284" w:right="521"/>
                        <w:rPr>
                          <w:color w:val="005A68" w:themeColor="accent6" w:themeShade="80"/>
                        </w:rPr>
                      </w:pPr>
                      <w:r w:rsidRPr="000C5623">
                        <w:rPr>
                          <w:color w:val="005A68" w:themeColor="accent6" w:themeShade="80"/>
                        </w:rPr>
                        <w:t>The involvement of First Nations people and consideration in HTA processes received strong support across Consultation 2</w:t>
                      </w:r>
                      <w:r w:rsidR="00B90350">
                        <w:rPr>
                          <w:color w:val="005A68" w:themeColor="accent6" w:themeShade="80"/>
                        </w:rPr>
                        <w:t xml:space="preserve">. The </w:t>
                      </w:r>
                      <w:r w:rsidR="00B90350" w:rsidRPr="00565513">
                        <w:rPr>
                          <w:color w:val="005A68" w:themeColor="accent6" w:themeShade="80"/>
                        </w:rPr>
                        <w:t>proposed options for reform mostly addressed the issues raised</w:t>
                      </w:r>
                      <w:r w:rsidR="00B90350">
                        <w:rPr>
                          <w:color w:val="005A68" w:themeColor="accent6" w:themeShade="80"/>
                        </w:rPr>
                        <w:t>, according to</w:t>
                      </w:r>
                      <w:r w:rsidRPr="000C5623">
                        <w:rPr>
                          <w:color w:val="005A68" w:themeColor="accent6" w:themeShade="80"/>
                        </w:rPr>
                        <w:t>:</w:t>
                      </w:r>
                    </w:p>
                    <w:p w14:paraId="61AA117C" w14:textId="111B59A7"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64% of patient and consumer groups</w:t>
                      </w:r>
                    </w:p>
                    <w:p w14:paraId="546DA0C1" w14:textId="1806AAD0"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86% of pharmaceutical</w:t>
                      </w:r>
                      <w:r w:rsidR="00B90350">
                        <w:rPr>
                          <w:color w:val="005A68" w:themeColor="accent6" w:themeShade="80"/>
                        </w:rPr>
                        <w:t xml:space="preserve"> or </w:t>
                      </w:r>
                      <w:r w:rsidRPr="000C5623">
                        <w:rPr>
                          <w:color w:val="005A68" w:themeColor="accent6" w:themeShade="80"/>
                        </w:rPr>
                        <w:t xml:space="preserve">medical technology companies </w:t>
                      </w:r>
                    </w:p>
                    <w:p w14:paraId="0CBCFCBC" w14:textId="1F3147A3" w:rsidR="005B51F3" w:rsidRPr="000C5623" w:rsidRDefault="005B51F3" w:rsidP="005B51F3">
                      <w:pPr>
                        <w:spacing w:after="0"/>
                        <w:ind w:left="284" w:right="521"/>
                        <w:rPr>
                          <w:color w:val="005A68" w:themeColor="accent6" w:themeShade="80"/>
                        </w:rPr>
                      </w:pPr>
                      <w:r w:rsidRPr="000C5623">
                        <w:rPr>
                          <w:color w:val="005A68" w:themeColor="accent6" w:themeShade="80"/>
                        </w:rPr>
                        <w:t>-</w:t>
                      </w:r>
                      <w:r w:rsidRPr="000C5623">
                        <w:rPr>
                          <w:color w:val="005A68" w:themeColor="accent6" w:themeShade="80"/>
                        </w:rPr>
                        <w:tab/>
                        <w:t>67% of industry</w:t>
                      </w:r>
                      <w:r w:rsidR="00B90350">
                        <w:rPr>
                          <w:color w:val="005A68" w:themeColor="accent6" w:themeShade="80"/>
                        </w:rPr>
                        <w:t xml:space="preserve"> or </w:t>
                      </w:r>
                      <w:r w:rsidRPr="000C5623">
                        <w:rPr>
                          <w:color w:val="005A68" w:themeColor="accent6" w:themeShade="80"/>
                        </w:rPr>
                        <w:t xml:space="preserve">peak body representatives </w:t>
                      </w:r>
                    </w:p>
                    <w:p w14:paraId="70FE2C5B" w14:textId="77777777" w:rsidR="00B90350" w:rsidRDefault="005B51F3" w:rsidP="005B51F3">
                      <w:pPr>
                        <w:ind w:left="284" w:right="522"/>
                        <w:rPr>
                          <w:color w:val="005A68" w:themeColor="accent6" w:themeShade="80"/>
                        </w:rPr>
                      </w:pPr>
                      <w:r w:rsidRPr="000C5623">
                        <w:rPr>
                          <w:color w:val="005A68" w:themeColor="accent6" w:themeShade="80"/>
                        </w:rPr>
                        <w:t>-</w:t>
                      </w:r>
                      <w:r w:rsidRPr="000C5623">
                        <w:rPr>
                          <w:color w:val="005A68" w:themeColor="accent6" w:themeShade="80"/>
                        </w:rPr>
                        <w:tab/>
                        <w:t>50% of clinicians</w:t>
                      </w:r>
                      <w:r w:rsidR="00B90350">
                        <w:rPr>
                          <w:color w:val="005A68" w:themeColor="accent6" w:themeShade="80"/>
                        </w:rPr>
                        <w:t>.</w:t>
                      </w:r>
                    </w:p>
                    <w:p w14:paraId="1493FC37" w14:textId="13E5335C" w:rsidR="005B51F3" w:rsidRPr="000C5623" w:rsidRDefault="005B51F3" w:rsidP="005B51F3">
                      <w:pPr>
                        <w:ind w:left="284" w:right="522"/>
                        <w:rPr>
                          <w:color w:val="005A68" w:themeColor="accent6" w:themeShade="80"/>
                        </w:rPr>
                      </w:pPr>
                      <w:r w:rsidRPr="000C5623">
                        <w:rPr>
                          <w:color w:val="005A68" w:themeColor="accent6" w:themeShade="80"/>
                        </w:rPr>
                        <w:t xml:space="preserve">85% of stakeholders supported </w:t>
                      </w:r>
                      <w:r w:rsidR="00B90350">
                        <w:rPr>
                          <w:color w:val="005A68" w:themeColor="accent6" w:themeShade="80"/>
                        </w:rPr>
                        <w:t>having</w:t>
                      </w:r>
                      <w:r w:rsidRPr="000C5623">
                        <w:rPr>
                          <w:color w:val="005A68" w:themeColor="accent6" w:themeShade="80"/>
                        </w:rPr>
                        <w:t xml:space="preserve"> First Nations representative/s on the PBAC </w:t>
                      </w:r>
                      <w:r w:rsidR="00B90350">
                        <w:rPr>
                          <w:color w:val="005A68" w:themeColor="accent6" w:themeShade="80"/>
                        </w:rPr>
                        <w:t xml:space="preserve">to </w:t>
                      </w:r>
                      <w:r w:rsidRPr="000C5623">
                        <w:rPr>
                          <w:color w:val="005A68" w:themeColor="accent6" w:themeShade="80"/>
                        </w:rPr>
                        <w:t>speak specific</w:t>
                      </w:r>
                      <w:r w:rsidR="00B90350">
                        <w:rPr>
                          <w:color w:val="005A68" w:themeColor="accent6" w:themeShade="80"/>
                        </w:rPr>
                        <w:t>ally</w:t>
                      </w:r>
                      <w:r w:rsidRPr="000C5623">
                        <w:rPr>
                          <w:color w:val="005A68" w:themeColor="accent6" w:themeShade="80"/>
                        </w:rPr>
                        <w:t xml:space="preserve"> to First Nations people</w:t>
                      </w:r>
                      <w:r w:rsidR="00B90350">
                        <w:rPr>
                          <w:color w:val="005A68" w:themeColor="accent6" w:themeShade="80"/>
                        </w:rPr>
                        <w:t>’</w:t>
                      </w:r>
                      <w:r w:rsidRPr="000C5623">
                        <w:rPr>
                          <w:color w:val="005A68" w:themeColor="accent6" w:themeShade="80"/>
                        </w:rPr>
                        <w:t>s health.</w:t>
                      </w:r>
                    </w:p>
                    <w:p w14:paraId="0C3F9703" w14:textId="5AF0150E" w:rsidR="005B51F3" w:rsidRPr="000C5623" w:rsidRDefault="005B51F3" w:rsidP="005B51F3">
                      <w:pPr>
                        <w:ind w:left="284" w:right="521"/>
                        <w:rPr>
                          <w:color w:val="005A68" w:themeColor="accent6" w:themeShade="80"/>
                        </w:rPr>
                      </w:pPr>
                      <w:r w:rsidRPr="000C5623">
                        <w:rPr>
                          <w:color w:val="005A68" w:themeColor="accent6" w:themeShade="80"/>
                        </w:rPr>
                        <w:t xml:space="preserve">82% of stakeholder groups thought </w:t>
                      </w:r>
                      <w:r w:rsidR="00B90350">
                        <w:rPr>
                          <w:color w:val="005A68" w:themeColor="accent6" w:themeShade="80"/>
                        </w:rPr>
                        <w:t xml:space="preserve">having </w:t>
                      </w:r>
                      <w:r w:rsidRPr="000C5623">
                        <w:rPr>
                          <w:color w:val="005A68" w:themeColor="accent6" w:themeShade="80"/>
                        </w:rPr>
                        <w:t>a dedicated resource to assist organisations representing First Nations people would have a positive impact on themselves or their organisation.</w:t>
                      </w:r>
                    </w:p>
                    <w:p w14:paraId="7E90F712" w14:textId="07C8532B" w:rsidR="005B51F3" w:rsidRPr="000C5623" w:rsidRDefault="005B51F3" w:rsidP="003E7010">
                      <w:pPr>
                        <w:ind w:left="284" w:right="521"/>
                        <w:rPr>
                          <w:color w:val="005A68" w:themeColor="accent6" w:themeShade="80"/>
                        </w:rPr>
                      </w:pPr>
                      <w:r w:rsidRPr="000C5623">
                        <w:rPr>
                          <w:color w:val="005A68" w:themeColor="accent6" w:themeShade="80"/>
                        </w:rPr>
                        <w:t xml:space="preserve">Stakeholders also supported </w:t>
                      </w:r>
                      <w:r w:rsidR="00FA2063">
                        <w:rPr>
                          <w:color w:val="005A68" w:themeColor="accent6" w:themeShade="80"/>
                        </w:rPr>
                        <w:t xml:space="preserve">using a </w:t>
                      </w:r>
                      <w:r w:rsidRPr="000C5623">
                        <w:rPr>
                          <w:color w:val="005A68" w:themeColor="accent6" w:themeShade="80"/>
                        </w:rPr>
                        <w:t>proactive approach in HTA process</w:t>
                      </w:r>
                      <w:r w:rsidR="00FA2063">
                        <w:rPr>
                          <w:color w:val="005A68" w:themeColor="accent6" w:themeShade="80"/>
                        </w:rPr>
                        <w:t>es</w:t>
                      </w:r>
                      <w:r w:rsidRPr="000C5623">
                        <w:rPr>
                          <w:color w:val="005A68" w:themeColor="accent6" w:themeShade="80"/>
                        </w:rPr>
                        <w:t xml:space="preserve"> to identify unmet needs and potential therapies to meet these needs, based on governments</w:t>
                      </w:r>
                      <w:r w:rsidR="00FA2063">
                        <w:rPr>
                          <w:color w:val="005A68" w:themeColor="accent6" w:themeShade="80"/>
                        </w:rPr>
                        <w:t>’</w:t>
                      </w:r>
                      <w:r w:rsidRPr="000C5623">
                        <w:rPr>
                          <w:color w:val="005A68" w:themeColor="accent6" w:themeShade="80"/>
                        </w:rPr>
                        <w:t xml:space="preserve"> commitment</w:t>
                      </w:r>
                      <w:r w:rsidR="00FA2063">
                        <w:rPr>
                          <w:color w:val="005A68" w:themeColor="accent6" w:themeShade="80"/>
                        </w:rPr>
                        <w:t>s</w:t>
                      </w:r>
                      <w:r w:rsidRPr="000C5623">
                        <w:rPr>
                          <w:color w:val="005A68" w:themeColor="accent6" w:themeShade="80"/>
                        </w:rPr>
                        <w:t xml:space="preserve"> in the National Agreement.</w:t>
                      </w:r>
                    </w:p>
                    <w:p w14:paraId="1A637B75" w14:textId="77777777" w:rsidR="005B51F3" w:rsidRPr="00BA3CA7" w:rsidRDefault="005B51F3" w:rsidP="002B221E">
                      <w:pPr>
                        <w:spacing w:after="0"/>
                        <w:ind w:right="19"/>
                        <w:jc w:val="right"/>
                        <w:rPr>
                          <w:b/>
                          <w:color w:val="005A68" w:themeColor="accent6" w:themeShade="80"/>
                        </w:rPr>
                      </w:pPr>
                      <w:r w:rsidRPr="00BA3CA7">
                        <w:rPr>
                          <w:b/>
                          <w:color w:val="005A68" w:themeColor="accent6" w:themeShade="80"/>
                        </w:rPr>
                        <w:t>Representative responses to Consultation 2</w:t>
                      </w:r>
                    </w:p>
                    <w:p w14:paraId="7583EC2D" w14:textId="77777777" w:rsidR="005B51F3" w:rsidRPr="00BA3CA7" w:rsidRDefault="005B51F3" w:rsidP="005B51F3">
                      <w:pPr>
                        <w:ind w:right="19"/>
                        <w:rPr>
                          <w:b/>
                        </w:rPr>
                      </w:pPr>
                    </w:p>
                  </w:txbxContent>
                </v:textbox>
                <w10:anchorlock/>
              </v:shape>
            </w:pict>
          </mc:Fallback>
        </mc:AlternateContent>
      </w:r>
    </w:p>
    <w:p w14:paraId="7831CC4E" w14:textId="77777777" w:rsidR="002B221E" w:rsidRDefault="002B221E" w:rsidP="002B221E">
      <w:pPr>
        <w:pStyle w:val="ListNumber"/>
        <w:numPr>
          <w:ilvl w:val="0"/>
          <w:numId w:val="0"/>
        </w:numPr>
      </w:pPr>
    </w:p>
    <w:p w14:paraId="4D196204" w14:textId="689FD992" w:rsidR="005B51F3" w:rsidRPr="00B70476" w:rsidRDefault="005B51F3" w:rsidP="002B221E">
      <w:pPr>
        <w:pStyle w:val="ListNumber"/>
        <w:numPr>
          <w:ilvl w:val="0"/>
          <w:numId w:val="0"/>
        </w:numPr>
      </w:pPr>
      <w:r w:rsidRPr="00B7430E">
        <w:t xml:space="preserve">In </w:t>
      </w:r>
      <w:r w:rsidR="0094312E">
        <w:t>its</w:t>
      </w:r>
      <w:r w:rsidRPr="00B7430E">
        <w:t xml:space="preserve"> response to Consultation 2, NACCHO noted th</w:t>
      </w:r>
      <w:r>
        <w:t xml:space="preserve">at </w:t>
      </w:r>
      <w:r w:rsidR="003B0553">
        <w:t xml:space="preserve">an </w:t>
      </w:r>
      <w:r>
        <w:t>HTA should consider the</w:t>
      </w:r>
      <w:r w:rsidRPr="00B7430E">
        <w:t xml:space="preserve"> societal and equity principles</w:t>
      </w:r>
      <w:r w:rsidR="003B0553">
        <w:t>,</w:t>
      </w:r>
      <w:r w:rsidRPr="00B7430E">
        <w:t xml:space="preserve"> and </w:t>
      </w:r>
      <w:r w:rsidRPr="00B61FDC">
        <w:t>distributional</w:t>
      </w:r>
      <w:r w:rsidRPr="00B7430E">
        <w:t xml:space="preserve"> impacts</w:t>
      </w:r>
      <w:r w:rsidR="003B0553">
        <w:t>,</w:t>
      </w:r>
      <w:r w:rsidRPr="00B7430E">
        <w:t xml:space="preserve"> </w:t>
      </w:r>
      <w:r>
        <w:t xml:space="preserve">of treatments. This </w:t>
      </w:r>
      <w:r w:rsidRPr="00B7430E">
        <w:t>is particularly relevant to First Nations people who have distinct health paradigms and value perspectives. NACCHO reiterated that subjectivity and perspectives need to be considered in patient safety</w:t>
      </w:r>
      <w:r w:rsidR="002F6682">
        <w:t xml:space="preserve">, </w:t>
      </w:r>
      <w:r w:rsidRPr="00B7430E">
        <w:t xml:space="preserve">effectiveness and cost of medicines. </w:t>
      </w:r>
      <w:r w:rsidR="003B0553">
        <w:t>A</w:t>
      </w:r>
      <w:r w:rsidRPr="00B7430E">
        <w:t xml:space="preserve"> specialist</w:t>
      </w:r>
      <w:r w:rsidR="003B0553">
        <w:t xml:space="preserve">’s </w:t>
      </w:r>
      <w:r w:rsidR="003B0553">
        <w:lastRenderedPageBreak/>
        <w:t>judgement of effectiveness</w:t>
      </w:r>
      <w:r w:rsidRPr="00B7430E">
        <w:t xml:space="preserve"> </w:t>
      </w:r>
      <w:r w:rsidR="002A7D4A">
        <w:t>may be different</w:t>
      </w:r>
      <w:r w:rsidRPr="00B7430E">
        <w:t xml:space="preserve"> to</w:t>
      </w:r>
      <w:r w:rsidR="003B0553">
        <w:t xml:space="preserve"> the view of</w:t>
      </w:r>
      <w:r w:rsidRPr="00B7430E">
        <w:t xml:space="preserve"> </w:t>
      </w:r>
      <w:r w:rsidR="003B0553">
        <w:t xml:space="preserve">a </w:t>
      </w:r>
      <w:r>
        <w:t>First Nations pe</w:t>
      </w:r>
      <w:r w:rsidR="003B0553">
        <w:t>rson</w:t>
      </w:r>
      <w:r>
        <w:t>. For example,</w:t>
      </w:r>
      <w:r w:rsidRPr="00B7430E">
        <w:t xml:space="preserve"> limited </w:t>
      </w:r>
      <w:r>
        <w:t>formal</w:t>
      </w:r>
      <w:r w:rsidRPr="00B7430E">
        <w:t xml:space="preserve"> data </w:t>
      </w:r>
      <w:r w:rsidR="003B0553">
        <w:t xml:space="preserve">may be available about </w:t>
      </w:r>
      <w:r w:rsidRPr="00B7430E">
        <w:t xml:space="preserve">the safety of a traditional </w:t>
      </w:r>
      <w:r>
        <w:t xml:space="preserve">First Nations </w:t>
      </w:r>
      <w:r w:rsidRPr="00B7430E">
        <w:t xml:space="preserve">medicine, despite its clear utility for a community. </w:t>
      </w:r>
      <w:r w:rsidRPr="002A7D4A">
        <w:t xml:space="preserve">Therefore, the distinct perspectives of First Nations people bring to the concept of effectiveness is balanced with safety and </w:t>
      </w:r>
      <w:r w:rsidRPr="003F089B">
        <w:t>cost</w:t>
      </w:r>
      <w:r w:rsidR="004F29C4">
        <w:t>.</w:t>
      </w:r>
      <w:r w:rsidRPr="003F089B">
        <w:rPr>
          <w:rStyle w:val="FootnoteReference"/>
        </w:rPr>
        <w:footnoteReference w:id="33"/>
      </w:r>
    </w:p>
    <w:p w14:paraId="61D21981" w14:textId="6264C4C2" w:rsidR="005B51F3" w:rsidRDefault="006F4E25" w:rsidP="00A318F7">
      <w:pPr>
        <w:pStyle w:val="Heading3"/>
      </w:pPr>
      <w:bookmarkStart w:id="131" w:name="_Hlk167700839"/>
      <w:r>
        <w:t>Findings</w:t>
      </w:r>
    </w:p>
    <w:bookmarkEnd w:id="131"/>
    <w:p w14:paraId="542952D6" w14:textId="576A9532" w:rsidR="005B51F3" w:rsidRPr="006017E6" w:rsidRDefault="005B51F3" w:rsidP="002B221E">
      <w:pPr>
        <w:rPr>
          <w:rFonts w:eastAsia="Calibri"/>
        </w:rPr>
      </w:pPr>
      <w:r w:rsidRPr="006017E6">
        <w:rPr>
          <w:rFonts w:eastAsia="Calibri"/>
        </w:rPr>
        <w:t>The</w:t>
      </w:r>
      <w:r w:rsidR="006F39BB">
        <w:rPr>
          <w:rFonts w:eastAsia="Calibri"/>
        </w:rPr>
        <w:t>re is a</w:t>
      </w:r>
      <w:r w:rsidRPr="006017E6">
        <w:rPr>
          <w:rFonts w:eastAsia="Calibri"/>
        </w:rPr>
        <w:t xml:space="preserve"> lack of formal and routine involvement of a First Nations health representative in decision</w:t>
      </w:r>
      <w:r w:rsidR="00830AFC">
        <w:rPr>
          <w:rFonts w:eastAsia="Calibri"/>
        </w:rPr>
        <w:t>-</w:t>
      </w:r>
      <w:r w:rsidRPr="006017E6">
        <w:rPr>
          <w:rFonts w:eastAsia="Calibri"/>
        </w:rPr>
        <w:t>making</w:t>
      </w:r>
      <w:r>
        <w:rPr>
          <w:rFonts w:eastAsia="Calibri"/>
        </w:rPr>
        <w:t xml:space="preserve">, particularly in </w:t>
      </w:r>
      <w:r w:rsidR="00E07D64">
        <w:rPr>
          <w:rFonts w:eastAsia="Calibri"/>
        </w:rPr>
        <w:t xml:space="preserve">the </w:t>
      </w:r>
      <w:r>
        <w:rPr>
          <w:rFonts w:eastAsia="Calibri"/>
        </w:rPr>
        <w:t xml:space="preserve">PBAC and </w:t>
      </w:r>
      <w:r w:rsidR="00E07D64">
        <w:rPr>
          <w:rFonts w:eastAsia="Calibri"/>
        </w:rPr>
        <w:t xml:space="preserve">the </w:t>
      </w:r>
      <w:r w:rsidR="008E7AAD">
        <w:rPr>
          <w:rFonts w:eastAsia="Calibri"/>
        </w:rPr>
        <w:t>Medical Services Advisory Committee (</w:t>
      </w:r>
      <w:r>
        <w:rPr>
          <w:rFonts w:eastAsia="Calibri"/>
        </w:rPr>
        <w:t>MSAC</w:t>
      </w:r>
      <w:r w:rsidR="008E7AAD">
        <w:rPr>
          <w:rFonts w:eastAsia="Calibri"/>
        </w:rPr>
        <w:t>)</w:t>
      </w:r>
      <w:r w:rsidRPr="006017E6">
        <w:rPr>
          <w:rFonts w:eastAsia="Calibri"/>
        </w:rPr>
        <w:t>. Decision</w:t>
      </w:r>
      <w:r w:rsidR="00830AFC">
        <w:rPr>
          <w:rFonts w:eastAsia="Calibri"/>
        </w:rPr>
        <w:t>-</w:t>
      </w:r>
      <w:r w:rsidRPr="006017E6">
        <w:rPr>
          <w:rFonts w:eastAsia="Calibri"/>
        </w:rPr>
        <w:t xml:space="preserve">making processes and recommendations </w:t>
      </w:r>
      <w:r w:rsidR="00D226C6">
        <w:rPr>
          <w:rFonts w:eastAsia="Calibri"/>
        </w:rPr>
        <w:t>do not</w:t>
      </w:r>
      <w:r w:rsidR="00E07D64">
        <w:rPr>
          <w:rFonts w:eastAsia="Calibri"/>
        </w:rPr>
        <w:t xml:space="preserve"> </w:t>
      </w:r>
      <w:proofErr w:type="gramStart"/>
      <w:r w:rsidR="00E07D64">
        <w:rPr>
          <w:rFonts w:eastAsia="Calibri"/>
        </w:rPr>
        <w:t>take</w:t>
      </w:r>
      <w:r w:rsidRPr="006017E6">
        <w:rPr>
          <w:rFonts w:eastAsia="Calibri"/>
        </w:rPr>
        <w:t xml:space="preserve"> into account</w:t>
      </w:r>
      <w:proofErr w:type="gramEnd"/>
      <w:r w:rsidRPr="006017E6">
        <w:rPr>
          <w:rFonts w:eastAsia="Calibri"/>
        </w:rPr>
        <w:t xml:space="preserve"> the full consideration of First Nations </w:t>
      </w:r>
      <w:r w:rsidRPr="6CC68A72">
        <w:rPr>
          <w:rFonts w:eastAsia="Calibri"/>
        </w:rPr>
        <w:t>people</w:t>
      </w:r>
      <w:r w:rsidR="00CF4F50">
        <w:rPr>
          <w:rFonts w:eastAsia="Calibri"/>
        </w:rPr>
        <w:t>’</w:t>
      </w:r>
      <w:r w:rsidRPr="6CC68A72">
        <w:rPr>
          <w:rFonts w:eastAsia="Calibri"/>
        </w:rPr>
        <w:t>s</w:t>
      </w:r>
      <w:r>
        <w:rPr>
          <w:rFonts w:eastAsia="Calibri"/>
        </w:rPr>
        <w:t xml:space="preserve"> </w:t>
      </w:r>
      <w:r w:rsidRPr="006017E6">
        <w:rPr>
          <w:rFonts w:eastAsia="Calibri"/>
        </w:rPr>
        <w:t xml:space="preserve">health outcomes. This is contributing to health inequity. </w:t>
      </w:r>
    </w:p>
    <w:p w14:paraId="676ABD4D" w14:textId="294F4537" w:rsidR="004A395F" w:rsidRDefault="00373A7A" w:rsidP="00373A7A">
      <w:pPr>
        <w:pStyle w:val="Heading3"/>
        <w:rPr>
          <w:rFonts w:eastAsia="Calibri"/>
        </w:rPr>
      </w:pPr>
      <w:r>
        <w:t>Conclusion</w:t>
      </w:r>
    </w:p>
    <w:p w14:paraId="505BC7F0" w14:textId="2EEA933B" w:rsidR="005B51F3" w:rsidRPr="006017E6" w:rsidRDefault="005B51F3" w:rsidP="002B221E">
      <w:pPr>
        <w:rPr>
          <w:rFonts w:eastAsia="Calibri"/>
        </w:rPr>
      </w:pPr>
      <w:r w:rsidRPr="006017E6">
        <w:rPr>
          <w:rFonts w:eastAsia="Calibri"/>
        </w:rPr>
        <w:t xml:space="preserve">The Review has recommended that HTA advisory committees would benefit from </w:t>
      </w:r>
      <w:r w:rsidR="00E07D64">
        <w:rPr>
          <w:rFonts w:eastAsia="Calibri"/>
        </w:rPr>
        <w:t xml:space="preserve">having </w:t>
      </w:r>
      <w:r w:rsidRPr="006017E6">
        <w:rPr>
          <w:rFonts w:eastAsia="Calibri"/>
        </w:rPr>
        <w:t>more formal First Nations engagement arrangements, such as</w:t>
      </w:r>
      <w:r w:rsidRPr="006017E6">
        <w:t xml:space="preserve"> </w:t>
      </w:r>
      <w:r w:rsidRPr="006017E6">
        <w:rPr>
          <w:rFonts w:eastAsia="Calibri"/>
        </w:rPr>
        <w:t>including First Nations representatives</w:t>
      </w:r>
      <w:r w:rsidR="00E07D64">
        <w:rPr>
          <w:rFonts w:eastAsia="Calibri"/>
        </w:rPr>
        <w:t>,</w:t>
      </w:r>
      <w:r w:rsidRPr="006017E6">
        <w:rPr>
          <w:rFonts w:eastAsia="Calibri"/>
        </w:rPr>
        <w:t xml:space="preserve"> </w:t>
      </w:r>
      <w:r>
        <w:rPr>
          <w:rFonts w:eastAsia="Calibri"/>
        </w:rPr>
        <w:t xml:space="preserve">or a </w:t>
      </w:r>
      <w:r w:rsidRPr="6CC68A72">
        <w:rPr>
          <w:rFonts w:eastAsia="Calibri"/>
        </w:rPr>
        <w:t>professional</w:t>
      </w:r>
      <w:r>
        <w:rPr>
          <w:rFonts w:eastAsia="Calibri"/>
        </w:rPr>
        <w:t xml:space="preserve"> with distinct and recent expertise and experience in First Nations </w:t>
      </w:r>
      <w:r w:rsidRPr="6CC68A72">
        <w:rPr>
          <w:rFonts w:eastAsia="Calibri"/>
        </w:rPr>
        <w:t>people</w:t>
      </w:r>
      <w:r w:rsidR="00FD4D7C">
        <w:rPr>
          <w:rFonts w:eastAsia="Calibri"/>
        </w:rPr>
        <w:t>’</w:t>
      </w:r>
      <w:r w:rsidRPr="6CC68A72">
        <w:rPr>
          <w:rFonts w:eastAsia="Calibri"/>
        </w:rPr>
        <w:t>s</w:t>
      </w:r>
      <w:r>
        <w:rPr>
          <w:rFonts w:eastAsia="Calibri"/>
        </w:rPr>
        <w:t xml:space="preserve"> health </w:t>
      </w:r>
      <w:r w:rsidRPr="6CC68A72">
        <w:rPr>
          <w:rFonts w:eastAsia="Calibri"/>
        </w:rPr>
        <w:t>issues</w:t>
      </w:r>
      <w:r w:rsidR="00E07D64">
        <w:rPr>
          <w:rFonts w:eastAsia="Calibri"/>
        </w:rPr>
        <w:t xml:space="preserve">, </w:t>
      </w:r>
      <w:r w:rsidR="00E07D64" w:rsidRPr="006017E6">
        <w:rPr>
          <w:rFonts w:eastAsia="Calibri"/>
        </w:rPr>
        <w:t>on the PBAC</w:t>
      </w:r>
      <w:r w:rsidRPr="6CC68A72">
        <w:rPr>
          <w:rFonts w:eastAsia="Calibri"/>
        </w:rPr>
        <w:t>.</w:t>
      </w:r>
      <w:r w:rsidRPr="006017E6">
        <w:rPr>
          <w:rFonts w:eastAsia="Calibri"/>
        </w:rPr>
        <w:t xml:space="preserve"> This would assist in ensuring </w:t>
      </w:r>
      <w:r w:rsidR="00E07D64">
        <w:rPr>
          <w:rFonts w:eastAsia="Calibri"/>
        </w:rPr>
        <w:t xml:space="preserve">that </w:t>
      </w:r>
      <w:r w:rsidRPr="006017E6">
        <w:rPr>
          <w:rFonts w:eastAsia="Calibri"/>
        </w:rPr>
        <w:t xml:space="preserve">potential health and social impacts on First Nations people were considered </w:t>
      </w:r>
      <w:r w:rsidR="00E07D64">
        <w:rPr>
          <w:rFonts w:eastAsia="Calibri"/>
        </w:rPr>
        <w:t>when</w:t>
      </w:r>
      <w:r w:rsidR="00803855">
        <w:rPr>
          <w:rFonts w:eastAsia="Calibri"/>
        </w:rPr>
        <w:t xml:space="preserve"> </w:t>
      </w:r>
      <w:r w:rsidR="00751387">
        <w:rPr>
          <w:rFonts w:eastAsia="Calibri"/>
        </w:rPr>
        <w:t>making decisions about</w:t>
      </w:r>
      <w:r w:rsidRPr="006017E6">
        <w:rPr>
          <w:rFonts w:eastAsia="Calibri"/>
        </w:rPr>
        <w:t xml:space="preserve"> listing </w:t>
      </w:r>
      <w:r w:rsidR="00E07D64">
        <w:rPr>
          <w:rFonts w:eastAsia="Calibri"/>
        </w:rPr>
        <w:t>or</w:t>
      </w:r>
      <w:r w:rsidRPr="006017E6">
        <w:rPr>
          <w:rFonts w:eastAsia="Calibri"/>
        </w:rPr>
        <w:t xml:space="preserve"> delisting medicines on the PBS. </w:t>
      </w:r>
    </w:p>
    <w:p w14:paraId="6C12271D" w14:textId="781EFFC5" w:rsidR="005B51F3" w:rsidRPr="006017E6" w:rsidRDefault="005B51F3" w:rsidP="002B221E">
      <w:pPr>
        <w:rPr>
          <w:rFonts w:eastAsia="Calibri"/>
        </w:rPr>
      </w:pPr>
      <w:r w:rsidRPr="006017E6">
        <w:rPr>
          <w:rFonts w:eastAsia="Calibri"/>
        </w:rPr>
        <w:t xml:space="preserve">The Review also recognised </w:t>
      </w:r>
      <w:r w:rsidR="00E07D64">
        <w:rPr>
          <w:rFonts w:eastAsia="Calibri"/>
        </w:rPr>
        <w:t xml:space="preserve">that </w:t>
      </w:r>
      <w:r w:rsidRPr="006017E6">
        <w:rPr>
          <w:rFonts w:eastAsia="Calibri"/>
        </w:rPr>
        <w:t xml:space="preserve">First Nations people </w:t>
      </w:r>
      <w:r w:rsidR="00E07D64">
        <w:rPr>
          <w:rFonts w:eastAsia="Calibri"/>
        </w:rPr>
        <w:t xml:space="preserve">must be involved </w:t>
      </w:r>
      <w:r w:rsidRPr="006017E6">
        <w:rPr>
          <w:rFonts w:eastAsia="Calibri"/>
        </w:rPr>
        <w:t xml:space="preserve">across the HTA system to proactively identify </w:t>
      </w:r>
      <w:r w:rsidR="00E07D64">
        <w:rPr>
          <w:rFonts w:eastAsia="Calibri"/>
        </w:rPr>
        <w:t xml:space="preserve">the </w:t>
      </w:r>
      <w:r w:rsidRPr="006017E6">
        <w:rPr>
          <w:rFonts w:eastAsia="Calibri"/>
        </w:rPr>
        <w:t>self-determined unmet needs</w:t>
      </w:r>
      <w:r w:rsidR="00E07D64">
        <w:rPr>
          <w:rFonts w:eastAsia="Calibri"/>
        </w:rPr>
        <w:t xml:space="preserve"> of,</w:t>
      </w:r>
      <w:r w:rsidRPr="006017E6">
        <w:rPr>
          <w:rFonts w:eastAsia="Calibri"/>
        </w:rPr>
        <w:t xml:space="preserve"> and new and emerging therapies</w:t>
      </w:r>
      <w:r w:rsidR="00E07D64">
        <w:rPr>
          <w:rFonts w:eastAsia="Calibri"/>
        </w:rPr>
        <w:t xml:space="preserve"> </w:t>
      </w:r>
      <w:r w:rsidRPr="006017E6">
        <w:rPr>
          <w:rFonts w:eastAsia="Calibri"/>
        </w:rPr>
        <w:t>for</w:t>
      </w:r>
      <w:r w:rsidR="00E07D64">
        <w:rPr>
          <w:rFonts w:eastAsia="Calibri"/>
        </w:rPr>
        <w:t>,</w:t>
      </w:r>
      <w:r w:rsidRPr="006017E6">
        <w:rPr>
          <w:rFonts w:eastAsia="Calibri"/>
        </w:rPr>
        <w:t xml:space="preserve"> First Nations people. This </w:t>
      </w:r>
      <w:r w:rsidR="00E07D64">
        <w:rPr>
          <w:rFonts w:eastAsia="Calibri"/>
        </w:rPr>
        <w:t>w</w:t>
      </w:r>
      <w:r w:rsidR="00E07D64" w:rsidRPr="006017E6">
        <w:rPr>
          <w:rFonts w:eastAsia="Calibri"/>
        </w:rPr>
        <w:t xml:space="preserve">ould </w:t>
      </w:r>
      <w:r w:rsidR="00E07D64">
        <w:rPr>
          <w:rFonts w:eastAsia="Calibri"/>
        </w:rPr>
        <w:t>align with</w:t>
      </w:r>
      <w:r w:rsidR="00E07D64" w:rsidRPr="006017E6">
        <w:rPr>
          <w:rFonts w:eastAsia="Calibri"/>
        </w:rPr>
        <w:t xml:space="preserve"> </w:t>
      </w:r>
      <w:r w:rsidRPr="006017E6">
        <w:rPr>
          <w:rFonts w:eastAsia="Calibri"/>
        </w:rPr>
        <w:t xml:space="preserve">priorities outlined in the Government’s commitments in the </w:t>
      </w:r>
      <w:r w:rsidRPr="0019438C">
        <w:rPr>
          <w:rFonts w:eastAsia="Calibri"/>
        </w:rPr>
        <w:t>National Agreement</w:t>
      </w:r>
      <w:r w:rsidR="00E07D64">
        <w:rPr>
          <w:rFonts w:eastAsia="Calibri"/>
        </w:rPr>
        <w:t>.</w:t>
      </w:r>
      <w:r w:rsidR="00E07D64">
        <w:rPr>
          <w:rStyle w:val="FootnoteReference"/>
          <w:rFonts w:eastAsia="Calibri"/>
        </w:rPr>
        <w:footnoteReference w:id="34"/>
      </w:r>
      <w:r w:rsidR="00E07D64" w:rsidDel="00E07D64">
        <w:rPr>
          <w:rFonts w:eastAsia="Calibri"/>
        </w:rPr>
        <w:t xml:space="preserve"> </w:t>
      </w:r>
    </w:p>
    <w:p w14:paraId="0F737714" w14:textId="77777777" w:rsidR="005B51F3" w:rsidRPr="006017E6" w:rsidRDefault="005B51F3" w:rsidP="00A318F7">
      <w:pPr>
        <w:pStyle w:val="Heading3"/>
      </w:pPr>
      <w:r w:rsidRPr="006017E6">
        <w:t>Objectives of recommendations</w:t>
      </w:r>
    </w:p>
    <w:p w14:paraId="024D57CF" w14:textId="58471164" w:rsidR="005B51F3" w:rsidRDefault="005B51F3" w:rsidP="002B221E">
      <w:pPr>
        <w:rPr>
          <w:rFonts w:eastAsia="Calibri"/>
        </w:rPr>
      </w:pPr>
      <w:r w:rsidRPr="006017E6">
        <w:rPr>
          <w:rFonts w:eastAsia="Calibri"/>
        </w:rPr>
        <w:t>The Review</w:t>
      </w:r>
      <w:r w:rsidR="00D578A7">
        <w:rPr>
          <w:rFonts w:eastAsia="Calibri"/>
        </w:rPr>
        <w:t>’s</w:t>
      </w:r>
      <w:r w:rsidRPr="006017E6">
        <w:rPr>
          <w:rFonts w:eastAsia="Calibri"/>
        </w:rPr>
        <w:t xml:space="preserve"> recommendations aim to reduce health inequity for First Nations people </w:t>
      </w:r>
      <w:r w:rsidR="00707420">
        <w:rPr>
          <w:rFonts w:eastAsia="Calibri"/>
        </w:rPr>
        <w:t>by</w:t>
      </w:r>
      <w:r w:rsidR="00707420" w:rsidRPr="006017E6">
        <w:rPr>
          <w:rFonts w:eastAsia="Calibri"/>
        </w:rPr>
        <w:t xml:space="preserve"> </w:t>
      </w:r>
      <w:r w:rsidRPr="006017E6">
        <w:rPr>
          <w:rFonts w:eastAsia="Calibri"/>
        </w:rPr>
        <w:t>enhanc</w:t>
      </w:r>
      <w:r w:rsidR="00707420">
        <w:rPr>
          <w:rFonts w:eastAsia="Calibri"/>
        </w:rPr>
        <w:t>ing</w:t>
      </w:r>
      <w:r w:rsidRPr="006017E6">
        <w:rPr>
          <w:rFonts w:eastAsia="Calibri"/>
        </w:rPr>
        <w:t xml:space="preserve"> access to appropriate health technologies to meet their specific needs. This will be achieved by en</w:t>
      </w:r>
      <w:r w:rsidRPr="00735500">
        <w:rPr>
          <w:rFonts w:eastAsia="Calibri"/>
        </w:rPr>
        <w:t>suring adequate and appropriate consideration of their health, wellbeing and access needs through partnerships and shared decision-making.</w:t>
      </w:r>
      <w:r w:rsidR="00453069">
        <w:rPr>
          <w:rFonts w:eastAsia="Calibri"/>
        </w:rPr>
        <w:t xml:space="preserve"> </w:t>
      </w:r>
    </w:p>
    <w:p w14:paraId="6C2E5A1E" w14:textId="4C7BC868" w:rsidR="005B51F3" w:rsidRDefault="005B51F3" w:rsidP="00732EC8">
      <w:pPr>
        <w:pStyle w:val="Heading3"/>
      </w:pPr>
      <w:r w:rsidRPr="00732EC8">
        <w:t>Recommendations</w:t>
      </w:r>
    </w:p>
    <w:p w14:paraId="49441A66" w14:textId="397307AA" w:rsidR="005B51F3" w:rsidRPr="00274AA9" w:rsidRDefault="005B51F3" w:rsidP="00645D5E">
      <w:pPr>
        <w:pStyle w:val="Recommendation1"/>
      </w:pPr>
      <w:r w:rsidRPr="00274AA9">
        <w:t xml:space="preserve">Creating a more equitable system for First Nations </w:t>
      </w:r>
      <w:r w:rsidR="00BF6B6E" w:rsidRPr="00274AA9">
        <w:t>p</w:t>
      </w:r>
      <w:r w:rsidRPr="00274AA9">
        <w:t>eople</w:t>
      </w:r>
    </w:p>
    <w:p w14:paraId="54B5A261" w14:textId="3D73BABF" w:rsidR="005B51F3" w:rsidRPr="00522169" w:rsidRDefault="005B51F3" w:rsidP="001F37D8">
      <w:pPr>
        <w:keepNext/>
      </w:pPr>
      <w:r w:rsidRPr="00405FD7">
        <w:t xml:space="preserve">The Review recommends </w:t>
      </w:r>
      <w:r w:rsidR="00B770D4">
        <w:t xml:space="preserve">that </w:t>
      </w:r>
      <w:r w:rsidRPr="00405FD7">
        <w:t>the Australian Government:</w:t>
      </w:r>
      <w:r w:rsidRPr="00522169">
        <w:t> </w:t>
      </w:r>
    </w:p>
    <w:p w14:paraId="57234F95" w14:textId="6C95FB13" w:rsidR="005B51F3" w:rsidRPr="00910611" w:rsidRDefault="00CB2EB7" w:rsidP="00281153">
      <w:pPr>
        <w:pStyle w:val="ListParagraph"/>
        <w:numPr>
          <w:ilvl w:val="0"/>
          <w:numId w:val="132"/>
        </w:numPr>
        <w:spacing w:after="0"/>
        <w:contextualSpacing w:val="0"/>
        <w:rPr>
          <w:rFonts w:eastAsia="Calibri" w:cs="Segoe UI"/>
        </w:rPr>
      </w:pPr>
      <w:r>
        <w:rPr>
          <w:rFonts w:eastAsia="Calibri" w:cs="Segoe UI"/>
        </w:rPr>
        <w:t>e</w:t>
      </w:r>
      <w:r w:rsidR="005B51F3" w:rsidRPr="573C958E">
        <w:rPr>
          <w:rFonts w:eastAsia="Calibri" w:cs="Segoe UI"/>
        </w:rPr>
        <w:t>stablish a First Nations Advisory Committee</w:t>
      </w:r>
      <w:r w:rsidR="005B51F3">
        <w:rPr>
          <w:rFonts w:eastAsia="Calibri" w:cs="Segoe UI"/>
        </w:rPr>
        <w:t>,</w:t>
      </w:r>
      <w:r w:rsidR="005B51F3" w:rsidRPr="573C958E">
        <w:rPr>
          <w:rFonts w:eastAsia="Calibri" w:cs="Segoe UI"/>
        </w:rPr>
        <w:t xml:space="preserve"> </w:t>
      </w:r>
      <w:r w:rsidR="005B51F3">
        <w:rPr>
          <w:rFonts w:eastAsia="Calibri" w:cs="Segoe UI"/>
        </w:rPr>
        <w:t xml:space="preserve">reporting to the </w:t>
      </w:r>
      <w:r w:rsidR="00D92CC5" w:rsidRPr="00D92CC5">
        <w:rPr>
          <w:rFonts w:eastAsia="Calibri" w:cs="Segoe UI"/>
        </w:rPr>
        <w:t>Pharmaceutical Benefits Advisory Committee (PBAC)</w:t>
      </w:r>
      <w:r w:rsidR="00D92CC5">
        <w:rPr>
          <w:rFonts w:eastAsia="Calibri" w:cs="Segoe UI"/>
        </w:rPr>
        <w:t xml:space="preserve"> </w:t>
      </w:r>
      <w:r w:rsidR="005B51F3">
        <w:rPr>
          <w:rFonts w:eastAsia="Calibri" w:cs="Segoe UI"/>
        </w:rPr>
        <w:t xml:space="preserve">and the </w:t>
      </w:r>
      <w:r w:rsidR="00812222" w:rsidRPr="00812222">
        <w:rPr>
          <w:rFonts w:eastAsia="Calibri" w:cs="Segoe UI"/>
        </w:rPr>
        <w:t xml:space="preserve">Medical Services Advisory </w:t>
      </w:r>
      <w:r w:rsidR="00812222" w:rsidRPr="00812222">
        <w:rPr>
          <w:rFonts w:eastAsia="Calibri" w:cs="Segoe UI"/>
        </w:rPr>
        <w:lastRenderedPageBreak/>
        <w:t>Committee (MSAC)</w:t>
      </w:r>
      <w:r w:rsidR="005B51F3">
        <w:rPr>
          <w:rFonts w:eastAsia="Calibri" w:cs="Segoe UI"/>
        </w:rPr>
        <w:t>,</w:t>
      </w:r>
      <w:r w:rsidR="005B51F3" w:rsidRPr="573C958E">
        <w:rPr>
          <w:rFonts w:eastAsia="Calibri" w:cs="Segoe UI"/>
        </w:rPr>
        <w:t xml:space="preserve"> to contribute to </w:t>
      </w:r>
      <w:r w:rsidR="00830AFC">
        <w:rPr>
          <w:rFonts w:eastAsia="Calibri" w:cs="Segoe UI"/>
        </w:rPr>
        <w:t>decision-making</w:t>
      </w:r>
      <w:r w:rsidR="005B51F3" w:rsidRPr="573C958E">
        <w:rPr>
          <w:rFonts w:eastAsia="Calibri" w:cs="Segoe UI"/>
        </w:rPr>
        <w:t xml:space="preserve"> across the healthcare continuum, including:</w:t>
      </w:r>
    </w:p>
    <w:p w14:paraId="00B0FA00" w14:textId="670E9A13" w:rsidR="005B51F3" w:rsidRDefault="00CB2EB7" w:rsidP="00281153">
      <w:pPr>
        <w:pStyle w:val="ListParagraph"/>
        <w:numPr>
          <w:ilvl w:val="1"/>
          <w:numId w:val="132"/>
        </w:numPr>
        <w:spacing w:after="0"/>
        <w:contextualSpacing w:val="0"/>
        <w:rPr>
          <w:rFonts w:eastAsia="Calibri" w:cs="Segoe UI"/>
        </w:rPr>
      </w:pPr>
      <w:r>
        <w:rPr>
          <w:rFonts w:eastAsia="Calibri" w:cs="Segoe UI"/>
        </w:rPr>
        <w:t>i</w:t>
      </w:r>
      <w:r w:rsidR="005B51F3" w:rsidRPr="00910611">
        <w:rPr>
          <w:rFonts w:eastAsia="Calibri" w:cs="Segoe UI"/>
        </w:rPr>
        <w:t xml:space="preserve">n line with the priority reforms under the </w:t>
      </w:r>
      <w:hyperlink r:id="rId18">
        <w:r w:rsidR="005B51F3" w:rsidRPr="00910611">
          <w:rPr>
            <w:rFonts w:eastAsia="Calibri" w:cs="Segoe UI"/>
            <w:color w:val="0E6C9B"/>
            <w:u w:val="single"/>
          </w:rPr>
          <w:t>National Closing the Gap Agreement 2020</w:t>
        </w:r>
      </w:hyperlink>
      <w:r w:rsidR="005B51F3" w:rsidRPr="00910611">
        <w:rPr>
          <w:rFonts w:eastAsia="Calibri" w:cs="Segoe UI"/>
        </w:rPr>
        <w:t>, develop</w:t>
      </w:r>
      <w:r w:rsidR="005B51F3">
        <w:rPr>
          <w:rFonts w:eastAsia="Calibri" w:cs="Segoe UI"/>
        </w:rPr>
        <w:t>ing</w:t>
      </w:r>
      <w:r w:rsidR="005B51F3" w:rsidRPr="00910611">
        <w:rPr>
          <w:rFonts w:eastAsia="Calibri" w:cs="Segoe UI"/>
        </w:rPr>
        <w:t xml:space="preserve"> a priority list of </w:t>
      </w:r>
      <w:r w:rsidR="005B51F3" w:rsidRPr="00405FD7">
        <w:rPr>
          <w:rFonts w:eastAsia="Calibri" w:cs="Segoe UI"/>
        </w:rPr>
        <w:t>indications</w:t>
      </w:r>
      <w:r w:rsidR="005B51F3" w:rsidRPr="00910611">
        <w:rPr>
          <w:rFonts w:eastAsia="Calibri" w:cs="Segoe UI"/>
        </w:rPr>
        <w:t xml:space="preserve">, in partnership with </w:t>
      </w:r>
      <w:r w:rsidR="007C6442" w:rsidRPr="00972225">
        <w:rPr>
          <w:rFonts w:eastAsia="Calibri" w:cs="Segoe UI"/>
        </w:rPr>
        <w:t xml:space="preserve">Aboriginal Community </w:t>
      </w:r>
      <w:r w:rsidR="003549C4" w:rsidRPr="00972225">
        <w:rPr>
          <w:rFonts w:eastAsia="Calibri" w:cs="Segoe UI"/>
        </w:rPr>
        <w:t>Controlled</w:t>
      </w:r>
      <w:r w:rsidR="007C6442" w:rsidRPr="00972225">
        <w:rPr>
          <w:rFonts w:eastAsia="Calibri" w:cs="Segoe UI"/>
        </w:rPr>
        <w:t>​ Health Services</w:t>
      </w:r>
      <w:r w:rsidR="007C6442" w:rsidRPr="00405FD7">
        <w:rPr>
          <w:rFonts w:eastAsia="Calibri" w:cs="Segoe UI"/>
        </w:rPr>
        <w:t xml:space="preserve"> (</w:t>
      </w:r>
      <w:r w:rsidR="005B51F3" w:rsidRPr="00972225">
        <w:rPr>
          <w:rFonts w:eastAsia="Calibri" w:cs="Segoe UI"/>
        </w:rPr>
        <w:t>ACCHSs</w:t>
      </w:r>
      <w:r w:rsidR="007C6442">
        <w:rPr>
          <w:rFonts w:eastAsia="Calibri" w:cs="Segoe UI"/>
        </w:rPr>
        <w:t>)</w:t>
      </w:r>
      <w:r w:rsidR="005B51F3" w:rsidRPr="00910611">
        <w:rPr>
          <w:rFonts w:eastAsia="Calibri" w:cs="Segoe UI"/>
        </w:rPr>
        <w:t>, for First Nations people with high unmet clinical need</w:t>
      </w:r>
      <w:r w:rsidR="00136B59">
        <w:rPr>
          <w:rFonts w:eastAsia="Calibri" w:cs="Segoe UI"/>
        </w:rPr>
        <w:t xml:space="preserve"> (HUCN)</w:t>
      </w:r>
    </w:p>
    <w:p w14:paraId="20737093" w14:textId="5E12ABF1" w:rsidR="005B51F3" w:rsidRDefault="00CB2EB7" w:rsidP="00281153">
      <w:pPr>
        <w:pStyle w:val="ListParagraph"/>
        <w:numPr>
          <w:ilvl w:val="1"/>
          <w:numId w:val="132"/>
        </w:numPr>
        <w:spacing w:after="0"/>
        <w:contextualSpacing w:val="0"/>
        <w:rPr>
          <w:rFonts w:eastAsia="Calibri" w:cs="Segoe UI"/>
        </w:rPr>
      </w:pPr>
      <w:r>
        <w:rPr>
          <w:rFonts w:eastAsia="Calibri" w:cs="Segoe UI"/>
        </w:rPr>
        <w:t>d</w:t>
      </w:r>
      <w:r w:rsidR="005B51F3" w:rsidRPr="00910611">
        <w:rPr>
          <w:rFonts w:eastAsia="Calibri" w:cs="Segoe UI"/>
        </w:rPr>
        <w:t>evelop</w:t>
      </w:r>
      <w:r w:rsidR="005B51F3">
        <w:rPr>
          <w:rFonts w:eastAsia="Calibri" w:cs="Segoe UI"/>
        </w:rPr>
        <w:t>ing</w:t>
      </w:r>
      <w:r w:rsidR="005B51F3" w:rsidRPr="00910611">
        <w:rPr>
          <w:rFonts w:eastAsia="Calibri" w:cs="Segoe UI"/>
        </w:rPr>
        <w:t xml:space="preserve"> an active horizon scanning process to identify therapies with promising </w:t>
      </w:r>
      <w:r w:rsidR="00226D1C">
        <w:rPr>
          <w:rFonts w:eastAsia="Calibri" w:cs="Segoe UI"/>
        </w:rPr>
        <w:t>h</w:t>
      </w:r>
      <w:r w:rsidR="005B51F3" w:rsidRPr="00910611">
        <w:rPr>
          <w:rFonts w:eastAsia="Calibri" w:cs="Segoe UI"/>
        </w:rPr>
        <w:t xml:space="preserve">igh </w:t>
      </w:r>
      <w:r w:rsidR="00226D1C">
        <w:rPr>
          <w:rFonts w:eastAsia="Calibri" w:cs="Segoe UI"/>
        </w:rPr>
        <w:t>a</w:t>
      </w:r>
      <w:r w:rsidR="005B51F3" w:rsidRPr="00910611">
        <w:rPr>
          <w:rFonts w:eastAsia="Calibri" w:cs="Segoe UI"/>
        </w:rPr>
        <w:t xml:space="preserve">dded </w:t>
      </w:r>
      <w:r w:rsidR="00226D1C">
        <w:rPr>
          <w:rFonts w:eastAsia="Calibri" w:cs="Segoe UI"/>
        </w:rPr>
        <w:t>t</w:t>
      </w:r>
      <w:r w:rsidR="005B51F3" w:rsidRPr="00910611">
        <w:rPr>
          <w:rFonts w:eastAsia="Calibri" w:cs="Segoe UI"/>
        </w:rPr>
        <w:t xml:space="preserve">herapeutic </w:t>
      </w:r>
      <w:r w:rsidR="00226D1C">
        <w:rPr>
          <w:rFonts w:eastAsia="Calibri" w:cs="Segoe UI"/>
        </w:rPr>
        <w:t>v</w:t>
      </w:r>
      <w:r w:rsidR="005B51F3" w:rsidRPr="00910611">
        <w:rPr>
          <w:rFonts w:eastAsia="Calibri" w:cs="Segoe UI"/>
        </w:rPr>
        <w:t>alue</w:t>
      </w:r>
      <w:r w:rsidR="00226D1C">
        <w:rPr>
          <w:rFonts w:eastAsia="Calibri" w:cs="Segoe UI"/>
        </w:rPr>
        <w:t xml:space="preserve"> </w:t>
      </w:r>
      <w:r w:rsidR="005B51F3" w:rsidRPr="00910611">
        <w:rPr>
          <w:rFonts w:eastAsia="Calibri" w:cs="Segoe UI"/>
        </w:rPr>
        <w:t xml:space="preserve">for </w:t>
      </w:r>
      <w:r w:rsidR="005B51F3" w:rsidRPr="00405FD7">
        <w:rPr>
          <w:rFonts w:eastAsia="Calibri" w:cs="Segoe UI"/>
        </w:rPr>
        <w:t>indications</w:t>
      </w:r>
      <w:r w:rsidR="005B51F3" w:rsidRPr="00910611">
        <w:rPr>
          <w:rFonts w:eastAsia="Calibri" w:cs="Segoe UI"/>
        </w:rPr>
        <w:t xml:space="preserve"> on the priority list. This could include new therapies or new </w:t>
      </w:r>
      <w:r w:rsidR="005B51F3" w:rsidRPr="00405FD7">
        <w:rPr>
          <w:rFonts w:eastAsia="Calibri" w:cs="Segoe UI"/>
        </w:rPr>
        <w:t>indications</w:t>
      </w:r>
      <w:r w:rsidR="005B51F3" w:rsidRPr="00910611">
        <w:rPr>
          <w:rFonts w:eastAsia="Calibri" w:cs="Segoe UI"/>
        </w:rPr>
        <w:t xml:space="preserve"> for ‘repurposing’ existing therapies</w:t>
      </w:r>
    </w:p>
    <w:p w14:paraId="07B26F14" w14:textId="02EE0FDF" w:rsidR="005B51F3" w:rsidRPr="00910611" w:rsidRDefault="00CB2EB7" w:rsidP="00281153">
      <w:pPr>
        <w:pStyle w:val="ListParagraph"/>
        <w:numPr>
          <w:ilvl w:val="1"/>
          <w:numId w:val="132"/>
        </w:numPr>
        <w:spacing w:after="0"/>
        <w:rPr>
          <w:rFonts w:eastAsia="Calibri" w:cs="Segoe UI"/>
        </w:rPr>
      </w:pPr>
      <w:r>
        <w:rPr>
          <w:rFonts w:eastAsia="Calibri" w:cs="Segoe UI"/>
        </w:rPr>
        <w:t>a</w:t>
      </w:r>
      <w:r w:rsidR="005B51F3">
        <w:rPr>
          <w:rFonts w:eastAsia="Calibri" w:cs="Segoe UI"/>
        </w:rPr>
        <w:t>dvising on</w:t>
      </w:r>
      <w:r w:rsidR="005B51F3" w:rsidRPr="00910611">
        <w:rPr>
          <w:rFonts w:eastAsia="Calibri" w:cs="Segoe UI"/>
        </w:rPr>
        <w:t xml:space="preserve"> proactive submission requests for therapies on the priority list, priorit</w:t>
      </w:r>
      <w:r>
        <w:rPr>
          <w:rFonts w:eastAsia="Calibri" w:cs="Segoe UI"/>
        </w:rPr>
        <w:t>ising</w:t>
      </w:r>
      <w:r w:rsidR="005B51F3" w:rsidRPr="00910611">
        <w:rPr>
          <w:rFonts w:eastAsia="Calibri" w:cs="Segoe UI"/>
        </w:rPr>
        <w:t xml:space="preserve"> those </w:t>
      </w:r>
      <w:r>
        <w:rPr>
          <w:rFonts w:eastAsia="Calibri" w:cs="Segoe UI"/>
        </w:rPr>
        <w:t>that</w:t>
      </w:r>
      <w:r w:rsidRPr="00910611">
        <w:rPr>
          <w:rFonts w:eastAsia="Calibri" w:cs="Segoe UI"/>
        </w:rPr>
        <w:t xml:space="preserve"> </w:t>
      </w:r>
      <w:r w:rsidR="005B51F3" w:rsidRPr="00910611">
        <w:rPr>
          <w:rFonts w:eastAsia="Calibri" w:cs="Segoe UI"/>
        </w:rPr>
        <w:t>address areas of unmet clinical need and gaps in access</w:t>
      </w:r>
      <w:r w:rsidR="00B9025B">
        <w:rPr>
          <w:rFonts w:eastAsia="Calibri" w:cs="Segoe UI"/>
        </w:rPr>
        <w:t>.</w:t>
      </w:r>
    </w:p>
    <w:p w14:paraId="635C0FAB" w14:textId="7CD550B5" w:rsidR="005B51F3" w:rsidRDefault="00CB2EB7" w:rsidP="00281153">
      <w:pPr>
        <w:pStyle w:val="ListParagraph"/>
        <w:numPr>
          <w:ilvl w:val="0"/>
          <w:numId w:val="132"/>
        </w:numPr>
        <w:spacing w:after="0"/>
        <w:rPr>
          <w:rFonts w:eastAsia="Calibri" w:cs="Segoe UI"/>
        </w:rPr>
      </w:pPr>
      <w:r>
        <w:rPr>
          <w:rFonts w:eastAsia="Calibri" w:cs="Segoe UI"/>
        </w:rPr>
        <w:t>i</w:t>
      </w:r>
      <w:r w:rsidR="005B51F3" w:rsidRPr="6EE001BC">
        <w:rPr>
          <w:rFonts w:eastAsia="Calibri" w:cs="Segoe UI"/>
        </w:rPr>
        <w:t xml:space="preserve">nclude </w:t>
      </w:r>
      <w:r w:rsidR="005B51F3">
        <w:rPr>
          <w:rFonts w:eastAsia="Calibri" w:cs="Segoe UI"/>
        </w:rPr>
        <w:t xml:space="preserve">representation on the PBAC for First Nations people, including individuals and/or professionals </w:t>
      </w:r>
      <w:r>
        <w:rPr>
          <w:rFonts w:eastAsia="Calibri" w:cs="Segoe UI"/>
        </w:rPr>
        <w:t>with</w:t>
      </w:r>
      <w:r w:rsidR="005B51F3">
        <w:rPr>
          <w:rFonts w:eastAsia="Calibri" w:cs="Segoe UI"/>
        </w:rPr>
        <w:t xml:space="preserve"> current expertise</w:t>
      </w:r>
      <w:r>
        <w:rPr>
          <w:rFonts w:eastAsia="Calibri" w:cs="Segoe UI"/>
        </w:rPr>
        <w:t xml:space="preserve"> and experience </w:t>
      </w:r>
      <w:r w:rsidR="00EF063E">
        <w:rPr>
          <w:rFonts w:eastAsia="Calibri" w:cs="Segoe UI"/>
        </w:rPr>
        <w:t>in</w:t>
      </w:r>
      <w:r>
        <w:rPr>
          <w:rFonts w:eastAsia="Calibri" w:cs="Segoe UI"/>
        </w:rPr>
        <w:t xml:space="preserve"> </w:t>
      </w:r>
      <w:r w:rsidR="00EF063E">
        <w:rPr>
          <w:rFonts w:eastAsia="Calibri" w:cs="Segoe UI"/>
        </w:rPr>
        <w:t xml:space="preserve">health issues relating </w:t>
      </w:r>
      <w:r w:rsidR="00EF063E" w:rsidRPr="00743E7C">
        <w:rPr>
          <w:rFonts w:eastAsia="Calibri" w:cs="Segoe UI"/>
        </w:rPr>
        <w:t>to First Nations people</w:t>
      </w:r>
      <w:r w:rsidR="005B51F3">
        <w:rPr>
          <w:rFonts w:eastAsia="Calibri" w:cs="Segoe UI"/>
        </w:rPr>
        <w:t>,</w:t>
      </w:r>
      <w:r w:rsidR="00EF063E">
        <w:rPr>
          <w:rFonts w:eastAsia="Calibri" w:cs="Segoe UI"/>
        </w:rPr>
        <w:t xml:space="preserve"> and who are </w:t>
      </w:r>
      <w:r w:rsidR="005B51F3">
        <w:rPr>
          <w:rFonts w:eastAsia="Calibri" w:cs="Segoe UI"/>
        </w:rPr>
        <w:t>active</w:t>
      </w:r>
      <w:r w:rsidR="00EF063E">
        <w:rPr>
          <w:rFonts w:eastAsia="Calibri" w:cs="Segoe UI"/>
        </w:rPr>
        <w:t>ly</w:t>
      </w:r>
      <w:r w:rsidR="005B51F3">
        <w:rPr>
          <w:rFonts w:eastAsia="Calibri" w:cs="Segoe UI"/>
        </w:rPr>
        <w:t xml:space="preserve"> engage</w:t>
      </w:r>
      <w:r w:rsidR="00EF063E">
        <w:rPr>
          <w:rFonts w:eastAsia="Calibri" w:cs="Segoe UI"/>
        </w:rPr>
        <w:t>d in this area</w:t>
      </w:r>
      <w:r w:rsidR="005B51F3" w:rsidRPr="00743E7C">
        <w:rPr>
          <w:rFonts w:eastAsia="Calibri" w:cs="Segoe UI"/>
        </w:rPr>
        <w:t xml:space="preserve">. The role should speak to the specific benefits </w:t>
      </w:r>
      <w:r w:rsidR="005B51F3">
        <w:rPr>
          <w:rFonts w:eastAsia="Calibri" w:cs="Segoe UI"/>
        </w:rPr>
        <w:t>to</w:t>
      </w:r>
      <w:r w:rsidR="005B51F3" w:rsidRPr="00743E7C">
        <w:rPr>
          <w:rFonts w:eastAsia="Calibri" w:cs="Segoe UI"/>
        </w:rPr>
        <w:t xml:space="preserve"> First Nations people and be accountable for decision-making on behalf of First Nations people</w:t>
      </w:r>
    </w:p>
    <w:p w14:paraId="5DD1FA8F" w14:textId="11379862" w:rsidR="005B51F3" w:rsidRDefault="00EF063E" w:rsidP="00281153">
      <w:pPr>
        <w:pStyle w:val="ListParagraph"/>
        <w:numPr>
          <w:ilvl w:val="0"/>
          <w:numId w:val="132"/>
        </w:numPr>
        <w:spacing w:after="0"/>
        <w:contextualSpacing w:val="0"/>
        <w:rPr>
          <w:rFonts w:eastAsia="Calibri" w:cs="Segoe UI"/>
        </w:rPr>
      </w:pPr>
      <w:r>
        <w:rPr>
          <w:rFonts w:eastAsia="Calibri" w:cs="Segoe UI"/>
        </w:rPr>
        <w:t>r</w:t>
      </w:r>
      <w:r w:rsidR="005B51F3" w:rsidRPr="00910611">
        <w:rPr>
          <w:rFonts w:eastAsia="Calibri" w:cs="Segoe UI"/>
        </w:rPr>
        <w:t>equire sponsor</w:t>
      </w:r>
      <w:r>
        <w:rPr>
          <w:rFonts w:eastAsia="Calibri" w:cs="Segoe UI"/>
        </w:rPr>
        <w:t>s’</w:t>
      </w:r>
      <w:r w:rsidR="005B51F3" w:rsidRPr="00910611">
        <w:rPr>
          <w:rFonts w:eastAsia="Calibri" w:cs="Segoe UI"/>
        </w:rPr>
        <w:t xml:space="preserve"> submissions to include </w:t>
      </w:r>
      <w:r w:rsidR="005B51F3" w:rsidRPr="00B84AB8">
        <w:rPr>
          <w:rFonts w:eastAsia="Calibri" w:cs="Segoe UI"/>
        </w:rPr>
        <w:t>consideration</w:t>
      </w:r>
      <w:r w:rsidR="005B51F3" w:rsidRPr="00910611">
        <w:rPr>
          <w:rFonts w:eastAsia="Calibri" w:cs="Segoe UI"/>
        </w:rPr>
        <w:t>/assessment of the impact on health outcomes for First Nations people. This will enable more meaningful and informed decision-making by the PBAC</w:t>
      </w:r>
      <w:r w:rsidR="00692357">
        <w:rPr>
          <w:rFonts w:eastAsia="Calibri" w:cs="Segoe UI"/>
        </w:rPr>
        <w:t xml:space="preserve"> and </w:t>
      </w:r>
      <w:r>
        <w:rPr>
          <w:rFonts w:eastAsia="Calibri" w:cs="Segoe UI"/>
        </w:rPr>
        <w:t>the </w:t>
      </w:r>
      <w:r w:rsidR="00692357">
        <w:rPr>
          <w:rFonts w:eastAsia="Calibri" w:cs="Segoe UI"/>
        </w:rPr>
        <w:t>MSAC</w:t>
      </w:r>
    </w:p>
    <w:p w14:paraId="5B86239A" w14:textId="02C55533" w:rsidR="005B51F3" w:rsidRDefault="00EF063E" w:rsidP="00281153">
      <w:pPr>
        <w:pStyle w:val="ListParagraph"/>
        <w:numPr>
          <w:ilvl w:val="0"/>
          <w:numId w:val="132"/>
        </w:numPr>
        <w:spacing w:after="0"/>
        <w:contextualSpacing w:val="0"/>
        <w:rPr>
          <w:rFonts w:eastAsia="Calibri" w:cs="Segoe UI"/>
        </w:rPr>
      </w:pPr>
      <w:r>
        <w:rPr>
          <w:rFonts w:eastAsia="Calibri" w:cs="Segoe UI"/>
        </w:rPr>
        <w:t>d</w:t>
      </w:r>
      <w:r w:rsidR="005B51F3" w:rsidRPr="00910611">
        <w:rPr>
          <w:rFonts w:eastAsia="Calibri" w:cs="Segoe UI"/>
        </w:rPr>
        <w:t xml:space="preserve">evelop, in collaboration with </w:t>
      </w:r>
      <w:r w:rsidR="005B51F3" w:rsidRPr="00B84AB8">
        <w:rPr>
          <w:rFonts w:eastAsia="Calibri" w:cs="Segoe UI"/>
        </w:rPr>
        <w:t>ACCH</w:t>
      </w:r>
      <w:r w:rsidR="00DD53F6" w:rsidRPr="00405FD7">
        <w:rPr>
          <w:rFonts w:eastAsia="Calibri" w:cs="Segoe UI"/>
        </w:rPr>
        <w:t>S</w:t>
      </w:r>
      <w:r w:rsidR="005B51F3" w:rsidRPr="00B84AB8">
        <w:rPr>
          <w:rFonts w:eastAsia="Calibri" w:cs="Segoe UI"/>
        </w:rPr>
        <w:t>s</w:t>
      </w:r>
      <w:r w:rsidR="005B51F3" w:rsidRPr="00910611">
        <w:rPr>
          <w:rFonts w:eastAsia="Calibri" w:cs="Segoe UI"/>
        </w:rPr>
        <w:t xml:space="preserve">, a mechanism to recognise the additional benefit of therapies to First Nations people for the priority health areas listed under the </w:t>
      </w:r>
      <w:hyperlink r:id="rId19" w:history="1">
        <w:r w:rsidR="005B51F3" w:rsidRPr="00EF063E">
          <w:rPr>
            <w:rStyle w:val="Hyperlink"/>
            <w:rFonts w:eastAsia="Calibri" w:cs="Segoe UI"/>
            <w:i/>
            <w:iCs/>
          </w:rPr>
          <w:t xml:space="preserve">National </w:t>
        </w:r>
        <w:r w:rsidR="00D87A27" w:rsidRPr="00EF063E">
          <w:rPr>
            <w:rStyle w:val="Hyperlink"/>
            <w:rFonts w:eastAsia="Calibri" w:cs="Segoe UI"/>
            <w:i/>
            <w:iCs/>
          </w:rPr>
          <w:t xml:space="preserve">Agreement on </w:t>
        </w:r>
        <w:r w:rsidR="005B51F3" w:rsidRPr="00EF063E">
          <w:rPr>
            <w:rStyle w:val="Hyperlink"/>
            <w:rFonts w:eastAsia="Calibri" w:cs="Segoe UI"/>
            <w:i/>
            <w:iCs/>
          </w:rPr>
          <w:t>Closing the Gap</w:t>
        </w:r>
        <w:r w:rsidR="00D87A27" w:rsidRPr="00EF063E">
          <w:rPr>
            <w:rStyle w:val="Hyperlink"/>
            <w:rFonts w:eastAsia="Calibri" w:cs="Segoe UI"/>
            <w:i/>
            <w:iCs/>
          </w:rPr>
          <w:t xml:space="preserve"> (2020)</w:t>
        </w:r>
      </w:hyperlink>
    </w:p>
    <w:p w14:paraId="4410BB1D" w14:textId="676244D7" w:rsidR="005B51F3" w:rsidRPr="00824739" w:rsidRDefault="00EF063E" w:rsidP="00281153">
      <w:pPr>
        <w:pStyle w:val="ListParagraph"/>
        <w:numPr>
          <w:ilvl w:val="0"/>
          <w:numId w:val="132"/>
        </w:numPr>
        <w:spacing w:after="0"/>
        <w:contextualSpacing w:val="0"/>
        <w:rPr>
          <w:rFonts w:ascii="Calibri" w:eastAsia="Calibri" w:hAnsi="Calibri" w:cs="Calibri"/>
          <w:sz w:val="22"/>
          <w:szCs w:val="22"/>
        </w:rPr>
      </w:pPr>
      <w:r>
        <w:rPr>
          <w:rFonts w:eastAsia="Calibri" w:cs="Segoe UI"/>
        </w:rPr>
        <w:t>d</w:t>
      </w:r>
      <w:r w:rsidR="005B51F3" w:rsidRPr="00910611">
        <w:rPr>
          <w:rFonts w:eastAsia="Calibri" w:cs="Segoe UI"/>
        </w:rPr>
        <w:t xml:space="preserve">evelop </w:t>
      </w:r>
      <w:r w:rsidR="005B51F3">
        <w:rPr>
          <w:rFonts w:eastAsia="Calibri" w:cs="Segoe UI"/>
        </w:rPr>
        <w:t xml:space="preserve">First Nations </w:t>
      </w:r>
      <w:r w:rsidR="004017AD">
        <w:rPr>
          <w:rFonts w:eastAsia="Calibri" w:cs="Segoe UI"/>
        </w:rPr>
        <w:t xml:space="preserve">HTA </w:t>
      </w:r>
      <w:r w:rsidR="005B51F3" w:rsidRPr="00910611">
        <w:rPr>
          <w:rFonts w:eastAsia="Calibri" w:cs="Segoe UI"/>
        </w:rPr>
        <w:t>criteria</w:t>
      </w:r>
      <w:r w:rsidR="005B51F3">
        <w:rPr>
          <w:rFonts w:eastAsia="Calibri" w:cs="Segoe UI"/>
        </w:rPr>
        <w:t>. This would</w:t>
      </w:r>
      <w:r w:rsidR="005B51F3" w:rsidRPr="00910611">
        <w:rPr>
          <w:rFonts w:eastAsia="Calibri" w:cs="Segoe UI"/>
        </w:rPr>
        <w:t xml:space="preserve"> support timely listing of medicines </w:t>
      </w:r>
      <w:r>
        <w:rPr>
          <w:rFonts w:eastAsia="Calibri" w:cs="Segoe UI"/>
        </w:rPr>
        <w:t>with</w:t>
      </w:r>
      <w:r w:rsidR="005B51F3" w:rsidRPr="00910611">
        <w:rPr>
          <w:rFonts w:eastAsia="Calibri" w:cs="Segoe UI"/>
        </w:rPr>
        <w:t xml:space="preserve"> specific health benefits for First Nations peo</w:t>
      </w:r>
      <w:r w:rsidR="005B51F3" w:rsidRPr="3951C882">
        <w:rPr>
          <w:rFonts w:eastAsiaTheme="minorEastAsia" w:cs="Segoe UI"/>
        </w:rPr>
        <w:t>ple. This could include fit</w:t>
      </w:r>
      <w:r w:rsidR="00741284">
        <w:rPr>
          <w:rFonts w:eastAsiaTheme="minorEastAsia" w:cs="Segoe UI"/>
        </w:rPr>
        <w:t>-</w:t>
      </w:r>
      <w:r w:rsidR="005B51F3" w:rsidRPr="3951C882">
        <w:rPr>
          <w:rFonts w:eastAsiaTheme="minorEastAsia" w:cs="Segoe UI"/>
        </w:rPr>
        <w:t>for</w:t>
      </w:r>
      <w:r w:rsidR="00741284">
        <w:rPr>
          <w:rFonts w:eastAsiaTheme="minorEastAsia" w:cs="Segoe UI"/>
        </w:rPr>
        <w:t>-</w:t>
      </w:r>
      <w:r w:rsidR="005B51F3" w:rsidRPr="3951C882">
        <w:rPr>
          <w:rFonts w:eastAsiaTheme="minorEastAsia" w:cs="Segoe UI"/>
        </w:rPr>
        <w:t xml:space="preserve">purpose criteria </w:t>
      </w:r>
      <w:r w:rsidR="005B51F3" w:rsidRPr="2666502C">
        <w:rPr>
          <w:rFonts w:eastAsiaTheme="minorEastAsia" w:cs="Segoe UI"/>
        </w:rPr>
        <w:t>to</w:t>
      </w:r>
      <w:r w:rsidR="005B51F3" w:rsidRPr="09768D73">
        <w:rPr>
          <w:rFonts w:eastAsiaTheme="minorEastAsia" w:cs="Segoe UI"/>
        </w:rPr>
        <w:t xml:space="preserve"> </w:t>
      </w:r>
      <w:r w:rsidR="005B51F3" w:rsidRPr="3951C882">
        <w:rPr>
          <w:rFonts w:eastAsiaTheme="minorEastAsia" w:cs="Segoe UI"/>
        </w:rPr>
        <w:t>allow decisions to be made on a range of population health outcomes</w:t>
      </w:r>
      <w:r>
        <w:rPr>
          <w:rFonts w:eastAsiaTheme="minorEastAsia" w:cs="Segoe UI"/>
        </w:rPr>
        <w:t>,</w:t>
      </w:r>
      <w:r w:rsidR="005B51F3" w:rsidRPr="3951C882">
        <w:rPr>
          <w:rFonts w:eastAsiaTheme="minorEastAsia" w:cs="Segoe UI"/>
        </w:rPr>
        <w:t xml:space="preserve"> not just one clinical end</w:t>
      </w:r>
      <w:r w:rsidR="005667E7">
        <w:rPr>
          <w:rFonts w:eastAsiaTheme="minorEastAsia" w:cs="Segoe UI"/>
        </w:rPr>
        <w:t xml:space="preserve"> </w:t>
      </w:r>
      <w:r w:rsidR="005B51F3" w:rsidRPr="3951C882">
        <w:rPr>
          <w:rFonts w:eastAsiaTheme="minorEastAsia" w:cs="Segoe UI"/>
        </w:rPr>
        <w:t>point</w:t>
      </w:r>
    </w:p>
    <w:p w14:paraId="50E71E27" w14:textId="3FF7D89B" w:rsidR="005B51F3" w:rsidRPr="00910611" w:rsidRDefault="00EF063E" w:rsidP="00281153">
      <w:pPr>
        <w:pStyle w:val="ListParagraph"/>
        <w:numPr>
          <w:ilvl w:val="0"/>
          <w:numId w:val="132"/>
        </w:numPr>
        <w:spacing w:after="0"/>
        <w:rPr>
          <w:rFonts w:eastAsia="Calibri" w:cs="Segoe UI"/>
        </w:rPr>
      </w:pPr>
      <w:r>
        <w:rPr>
          <w:rFonts w:eastAsia="Calibri" w:cs="Segoe UI"/>
        </w:rPr>
        <w:t>r</w:t>
      </w:r>
      <w:r w:rsidR="005B51F3">
        <w:rPr>
          <w:rFonts w:eastAsia="Calibri" w:cs="Segoe UI"/>
        </w:rPr>
        <w:t xml:space="preserve">esource </w:t>
      </w:r>
      <w:r w:rsidR="005B51F3" w:rsidRPr="00910611">
        <w:rPr>
          <w:rFonts w:eastAsia="Calibri" w:cs="Segoe UI"/>
        </w:rPr>
        <w:t>the Department of Health and Aged Care to assist organisations representing First Nations people to submit and engage in HTA submissions. This would include providing education</w:t>
      </w:r>
      <w:r w:rsidR="005B51F3">
        <w:rPr>
          <w:rFonts w:eastAsia="Calibri" w:cs="Segoe UI"/>
        </w:rPr>
        <w:t xml:space="preserve">, </w:t>
      </w:r>
      <w:r w:rsidR="005B51F3" w:rsidRPr="00910611">
        <w:rPr>
          <w:rFonts w:eastAsia="Calibri" w:cs="Segoe UI"/>
        </w:rPr>
        <w:t xml:space="preserve">support </w:t>
      </w:r>
      <w:r w:rsidR="005B51F3">
        <w:rPr>
          <w:rFonts w:eastAsia="Calibri" w:cs="Segoe UI"/>
        </w:rPr>
        <w:t>and funding to organisations</w:t>
      </w:r>
      <w:r w:rsidR="005B51F3" w:rsidRPr="00910611">
        <w:rPr>
          <w:rFonts w:eastAsia="Calibri" w:cs="Segoe UI"/>
        </w:rPr>
        <w:t xml:space="preserve"> to develop submissions</w:t>
      </w:r>
      <w:r w:rsidR="005B51F3" w:rsidRPr="002A0B3D">
        <w:rPr>
          <w:rFonts w:eastAsia="Calibri" w:cs="Segoe UI"/>
        </w:rPr>
        <w:t xml:space="preserve"> </w:t>
      </w:r>
      <w:r w:rsidR="005B51F3" w:rsidRPr="00B61FDC">
        <w:rPr>
          <w:rFonts w:eastAsia="Calibri" w:cs="Segoe UI"/>
        </w:rPr>
        <w:t xml:space="preserve">and be set out in the </w:t>
      </w:r>
      <w:r w:rsidR="00A3304E" w:rsidRPr="00B61FDC">
        <w:rPr>
          <w:rFonts w:eastAsia="Calibri" w:cs="Segoe UI"/>
          <w:i/>
        </w:rPr>
        <w:t xml:space="preserve">Stakeholder </w:t>
      </w:r>
      <w:r w:rsidR="005B51F3" w:rsidRPr="00B61FDC">
        <w:rPr>
          <w:rFonts w:eastAsia="Calibri" w:cs="Segoe UI"/>
          <w:i/>
        </w:rPr>
        <w:t>Engagement Framework</w:t>
      </w:r>
      <w:r w:rsidR="005B51F3" w:rsidRPr="00B61FDC">
        <w:rPr>
          <w:rFonts w:eastAsia="Calibri" w:cs="Segoe UI"/>
        </w:rPr>
        <w:t xml:space="preserve"> (</w:t>
      </w:r>
      <w:r w:rsidR="00185D04" w:rsidRPr="00B61FDC">
        <w:rPr>
          <w:rFonts w:eastAsia="Calibri" w:cs="Segoe UI"/>
        </w:rPr>
        <w:t>See Chapter 6.2</w:t>
      </w:r>
      <w:r w:rsidR="005B51F3" w:rsidRPr="00B61FDC">
        <w:rPr>
          <w:rFonts w:eastAsia="Calibri" w:cs="Segoe UI"/>
        </w:rPr>
        <w:t>).</w:t>
      </w:r>
    </w:p>
    <w:p w14:paraId="3FBDD7F3" w14:textId="128F4FE1" w:rsidR="005B51F3" w:rsidRPr="00D57B76" w:rsidRDefault="005B51F3" w:rsidP="00B2070F">
      <w:pPr>
        <w:pStyle w:val="Heading2"/>
      </w:pPr>
      <w:bookmarkStart w:id="132" w:name="_Toc171935868"/>
      <w:r w:rsidRPr="00831930">
        <w:t xml:space="preserve">Chapter </w:t>
      </w:r>
      <w:r w:rsidR="00E74923">
        <w:t>3</w:t>
      </w:r>
      <w:r w:rsidRPr="00831930">
        <w:t>.</w:t>
      </w:r>
      <w:r>
        <w:t>2</w:t>
      </w:r>
      <w:r w:rsidRPr="00831930">
        <w:t xml:space="preserve">: </w:t>
      </w:r>
      <w:r>
        <w:t>Improving access to medicines for paediatric patients</w:t>
      </w:r>
      <w:bookmarkEnd w:id="132"/>
      <w:r>
        <w:t xml:space="preserve"> </w:t>
      </w:r>
    </w:p>
    <w:p w14:paraId="0436C871" w14:textId="77777777" w:rsidR="004A395F" w:rsidRPr="00621C17" w:rsidRDefault="004A395F" w:rsidP="00A318F7">
      <w:pPr>
        <w:pStyle w:val="Heading3"/>
      </w:pPr>
      <w:r>
        <w:t>Introduction and context</w:t>
      </w:r>
    </w:p>
    <w:p w14:paraId="6A700134" w14:textId="59756A49" w:rsidR="005B51F3" w:rsidRDefault="005B51F3" w:rsidP="00405FD7">
      <w:pPr>
        <w:rPr>
          <w:rFonts w:eastAsia="Calibri"/>
        </w:rPr>
      </w:pPr>
      <w:r w:rsidRPr="00831930">
        <w:rPr>
          <w:rFonts w:eastAsia="Calibri"/>
        </w:rPr>
        <w:t>The</w:t>
      </w:r>
      <w:r>
        <w:rPr>
          <w:rFonts w:eastAsia="Calibri"/>
        </w:rPr>
        <w:t>re is a lack of therapies for paediatric patients. This is mainly attributed to challenges g</w:t>
      </w:r>
      <w:r w:rsidRPr="000C576B">
        <w:t xml:space="preserve">enerating clinical data </w:t>
      </w:r>
      <w:r w:rsidR="00263ED4">
        <w:t>on</w:t>
      </w:r>
      <w:r w:rsidR="00263ED4" w:rsidRPr="000C576B">
        <w:t xml:space="preserve"> </w:t>
      </w:r>
      <w:r w:rsidRPr="000C576B">
        <w:t xml:space="preserve">paediatric patients for regulatory approval and consequently reimbursement. </w:t>
      </w:r>
      <w:r>
        <w:t xml:space="preserve">The </w:t>
      </w:r>
      <w:r w:rsidRPr="00A84F2D">
        <w:t xml:space="preserve">return on investment for paediatric indications often </w:t>
      </w:r>
      <w:r w:rsidR="001D1C85">
        <w:lastRenderedPageBreak/>
        <w:t>does not</w:t>
      </w:r>
      <w:r w:rsidR="001D1C85" w:rsidRPr="00A84F2D">
        <w:t xml:space="preserve"> </w:t>
      </w:r>
      <w:r w:rsidRPr="00A84F2D">
        <w:t xml:space="preserve">offset </w:t>
      </w:r>
      <w:r w:rsidR="00263ED4">
        <w:t xml:space="preserve">the </w:t>
      </w:r>
      <w:r w:rsidRPr="00A84F2D">
        <w:t xml:space="preserve">costs associated with the complexities </w:t>
      </w:r>
      <w:r w:rsidR="00666F3D">
        <w:t>relating</w:t>
      </w:r>
      <w:r w:rsidRPr="00A84F2D">
        <w:t xml:space="preserve"> clinical </w:t>
      </w:r>
      <w:r>
        <w:t xml:space="preserve">trials for paediatric patients. This is </w:t>
      </w:r>
      <w:r w:rsidR="005235BB">
        <w:t>a barrier to</w:t>
      </w:r>
      <w:r>
        <w:t xml:space="preserve"> the development and listing of specific medicines for paediatrics patients. </w:t>
      </w:r>
    </w:p>
    <w:p w14:paraId="65EB1DE7" w14:textId="19296A88" w:rsidR="005B51F3" w:rsidRPr="00831930" w:rsidRDefault="005B51F3" w:rsidP="00405FD7">
      <w:pPr>
        <w:rPr>
          <w:rFonts w:eastAsia="Calibri"/>
        </w:rPr>
      </w:pPr>
      <w:r w:rsidRPr="00831930">
        <w:rPr>
          <w:rFonts w:eastAsia="Calibri"/>
        </w:rPr>
        <w:t xml:space="preserve">Chapter </w:t>
      </w:r>
      <w:r w:rsidR="007402CE">
        <w:rPr>
          <w:rFonts w:eastAsia="Calibri"/>
        </w:rPr>
        <w:t>3</w:t>
      </w:r>
      <w:r w:rsidRPr="00831930">
        <w:rPr>
          <w:rFonts w:eastAsia="Calibri"/>
        </w:rPr>
        <w:t>.</w:t>
      </w:r>
      <w:r>
        <w:rPr>
          <w:rFonts w:eastAsia="Calibri"/>
        </w:rPr>
        <w:t>2</w:t>
      </w:r>
      <w:r w:rsidRPr="00831930">
        <w:rPr>
          <w:rFonts w:eastAsia="Calibri"/>
        </w:rPr>
        <w:t xml:space="preserve"> explains the Review’s consideration of these issues and recommendations </w:t>
      </w:r>
      <w:r>
        <w:rPr>
          <w:rFonts w:eastAsia="Calibri"/>
        </w:rPr>
        <w:t>to</w:t>
      </w:r>
      <w:r w:rsidRPr="00831930">
        <w:rPr>
          <w:rFonts w:eastAsia="Calibri"/>
        </w:rPr>
        <w:t xml:space="preserve"> create more equitable access for paediatric patients.</w:t>
      </w:r>
    </w:p>
    <w:p w14:paraId="44907E96" w14:textId="50E6D955" w:rsidR="005B51F3" w:rsidRDefault="005B51F3" w:rsidP="005B51F3">
      <w:pPr>
        <w:rPr>
          <w:rFonts w:eastAsia="Calibri"/>
        </w:rPr>
      </w:pPr>
      <w:r w:rsidRPr="00831930">
        <w:rPr>
          <w:rFonts w:eastAsia="Calibri"/>
        </w:rPr>
        <w:t>As most submissions to the PBAC are for medicines to treat adult patients, listings specific to paediatric patients comprise a small proportion of the PBS. Clinical trials are often complex and expensive</w:t>
      </w:r>
      <w:r>
        <w:rPr>
          <w:rFonts w:eastAsia="Calibri"/>
        </w:rPr>
        <w:t>.</w:t>
      </w:r>
      <w:r w:rsidRPr="00831930">
        <w:rPr>
          <w:rFonts w:eastAsia="Calibri"/>
        </w:rPr>
        <w:t xml:space="preserve"> </w:t>
      </w:r>
      <w:r>
        <w:rPr>
          <w:rFonts w:eastAsia="Calibri"/>
        </w:rPr>
        <w:t>T</w:t>
      </w:r>
      <w:r w:rsidRPr="00831930">
        <w:rPr>
          <w:rFonts w:eastAsia="Calibri"/>
        </w:rPr>
        <w:t>rials in paediatric patients are associated with additional challenges including ethical considerations, a smaller pool of eligible participants</w:t>
      </w:r>
      <w:r w:rsidR="00861933">
        <w:rPr>
          <w:rFonts w:eastAsia="Calibri"/>
        </w:rPr>
        <w:t>,</w:t>
      </w:r>
      <w:r w:rsidRPr="00831930" w:rsidDel="00861933">
        <w:rPr>
          <w:rFonts w:eastAsia="Calibri"/>
        </w:rPr>
        <w:t xml:space="preserve"> </w:t>
      </w:r>
      <w:r w:rsidRPr="00831930">
        <w:rPr>
          <w:rFonts w:eastAsia="Calibri"/>
        </w:rPr>
        <w:t>required adaptations to protocols</w:t>
      </w:r>
      <w:r w:rsidR="00861933">
        <w:rPr>
          <w:rFonts w:eastAsia="Calibri"/>
        </w:rPr>
        <w:t>,</w:t>
      </w:r>
      <w:r w:rsidRPr="00831930">
        <w:rPr>
          <w:rFonts w:eastAsia="Calibri"/>
        </w:rPr>
        <w:t xml:space="preserve"> and additional research infrastructure to accommodate children’s development. Consequently, the return on investment for paediatric therapies and paediatric indications </w:t>
      </w:r>
      <w:r w:rsidR="00861933">
        <w:rPr>
          <w:rFonts w:eastAsia="Calibri"/>
        </w:rPr>
        <w:t>is</w:t>
      </w:r>
      <w:r w:rsidRPr="00831930">
        <w:rPr>
          <w:rFonts w:eastAsia="Calibri"/>
        </w:rPr>
        <w:t xml:space="preserve"> often inadequate to offset </w:t>
      </w:r>
      <w:r w:rsidR="00861933">
        <w:rPr>
          <w:rFonts w:eastAsia="Calibri"/>
        </w:rPr>
        <w:t xml:space="preserve">the </w:t>
      </w:r>
      <w:r w:rsidRPr="00831930">
        <w:rPr>
          <w:rFonts w:eastAsia="Calibri"/>
        </w:rPr>
        <w:t xml:space="preserve">costs associated with their development and </w:t>
      </w:r>
      <w:r w:rsidR="00483FA5">
        <w:rPr>
          <w:rFonts w:eastAsia="Calibri"/>
        </w:rPr>
        <w:t>approval</w:t>
      </w:r>
      <w:r w:rsidR="00861933">
        <w:rPr>
          <w:rFonts w:eastAsia="Calibri"/>
        </w:rPr>
        <w:t>,</w:t>
      </w:r>
      <w:r w:rsidRPr="00831930">
        <w:rPr>
          <w:rFonts w:eastAsia="Calibri"/>
        </w:rPr>
        <w:t xml:space="preserve"> and the</w:t>
      </w:r>
      <w:r w:rsidR="00861933">
        <w:rPr>
          <w:rFonts w:eastAsia="Calibri"/>
        </w:rPr>
        <w:t>y</w:t>
      </w:r>
      <w:r w:rsidRPr="00831930">
        <w:rPr>
          <w:rFonts w:eastAsia="Calibri"/>
        </w:rPr>
        <w:t xml:space="preserve"> represent a much smaller market for pharmaceutical sponsors.</w:t>
      </w:r>
    </w:p>
    <w:p w14:paraId="7655287D" w14:textId="164B915F" w:rsidR="005B51F3" w:rsidRPr="000C5623" w:rsidRDefault="005B51F3" w:rsidP="005B51F3">
      <w:pPr>
        <w:rPr>
          <w:rFonts w:eastAsia="Calibri"/>
        </w:rPr>
      </w:pPr>
      <w:r w:rsidRPr="00831930">
        <w:rPr>
          <w:rFonts w:eastAsia="Calibri"/>
        </w:rPr>
        <w:t xml:space="preserve">During </w:t>
      </w:r>
      <w:r w:rsidRPr="000C5623">
        <w:rPr>
          <w:rFonts w:eastAsia="Calibri"/>
        </w:rPr>
        <w:t>The New Frontier</w:t>
      </w:r>
      <w:r w:rsidRPr="00831930">
        <w:rPr>
          <w:rFonts w:eastAsia="Calibri"/>
          <w:i/>
          <w:iCs/>
        </w:rPr>
        <w:t xml:space="preserve"> </w:t>
      </w:r>
      <w:r w:rsidR="00A620E4">
        <w:rPr>
          <w:rFonts w:eastAsia="Calibri"/>
        </w:rPr>
        <w:t>i</w:t>
      </w:r>
      <w:r w:rsidRPr="00405FD7">
        <w:rPr>
          <w:rFonts w:eastAsia="Calibri"/>
        </w:rPr>
        <w:t>nquiry</w:t>
      </w:r>
      <w:r w:rsidRPr="00831930">
        <w:rPr>
          <w:rFonts w:eastAsia="Calibri"/>
        </w:rPr>
        <w:t xml:space="preserve">, stakeholders expressed that more incentives </w:t>
      </w:r>
      <w:r w:rsidR="00861933">
        <w:rPr>
          <w:rFonts w:eastAsia="Calibri"/>
        </w:rPr>
        <w:t>we</w:t>
      </w:r>
      <w:r w:rsidRPr="00831930">
        <w:rPr>
          <w:rFonts w:eastAsia="Calibri"/>
        </w:rPr>
        <w:t>re required to increase the number of therapies to treat diseases in smaller populations</w:t>
      </w:r>
      <w:r w:rsidR="00861933">
        <w:rPr>
          <w:rFonts w:eastAsia="Calibri"/>
        </w:rPr>
        <w:t>,</w:t>
      </w:r>
      <w:r w:rsidRPr="00831930">
        <w:rPr>
          <w:rFonts w:eastAsia="Calibri"/>
        </w:rPr>
        <w:t xml:space="preserve"> such as</w:t>
      </w:r>
      <w:r w:rsidRPr="00831930" w:rsidDel="00861933">
        <w:rPr>
          <w:rFonts w:eastAsia="Calibri"/>
        </w:rPr>
        <w:t xml:space="preserve"> </w:t>
      </w:r>
      <w:r w:rsidRPr="00831930">
        <w:rPr>
          <w:rFonts w:eastAsia="Calibri"/>
        </w:rPr>
        <w:t>paediatric patients</w:t>
      </w:r>
      <w:r w:rsidR="00861933">
        <w:rPr>
          <w:rFonts w:eastAsia="Calibri"/>
        </w:rPr>
        <w:t>,</w:t>
      </w:r>
      <w:r w:rsidRPr="00831930">
        <w:rPr>
          <w:rFonts w:eastAsia="Calibri"/>
        </w:rPr>
        <w:t xml:space="preserve"> and noted that challenges with conducting clinical trials </w:t>
      </w:r>
      <w:r w:rsidR="00861933">
        <w:rPr>
          <w:rFonts w:eastAsia="Calibri"/>
        </w:rPr>
        <w:t>wa</w:t>
      </w:r>
      <w:r w:rsidRPr="00831930">
        <w:rPr>
          <w:rFonts w:eastAsia="Calibri"/>
        </w:rPr>
        <w:t xml:space="preserve">s a major barrier in the approval of new drugs </w:t>
      </w:r>
      <w:r w:rsidR="00861933">
        <w:rPr>
          <w:rFonts w:eastAsia="Calibri"/>
        </w:rPr>
        <w:t>for</w:t>
      </w:r>
      <w:r w:rsidR="00861933" w:rsidRPr="00831930">
        <w:rPr>
          <w:rFonts w:eastAsia="Calibri"/>
        </w:rPr>
        <w:t xml:space="preserve"> </w:t>
      </w:r>
      <w:r w:rsidRPr="00831930">
        <w:rPr>
          <w:rFonts w:eastAsia="Calibri"/>
        </w:rPr>
        <w:t>these populations</w:t>
      </w:r>
      <w:r w:rsidR="0034190D">
        <w:rPr>
          <w:rFonts w:eastAsia="Calibri"/>
        </w:rPr>
        <w:t>.</w:t>
      </w:r>
      <w:r w:rsidRPr="00831930">
        <w:rPr>
          <w:rFonts w:eastAsia="Calibri"/>
          <w:vertAlign w:val="superscript"/>
        </w:rPr>
        <w:footnoteReference w:id="35"/>
      </w:r>
      <w:r w:rsidRPr="00831930">
        <w:rPr>
          <w:rFonts w:eastAsia="Calibri"/>
        </w:rPr>
        <w:t xml:space="preserve"> </w:t>
      </w:r>
      <w:r w:rsidRPr="000C5623">
        <w:rPr>
          <w:rFonts w:eastAsia="Calibri"/>
        </w:rPr>
        <w:t xml:space="preserve">The </w:t>
      </w:r>
      <w:r w:rsidR="0034190D">
        <w:rPr>
          <w:rFonts w:eastAsia="Calibri"/>
        </w:rPr>
        <w:t>i</w:t>
      </w:r>
      <w:r w:rsidRPr="00405FD7">
        <w:rPr>
          <w:rFonts w:eastAsia="Calibri"/>
        </w:rPr>
        <w:t>nquiry</w:t>
      </w:r>
      <w:r w:rsidRPr="00831930">
        <w:rPr>
          <w:rFonts w:eastAsia="Calibri"/>
        </w:rPr>
        <w:t xml:space="preserve"> recommended that the </w:t>
      </w:r>
      <w:r w:rsidRPr="00391BF2">
        <w:rPr>
          <w:rFonts w:eastAsia="Calibri"/>
        </w:rPr>
        <w:t>Review</w:t>
      </w:r>
      <w:r w:rsidRPr="00831930">
        <w:rPr>
          <w:rFonts w:eastAsia="Calibri"/>
        </w:rPr>
        <w:t xml:space="preserve"> reassess relevant aspects of HTA process</w:t>
      </w:r>
      <w:r w:rsidR="00C6786F">
        <w:rPr>
          <w:rFonts w:eastAsia="Calibri"/>
        </w:rPr>
        <w:t>es</w:t>
      </w:r>
      <w:r w:rsidRPr="00831930">
        <w:rPr>
          <w:rFonts w:eastAsia="Calibri"/>
        </w:rPr>
        <w:t xml:space="preserve"> to ensure there are future pathways for treatments and therapies that do not fit neatly into the current system</w:t>
      </w:r>
      <w:r w:rsidR="00A620E4">
        <w:rPr>
          <w:rFonts w:eastAsia="Calibri"/>
        </w:rPr>
        <w:t>. It also said,</w:t>
      </w:r>
      <w:r w:rsidRPr="00831930">
        <w:rPr>
          <w:rFonts w:eastAsia="Calibri"/>
        </w:rPr>
        <w:t xml:space="preserve"> </w:t>
      </w:r>
      <w:r w:rsidR="00A620E4">
        <w:rPr>
          <w:rFonts w:eastAsia="Calibri"/>
        </w:rPr>
        <w:t>‘</w:t>
      </w:r>
      <w:r w:rsidRPr="000C5623">
        <w:rPr>
          <w:rFonts w:eastAsia="Calibri"/>
        </w:rPr>
        <w:t xml:space="preserve">It is imperative that appropriate clear pathways are considered for inclusion for paediatric medicines and </w:t>
      </w:r>
      <w:proofErr w:type="gramStart"/>
      <w:r w:rsidRPr="000C5623">
        <w:rPr>
          <w:rFonts w:eastAsia="Calibri"/>
        </w:rPr>
        <w:t>technologies</w:t>
      </w:r>
      <w:r w:rsidR="00A620E4">
        <w:rPr>
          <w:rFonts w:eastAsia="Calibri"/>
        </w:rPr>
        <w:t>’</w:t>
      </w:r>
      <w:proofErr w:type="gramEnd"/>
      <w:r w:rsidR="00A620E4">
        <w:rPr>
          <w:rFonts w:eastAsia="Calibri"/>
        </w:rPr>
        <w:t>.</w:t>
      </w:r>
      <w:r w:rsidRPr="00831930">
        <w:rPr>
          <w:rFonts w:eastAsia="Calibri"/>
          <w:vertAlign w:val="superscript"/>
        </w:rPr>
        <w:footnoteReference w:id="36"/>
      </w:r>
    </w:p>
    <w:p w14:paraId="3BFF481C" w14:textId="087B53A1" w:rsidR="005B51F3" w:rsidRPr="00831930" w:rsidRDefault="005B51F3" w:rsidP="005B51F3">
      <w:pPr>
        <w:rPr>
          <w:rFonts w:eastAsia="Calibri"/>
        </w:rPr>
      </w:pPr>
      <w:r>
        <w:rPr>
          <w:rFonts w:eastAsia="Calibri"/>
        </w:rPr>
        <w:t>When recommending medicines for listing</w:t>
      </w:r>
      <w:r w:rsidR="00861933">
        <w:rPr>
          <w:rFonts w:eastAsia="Calibri"/>
        </w:rPr>
        <w:t>,</w:t>
      </w:r>
      <w:r>
        <w:rPr>
          <w:rFonts w:eastAsia="Calibri"/>
        </w:rPr>
        <w:t xml:space="preserve"> th</w:t>
      </w:r>
      <w:r w:rsidRPr="00831930">
        <w:rPr>
          <w:rFonts w:eastAsia="Calibri"/>
        </w:rPr>
        <w:t xml:space="preserve">e PBAC accepts that products included in the </w:t>
      </w:r>
      <w:r w:rsidR="00861933" w:rsidRPr="000C5623">
        <w:rPr>
          <w:rFonts w:eastAsia="Calibri"/>
        </w:rPr>
        <w:t>Australian Register of Therapeutic Goods</w:t>
      </w:r>
      <w:r w:rsidR="00861933" w:rsidRPr="00831930">
        <w:rPr>
          <w:rFonts w:eastAsia="Calibri"/>
        </w:rPr>
        <w:t xml:space="preserve"> </w:t>
      </w:r>
      <w:r w:rsidR="00861933">
        <w:rPr>
          <w:rFonts w:eastAsia="Calibri"/>
        </w:rPr>
        <w:t>(</w:t>
      </w:r>
      <w:r w:rsidRPr="00831930">
        <w:rPr>
          <w:rFonts w:eastAsia="Calibri"/>
        </w:rPr>
        <w:t>ARTG</w:t>
      </w:r>
      <w:r w:rsidR="00861933">
        <w:rPr>
          <w:rFonts w:eastAsia="Calibri"/>
        </w:rPr>
        <w:t>)</w:t>
      </w:r>
      <w:r w:rsidRPr="00831930">
        <w:rPr>
          <w:rFonts w:eastAsia="Calibri"/>
        </w:rPr>
        <w:t xml:space="preserve"> have adequate safety and efficacy to allow marketing in Australia for the specific therapeutic indications for which they are TGA</w:t>
      </w:r>
      <w:r w:rsidR="000C0764">
        <w:rPr>
          <w:rFonts w:eastAsia="Calibri"/>
        </w:rPr>
        <w:t>-</w:t>
      </w:r>
      <w:r w:rsidRPr="00831930">
        <w:rPr>
          <w:rFonts w:eastAsia="Calibri"/>
        </w:rPr>
        <w:t>registered</w:t>
      </w:r>
      <w:r>
        <w:rPr>
          <w:rFonts w:eastAsia="Calibri"/>
        </w:rPr>
        <w:t>. G</w:t>
      </w:r>
      <w:r w:rsidRPr="00831930">
        <w:rPr>
          <w:rFonts w:eastAsia="Calibri"/>
        </w:rPr>
        <w:t>enerally</w:t>
      </w:r>
      <w:r w:rsidR="00726F7E">
        <w:rPr>
          <w:rFonts w:eastAsia="Calibri"/>
        </w:rPr>
        <w:t>,</w:t>
      </w:r>
      <w:r w:rsidRPr="00831930">
        <w:rPr>
          <w:rFonts w:eastAsia="Calibri"/>
        </w:rPr>
        <w:t xml:space="preserve"> </w:t>
      </w:r>
      <w:r>
        <w:rPr>
          <w:rFonts w:eastAsia="Calibri"/>
        </w:rPr>
        <w:t xml:space="preserve">the PBAC </w:t>
      </w:r>
      <w:r w:rsidRPr="00831930">
        <w:rPr>
          <w:rFonts w:eastAsia="Calibri"/>
        </w:rPr>
        <w:t>will not recommend listing a product on the PBS for indications beyond those approved by the TGA. While the PBAC will not directly contradict TGA decisions, it has in instances omitted age from PBS restrictions</w:t>
      </w:r>
      <w:r w:rsidR="005D000A">
        <w:rPr>
          <w:rFonts w:eastAsia="Calibri"/>
        </w:rPr>
        <w:t>,</w:t>
      </w:r>
      <w:r w:rsidRPr="00831930">
        <w:rPr>
          <w:rFonts w:eastAsia="Calibri"/>
        </w:rPr>
        <w:t xml:space="preserve"> allowing broader access for children than </w:t>
      </w:r>
      <w:r w:rsidR="005D000A">
        <w:rPr>
          <w:rFonts w:eastAsia="Calibri"/>
        </w:rPr>
        <w:t xml:space="preserve">that </w:t>
      </w:r>
      <w:r w:rsidRPr="00831930">
        <w:rPr>
          <w:rFonts w:eastAsia="Calibri"/>
        </w:rPr>
        <w:t>approved by the TGA.</w:t>
      </w:r>
    </w:p>
    <w:p w14:paraId="4B7E2806" w14:textId="73EADA7D" w:rsidR="005B51F3" w:rsidRPr="00831930" w:rsidRDefault="006F4E25" w:rsidP="005B51F3">
      <w:pPr>
        <w:keepNext/>
        <w:keepLines/>
        <w:spacing w:before="40" w:after="0"/>
        <w:outlineLvl w:val="2"/>
        <w:rPr>
          <w:rFonts w:ascii="Segoe UI Light" w:eastAsia="Yu Gothic Light" w:hAnsi="Segoe UI Light" w:cs="Segoe UI"/>
          <w:color w:val="0E6C9B"/>
          <w:sz w:val="32"/>
          <w:szCs w:val="32"/>
        </w:rPr>
      </w:pPr>
      <w:r>
        <w:rPr>
          <w:rFonts w:ascii="Segoe UI Light" w:eastAsia="Yu Gothic Light" w:hAnsi="Segoe UI Light"/>
          <w:color w:val="0E6C9B"/>
          <w:sz w:val="36"/>
        </w:rPr>
        <w:t>Findings</w:t>
      </w:r>
    </w:p>
    <w:p w14:paraId="41D23D74" w14:textId="223D7D64" w:rsidR="005B51F3" w:rsidRPr="00831930" w:rsidRDefault="005B51F3" w:rsidP="005B51F3">
      <w:pPr>
        <w:rPr>
          <w:rFonts w:eastAsia="Calibri"/>
        </w:rPr>
      </w:pPr>
      <w:r w:rsidRPr="00831930">
        <w:rPr>
          <w:rFonts w:eastAsia="Calibri"/>
        </w:rPr>
        <w:t xml:space="preserve">Stakeholders noted that the proposed options for reform </w:t>
      </w:r>
      <w:r w:rsidR="005D000A">
        <w:rPr>
          <w:rFonts w:eastAsia="Calibri"/>
        </w:rPr>
        <w:t xml:space="preserve">contained </w:t>
      </w:r>
      <w:r w:rsidRPr="00831930">
        <w:rPr>
          <w:rFonts w:eastAsia="Calibri"/>
        </w:rPr>
        <w:t>in Consultation 2</w:t>
      </w:r>
      <w:r w:rsidR="000C0764">
        <w:rPr>
          <w:rFonts w:eastAsia="Calibri"/>
        </w:rPr>
        <w:t xml:space="preserve"> </w:t>
      </w:r>
      <w:r w:rsidRPr="00831930">
        <w:rPr>
          <w:rFonts w:eastAsia="Calibri"/>
        </w:rPr>
        <w:t>lack</w:t>
      </w:r>
      <w:r w:rsidR="005D000A">
        <w:rPr>
          <w:rFonts w:eastAsia="Calibri"/>
        </w:rPr>
        <w:t>ed</w:t>
      </w:r>
      <w:r w:rsidRPr="00831930">
        <w:rPr>
          <w:rFonts w:eastAsia="Calibri"/>
        </w:rPr>
        <w:t xml:space="preserve"> pathways and approaches to specifically improve access </w:t>
      </w:r>
      <w:r w:rsidR="000C0764">
        <w:rPr>
          <w:rFonts w:eastAsia="Calibri"/>
        </w:rPr>
        <w:t xml:space="preserve">to, </w:t>
      </w:r>
      <w:r w:rsidRPr="00831930">
        <w:rPr>
          <w:rFonts w:eastAsia="Calibri"/>
        </w:rPr>
        <w:t>and availability of</w:t>
      </w:r>
      <w:r w:rsidR="000C0764">
        <w:rPr>
          <w:rFonts w:eastAsia="Calibri"/>
        </w:rPr>
        <w:t>,</w:t>
      </w:r>
      <w:r w:rsidRPr="00831930">
        <w:rPr>
          <w:rFonts w:eastAsia="Calibri"/>
        </w:rPr>
        <w:t xml:space="preserve"> paediatric medicines</w:t>
      </w:r>
      <w:r w:rsidR="005D000A">
        <w:rPr>
          <w:rFonts w:eastAsia="Calibri"/>
        </w:rPr>
        <w:t>.</w:t>
      </w:r>
      <w:r w:rsidRPr="00831930">
        <w:rPr>
          <w:rFonts w:eastAsia="Calibri"/>
          <w:vertAlign w:val="superscript"/>
        </w:rPr>
        <w:footnoteReference w:id="37"/>
      </w:r>
      <w:r w:rsidRPr="00831930">
        <w:rPr>
          <w:rFonts w:eastAsia="Calibri"/>
        </w:rPr>
        <w:t xml:space="preserve"> However, stakeholders considered that certain proposed </w:t>
      </w:r>
      <w:r w:rsidRPr="00831930">
        <w:rPr>
          <w:rFonts w:eastAsia="Calibri"/>
        </w:rPr>
        <w:lastRenderedPageBreak/>
        <w:t>options</w:t>
      </w:r>
      <w:r w:rsidR="007E47A6">
        <w:rPr>
          <w:rFonts w:eastAsia="Calibri"/>
        </w:rPr>
        <w:t xml:space="preserve"> –</w:t>
      </w:r>
      <w:r w:rsidRPr="00831930">
        <w:rPr>
          <w:rFonts w:eastAsia="Calibri"/>
        </w:rPr>
        <w:t xml:space="preserve"> such as develop</w:t>
      </w:r>
      <w:r w:rsidR="00951E18">
        <w:rPr>
          <w:rFonts w:eastAsia="Calibri"/>
        </w:rPr>
        <w:t>ing</w:t>
      </w:r>
      <w:r w:rsidRPr="00831930">
        <w:rPr>
          <w:rFonts w:eastAsia="Calibri"/>
        </w:rPr>
        <w:t xml:space="preserve"> a priority list of areas </w:t>
      </w:r>
      <w:r w:rsidRPr="00732EC8">
        <w:rPr>
          <w:rFonts w:eastAsia="Calibri"/>
        </w:rPr>
        <w:t>of high unmet clinical need</w:t>
      </w:r>
      <w:r w:rsidR="0066114F">
        <w:rPr>
          <w:rFonts w:eastAsia="Calibri"/>
        </w:rPr>
        <w:t xml:space="preserve"> (HUCN)</w:t>
      </w:r>
      <w:r w:rsidRPr="00732EC8">
        <w:rPr>
          <w:rFonts w:eastAsia="Calibri"/>
        </w:rPr>
        <w:t>, proactive</w:t>
      </w:r>
      <w:r w:rsidR="007E47A6">
        <w:rPr>
          <w:rFonts w:eastAsia="Calibri"/>
        </w:rPr>
        <w:t>ly inviting and incentivising</w:t>
      </w:r>
      <w:r w:rsidRPr="00732EC8">
        <w:rPr>
          <w:rFonts w:eastAsia="Calibri"/>
        </w:rPr>
        <w:t xml:space="preserve"> sponsor submission</w:t>
      </w:r>
      <w:r w:rsidR="00951E18">
        <w:rPr>
          <w:rFonts w:eastAsia="Calibri"/>
        </w:rPr>
        <w:t>,</w:t>
      </w:r>
      <w:r w:rsidRPr="00831930">
        <w:rPr>
          <w:rFonts w:eastAsia="Calibri"/>
        </w:rPr>
        <w:t xml:space="preserve"> and </w:t>
      </w:r>
      <w:r w:rsidR="007E47A6">
        <w:rPr>
          <w:rFonts w:eastAsia="Calibri"/>
        </w:rPr>
        <w:t xml:space="preserve">arranging </w:t>
      </w:r>
      <w:r w:rsidRPr="00831930">
        <w:rPr>
          <w:rFonts w:eastAsia="Calibri"/>
        </w:rPr>
        <w:t xml:space="preserve">bridging funding for earlier access to therapies addressing </w:t>
      </w:r>
      <w:r w:rsidR="0066114F">
        <w:rPr>
          <w:rFonts w:eastAsia="Calibri"/>
        </w:rPr>
        <w:t>HUCN</w:t>
      </w:r>
      <w:r w:rsidR="007E47A6">
        <w:rPr>
          <w:rFonts w:eastAsia="Calibri"/>
        </w:rPr>
        <w:t xml:space="preserve"> –</w:t>
      </w:r>
      <w:r w:rsidRPr="00831930">
        <w:rPr>
          <w:rFonts w:eastAsia="Calibri"/>
        </w:rPr>
        <w:t xml:space="preserve"> may help to improve access to medicines for paediatric patients</w:t>
      </w:r>
      <w:r w:rsidR="007E47A6">
        <w:rPr>
          <w:rFonts w:eastAsia="Calibri"/>
        </w:rPr>
        <w:t>.</w:t>
      </w:r>
      <w:r w:rsidRPr="00831930">
        <w:rPr>
          <w:rFonts w:eastAsia="Calibri"/>
          <w:vertAlign w:val="superscript"/>
        </w:rPr>
        <w:footnoteReference w:id="38"/>
      </w:r>
    </w:p>
    <w:p w14:paraId="398C6BB9" w14:textId="53FBFD37" w:rsidR="005B51F3" w:rsidRPr="00831930" w:rsidRDefault="000727C6" w:rsidP="005B51F3">
      <w:pPr>
        <w:rPr>
          <w:rFonts w:eastAsia="Calibri"/>
        </w:rPr>
      </w:pPr>
      <w:r>
        <w:rPr>
          <w:rFonts w:eastAsia="Calibri"/>
        </w:rPr>
        <w:t>A</w:t>
      </w:r>
      <w:r w:rsidR="005B51F3" w:rsidRPr="00831930">
        <w:rPr>
          <w:rFonts w:eastAsia="Calibri"/>
        </w:rPr>
        <w:t>ge</w:t>
      </w:r>
      <w:r w:rsidR="008112DA">
        <w:rPr>
          <w:rFonts w:eastAsia="Calibri"/>
        </w:rPr>
        <w:t>-</w:t>
      </w:r>
      <w:r w:rsidR="005B51F3" w:rsidRPr="00831930">
        <w:rPr>
          <w:rFonts w:eastAsia="Calibri"/>
        </w:rPr>
        <w:t>agnostic PBS listings have not been applied in a systematic manner</w:t>
      </w:r>
      <w:r w:rsidR="008112DA">
        <w:rPr>
          <w:rFonts w:eastAsia="Calibri"/>
        </w:rPr>
        <w:t>,</w:t>
      </w:r>
      <w:r w:rsidR="005B51F3" w:rsidRPr="00831930">
        <w:rPr>
          <w:rFonts w:eastAsia="Calibri"/>
        </w:rPr>
        <w:t xml:space="preserve"> which </w:t>
      </w:r>
      <w:r w:rsidR="008112DA">
        <w:rPr>
          <w:rFonts w:eastAsia="Calibri"/>
        </w:rPr>
        <w:t>is</w:t>
      </w:r>
      <w:r w:rsidR="005B51F3" w:rsidRPr="00831930">
        <w:rPr>
          <w:rFonts w:eastAsia="Calibri"/>
        </w:rPr>
        <w:t xml:space="preserve"> likely </w:t>
      </w:r>
      <w:r w:rsidR="008112DA">
        <w:rPr>
          <w:rFonts w:eastAsia="Calibri"/>
        </w:rPr>
        <w:t xml:space="preserve">to have </w:t>
      </w:r>
      <w:r w:rsidR="005B51F3" w:rsidRPr="00831930">
        <w:rPr>
          <w:rFonts w:eastAsia="Calibri"/>
        </w:rPr>
        <w:t>contributed to unequal access for paediatric patients across the PBS.</w:t>
      </w:r>
    </w:p>
    <w:p w14:paraId="5B0D7737" w14:textId="775248B3" w:rsidR="005B51F3" w:rsidRPr="00831930" w:rsidRDefault="008112DA" w:rsidP="005B51F3">
      <w:pPr>
        <w:rPr>
          <w:rFonts w:eastAsia="Calibri"/>
        </w:rPr>
      </w:pPr>
      <w:r>
        <w:rPr>
          <w:rFonts w:eastAsia="Calibri"/>
        </w:rPr>
        <w:t>It was also</w:t>
      </w:r>
      <w:r w:rsidR="005B51F3" w:rsidRPr="00831930">
        <w:rPr>
          <w:rFonts w:eastAsia="Calibri"/>
        </w:rPr>
        <w:t xml:space="preserve"> noted that a lack of clinical trials in paediatric populations is a fundamental barrier to improving access for paediatric patients</w:t>
      </w:r>
      <w:r>
        <w:rPr>
          <w:rFonts w:eastAsia="Calibri"/>
        </w:rPr>
        <w:t>,</w:t>
      </w:r>
      <w:r w:rsidR="005B51F3" w:rsidRPr="00831930">
        <w:rPr>
          <w:rFonts w:eastAsia="Calibri"/>
        </w:rPr>
        <w:t xml:space="preserve"> though the policies and regulations </w:t>
      </w:r>
      <w:r>
        <w:rPr>
          <w:rFonts w:eastAsia="Calibri"/>
        </w:rPr>
        <w:t>that</w:t>
      </w:r>
      <w:r w:rsidRPr="00831930">
        <w:rPr>
          <w:rFonts w:eastAsia="Calibri"/>
        </w:rPr>
        <w:t xml:space="preserve"> </w:t>
      </w:r>
      <w:r w:rsidR="005B51F3" w:rsidRPr="00831930">
        <w:rPr>
          <w:rFonts w:eastAsia="Calibri"/>
        </w:rPr>
        <w:t>guide clinical trial development are beyond the scope of the Review.</w:t>
      </w:r>
    </w:p>
    <w:p w14:paraId="2EA35F1C" w14:textId="2C0018F5" w:rsidR="005B51F3" w:rsidRPr="00831930" w:rsidRDefault="002407C6" w:rsidP="005B51F3">
      <w:pPr>
        <w:rPr>
          <w:rFonts w:eastAsia="Calibri"/>
        </w:rPr>
      </w:pPr>
      <w:r>
        <w:rPr>
          <w:rFonts w:eastAsia="Calibri"/>
        </w:rPr>
        <w:t>G</w:t>
      </w:r>
      <w:r w:rsidR="005B51F3" w:rsidRPr="00831930">
        <w:rPr>
          <w:rFonts w:eastAsia="Calibri"/>
        </w:rPr>
        <w:t xml:space="preserve">iven the challenges in generating trial data in paediatric populations, obtaining regulatory approval may be difficult for pharmaceutical sponsors in many instances. </w:t>
      </w:r>
      <w:r>
        <w:rPr>
          <w:rFonts w:eastAsia="Calibri"/>
        </w:rPr>
        <w:t>And</w:t>
      </w:r>
      <w:r w:rsidR="005B51F3" w:rsidRPr="00831930">
        <w:rPr>
          <w:rFonts w:eastAsia="Calibri"/>
        </w:rPr>
        <w:t xml:space="preserve"> while the </w:t>
      </w:r>
      <w:r w:rsidR="008112DA">
        <w:rPr>
          <w:rFonts w:eastAsia="Calibri"/>
        </w:rPr>
        <w:t xml:space="preserve">TGA’s </w:t>
      </w:r>
      <w:r w:rsidR="005B51F3" w:rsidRPr="00831930">
        <w:rPr>
          <w:rFonts w:eastAsia="Calibri"/>
        </w:rPr>
        <w:t xml:space="preserve">processes are beyond </w:t>
      </w:r>
      <w:r>
        <w:rPr>
          <w:rFonts w:eastAsia="Calibri"/>
        </w:rPr>
        <w:t xml:space="preserve">the Review’s </w:t>
      </w:r>
      <w:r w:rsidR="005B51F3" w:rsidRPr="00831930">
        <w:rPr>
          <w:rFonts w:eastAsia="Calibri"/>
        </w:rPr>
        <w:t xml:space="preserve">scope, increased collaboration between regulatory and HTA bodies </w:t>
      </w:r>
      <w:r w:rsidR="008112DA">
        <w:rPr>
          <w:rFonts w:eastAsia="Calibri"/>
        </w:rPr>
        <w:t>to</w:t>
      </w:r>
      <w:r w:rsidR="005B51F3" w:rsidRPr="00831930">
        <w:rPr>
          <w:rFonts w:eastAsia="Calibri"/>
        </w:rPr>
        <w:t xml:space="preserve"> address some of the challenges with paediatric trial data could facilitate timely </w:t>
      </w:r>
      <w:r w:rsidR="005B51F3" w:rsidRPr="00F536DB">
        <w:rPr>
          <w:rFonts w:eastAsia="Calibri"/>
        </w:rPr>
        <w:t xml:space="preserve">regulatory </w:t>
      </w:r>
      <w:r w:rsidR="005B51F3" w:rsidRPr="00B61FDC">
        <w:rPr>
          <w:rFonts w:eastAsia="Calibri"/>
        </w:rPr>
        <w:t xml:space="preserve">approval </w:t>
      </w:r>
      <w:r w:rsidR="00F536DB" w:rsidRPr="00B61FDC">
        <w:rPr>
          <w:rFonts w:eastAsia="Calibri"/>
        </w:rPr>
        <w:t xml:space="preserve">through </w:t>
      </w:r>
      <w:r w:rsidR="00676BB3">
        <w:rPr>
          <w:rFonts w:eastAsia="Calibri"/>
        </w:rPr>
        <w:t>to</w:t>
      </w:r>
      <w:r w:rsidR="00F536DB" w:rsidRPr="00B61FDC">
        <w:rPr>
          <w:rFonts w:eastAsia="Calibri"/>
        </w:rPr>
        <w:t xml:space="preserve"> </w:t>
      </w:r>
      <w:r w:rsidR="005B51F3" w:rsidRPr="00B61FDC">
        <w:rPr>
          <w:rFonts w:eastAsia="Calibri"/>
        </w:rPr>
        <w:t>HTA</w:t>
      </w:r>
      <w:r w:rsidR="005B51F3" w:rsidRPr="00831930">
        <w:rPr>
          <w:rFonts w:eastAsia="Calibri"/>
        </w:rPr>
        <w:t>.</w:t>
      </w:r>
    </w:p>
    <w:p w14:paraId="4C847EC0" w14:textId="7115DBA6" w:rsidR="005B51F3" w:rsidRPr="00831930" w:rsidRDefault="005B51F3" w:rsidP="005B51F3">
      <w:pPr>
        <w:keepNext/>
        <w:keepLines/>
        <w:spacing w:before="40" w:after="0"/>
        <w:outlineLvl w:val="2"/>
        <w:rPr>
          <w:rFonts w:ascii="Segoe UI Light" w:eastAsia="Yu Gothic Light" w:hAnsi="Segoe UI Light"/>
          <w:color w:val="0E6C9B"/>
          <w:sz w:val="36"/>
        </w:rPr>
      </w:pPr>
      <w:r w:rsidRPr="00831930">
        <w:rPr>
          <w:rFonts w:ascii="Segoe UI Light" w:eastAsia="Yu Gothic Light" w:hAnsi="Segoe UI Light"/>
          <w:color w:val="0E6C9B"/>
          <w:sz w:val="36"/>
        </w:rPr>
        <w:t>Conclusion</w:t>
      </w:r>
    </w:p>
    <w:p w14:paraId="11FF73D4" w14:textId="5329AC9E" w:rsidR="005B51F3" w:rsidRPr="00831930" w:rsidRDefault="005B51F3" w:rsidP="005B51F3">
      <w:pPr>
        <w:rPr>
          <w:rFonts w:eastAsia="Calibri"/>
        </w:rPr>
      </w:pPr>
      <w:r w:rsidRPr="00831930">
        <w:rPr>
          <w:rFonts w:eastAsia="Calibri"/>
        </w:rPr>
        <w:t xml:space="preserve">A systematic approach </w:t>
      </w:r>
      <w:r w:rsidR="008112DA">
        <w:rPr>
          <w:rFonts w:eastAsia="Calibri"/>
        </w:rPr>
        <w:t xml:space="preserve">to implementing </w:t>
      </w:r>
      <w:r w:rsidRPr="00831930">
        <w:rPr>
          <w:rFonts w:eastAsia="Calibri"/>
        </w:rPr>
        <w:t xml:space="preserve">new PBS listings without age restrictions would create more equitable access for paediatric patients. </w:t>
      </w:r>
    </w:p>
    <w:p w14:paraId="100B4AF5" w14:textId="1ACA2840" w:rsidR="005B51F3" w:rsidRPr="00831930" w:rsidRDefault="005B51F3" w:rsidP="005B51F3">
      <w:pPr>
        <w:rPr>
          <w:rFonts w:eastAsia="Calibri"/>
        </w:rPr>
      </w:pPr>
      <w:r w:rsidRPr="00831930">
        <w:rPr>
          <w:rFonts w:eastAsia="Calibri"/>
        </w:rPr>
        <w:t xml:space="preserve">The Review’s recommendations </w:t>
      </w:r>
      <w:r w:rsidR="00A64C71">
        <w:rPr>
          <w:rFonts w:eastAsia="Calibri"/>
        </w:rPr>
        <w:t xml:space="preserve">that </w:t>
      </w:r>
      <w:r w:rsidRPr="00831930">
        <w:rPr>
          <w:rFonts w:eastAsia="Calibri"/>
        </w:rPr>
        <w:t xml:space="preserve">set out arrangements </w:t>
      </w:r>
      <w:r w:rsidR="00A64C71">
        <w:rPr>
          <w:rFonts w:eastAsia="Calibri"/>
        </w:rPr>
        <w:t>for</w:t>
      </w:r>
      <w:r w:rsidRPr="00831930">
        <w:rPr>
          <w:rFonts w:eastAsia="Calibri"/>
        </w:rPr>
        <w:t xml:space="preserve"> identifying, screening and inviting health technology submissions for public subsidy that address areas </w:t>
      </w:r>
      <w:r w:rsidRPr="00732EC8">
        <w:rPr>
          <w:rFonts w:eastAsia="Calibri"/>
        </w:rPr>
        <w:t xml:space="preserve">of </w:t>
      </w:r>
      <w:r w:rsidR="0066114F">
        <w:rPr>
          <w:rFonts w:eastAsia="Calibri"/>
        </w:rPr>
        <w:t>HUCN</w:t>
      </w:r>
      <w:r w:rsidRPr="00732EC8">
        <w:rPr>
          <w:rFonts w:eastAsia="Calibri"/>
        </w:rPr>
        <w:t xml:space="preserve"> will</w:t>
      </w:r>
      <w:r w:rsidRPr="00831930">
        <w:rPr>
          <w:rFonts w:eastAsia="Calibri"/>
        </w:rPr>
        <w:t xml:space="preserve"> also support the introduction of health technologies in Australia </w:t>
      </w:r>
      <w:r w:rsidR="00A64C71">
        <w:rPr>
          <w:rFonts w:eastAsia="Calibri"/>
        </w:rPr>
        <w:t>that</w:t>
      </w:r>
      <w:r w:rsidR="00A64C71" w:rsidRPr="00831930">
        <w:rPr>
          <w:rFonts w:eastAsia="Calibri"/>
        </w:rPr>
        <w:t xml:space="preserve"> </w:t>
      </w:r>
      <w:r w:rsidRPr="00831930">
        <w:rPr>
          <w:rFonts w:eastAsia="Calibri"/>
        </w:rPr>
        <w:t>address the treatment needs of paediatric patients.</w:t>
      </w:r>
    </w:p>
    <w:p w14:paraId="1C4762A9" w14:textId="6E9854D4" w:rsidR="005B51F3" w:rsidRPr="005B4965" w:rsidRDefault="005B51F3" w:rsidP="005B4965">
      <w:pPr>
        <w:pStyle w:val="Heading3"/>
      </w:pPr>
      <w:r w:rsidRPr="005B4965">
        <w:t>Objectives of recommendations</w:t>
      </w:r>
    </w:p>
    <w:p w14:paraId="79A0B612" w14:textId="45166848" w:rsidR="005B51F3" w:rsidRPr="00831930" w:rsidRDefault="005B51F3" w:rsidP="005B51F3">
      <w:pPr>
        <w:rPr>
          <w:rFonts w:eastAsia="Calibri"/>
        </w:rPr>
      </w:pPr>
      <w:r w:rsidRPr="00831930">
        <w:rPr>
          <w:rFonts w:eastAsia="Calibri"/>
        </w:rPr>
        <w:t xml:space="preserve">The </w:t>
      </w:r>
      <w:r w:rsidR="00245AB9">
        <w:rPr>
          <w:rFonts w:eastAsia="Calibri"/>
        </w:rPr>
        <w:t>R</w:t>
      </w:r>
      <w:r w:rsidRPr="00831930">
        <w:rPr>
          <w:rFonts w:eastAsia="Calibri"/>
        </w:rPr>
        <w:t>eview</w:t>
      </w:r>
      <w:r w:rsidR="00E75822">
        <w:rPr>
          <w:rFonts w:eastAsia="Calibri"/>
        </w:rPr>
        <w:t>’s</w:t>
      </w:r>
      <w:r w:rsidRPr="00831930">
        <w:rPr>
          <w:rFonts w:eastAsia="Calibri"/>
        </w:rPr>
        <w:t xml:space="preserve"> recommendations are intended to improve access to PBS</w:t>
      </w:r>
      <w:r w:rsidR="00A64C71">
        <w:rPr>
          <w:rFonts w:eastAsia="Calibri"/>
        </w:rPr>
        <w:t>-</w:t>
      </w:r>
      <w:r w:rsidRPr="00831930">
        <w:rPr>
          <w:rFonts w:eastAsia="Calibri"/>
        </w:rPr>
        <w:t>listed medicines for paediatric patients and facilitate regulatory approval and reimbursement of medicines for paediatric indications.</w:t>
      </w:r>
    </w:p>
    <w:p w14:paraId="2575D816" w14:textId="77777777" w:rsidR="005B51F3" w:rsidRDefault="005B51F3" w:rsidP="005B4965">
      <w:pPr>
        <w:pStyle w:val="Heading3"/>
      </w:pPr>
      <w:r w:rsidRPr="00831930">
        <w:t>Recommendations</w:t>
      </w:r>
    </w:p>
    <w:p w14:paraId="34EF8E19" w14:textId="03D0DBD5" w:rsidR="005B51F3" w:rsidRPr="00A64C71" w:rsidRDefault="00787B02" w:rsidP="00645D5E">
      <w:pPr>
        <w:pStyle w:val="Recommendation1"/>
      </w:pPr>
      <w:bookmarkStart w:id="133" w:name="_Ref166786902"/>
      <w:bookmarkStart w:id="134" w:name="_Hlk167301577"/>
      <w:r>
        <w:t>Providing</w:t>
      </w:r>
      <w:r w:rsidR="005B51F3" w:rsidRPr="00A64C71">
        <w:t xml:space="preserve"> equitable access to medicines for children and young people</w:t>
      </w:r>
      <w:bookmarkEnd w:id="133"/>
      <w:r w:rsidR="005B51F3" w:rsidRPr="00A64C71">
        <w:t xml:space="preserve"> </w:t>
      </w:r>
    </w:p>
    <w:bookmarkEnd w:id="134"/>
    <w:p w14:paraId="652B2135" w14:textId="4050C088" w:rsidR="005B51F3" w:rsidRPr="00D63688" w:rsidRDefault="005B51F3" w:rsidP="00B16415">
      <w:pPr>
        <w:rPr>
          <w:rFonts w:eastAsia="Calibri"/>
        </w:rPr>
      </w:pPr>
      <w:r w:rsidRPr="00951A4F">
        <w:rPr>
          <w:rFonts w:eastAsia="Calibri"/>
        </w:rPr>
        <w:t xml:space="preserve">The Review recommends </w:t>
      </w:r>
      <w:r w:rsidR="00B770D4">
        <w:rPr>
          <w:rFonts w:eastAsia="Calibri"/>
        </w:rPr>
        <w:t xml:space="preserve">that </w:t>
      </w:r>
      <w:r w:rsidRPr="00951A4F">
        <w:rPr>
          <w:rFonts w:eastAsia="Calibri"/>
        </w:rPr>
        <w:t>the Australian Government:</w:t>
      </w:r>
      <w:r w:rsidRPr="00D63688">
        <w:rPr>
          <w:rFonts w:eastAsia="Calibri"/>
        </w:rPr>
        <w:t> </w:t>
      </w:r>
    </w:p>
    <w:p w14:paraId="42A5DD13" w14:textId="555B09D2" w:rsidR="005B51F3" w:rsidRPr="00140DE7" w:rsidRDefault="00DF3A4E" w:rsidP="007F0C21">
      <w:pPr>
        <w:numPr>
          <w:ilvl w:val="0"/>
          <w:numId w:val="21"/>
        </w:numPr>
        <w:spacing w:after="0"/>
        <w:rPr>
          <w:rFonts w:eastAsia="Calibri" w:cs="Segoe UI"/>
        </w:rPr>
      </w:pPr>
      <w:r>
        <w:rPr>
          <w:rFonts w:eastAsia="Calibri" w:cs="Segoe UI"/>
        </w:rPr>
        <w:t>formalise a systematic approach for</w:t>
      </w:r>
      <w:r w:rsidR="005B51F3" w:rsidRPr="00140DE7">
        <w:rPr>
          <w:rFonts w:eastAsia="Calibri" w:cs="Segoe UI"/>
        </w:rPr>
        <w:t xml:space="preserve"> </w:t>
      </w:r>
      <w:r w:rsidR="00725798">
        <w:rPr>
          <w:rFonts w:eastAsia="Calibri" w:cs="Segoe UI"/>
        </w:rPr>
        <w:t xml:space="preserve">new listings on the </w:t>
      </w:r>
      <w:r w:rsidR="00EE3B61" w:rsidRPr="00EE3B61">
        <w:rPr>
          <w:rFonts w:eastAsia="Calibri" w:cs="Segoe UI"/>
        </w:rPr>
        <w:t>Pharmaceutical Benefits Scheme (PBS)</w:t>
      </w:r>
      <w:r w:rsidR="00EE3B61">
        <w:rPr>
          <w:rFonts w:eastAsia="Calibri" w:cs="Segoe UI"/>
        </w:rPr>
        <w:t xml:space="preserve"> </w:t>
      </w:r>
      <w:r w:rsidR="005B51F3" w:rsidRPr="00140DE7">
        <w:rPr>
          <w:rFonts w:eastAsia="Calibri" w:cs="Segoe UI"/>
        </w:rPr>
        <w:t>to be agnostic of age</w:t>
      </w:r>
      <w:r w:rsidR="005B51F3">
        <w:rPr>
          <w:rFonts w:eastAsia="Calibri" w:cs="Segoe UI"/>
        </w:rPr>
        <w:t xml:space="preserve">. This would exclude listings </w:t>
      </w:r>
      <w:r w:rsidR="00A64C71">
        <w:rPr>
          <w:rFonts w:eastAsia="Calibri" w:cs="Segoe UI"/>
        </w:rPr>
        <w:t>where</w:t>
      </w:r>
      <w:r w:rsidR="005B51F3">
        <w:rPr>
          <w:rFonts w:eastAsia="Calibri" w:cs="Segoe UI"/>
        </w:rPr>
        <w:t xml:space="preserve"> the </w:t>
      </w:r>
      <w:r w:rsidR="007040BA">
        <w:rPr>
          <w:rFonts w:eastAsia="Calibri" w:cs="Segoe UI"/>
        </w:rPr>
        <w:t>Pharmaceutical Benefits Advisory Committee’s (</w:t>
      </w:r>
      <w:r w:rsidR="005B51F3" w:rsidRPr="00140DE7">
        <w:rPr>
          <w:rFonts w:eastAsia="Calibri" w:cs="Segoe UI"/>
        </w:rPr>
        <w:t>PBAC</w:t>
      </w:r>
      <w:r w:rsidR="00A64C71">
        <w:rPr>
          <w:rFonts w:eastAsia="Calibri" w:cs="Segoe UI"/>
        </w:rPr>
        <w:t>’s</w:t>
      </w:r>
      <w:r w:rsidR="007040BA">
        <w:rPr>
          <w:rFonts w:eastAsia="Calibri" w:cs="Segoe UI"/>
        </w:rPr>
        <w:t>)</w:t>
      </w:r>
      <w:r w:rsidR="00A64C71">
        <w:rPr>
          <w:rFonts w:eastAsia="Calibri" w:cs="Segoe UI"/>
        </w:rPr>
        <w:t xml:space="preserve"> reasons for </w:t>
      </w:r>
      <w:r w:rsidR="00E727E5">
        <w:rPr>
          <w:rFonts w:eastAsia="Calibri" w:cs="Segoe UI"/>
        </w:rPr>
        <w:t xml:space="preserve">recommending </w:t>
      </w:r>
      <w:r w:rsidR="00A64C71">
        <w:rPr>
          <w:rFonts w:eastAsia="Calibri" w:cs="Segoe UI"/>
        </w:rPr>
        <w:t>restrict</w:t>
      </w:r>
      <w:r w:rsidR="00E727E5">
        <w:rPr>
          <w:rFonts w:eastAsia="Calibri" w:cs="Segoe UI"/>
        </w:rPr>
        <w:t>ed</w:t>
      </w:r>
      <w:r w:rsidR="00A64C71">
        <w:rPr>
          <w:rFonts w:eastAsia="Calibri" w:cs="Segoe UI"/>
        </w:rPr>
        <w:t xml:space="preserve"> access are based on</w:t>
      </w:r>
      <w:r w:rsidR="005B51F3" w:rsidRPr="00140DE7" w:rsidDel="00A64C71">
        <w:rPr>
          <w:rFonts w:eastAsia="Calibri" w:cs="Segoe UI"/>
        </w:rPr>
        <w:t xml:space="preserve"> </w:t>
      </w:r>
      <w:r w:rsidR="005B51F3" w:rsidRPr="00140DE7">
        <w:rPr>
          <w:rFonts w:eastAsia="Calibri" w:cs="Segoe UI"/>
        </w:rPr>
        <w:t>important safety, effectiveness, cost</w:t>
      </w:r>
      <w:r w:rsidR="005B51F3">
        <w:rPr>
          <w:rFonts w:eastAsia="Calibri" w:cs="Segoe UI"/>
        </w:rPr>
        <w:noBreakHyphen/>
      </w:r>
      <w:r w:rsidR="005B51F3" w:rsidRPr="00140DE7">
        <w:rPr>
          <w:rFonts w:eastAsia="Calibri" w:cs="Segoe UI"/>
        </w:rPr>
        <w:t xml:space="preserve">effectiveness or quality use of medicines </w:t>
      </w:r>
      <w:r w:rsidR="00A64C71">
        <w:rPr>
          <w:rFonts w:eastAsia="Calibri" w:cs="Segoe UI"/>
        </w:rPr>
        <w:t>considerations</w:t>
      </w:r>
    </w:p>
    <w:p w14:paraId="701EEE2D" w14:textId="4D8F983B" w:rsidR="005B51F3" w:rsidRPr="00831930" w:rsidRDefault="00A64C71" w:rsidP="007F0C21">
      <w:pPr>
        <w:numPr>
          <w:ilvl w:val="0"/>
          <w:numId w:val="21"/>
        </w:numPr>
        <w:spacing w:after="0"/>
        <w:rPr>
          <w:rFonts w:eastAsia="Calibri" w:cs="Segoe UI"/>
        </w:rPr>
      </w:pPr>
      <w:r>
        <w:rPr>
          <w:rFonts w:eastAsia="Calibri" w:cs="Segoe UI"/>
        </w:rPr>
        <w:lastRenderedPageBreak/>
        <w:t>i</w:t>
      </w:r>
      <w:r w:rsidR="005B51F3" w:rsidRPr="00831930">
        <w:rPr>
          <w:rFonts w:eastAsia="Calibri" w:cs="Segoe UI"/>
        </w:rPr>
        <w:t>dentify</w:t>
      </w:r>
      <w:r w:rsidR="005B51F3">
        <w:rPr>
          <w:rFonts w:eastAsia="Calibri" w:cs="Segoe UI"/>
        </w:rPr>
        <w:t>,</w:t>
      </w:r>
      <w:r w:rsidR="005B51F3" w:rsidRPr="00831930">
        <w:rPr>
          <w:rFonts w:eastAsia="Calibri" w:cs="Segoe UI"/>
        </w:rPr>
        <w:t xml:space="preserve"> through consultation with stakeholders</w:t>
      </w:r>
      <w:r w:rsidR="005B51F3">
        <w:rPr>
          <w:rFonts w:eastAsia="Calibri" w:cs="Segoe UI"/>
        </w:rPr>
        <w:t>,</w:t>
      </w:r>
      <w:r w:rsidR="005B51F3" w:rsidRPr="00831930">
        <w:rPr>
          <w:rFonts w:eastAsia="Calibri" w:cs="Segoe UI"/>
        </w:rPr>
        <w:t xml:space="preserve"> existing PBS listings </w:t>
      </w:r>
      <w:r>
        <w:rPr>
          <w:rFonts w:eastAsia="Calibri" w:cs="Segoe UI"/>
        </w:rPr>
        <w:t>that</w:t>
      </w:r>
      <w:r w:rsidRPr="00831930">
        <w:rPr>
          <w:rFonts w:eastAsia="Calibri" w:cs="Segoe UI"/>
        </w:rPr>
        <w:t xml:space="preserve"> </w:t>
      </w:r>
      <w:r w:rsidR="005B51F3" w:rsidRPr="00831930">
        <w:rPr>
          <w:rFonts w:eastAsia="Calibri" w:cs="Segoe UI"/>
        </w:rPr>
        <w:t>could</w:t>
      </w:r>
      <w:r w:rsidR="005B51F3" w:rsidRPr="00831930" w:rsidDel="00A64C71">
        <w:rPr>
          <w:rFonts w:eastAsia="Calibri" w:cs="Segoe UI"/>
        </w:rPr>
        <w:t xml:space="preserve"> </w:t>
      </w:r>
      <w:r w:rsidR="005B51F3" w:rsidRPr="00831930">
        <w:rPr>
          <w:rFonts w:eastAsia="Calibri" w:cs="Segoe UI"/>
        </w:rPr>
        <w:t>be amended to be agnostic of age</w:t>
      </w:r>
    </w:p>
    <w:p w14:paraId="6DA4311A" w14:textId="35C08E5B" w:rsidR="005B51F3" w:rsidRDefault="00A64C71" w:rsidP="007F0C21">
      <w:pPr>
        <w:numPr>
          <w:ilvl w:val="0"/>
          <w:numId w:val="21"/>
        </w:numPr>
        <w:spacing w:after="0"/>
        <w:rPr>
          <w:rFonts w:eastAsia="Calibri" w:cs="Segoe UI"/>
        </w:rPr>
      </w:pPr>
      <w:r>
        <w:rPr>
          <w:rFonts w:eastAsia="Calibri" w:cs="Segoe UI"/>
        </w:rPr>
        <w:t>e</w:t>
      </w:r>
      <w:r w:rsidR="005B51F3">
        <w:rPr>
          <w:rFonts w:eastAsia="Calibri" w:cs="Segoe UI"/>
        </w:rPr>
        <w:t>stablish</w:t>
      </w:r>
      <w:r w:rsidR="005B51F3" w:rsidRPr="00831930">
        <w:rPr>
          <w:rFonts w:eastAsia="Calibri" w:cs="Segoe UI"/>
        </w:rPr>
        <w:t xml:space="preserve"> a working party to develop guidance on evidentiary requirements for extending the use of </w:t>
      </w:r>
      <w:r>
        <w:rPr>
          <w:rFonts w:eastAsia="Calibri" w:cs="Segoe UI"/>
        </w:rPr>
        <w:t xml:space="preserve">therapies registered with the </w:t>
      </w:r>
      <w:r w:rsidR="004C765A" w:rsidRPr="004C765A">
        <w:rPr>
          <w:rFonts w:eastAsia="Calibri" w:cs="Segoe UI"/>
        </w:rPr>
        <w:t>Therapeutic Goods Administration (TGA)</w:t>
      </w:r>
      <w:r w:rsidR="004C765A">
        <w:rPr>
          <w:rFonts w:eastAsia="Calibri" w:cs="Segoe UI"/>
        </w:rPr>
        <w:t xml:space="preserve"> </w:t>
      </w:r>
      <w:r w:rsidR="005B51F3" w:rsidRPr="00831930">
        <w:rPr>
          <w:rFonts w:eastAsia="Calibri" w:cs="Segoe UI"/>
        </w:rPr>
        <w:t xml:space="preserve">to paediatric populations. The working party should be jointly led by representatives of </w:t>
      </w:r>
      <w:r>
        <w:rPr>
          <w:rFonts w:eastAsia="Calibri" w:cs="Segoe UI"/>
        </w:rPr>
        <w:t xml:space="preserve">the </w:t>
      </w:r>
      <w:r w:rsidR="005B51F3" w:rsidRPr="00831930">
        <w:rPr>
          <w:rFonts w:eastAsia="Calibri" w:cs="Segoe UI"/>
        </w:rPr>
        <w:t xml:space="preserve">TGA and </w:t>
      </w:r>
      <w:r w:rsidR="005B51F3">
        <w:rPr>
          <w:rFonts w:eastAsia="Calibri" w:cs="Segoe UI"/>
        </w:rPr>
        <w:t xml:space="preserve">the </w:t>
      </w:r>
      <w:r w:rsidR="005B51F3" w:rsidRPr="00831930">
        <w:rPr>
          <w:rFonts w:eastAsia="Calibri" w:cs="Segoe UI"/>
        </w:rPr>
        <w:t>PBAC and include representation from industry and patient sectors.</w:t>
      </w:r>
    </w:p>
    <w:p w14:paraId="61E38161" w14:textId="4C3646BA" w:rsidR="00135849" w:rsidRDefault="00135849">
      <w:pPr>
        <w:jc w:val="left"/>
        <w:rPr>
          <w:rFonts w:eastAsia="Calibri" w:cs="Segoe UI"/>
        </w:rPr>
      </w:pPr>
      <w:r>
        <w:rPr>
          <w:rFonts w:eastAsia="Calibri" w:cs="Segoe UI"/>
        </w:rPr>
        <w:br w:type="page"/>
      </w:r>
    </w:p>
    <w:p w14:paraId="3A594BC9" w14:textId="6C241419" w:rsidR="00990B7E" w:rsidRPr="009B6B96" w:rsidRDefault="00990B7E" w:rsidP="00AD3C9E">
      <w:pPr>
        <w:pStyle w:val="Heading1"/>
      </w:pPr>
      <w:bookmarkStart w:id="135" w:name="_Toc171935869"/>
      <w:r w:rsidRPr="009B6B96">
        <w:rPr>
          <w:rFonts w:eastAsiaTheme="majorEastAsia"/>
        </w:rPr>
        <w:lastRenderedPageBreak/>
        <w:t xml:space="preserve">Chapter </w:t>
      </w:r>
      <w:r w:rsidR="00DC30B4">
        <w:rPr>
          <w:rFonts w:eastAsiaTheme="majorEastAsia"/>
        </w:rPr>
        <w:t>4</w:t>
      </w:r>
      <w:r w:rsidR="0038035C">
        <w:rPr>
          <w:rFonts w:eastAsiaTheme="majorEastAsia"/>
        </w:rPr>
        <w:t>:</w:t>
      </w:r>
      <w:r w:rsidRPr="009B6B96">
        <w:rPr>
          <w:rFonts w:eastAsiaTheme="majorEastAsia"/>
        </w:rPr>
        <w:t xml:space="preserve"> </w:t>
      </w:r>
      <w:bookmarkEnd w:id="122"/>
      <w:bookmarkEnd w:id="123"/>
      <w:r w:rsidR="00A22989">
        <w:rPr>
          <w:rFonts w:eastAsiaTheme="majorEastAsia"/>
        </w:rPr>
        <w:t>Streamlined pathways</w:t>
      </w:r>
      <w:r>
        <w:rPr>
          <w:rFonts w:eastAsiaTheme="majorEastAsia"/>
        </w:rPr>
        <w:t xml:space="preserve"> </w:t>
      </w:r>
      <w:r w:rsidR="00A22989">
        <w:rPr>
          <w:rFonts w:eastAsiaTheme="majorEastAsia"/>
        </w:rPr>
        <w:t>for more timely access</w:t>
      </w:r>
      <w:bookmarkEnd w:id="135"/>
      <w:r>
        <w:t xml:space="preserve"> </w:t>
      </w:r>
    </w:p>
    <w:p w14:paraId="0EBD2847" w14:textId="47A416B5" w:rsidR="00990B7E" w:rsidRPr="002B25F3" w:rsidRDefault="00AE13DB" w:rsidP="002B25F3">
      <w:pPr>
        <w:pStyle w:val="Heading2"/>
        <w:sectPr w:rsidR="00990B7E" w:rsidRPr="002B25F3" w:rsidSect="00F76F07">
          <w:footerReference w:type="default" r:id="rId20"/>
          <w:pgSz w:w="11906" w:h="16838"/>
          <w:pgMar w:top="992" w:right="1276" w:bottom="1276" w:left="1559" w:header="284" w:footer="709" w:gutter="0"/>
          <w:cols w:space="708"/>
          <w:docGrid w:linePitch="360"/>
        </w:sectPr>
      </w:pPr>
      <w:bookmarkStart w:id="136" w:name="_Toc164085056"/>
      <w:bookmarkStart w:id="137" w:name="_Toc164781633"/>
      <w:bookmarkStart w:id="138" w:name="_Toc171935870"/>
      <w:bookmarkEnd w:id="124"/>
      <w:r w:rsidRPr="002724B9">
        <w:t>Introduction</w:t>
      </w:r>
      <w:bookmarkEnd w:id="136"/>
      <w:bookmarkEnd w:id="137"/>
      <w:bookmarkEnd w:id="138"/>
      <w:r w:rsidR="00453069">
        <w:t xml:space="preserve"> </w:t>
      </w:r>
    </w:p>
    <w:p w14:paraId="09BEDF7F" w14:textId="3E300AE4" w:rsidR="00990B7E" w:rsidRDefault="00990B7E" w:rsidP="00990B7E">
      <w:r w:rsidRPr="00B138D7">
        <w:t xml:space="preserve">Australia has several pathways for assessing health technologies </w:t>
      </w:r>
      <w:r w:rsidR="006034DA" w:rsidRPr="00B138D7">
        <w:t>for</w:t>
      </w:r>
      <w:r w:rsidRPr="00B138D7">
        <w:t xml:space="preserve"> Australian Government funding</w:t>
      </w:r>
      <w:r>
        <w:t xml:space="preserve">. Each distinct funding and assessment pathway incorporates a range of processes and decision </w:t>
      </w:r>
      <w:proofErr w:type="gramStart"/>
      <w:r>
        <w:t>points</w:t>
      </w:r>
      <w:r w:rsidR="00A64C71">
        <w:t>,</w:t>
      </w:r>
      <w:r w:rsidR="000602E6">
        <w:t xml:space="preserve"> and</w:t>
      </w:r>
      <w:proofErr w:type="gramEnd"/>
      <w:r>
        <w:t xml:space="preserve"> involves several decision</w:t>
      </w:r>
      <w:r w:rsidR="00DD0D5E">
        <w:t>-</w:t>
      </w:r>
      <w:r>
        <w:t>makers and different stakeholders. These pathways and their component processes form a complex ecosystem</w:t>
      </w:r>
      <w:r w:rsidR="00A64C71">
        <w:t>,</w:t>
      </w:r>
      <w:r>
        <w:t xml:space="preserve"> with numerous interdependencies and interactions between the different pathways. </w:t>
      </w:r>
    </w:p>
    <w:p w14:paraId="7A90CB59" w14:textId="2B16003D" w:rsidR="00990B7E" w:rsidRDefault="00990B7E" w:rsidP="00990B7E">
      <w:pPr>
        <w:rPr>
          <w:rFonts w:cs="Segoe UI"/>
        </w:rPr>
      </w:pPr>
      <w:r>
        <w:rPr>
          <w:rFonts w:cs="Segoe UI"/>
        </w:rPr>
        <w:t>The findings from the Review highlight that Australia’s HTA and medicines funding systems are world class. The Review sought to identify areas to</w:t>
      </w:r>
      <w:r w:rsidR="00235CA3">
        <w:rPr>
          <w:rFonts w:cs="Segoe UI"/>
        </w:rPr>
        <w:t xml:space="preserve"> </w:t>
      </w:r>
      <w:r w:rsidR="00C93B1E">
        <w:rPr>
          <w:rFonts w:cs="Segoe UI"/>
        </w:rPr>
        <w:t>improve</w:t>
      </w:r>
      <w:r w:rsidR="006A477E">
        <w:rPr>
          <w:rFonts w:cs="Segoe UI"/>
        </w:rPr>
        <w:t xml:space="preserve"> and </w:t>
      </w:r>
      <w:r w:rsidR="00C93B1E">
        <w:rPr>
          <w:rFonts w:cs="Segoe UI"/>
        </w:rPr>
        <w:t>optimise</w:t>
      </w:r>
      <w:r>
        <w:rPr>
          <w:rFonts w:cs="Segoe UI"/>
        </w:rPr>
        <w:t xml:space="preserve"> the systems and processes to enable them to keep providing </w:t>
      </w:r>
      <w:r w:rsidR="00E335EB">
        <w:rPr>
          <w:rFonts w:cs="Segoe UI"/>
        </w:rPr>
        <w:t xml:space="preserve">Australians with </w:t>
      </w:r>
      <w:r>
        <w:rPr>
          <w:rFonts w:cs="Segoe UI"/>
        </w:rPr>
        <w:t>world</w:t>
      </w:r>
      <w:r w:rsidR="00F850A7">
        <w:rPr>
          <w:rFonts w:cs="Segoe UI"/>
        </w:rPr>
        <w:t>-</w:t>
      </w:r>
      <w:r>
        <w:rPr>
          <w:rFonts w:cs="Segoe UI"/>
        </w:rPr>
        <w:t xml:space="preserve">class </w:t>
      </w:r>
      <w:r w:rsidR="00783B09">
        <w:rPr>
          <w:rFonts w:cs="Segoe UI"/>
        </w:rPr>
        <w:t xml:space="preserve">access to </w:t>
      </w:r>
      <w:r>
        <w:rPr>
          <w:rFonts w:cs="Segoe UI"/>
        </w:rPr>
        <w:t xml:space="preserve">medicines </w:t>
      </w:r>
      <w:r w:rsidR="00EE741B">
        <w:rPr>
          <w:rFonts w:cs="Segoe UI"/>
        </w:rPr>
        <w:t xml:space="preserve">while </w:t>
      </w:r>
      <w:r>
        <w:rPr>
          <w:rFonts w:cs="Segoe UI"/>
        </w:rPr>
        <w:t xml:space="preserve">meeting the needs of Australians into the future. </w:t>
      </w:r>
    </w:p>
    <w:p w14:paraId="1FD608B9" w14:textId="25515A0A" w:rsidR="00990B7E" w:rsidRDefault="00990B7E" w:rsidP="00990B7E">
      <w:pPr>
        <w:rPr>
          <w:rFonts w:cs="Segoe UI"/>
        </w:rPr>
      </w:pPr>
      <w:r>
        <w:t xml:space="preserve">This chapter </w:t>
      </w:r>
      <w:r w:rsidR="00155D2A">
        <w:t>covers</w:t>
      </w:r>
      <w:r>
        <w:t xml:space="preserve"> the Review’s analysis, findings and recommendations </w:t>
      </w:r>
      <w:r w:rsidR="008C463C">
        <w:t xml:space="preserve">in relation to </w:t>
      </w:r>
      <w:r>
        <w:t xml:space="preserve">the issues and opportunities for reform </w:t>
      </w:r>
      <w:r w:rsidR="008C463C">
        <w:t>of</w:t>
      </w:r>
      <w:r>
        <w:t xml:space="preserve"> the ecosystem of funding and assessment pathways for health technologies seeking </w:t>
      </w:r>
      <w:r w:rsidR="00435973">
        <w:t>g</w:t>
      </w:r>
      <w:r>
        <w:t xml:space="preserve">overnment funding. </w:t>
      </w:r>
      <w:r w:rsidR="008C463C">
        <w:t>It</w:t>
      </w:r>
      <w:r>
        <w:t xml:space="preserve"> include</w:t>
      </w:r>
      <w:r w:rsidR="008C463C">
        <w:t>s</w:t>
      </w:r>
      <w:r>
        <w:t xml:space="preserve"> analysis of the issues and opportunities for improvement in the current pathways and their component processes, as well as an overarching systemic view. </w:t>
      </w:r>
      <w:r>
        <w:rPr>
          <w:rFonts w:cs="Segoe UI"/>
        </w:rPr>
        <w:t>The topics covered</w:t>
      </w:r>
      <w:r w:rsidR="00037A9F">
        <w:rPr>
          <w:rFonts w:cs="Segoe UI"/>
        </w:rPr>
        <w:t xml:space="preserve"> </w:t>
      </w:r>
      <w:r>
        <w:rPr>
          <w:rFonts w:cs="Segoe UI"/>
        </w:rPr>
        <w:t xml:space="preserve">include: </w:t>
      </w:r>
    </w:p>
    <w:p w14:paraId="7119708E" w14:textId="276004AA" w:rsidR="00990B7E" w:rsidRDefault="000C522F" w:rsidP="00281153">
      <w:pPr>
        <w:pStyle w:val="ListBullet"/>
        <w:numPr>
          <w:ilvl w:val="0"/>
          <w:numId w:val="61"/>
        </w:numPr>
      </w:pPr>
      <w:r>
        <w:t xml:space="preserve">system </w:t>
      </w:r>
      <w:r w:rsidRPr="000C522F">
        <w:t>level view of Australia’s health technology funding and assessment pathways, including:</w:t>
      </w:r>
    </w:p>
    <w:p w14:paraId="77FFDF22" w14:textId="5B07D4AD" w:rsidR="00990B7E" w:rsidRDefault="008C463C" w:rsidP="00281153">
      <w:pPr>
        <w:pStyle w:val="ListBullet"/>
        <w:numPr>
          <w:ilvl w:val="1"/>
          <w:numId w:val="8"/>
        </w:numPr>
      </w:pPr>
      <w:r>
        <w:t>o</w:t>
      </w:r>
      <w:r w:rsidR="00990B7E">
        <w:t>verarching systemic recommendations for health technology funding and assessment pathways and processes</w:t>
      </w:r>
    </w:p>
    <w:p w14:paraId="2E201CC1" w14:textId="5676E955" w:rsidR="00990B7E" w:rsidRPr="000F72E3" w:rsidRDefault="008C463C" w:rsidP="00281153">
      <w:pPr>
        <w:pStyle w:val="ListBullet"/>
        <w:numPr>
          <w:ilvl w:val="0"/>
          <w:numId w:val="61"/>
        </w:numPr>
      </w:pPr>
      <w:r>
        <w:t>m</w:t>
      </w:r>
      <w:r w:rsidR="00990B7E" w:rsidRPr="00D924E2">
        <w:t>edicines applying for listing on the PBS</w:t>
      </w:r>
      <w:r w:rsidR="00741284">
        <w:t>,</w:t>
      </w:r>
      <w:r>
        <w:t xml:space="preserve"> including:</w:t>
      </w:r>
    </w:p>
    <w:p w14:paraId="20FBE644" w14:textId="21093DF8" w:rsidR="00990B7E" w:rsidRPr="00374142" w:rsidRDefault="008C463C" w:rsidP="00281153">
      <w:pPr>
        <w:pStyle w:val="ListBullet"/>
        <w:numPr>
          <w:ilvl w:val="1"/>
          <w:numId w:val="8"/>
        </w:numPr>
      </w:pPr>
      <w:r>
        <w:t>a s</w:t>
      </w:r>
      <w:r w:rsidR="00990B7E" w:rsidRPr="00374142">
        <w:t xml:space="preserve">treamlined </w:t>
      </w:r>
      <w:r>
        <w:t>c</w:t>
      </w:r>
      <w:r w:rsidR="00990B7E" w:rsidRPr="00374142">
        <w:t>ost-</w:t>
      </w:r>
      <w:r>
        <w:t>m</w:t>
      </w:r>
      <w:r w:rsidR="00990B7E" w:rsidRPr="00374142">
        <w:t xml:space="preserve">inimisation </w:t>
      </w:r>
      <w:r>
        <w:t>a</w:t>
      </w:r>
      <w:r w:rsidR="00990B7E" w:rsidRPr="00374142">
        <w:t xml:space="preserve">nalysis pathway for </w:t>
      </w:r>
      <w:r w:rsidR="00990B7E">
        <w:t xml:space="preserve">therapies applying for </w:t>
      </w:r>
      <w:r w:rsidR="00990B7E" w:rsidRPr="008313A4">
        <w:t>PBS listing</w:t>
      </w:r>
    </w:p>
    <w:p w14:paraId="7ABD837C" w14:textId="60FB495B" w:rsidR="00990B7E" w:rsidRDefault="004716E5" w:rsidP="00281153">
      <w:pPr>
        <w:pStyle w:val="ListBullet"/>
        <w:numPr>
          <w:ilvl w:val="1"/>
          <w:numId w:val="8"/>
        </w:numPr>
      </w:pPr>
      <w:r>
        <w:t>t</w:t>
      </w:r>
      <w:r w:rsidR="00990B7E" w:rsidRPr="008313A4">
        <w:t xml:space="preserve">herapies with </w:t>
      </w:r>
      <w:bookmarkStart w:id="139" w:name="_Hlk167296350"/>
      <w:r w:rsidR="00990B7E" w:rsidRPr="008313A4">
        <w:t xml:space="preserve">high added therapeutic value </w:t>
      </w:r>
      <w:bookmarkEnd w:id="139"/>
      <w:r w:rsidR="00990B7E" w:rsidRPr="008313A4">
        <w:t>in areas of unmet clinical need applying for PBS listing</w:t>
      </w:r>
      <w:r w:rsidR="00990B7E">
        <w:t>, including processes for:</w:t>
      </w:r>
    </w:p>
    <w:p w14:paraId="536A2282" w14:textId="233A1B00" w:rsidR="00990B7E" w:rsidRDefault="00741284" w:rsidP="00281153">
      <w:pPr>
        <w:pStyle w:val="ListBullet"/>
        <w:numPr>
          <w:ilvl w:val="2"/>
          <w:numId w:val="8"/>
        </w:numPr>
      </w:pPr>
      <w:r>
        <w:t>e</w:t>
      </w:r>
      <w:r w:rsidR="00990B7E" w:rsidRPr="001317C1">
        <w:t>nhanced early resolution</w:t>
      </w:r>
    </w:p>
    <w:p w14:paraId="29BAB5D0" w14:textId="23DDE4D3" w:rsidR="00990B7E" w:rsidRPr="001317C1" w:rsidRDefault="00741284" w:rsidP="00281153">
      <w:pPr>
        <w:pStyle w:val="ListBullet"/>
        <w:numPr>
          <w:ilvl w:val="2"/>
          <w:numId w:val="8"/>
        </w:numPr>
      </w:pPr>
      <w:r>
        <w:t>c</w:t>
      </w:r>
      <w:r w:rsidR="00990B7E" w:rsidRPr="001317C1">
        <w:t xml:space="preserve">ase management of submissions </w:t>
      </w:r>
    </w:p>
    <w:p w14:paraId="7ADDA534" w14:textId="44B5C118" w:rsidR="00990B7E" w:rsidRDefault="00741284" w:rsidP="00281153">
      <w:pPr>
        <w:pStyle w:val="ListBullet"/>
        <w:numPr>
          <w:ilvl w:val="2"/>
          <w:numId w:val="8"/>
        </w:numPr>
      </w:pPr>
      <w:r>
        <w:t>d</w:t>
      </w:r>
      <w:r w:rsidR="00990B7E" w:rsidRPr="001317C1">
        <w:t>ecoupling the TGA</w:t>
      </w:r>
      <w:r w:rsidR="00897CB5">
        <w:t xml:space="preserve"> d</w:t>
      </w:r>
      <w:r w:rsidR="00990B7E" w:rsidRPr="001317C1">
        <w:t>elegate</w:t>
      </w:r>
      <w:r w:rsidR="00897CB5">
        <w:t>’s</w:t>
      </w:r>
      <w:r w:rsidR="00990B7E" w:rsidRPr="001317C1">
        <w:t xml:space="preserve"> </w:t>
      </w:r>
      <w:r w:rsidR="00897CB5">
        <w:t>o</w:t>
      </w:r>
      <w:r w:rsidR="00990B7E" w:rsidRPr="001317C1">
        <w:t xml:space="preserve">verview from the PBAC advice </w:t>
      </w:r>
    </w:p>
    <w:p w14:paraId="4FE6D8ED" w14:textId="16AE952C" w:rsidR="00DF1D68" w:rsidRPr="001317C1" w:rsidRDefault="008C58EE" w:rsidP="00281153">
      <w:pPr>
        <w:pStyle w:val="ListBullet"/>
        <w:numPr>
          <w:ilvl w:val="1"/>
          <w:numId w:val="8"/>
        </w:numPr>
      </w:pPr>
      <w:r>
        <w:t xml:space="preserve">alternative </w:t>
      </w:r>
      <w:r w:rsidRPr="008C58EE">
        <w:t>modelling and analysis types for disease areas</w:t>
      </w:r>
    </w:p>
    <w:p w14:paraId="2417C862" w14:textId="072A9AE8" w:rsidR="00990B7E" w:rsidRPr="00F44D15" w:rsidRDefault="00741284" w:rsidP="00281153">
      <w:pPr>
        <w:pStyle w:val="ListBullet"/>
        <w:numPr>
          <w:ilvl w:val="0"/>
          <w:numId w:val="61"/>
        </w:numPr>
      </w:pPr>
      <w:r>
        <w:t>v</w:t>
      </w:r>
      <w:r w:rsidR="00990B7E" w:rsidRPr="00F44D15">
        <w:t>accines applying for listing on the NIP</w:t>
      </w:r>
    </w:p>
    <w:p w14:paraId="3F6F2142" w14:textId="0139E906" w:rsidR="00990B7E" w:rsidRPr="00F44D15" w:rsidRDefault="00741284" w:rsidP="00281153">
      <w:pPr>
        <w:pStyle w:val="ListBullet"/>
        <w:numPr>
          <w:ilvl w:val="0"/>
          <w:numId w:val="61"/>
        </w:numPr>
      </w:pPr>
      <w:r>
        <w:t>h</w:t>
      </w:r>
      <w:r w:rsidR="00990B7E" w:rsidRPr="00F44D15">
        <w:t xml:space="preserve">ighly </w:t>
      </w:r>
      <w:r w:rsidR="007F02AF">
        <w:t>s</w:t>
      </w:r>
      <w:r w:rsidR="00990B7E" w:rsidRPr="00F44D15">
        <w:t xml:space="preserve">pecialised </w:t>
      </w:r>
      <w:r w:rsidR="007F02AF">
        <w:t>t</w:t>
      </w:r>
      <w:r w:rsidR="00990B7E" w:rsidRPr="00F44D15">
        <w:t xml:space="preserve">herapies </w:t>
      </w:r>
      <w:r w:rsidR="001D0912">
        <w:t xml:space="preserve">(HSTs) </w:t>
      </w:r>
      <w:r w:rsidR="00990B7E" w:rsidRPr="00F44D15">
        <w:t xml:space="preserve">and other therapies co-funded between the </w:t>
      </w:r>
      <w:r w:rsidR="007F02AF">
        <w:t>Australian</w:t>
      </w:r>
      <w:r w:rsidR="007F02AF" w:rsidRPr="00F44D15">
        <w:t xml:space="preserve"> </w:t>
      </w:r>
      <w:r w:rsidR="00990B7E" w:rsidRPr="00F44D15">
        <w:t>and state and territory governments</w:t>
      </w:r>
    </w:p>
    <w:p w14:paraId="48887337" w14:textId="019A2C99" w:rsidR="00990B7E" w:rsidRDefault="00741284" w:rsidP="00281153">
      <w:pPr>
        <w:pStyle w:val="ListBullet"/>
        <w:numPr>
          <w:ilvl w:val="0"/>
          <w:numId w:val="61"/>
        </w:numPr>
      </w:pPr>
      <w:r>
        <w:lastRenderedPageBreak/>
        <w:t>l</w:t>
      </w:r>
      <w:r w:rsidR="00990B7E" w:rsidRPr="00E408C1">
        <w:t>ife-saving drugs for patients with ultra-rare diseases (Life Saving Drugs Program)</w:t>
      </w:r>
    </w:p>
    <w:p w14:paraId="62ADDC6F" w14:textId="15BBF692" w:rsidR="00462E21" w:rsidRDefault="00B07E5A" w:rsidP="00281153">
      <w:pPr>
        <w:pStyle w:val="ListBullet"/>
        <w:numPr>
          <w:ilvl w:val="0"/>
          <w:numId w:val="61"/>
        </w:numPr>
      </w:pPr>
      <w:r w:rsidRPr="00B07E5A">
        <w:t>the impact of reforms on timeliness: Joint performance targets</w:t>
      </w:r>
      <w:r w:rsidR="00402AC6">
        <w:t>.</w:t>
      </w:r>
    </w:p>
    <w:p w14:paraId="327DCB5C" w14:textId="639DE6B9" w:rsidR="00CD72B7" w:rsidRDefault="00CD72B7" w:rsidP="00CD72B7">
      <w:r>
        <w:t>As a framework for understanding the issues and opportunities for improvement, the</w:t>
      </w:r>
      <w:r w:rsidR="00741284">
        <w:t xml:space="preserve"> Review’s</w:t>
      </w:r>
      <w:r>
        <w:t xml:space="preserve"> objectives included identifying features of HTA polic</w:t>
      </w:r>
      <w:r w:rsidR="00E14C55">
        <w:t>y</w:t>
      </w:r>
      <w:r>
        <w:t xml:space="preserve"> and methods that are working well, as well as those that: </w:t>
      </w:r>
    </w:p>
    <w:p w14:paraId="1EEF4904" w14:textId="71EF00CF" w:rsidR="00CD72B7" w:rsidRDefault="00CD72B7" w:rsidP="00281153">
      <w:pPr>
        <w:pStyle w:val="ListBullet"/>
        <w:numPr>
          <w:ilvl w:val="0"/>
          <w:numId w:val="61"/>
        </w:numPr>
      </w:pPr>
      <w:r>
        <w:t>impact equitable access to health technologies</w:t>
      </w:r>
    </w:p>
    <w:p w14:paraId="5CD0D899" w14:textId="78FEF4C4" w:rsidR="00CD72B7" w:rsidRDefault="00CD72B7" w:rsidP="00281153">
      <w:pPr>
        <w:pStyle w:val="ListBullet"/>
        <w:numPr>
          <w:ilvl w:val="0"/>
          <w:numId w:val="61"/>
        </w:numPr>
      </w:pPr>
      <w:r>
        <w:t>impact timely access to health technologies</w:t>
      </w:r>
    </w:p>
    <w:p w14:paraId="53123D9F" w14:textId="6800EEDF" w:rsidR="00CD72B7" w:rsidRDefault="00CD72B7" w:rsidP="00281153">
      <w:pPr>
        <w:pStyle w:val="ListBullet"/>
        <w:numPr>
          <w:ilvl w:val="0"/>
          <w:numId w:val="61"/>
        </w:numPr>
      </w:pPr>
      <w:r>
        <w:t xml:space="preserve">detract from a person-centred health system </w:t>
      </w:r>
    </w:p>
    <w:p w14:paraId="3F502209" w14:textId="77777777" w:rsidR="00CD72B7" w:rsidRDefault="00CD72B7" w:rsidP="00281153">
      <w:pPr>
        <w:pStyle w:val="ListBullet"/>
        <w:numPr>
          <w:ilvl w:val="0"/>
          <w:numId w:val="61"/>
        </w:numPr>
      </w:pPr>
      <w:r>
        <w:t xml:space="preserve">create perverse incentives. </w:t>
      </w:r>
    </w:p>
    <w:p w14:paraId="3E0D3DDD" w14:textId="57E975FC" w:rsidR="00345733" w:rsidRDefault="000E21A5" w:rsidP="00FB5263">
      <w:r w:rsidRPr="000E21A5">
        <w:t>The Review aimed</w:t>
      </w:r>
      <w:r w:rsidR="00341A7C">
        <w:t xml:space="preserve"> to</w:t>
      </w:r>
      <w:r w:rsidR="00C34F08">
        <w:t xml:space="preserve"> </w:t>
      </w:r>
      <w:r w:rsidR="000E0F44">
        <w:t>leverag</w:t>
      </w:r>
      <w:r w:rsidR="00231DCF">
        <w:t>e</w:t>
      </w:r>
      <w:r w:rsidR="000E0F44">
        <w:t xml:space="preserve"> this understanding</w:t>
      </w:r>
      <w:r w:rsidR="000E0F44" w:rsidRPr="000E21A5">
        <w:t xml:space="preserve"> </w:t>
      </w:r>
      <w:r w:rsidR="00231DCF">
        <w:t xml:space="preserve">to </w:t>
      </w:r>
      <w:r w:rsidRPr="000E21A5">
        <w:t>create a</w:t>
      </w:r>
      <w:r w:rsidR="000B0375">
        <w:t>n</w:t>
      </w:r>
      <w:r w:rsidRPr="000E21A5">
        <w:t xml:space="preserve"> </w:t>
      </w:r>
      <w:r w:rsidR="002E1A13">
        <w:t>implementable</w:t>
      </w:r>
      <w:r w:rsidR="00231DCF">
        <w:t>,</w:t>
      </w:r>
      <w:r w:rsidRPr="000E21A5">
        <w:t xml:space="preserve"> </w:t>
      </w:r>
      <w:r w:rsidR="000B0375">
        <w:t>sustainable</w:t>
      </w:r>
      <w:r w:rsidR="009F1D3A">
        <w:t xml:space="preserve"> set of </w:t>
      </w:r>
      <w:r w:rsidRPr="000E21A5">
        <w:t xml:space="preserve">recommendations for the </w:t>
      </w:r>
      <w:r w:rsidR="002522AC">
        <w:t xml:space="preserve">Government that </w:t>
      </w:r>
      <w:r w:rsidRPr="000E21A5">
        <w:t>would tackle</w:t>
      </w:r>
      <w:r w:rsidR="00E51990">
        <w:t xml:space="preserve"> </w:t>
      </w:r>
      <w:r w:rsidR="0021335D">
        <w:t xml:space="preserve">identified </w:t>
      </w:r>
      <w:r w:rsidR="00397E5E">
        <w:t>challenges</w:t>
      </w:r>
      <w:r w:rsidRPr="000E21A5">
        <w:t xml:space="preserve"> </w:t>
      </w:r>
      <w:r w:rsidR="00F10A60">
        <w:t>and</w:t>
      </w:r>
      <w:r w:rsidRPr="000E21A5">
        <w:t xml:space="preserve"> </w:t>
      </w:r>
      <w:r w:rsidR="00741284">
        <w:t>provide</w:t>
      </w:r>
      <w:r w:rsidR="00741284" w:rsidRPr="000E21A5">
        <w:t xml:space="preserve"> </w:t>
      </w:r>
      <w:r w:rsidRPr="000E21A5">
        <w:t>Australian</w:t>
      </w:r>
      <w:r w:rsidR="00397E5E">
        <w:t>s</w:t>
      </w:r>
      <w:r w:rsidRPr="000E21A5">
        <w:t xml:space="preserve"> </w:t>
      </w:r>
      <w:r w:rsidR="00741284">
        <w:t xml:space="preserve">with </w:t>
      </w:r>
      <w:r w:rsidR="00397E5E">
        <w:t>equitable</w:t>
      </w:r>
      <w:r w:rsidR="00765808">
        <w:t xml:space="preserve">, timely </w:t>
      </w:r>
      <w:r w:rsidRPr="000E21A5">
        <w:t xml:space="preserve">and </w:t>
      </w:r>
      <w:r w:rsidR="00765808">
        <w:t xml:space="preserve">safe </w:t>
      </w:r>
      <w:r w:rsidRPr="000E21A5">
        <w:t xml:space="preserve">access to </w:t>
      </w:r>
      <w:r w:rsidR="00765808">
        <w:t>affordable medicines</w:t>
      </w:r>
      <w:r w:rsidRPr="000E21A5">
        <w:t xml:space="preserve">. Additionally, the </w:t>
      </w:r>
      <w:r w:rsidR="00741284">
        <w:t>R</w:t>
      </w:r>
      <w:r w:rsidRPr="000E21A5">
        <w:t xml:space="preserve">eview aimed to </w:t>
      </w:r>
      <w:r w:rsidR="005F620F">
        <w:t xml:space="preserve">ensure </w:t>
      </w:r>
      <w:r w:rsidRPr="000E21A5">
        <w:t xml:space="preserve">that </w:t>
      </w:r>
      <w:r w:rsidR="005F620F">
        <w:t>HTA</w:t>
      </w:r>
      <w:r w:rsidRPr="000E21A5">
        <w:t xml:space="preserve"> polic</w:t>
      </w:r>
      <w:r w:rsidR="00E14C55">
        <w:t>y</w:t>
      </w:r>
      <w:r w:rsidR="005F620F">
        <w:t xml:space="preserve"> and methods </w:t>
      </w:r>
      <w:r w:rsidR="00741284">
        <w:t>we</w:t>
      </w:r>
      <w:r w:rsidR="005F620F">
        <w:t xml:space="preserve">re </w:t>
      </w:r>
      <w:r w:rsidRPr="000E21A5">
        <w:t xml:space="preserve">equipped to evaluate emerging </w:t>
      </w:r>
      <w:r w:rsidR="005F620F">
        <w:t xml:space="preserve">technologies </w:t>
      </w:r>
      <w:r w:rsidRPr="000E21A5">
        <w:t>in</w:t>
      </w:r>
      <w:r w:rsidR="003B2B92">
        <w:t>to</w:t>
      </w:r>
      <w:r w:rsidR="005F620F">
        <w:t xml:space="preserve"> the </w:t>
      </w:r>
      <w:r w:rsidRPr="000E21A5">
        <w:t>future.</w:t>
      </w:r>
    </w:p>
    <w:p w14:paraId="180D8AEC" w14:textId="1BB5CEC7" w:rsidR="00990B7E" w:rsidRDefault="003D64E6" w:rsidP="00990B7E">
      <w:r>
        <w:t>To achieve</w:t>
      </w:r>
      <w:r w:rsidR="00305D67">
        <w:t xml:space="preserve"> these </w:t>
      </w:r>
      <w:r>
        <w:t xml:space="preserve">goals, the </w:t>
      </w:r>
      <w:r w:rsidR="00964112">
        <w:t xml:space="preserve">Review developed </w:t>
      </w:r>
      <w:r w:rsidR="00990B7E">
        <w:t xml:space="preserve">overarching principles for reforms recommended </w:t>
      </w:r>
      <w:r w:rsidR="000B0C13">
        <w:t>for</w:t>
      </w:r>
      <w:r w:rsidR="00C31C29">
        <w:t xml:space="preserve"> all</w:t>
      </w:r>
      <w:r w:rsidR="00990B7E">
        <w:t xml:space="preserve"> HTA pathways and process</w:t>
      </w:r>
      <w:r w:rsidR="00741284">
        <w:t>es</w:t>
      </w:r>
      <w:r w:rsidR="005A6CCA">
        <w:t>.</w:t>
      </w:r>
      <w:r w:rsidR="00990B7E">
        <w:t xml:space="preserve"> </w:t>
      </w:r>
    </w:p>
    <w:p w14:paraId="644E749A" w14:textId="717807F4" w:rsidR="00704B3C" w:rsidRPr="00BC2558" w:rsidRDefault="00704B3C" w:rsidP="00A318F7">
      <w:pPr>
        <w:pStyle w:val="Heading3"/>
      </w:pPr>
      <w:r w:rsidRPr="00991C0B">
        <w:t>O</w:t>
      </w:r>
      <w:r w:rsidRPr="00BC2558">
        <w:t>verarching principles for reforms recommended for all HTA pathways and processes</w:t>
      </w:r>
    </w:p>
    <w:p w14:paraId="5A97335C" w14:textId="77777777" w:rsidR="00990B7E" w:rsidRPr="00166A65" w:rsidRDefault="00990B7E" w:rsidP="00281153">
      <w:pPr>
        <w:numPr>
          <w:ilvl w:val="0"/>
          <w:numId w:val="9"/>
        </w:numPr>
        <w:ind w:left="426" w:right="403"/>
        <w:contextualSpacing/>
        <w:rPr>
          <w:color w:val="0E6B9A" w:themeColor="accent4" w:themeShade="BF"/>
        </w:rPr>
      </w:pPr>
      <w:r w:rsidRPr="00166A65">
        <w:rPr>
          <w:color w:val="0E6B9A" w:themeColor="accent4" w:themeShade="BF"/>
        </w:rPr>
        <w:t>Streamlined and simple</w:t>
      </w:r>
    </w:p>
    <w:p w14:paraId="53AF1D17" w14:textId="5DF9A3BA" w:rsidR="00154119" w:rsidRPr="00154119" w:rsidRDefault="00154119" w:rsidP="00896E11">
      <w:pPr>
        <w:ind w:right="403"/>
        <w:contextualSpacing/>
        <w:rPr>
          <w:color w:val="0E6B9A" w:themeColor="accent4" w:themeShade="BF"/>
        </w:rPr>
      </w:pPr>
      <w:r w:rsidRPr="00C542A1">
        <w:rPr>
          <w:rStyle w:val="normaltextrun"/>
          <w:rFonts w:cs="Segoe UI"/>
          <w:color w:val="000000"/>
          <w:shd w:val="clear" w:color="auto" w:fill="FFFFFF"/>
        </w:rPr>
        <w:t>Streamline and simplify health technology funding and assessment processes by removing unnecessary complexity and redundancy.</w:t>
      </w:r>
      <w:r w:rsidR="00FA396E">
        <w:rPr>
          <w:rStyle w:val="normaltextrun"/>
          <w:rFonts w:cs="Segoe UI"/>
          <w:color w:val="000000"/>
          <w:shd w:val="clear" w:color="auto" w:fill="FFFFFF"/>
        </w:rPr>
        <w:t xml:space="preserve"> </w:t>
      </w:r>
    </w:p>
    <w:p w14:paraId="3731740E" w14:textId="7BC71C61" w:rsidR="00990B7E" w:rsidRPr="00056F8C" w:rsidRDefault="00990B7E" w:rsidP="00281153">
      <w:pPr>
        <w:numPr>
          <w:ilvl w:val="0"/>
          <w:numId w:val="9"/>
        </w:numPr>
        <w:ind w:left="426" w:right="403"/>
        <w:contextualSpacing/>
        <w:rPr>
          <w:color w:val="0E6B9A" w:themeColor="accent4" w:themeShade="BF"/>
        </w:rPr>
      </w:pPr>
      <w:r w:rsidRPr="00056F8C">
        <w:rPr>
          <w:color w:val="0E6B9A" w:themeColor="accent4" w:themeShade="BF"/>
        </w:rPr>
        <w:t>Proportiona</w:t>
      </w:r>
      <w:r w:rsidR="00135A41">
        <w:rPr>
          <w:color w:val="0E6B9A" w:themeColor="accent4" w:themeShade="BF"/>
        </w:rPr>
        <w:t>te</w:t>
      </w:r>
      <w:r w:rsidRPr="00056F8C">
        <w:rPr>
          <w:color w:val="0E6B9A" w:themeColor="accent4" w:themeShade="BF"/>
        </w:rPr>
        <w:t xml:space="preserve"> and fit-for-purpose</w:t>
      </w:r>
    </w:p>
    <w:p w14:paraId="1EA54FE0" w14:textId="33DAD238" w:rsidR="00896E11" w:rsidRDefault="00896E11" w:rsidP="00896E11">
      <w:pPr>
        <w:ind w:right="403"/>
        <w:contextualSpacing/>
        <w:rPr>
          <w:color w:val="0E6B9A" w:themeColor="accent4" w:themeShade="BF"/>
        </w:rPr>
      </w:pPr>
      <w:r w:rsidRPr="00C542A1">
        <w:rPr>
          <w:rStyle w:val="normaltextrun"/>
          <w:rFonts w:cs="Segoe UI"/>
          <w:color w:val="000000"/>
          <w:shd w:val="clear" w:color="auto" w:fill="FFFFFF"/>
        </w:rPr>
        <w:t>Restructure and develop health technology funding and assessment processes, including the level of evaluation, to be fit-for-purpose and proportiona</w:t>
      </w:r>
      <w:r w:rsidR="00135A41" w:rsidRPr="00C542A1">
        <w:rPr>
          <w:rStyle w:val="normaltextrun"/>
          <w:rFonts w:cs="Segoe UI"/>
          <w:color w:val="000000"/>
          <w:shd w:val="clear" w:color="auto" w:fill="FFFFFF"/>
        </w:rPr>
        <w:t>te</w:t>
      </w:r>
      <w:r w:rsidRPr="00C542A1">
        <w:rPr>
          <w:rStyle w:val="normaltextrun"/>
          <w:rFonts w:cs="Segoe UI"/>
          <w:color w:val="000000"/>
          <w:shd w:val="clear" w:color="auto" w:fill="FFFFFF"/>
        </w:rPr>
        <w:t xml:space="preserve"> to the level of risk, complexity and potential benefit of a therapy.</w:t>
      </w:r>
      <w:r w:rsidR="00FA396E">
        <w:rPr>
          <w:rStyle w:val="normaltextrun"/>
          <w:rFonts w:cs="Segoe UI"/>
          <w:color w:val="000000"/>
          <w:shd w:val="clear" w:color="auto" w:fill="FFFFFF"/>
        </w:rPr>
        <w:t xml:space="preserve"> </w:t>
      </w:r>
    </w:p>
    <w:p w14:paraId="0A646665" w14:textId="1A9D4679" w:rsidR="00990B7E" w:rsidRDefault="00990B7E" w:rsidP="00281153">
      <w:pPr>
        <w:numPr>
          <w:ilvl w:val="0"/>
          <w:numId w:val="9"/>
        </w:numPr>
        <w:ind w:left="426" w:right="403"/>
        <w:contextualSpacing/>
        <w:rPr>
          <w:color w:val="0E6B9A" w:themeColor="accent4" w:themeShade="BF"/>
        </w:rPr>
      </w:pPr>
      <w:r w:rsidRPr="00056F8C">
        <w:rPr>
          <w:color w:val="0E6B9A" w:themeColor="accent4" w:themeShade="BF"/>
        </w:rPr>
        <w:t>Unified and consistent</w:t>
      </w:r>
    </w:p>
    <w:p w14:paraId="48B8F5DA" w14:textId="174DF7CC" w:rsidR="00990B7E" w:rsidRPr="00097E13" w:rsidRDefault="00991C1B" w:rsidP="00074462">
      <w:pPr>
        <w:ind w:right="403"/>
        <w:contextualSpacing/>
        <w:rPr>
          <w:color w:val="000000" w:themeColor="text1"/>
        </w:rPr>
      </w:pPr>
      <w:r w:rsidRPr="00C542A1">
        <w:rPr>
          <w:rStyle w:val="normaltextrun"/>
          <w:color w:val="000000"/>
          <w:shd w:val="clear" w:color="auto" w:fill="FFFFFF"/>
        </w:rPr>
        <w:t>Align the health technology funding and assessment pathways, processes and committees</w:t>
      </w:r>
      <w:r w:rsidR="00741284">
        <w:rPr>
          <w:rStyle w:val="normaltextrun"/>
          <w:color w:val="000000"/>
          <w:shd w:val="clear" w:color="auto" w:fill="FFFFFF"/>
        </w:rPr>
        <w:t>,</w:t>
      </w:r>
      <w:r w:rsidRPr="00C542A1">
        <w:rPr>
          <w:rStyle w:val="normaltextrun"/>
          <w:color w:val="000000"/>
          <w:shd w:val="clear" w:color="auto" w:fill="FFFFFF"/>
        </w:rPr>
        <w:t xml:space="preserve"> and remov</w:t>
      </w:r>
      <w:r w:rsidR="00741284">
        <w:rPr>
          <w:rStyle w:val="normaltextrun"/>
          <w:color w:val="000000"/>
          <w:shd w:val="clear" w:color="auto" w:fill="FFFFFF"/>
        </w:rPr>
        <w:t>e</w:t>
      </w:r>
      <w:r w:rsidRPr="00C542A1">
        <w:rPr>
          <w:rStyle w:val="normaltextrun"/>
          <w:color w:val="000000"/>
          <w:shd w:val="clear" w:color="auto" w:fill="FFFFFF"/>
        </w:rPr>
        <w:t xml:space="preserve"> duplication between them, in stages toward</w:t>
      </w:r>
      <w:r w:rsidR="00990B7E" w:rsidRPr="00C542A1">
        <w:rPr>
          <w:rStyle w:val="normaltextrun"/>
          <w:color w:val="000000"/>
          <w:shd w:val="clear" w:color="auto" w:fill="FFFFFF"/>
        </w:rPr>
        <w:t xml:space="preserve"> a </w:t>
      </w:r>
      <w:r w:rsidRPr="00C542A1">
        <w:rPr>
          <w:rStyle w:val="normaltextrun"/>
          <w:color w:val="000000"/>
          <w:shd w:val="clear" w:color="auto" w:fill="FFFFFF"/>
        </w:rPr>
        <w:t xml:space="preserve">single </w:t>
      </w:r>
      <w:r w:rsidR="00990B7E" w:rsidRPr="00C542A1">
        <w:rPr>
          <w:rStyle w:val="normaltextrun"/>
          <w:color w:val="000000"/>
          <w:shd w:val="clear" w:color="auto" w:fill="FFFFFF"/>
        </w:rPr>
        <w:t xml:space="preserve">unified HTA committee </w:t>
      </w:r>
      <w:r w:rsidRPr="00C542A1">
        <w:rPr>
          <w:rStyle w:val="normaltextrun"/>
          <w:color w:val="000000"/>
          <w:shd w:val="clear" w:color="auto" w:fill="FFFFFF"/>
        </w:rPr>
        <w:t>and pathway approach.</w:t>
      </w:r>
      <w:r w:rsidR="00990B7E" w:rsidRPr="00C542A1">
        <w:rPr>
          <w:rStyle w:val="normaltextrun"/>
          <w:color w:val="000000"/>
          <w:shd w:val="clear" w:color="auto" w:fill="FFFFFF"/>
        </w:rPr>
        <w:t xml:space="preserve"> </w:t>
      </w:r>
      <w:r w:rsidR="00990B7E">
        <w:rPr>
          <w:color w:val="000000" w:themeColor="text1"/>
        </w:rPr>
        <w:t xml:space="preserve">This approach should be designed to ensure that the health technology funding and assessment processes, pathways and committees support optimal patient care </w:t>
      </w:r>
      <w:r w:rsidR="00F34FE1">
        <w:rPr>
          <w:color w:val="000000" w:themeColor="text1"/>
        </w:rPr>
        <w:t xml:space="preserve">and </w:t>
      </w:r>
      <w:r w:rsidR="00741284">
        <w:rPr>
          <w:color w:val="000000" w:themeColor="text1"/>
        </w:rPr>
        <w:t xml:space="preserve">do </w:t>
      </w:r>
      <w:r w:rsidR="0033196C">
        <w:rPr>
          <w:color w:val="000000" w:themeColor="text1"/>
        </w:rPr>
        <w:t>not fragment care</w:t>
      </w:r>
      <w:r w:rsidR="00990B7E">
        <w:rPr>
          <w:color w:val="000000" w:themeColor="text1"/>
        </w:rPr>
        <w:t xml:space="preserve"> pathways. </w:t>
      </w:r>
    </w:p>
    <w:p w14:paraId="22DAB490" w14:textId="1AD48004" w:rsidR="007D179F" w:rsidRPr="009B6B96" w:rsidRDefault="0038035C" w:rsidP="002B25F3">
      <w:pPr>
        <w:pStyle w:val="Heading2"/>
      </w:pPr>
      <w:bookmarkStart w:id="140" w:name="_Toc164781634"/>
      <w:bookmarkStart w:id="141" w:name="_Toc171935871"/>
      <w:r>
        <w:lastRenderedPageBreak/>
        <w:t xml:space="preserve">Chapter </w:t>
      </w:r>
      <w:r w:rsidR="00DC30B4">
        <w:t>4</w:t>
      </w:r>
      <w:r>
        <w:t xml:space="preserve">.1: </w:t>
      </w:r>
      <w:r w:rsidR="00990B7E" w:rsidRPr="002724B9">
        <w:t xml:space="preserve">Overview </w:t>
      </w:r>
      <w:r w:rsidR="00990B7E" w:rsidRPr="009B6B96">
        <w:t>of Australia’s health technology funding and assessment pathways</w:t>
      </w:r>
      <w:bookmarkEnd w:id="140"/>
      <w:bookmarkEnd w:id="141"/>
      <w:r w:rsidR="00990B7E" w:rsidRPr="009B6B96">
        <w:t xml:space="preserve"> </w:t>
      </w:r>
    </w:p>
    <w:p w14:paraId="76BD532A" w14:textId="77777777" w:rsidR="004A395F" w:rsidRPr="00621C17" w:rsidRDefault="004A395F" w:rsidP="00A318F7">
      <w:pPr>
        <w:pStyle w:val="Heading3"/>
      </w:pPr>
      <w:r>
        <w:t>Introduction and context</w:t>
      </w:r>
    </w:p>
    <w:p w14:paraId="2711BEEE" w14:textId="2884D4AA" w:rsidR="004517D2" w:rsidRDefault="004517D2" w:rsidP="00990B7E">
      <w:r>
        <w:t xml:space="preserve">Australia has a multi-payer health system that incorporates public and private health </w:t>
      </w:r>
      <w:r w:rsidR="00990B7E">
        <w:t>expenditure.</w:t>
      </w:r>
      <w:r>
        <w:t xml:space="preserve"> Private funding </w:t>
      </w:r>
      <w:r w:rsidR="00990B7E">
        <w:t>of health</w:t>
      </w:r>
      <w:r w:rsidR="002D33A5">
        <w:t xml:space="preserve"> </w:t>
      </w:r>
      <w:r w:rsidR="00990B7E">
        <w:t xml:space="preserve">care </w:t>
      </w:r>
      <w:r>
        <w:t>includes payments from individuals, as well as insurance companies. The responsibility for f</w:t>
      </w:r>
      <w:r w:rsidR="003A5AC5">
        <w:t>u</w:t>
      </w:r>
      <w:r>
        <w:t xml:space="preserve">nding the public health system is shared between the </w:t>
      </w:r>
      <w:r w:rsidR="007040BA">
        <w:t>Australian</w:t>
      </w:r>
      <w:r>
        <w:t xml:space="preserve"> </w:t>
      </w:r>
      <w:r w:rsidR="008D4B92">
        <w:t xml:space="preserve">and </w:t>
      </w:r>
      <w:r w:rsidR="00741284">
        <w:t>s</w:t>
      </w:r>
      <w:r>
        <w:t xml:space="preserve">tate and </w:t>
      </w:r>
      <w:r w:rsidR="00741284">
        <w:t>t</w:t>
      </w:r>
      <w:r>
        <w:t xml:space="preserve">erritory governments. </w:t>
      </w:r>
      <w:r w:rsidR="00990B7E" w:rsidRPr="001F044C">
        <w:t xml:space="preserve">The Australian Government is directly responsible for funding medical services that are listed on the </w:t>
      </w:r>
      <w:r w:rsidR="00FB0179" w:rsidRPr="00FB0179">
        <w:t>Medicare Benefits Schedule (</w:t>
      </w:r>
      <w:r w:rsidR="00990B7E" w:rsidRPr="001F044C">
        <w:t>MBS</w:t>
      </w:r>
      <w:r w:rsidR="00FB0179" w:rsidRPr="00FB0179">
        <w:t>)</w:t>
      </w:r>
      <w:r w:rsidR="00990B7E" w:rsidRPr="001F044C">
        <w:t>, and health technologies that are subsidised and funded through the PBS, LSDP</w:t>
      </w:r>
      <w:r w:rsidR="00990B7E">
        <w:t xml:space="preserve">, </w:t>
      </w:r>
      <w:r w:rsidR="00990B7E" w:rsidRPr="001F044C">
        <w:t>NIP</w:t>
      </w:r>
      <w:r w:rsidR="00990B7E">
        <w:t xml:space="preserve"> and others.</w:t>
      </w:r>
      <w:r w:rsidR="00990B7E" w:rsidRPr="001F044C">
        <w:t xml:space="preserve"> </w:t>
      </w:r>
      <w:r w:rsidR="00990B7E">
        <w:t>T</w:t>
      </w:r>
      <w:r w:rsidR="00990B7E" w:rsidRPr="001F044C">
        <w:t>he state and territory governments</w:t>
      </w:r>
      <w:r w:rsidR="00990B7E" w:rsidRPr="00EA7256">
        <w:t xml:space="preserve"> </w:t>
      </w:r>
      <w:r w:rsidR="00990B7E" w:rsidRPr="001F044C">
        <w:t>are responsible for operati</w:t>
      </w:r>
      <w:r w:rsidR="00E41AF1">
        <w:t xml:space="preserve">ng </w:t>
      </w:r>
      <w:r w:rsidR="00990B7E" w:rsidRPr="001F044C">
        <w:t>and administ</w:t>
      </w:r>
      <w:r w:rsidR="00E41AF1">
        <w:t>ering</w:t>
      </w:r>
      <w:r w:rsidR="00990B7E">
        <w:t xml:space="preserve"> public hospitals</w:t>
      </w:r>
      <w:r w:rsidR="00E41AF1">
        <w:t>;</w:t>
      </w:r>
      <w:r w:rsidR="00990B7E">
        <w:t xml:space="preserve"> however</w:t>
      </w:r>
      <w:r w:rsidR="00E41AF1">
        <w:t>,</w:t>
      </w:r>
      <w:r w:rsidR="00990B7E">
        <w:t xml:space="preserve"> funding responsibility is shared with the </w:t>
      </w:r>
      <w:r w:rsidR="00E41AF1">
        <w:t>Australian</w:t>
      </w:r>
      <w:r w:rsidR="00990B7E">
        <w:t xml:space="preserve"> Government. The funding </w:t>
      </w:r>
      <w:r w:rsidR="00990B7E" w:rsidRPr="00CA0C38">
        <w:t>arrangements</w:t>
      </w:r>
      <w:r w:rsidR="00990B7E">
        <w:t xml:space="preserve"> between the </w:t>
      </w:r>
      <w:r w:rsidR="00E41AF1">
        <w:t xml:space="preserve">Australian </w:t>
      </w:r>
      <w:r w:rsidR="00990B7E">
        <w:t>and state and territory governments are</w:t>
      </w:r>
      <w:r w:rsidR="00990B7E" w:rsidRPr="001F044C">
        <w:t xml:space="preserve"> managed through the</w:t>
      </w:r>
      <w:r w:rsidR="001F17BC">
        <w:t xml:space="preserve"> </w:t>
      </w:r>
      <w:r w:rsidR="001F42CC">
        <w:t>2020–25</w:t>
      </w:r>
      <w:r w:rsidR="001F42CC" w:rsidRPr="001F044C">
        <w:t xml:space="preserve"> </w:t>
      </w:r>
      <w:r w:rsidR="00496747">
        <w:t xml:space="preserve">Addendum to the </w:t>
      </w:r>
      <w:r w:rsidR="00990B7E" w:rsidRPr="001F044C">
        <w:t>National Health Reform Agreement</w:t>
      </w:r>
      <w:r w:rsidR="00B354E6">
        <w:t xml:space="preserve"> (</w:t>
      </w:r>
      <w:r w:rsidR="00B354E6" w:rsidRPr="00A4594E">
        <w:t>NHRA)</w:t>
      </w:r>
      <w:bookmarkStart w:id="142" w:name="_Ref165574603"/>
      <w:r w:rsidR="00496747">
        <w:t>.</w:t>
      </w:r>
      <w:r w:rsidR="000A1A35">
        <w:rPr>
          <w:rStyle w:val="FootnoteReference"/>
        </w:rPr>
        <w:footnoteReference w:id="39"/>
      </w:r>
      <w:bookmarkEnd w:id="142"/>
      <w:r w:rsidR="00990B7E" w:rsidRPr="001F044C">
        <w:t xml:space="preserve"> </w:t>
      </w:r>
    </w:p>
    <w:p w14:paraId="51D6385E" w14:textId="2936F918" w:rsidR="00990B7E" w:rsidRPr="00511D1B" w:rsidRDefault="00990B7E" w:rsidP="00990B7E">
      <w:pPr>
        <w:rPr>
          <w:rFonts w:eastAsia="Segoe UI" w:cs="Segoe UI"/>
          <w:color w:val="00B0F0"/>
        </w:rPr>
      </w:pPr>
      <w:r>
        <w:t xml:space="preserve">Before health technologies can be made broadly accessible to Australians, companies are usually required to seek </w:t>
      </w:r>
      <w:r w:rsidR="00E41AF1">
        <w:t xml:space="preserve">TGA </w:t>
      </w:r>
      <w:r>
        <w:t>authorisation to suppl</w:t>
      </w:r>
      <w:r w:rsidR="00E41AF1">
        <w:t>y them</w:t>
      </w:r>
      <w:r>
        <w:t xml:space="preserve"> in Australia. The TGA assesses the health technology for safety and efficacy, in simple terms answering the questions </w:t>
      </w:r>
      <w:r w:rsidRPr="000C5623">
        <w:t xml:space="preserve">‘is it safe?’ </w:t>
      </w:r>
      <w:r w:rsidRPr="004B7761">
        <w:t>and</w:t>
      </w:r>
      <w:r>
        <w:rPr>
          <w:i/>
          <w:iCs/>
        </w:rPr>
        <w:t xml:space="preserve"> </w:t>
      </w:r>
      <w:r w:rsidRPr="000C5623">
        <w:t>‘does it work/does it do what it claims to?</w:t>
      </w:r>
      <w:r w:rsidRPr="00E41AF1">
        <w:t>’</w:t>
      </w:r>
      <w:r>
        <w:t xml:space="preserve">. This is called </w:t>
      </w:r>
      <w:r w:rsidR="00080740">
        <w:t>‘regulatory assessment’ or ‘health technology assessment for market authorisation’</w:t>
      </w:r>
      <w:r>
        <w:t xml:space="preserve">. After </w:t>
      </w:r>
      <w:r w:rsidR="004517D2">
        <w:t xml:space="preserve">the </w:t>
      </w:r>
      <w:r>
        <w:t>TGA approves a medicine</w:t>
      </w:r>
      <w:r w:rsidR="00E41AF1">
        <w:t xml:space="preserve"> for </w:t>
      </w:r>
      <w:r w:rsidR="007F7DBE" w:rsidRPr="00EC1B7C">
        <w:rPr>
          <w:rFonts w:eastAsia="Segoe UI" w:cs="Segoe UI"/>
        </w:rPr>
        <w:t>the ARTG</w:t>
      </w:r>
      <w:r>
        <w:t xml:space="preserve">, doctors can write scripts </w:t>
      </w:r>
      <w:r w:rsidR="00E41AF1">
        <w:t xml:space="preserve">for it </w:t>
      </w:r>
      <w:r>
        <w:t xml:space="preserve">and people are generally able to purchase </w:t>
      </w:r>
      <w:r w:rsidR="00E41AF1">
        <w:t>it;</w:t>
      </w:r>
      <w:r>
        <w:t xml:space="preserve"> however</w:t>
      </w:r>
      <w:r w:rsidR="00E41AF1">
        <w:t>,</w:t>
      </w:r>
      <w:r>
        <w:t xml:space="preserve"> this will be either at their own expense or covered by private insurance. </w:t>
      </w:r>
    </w:p>
    <w:p w14:paraId="67EA1737" w14:textId="3FCBC984" w:rsidR="001F37D8" w:rsidRDefault="003E6CE9" w:rsidP="00990B7E">
      <w:r w:rsidRPr="003E6CE9">
        <w:t xml:space="preserve">In Australia, many health technologies are subsidised or funded by the Government, meaning that Australians either </w:t>
      </w:r>
      <w:r w:rsidR="00D226C6">
        <w:t>do not</w:t>
      </w:r>
      <w:r w:rsidRPr="003E6CE9">
        <w:t xml:space="preserve"> have to pay or only pay a portion of the cost of medicines and other health technologies and services. </w:t>
      </w:r>
      <w:r w:rsidR="00990B7E">
        <w:t xml:space="preserve">The Government has a responsibility to the Australian public to </w:t>
      </w:r>
      <w:r w:rsidR="1B0B98E8">
        <w:t>ensure</w:t>
      </w:r>
      <w:r w:rsidR="00990B7E">
        <w:t xml:space="preserve"> it is using public funds in an efficient and equitable way. </w:t>
      </w:r>
      <w:r w:rsidR="00E41AF1">
        <w:t>So, b</w:t>
      </w:r>
      <w:r w:rsidR="00990B7E">
        <w:t xml:space="preserve">efore a health </w:t>
      </w:r>
      <w:r w:rsidR="004517D2">
        <w:t xml:space="preserve">technology </w:t>
      </w:r>
      <w:r w:rsidR="00990B7E">
        <w:t xml:space="preserve">company can receive public funding for its health technology, it is </w:t>
      </w:r>
      <w:r w:rsidR="00990B7E" w:rsidRPr="00E351CE">
        <w:t xml:space="preserve">assessed by expert advisory bodies such as the PBAC and </w:t>
      </w:r>
      <w:r w:rsidR="00E41AF1">
        <w:t xml:space="preserve">the </w:t>
      </w:r>
      <w:r w:rsidR="00990B7E" w:rsidRPr="00E351CE">
        <w:t>MSAC</w:t>
      </w:r>
      <w:r w:rsidR="00E41AF1">
        <w:t>,</w:t>
      </w:r>
      <w:r w:rsidR="00990B7E" w:rsidRPr="00E351CE">
        <w:t xml:space="preserve"> or state and individual hospital</w:t>
      </w:r>
      <w:r w:rsidR="00E41AF1">
        <w:t>’s</w:t>
      </w:r>
      <w:r w:rsidR="00990B7E" w:rsidRPr="00E351CE">
        <w:t xml:space="preserve"> HTA bodies.</w:t>
      </w:r>
      <w:r w:rsidR="00990B7E">
        <w:t xml:space="preserve"> These HTA advisory committees assess the clinical </w:t>
      </w:r>
      <w:r w:rsidR="00E41AF1">
        <w:t xml:space="preserve">effectiveness </w:t>
      </w:r>
      <w:r w:rsidR="00990B7E">
        <w:t>and cost</w:t>
      </w:r>
      <w:r w:rsidR="00E41AF1">
        <w:t>-</w:t>
      </w:r>
      <w:r w:rsidR="00990B7E">
        <w:t>effectiveness of a health technology compared to available alternatives</w:t>
      </w:r>
      <w:r w:rsidR="00E41AF1">
        <w:t>. P</w:t>
      </w:r>
      <w:r w:rsidR="00990B7E">
        <w:t>ut simply</w:t>
      </w:r>
      <w:r w:rsidR="00E41AF1">
        <w:t>, they</w:t>
      </w:r>
      <w:r w:rsidR="00990B7E">
        <w:t xml:space="preserve"> </w:t>
      </w:r>
      <w:r w:rsidR="00E41AF1">
        <w:t>advise</w:t>
      </w:r>
      <w:r w:rsidR="00990B7E">
        <w:t xml:space="preserve"> on</w:t>
      </w:r>
      <w:r w:rsidR="00FA53E9">
        <w:t xml:space="preserve"> the question,</w:t>
      </w:r>
      <w:r w:rsidR="00990B7E">
        <w:t xml:space="preserve"> </w:t>
      </w:r>
      <w:r w:rsidR="00FA53E9" w:rsidRPr="000C5623">
        <w:t>‘</w:t>
      </w:r>
      <w:r w:rsidR="00990B7E" w:rsidRPr="000C5623">
        <w:t>does it improve patient outcomes, safety or satisfaction at a reasonable cost that individuals and the community can afford?</w:t>
      </w:r>
      <w:r w:rsidR="00FA53E9" w:rsidRPr="000C5623">
        <w:t>’</w:t>
      </w:r>
      <w:r w:rsidR="00990B7E">
        <w:t xml:space="preserve"> This is referred to as </w:t>
      </w:r>
      <w:r w:rsidR="00403D6F">
        <w:t>‘</w:t>
      </w:r>
      <w:r w:rsidR="00990B7E" w:rsidRPr="00B61FDC">
        <w:t xml:space="preserve">HTA for reimbursement </w:t>
      </w:r>
      <w:r w:rsidR="00282B5A">
        <w:t xml:space="preserve">/ </w:t>
      </w:r>
      <w:r w:rsidR="00990B7E" w:rsidRPr="00B61FDC">
        <w:t>government subsidy</w:t>
      </w:r>
      <w:r w:rsidR="00B168AE">
        <w:t>’</w:t>
      </w:r>
      <w:r w:rsidR="00990B7E" w:rsidRPr="00EB46C2">
        <w:t>.</w:t>
      </w:r>
    </w:p>
    <w:p w14:paraId="24DCDCA0" w14:textId="466FABC3" w:rsidR="00990B7E" w:rsidRDefault="00FA53E9" w:rsidP="00893787">
      <w:pPr>
        <w:keepNext/>
      </w:pPr>
      <w:r>
        <w:lastRenderedPageBreak/>
        <w:t>S</w:t>
      </w:r>
      <w:r w:rsidR="00990B7E">
        <w:t xml:space="preserve">everal different </w:t>
      </w:r>
      <w:r w:rsidR="004517D2">
        <w:t xml:space="preserve">funding </w:t>
      </w:r>
      <w:r w:rsidR="00990B7E">
        <w:t>and</w:t>
      </w:r>
      <w:r w:rsidR="004517D2">
        <w:t xml:space="preserve"> subsidy </w:t>
      </w:r>
      <w:r w:rsidR="00990B7E">
        <w:t>programs underpin</w:t>
      </w:r>
      <w:r>
        <w:t xml:space="preserve"> </w:t>
      </w:r>
      <w:r w:rsidR="00990B7E">
        <w:t>the public health system in Australia including:</w:t>
      </w:r>
    </w:p>
    <w:p w14:paraId="4808B519" w14:textId="451D2949" w:rsidR="00990B7E" w:rsidRDefault="00990B7E" w:rsidP="00281153">
      <w:pPr>
        <w:pStyle w:val="ListBullet"/>
        <w:numPr>
          <w:ilvl w:val="0"/>
          <w:numId w:val="62"/>
        </w:numPr>
      </w:pPr>
      <w:r>
        <w:t xml:space="preserve">Pharmaceutical Benefits Scheme  </w:t>
      </w:r>
    </w:p>
    <w:p w14:paraId="11186B28" w14:textId="0AC5C05F" w:rsidR="00990B7E" w:rsidRDefault="00990B7E" w:rsidP="00281153">
      <w:pPr>
        <w:pStyle w:val="ListBullet"/>
        <w:numPr>
          <w:ilvl w:val="0"/>
          <w:numId w:val="62"/>
        </w:numPr>
      </w:pPr>
      <w:r>
        <w:t xml:space="preserve">National Immunisation Program  </w:t>
      </w:r>
    </w:p>
    <w:p w14:paraId="70D3A6A9" w14:textId="328FB884" w:rsidR="00990B7E" w:rsidRDefault="00990B7E" w:rsidP="00281153">
      <w:pPr>
        <w:pStyle w:val="ListBullet"/>
        <w:numPr>
          <w:ilvl w:val="0"/>
          <w:numId w:val="62"/>
        </w:numPr>
      </w:pPr>
      <w:r>
        <w:t xml:space="preserve">Life Saving Drugs Program  </w:t>
      </w:r>
    </w:p>
    <w:p w14:paraId="02AD8607" w14:textId="4288A66D" w:rsidR="00990B7E" w:rsidRDefault="00990B7E" w:rsidP="00281153">
      <w:pPr>
        <w:pStyle w:val="ListBullet"/>
        <w:numPr>
          <w:ilvl w:val="0"/>
          <w:numId w:val="62"/>
        </w:numPr>
      </w:pPr>
      <w:r>
        <w:t xml:space="preserve">Medicare Benefits Schedule </w:t>
      </w:r>
    </w:p>
    <w:p w14:paraId="55FB6BEB" w14:textId="4EA67E96" w:rsidR="00990B7E" w:rsidRDefault="00990B7E" w:rsidP="00281153">
      <w:pPr>
        <w:pStyle w:val="ListBullet"/>
        <w:numPr>
          <w:ilvl w:val="0"/>
          <w:numId w:val="62"/>
        </w:numPr>
      </w:pPr>
      <w:r>
        <w:t>PBS</w:t>
      </w:r>
      <w:r w:rsidR="00FA53E9">
        <w:t>–</w:t>
      </w:r>
      <w:r>
        <w:t xml:space="preserve">MBS codependent technologies </w:t>
      </w:r>
    </w:p>
    <w:p w14:paraId="29680B1D" w14:textId="425C30F0" w:rsidR="00990B7E" w:rsidRDefault="00990B7E" w:rsidP="00281153">
      <w:pPr>
        <w:pStyle w:val="ListBullet"/>
        <w:numPr>
          <w:ilvl w:val="0"/>
          <w:numId w:val="62"/>
        </w:numPr>
      </w:pPr>
      <w:r>
        <w:t xml:space="preserve">National Health Reform Agreement  </w:t>
      </w:r>
    </w:p>
    <w:p w14:paraId="177F21DE" w14:textId="65CE4B4A" w:rsidR="00990B7E" w:rsidRDefault="00990B7E" w:rsidP="00281153">
      <w:pPr>
        <w:pStyle w:val="ListBullet"/>
        <w:numPr>
          <w:ilvl w:val="0"/>
          <w:numId w:val="62"/>
        </w:numPr>
      </w:pPr>
      <w:r>
        <w:t>National Blood Arrangements</w:t>
      </w:r>
      <w:r w:rsidR="00FA53E9">
        <w:t>.</w:t>
      </w:r>
    </w:p>
    <w:p w14:paraId="0342FC52" w14:textId="001BAD32" w:rsidR="00990B7E" w:rsidRPr="002724B9" w:rsidRDefault="00B42229" w:rsidP="006464E3">
      <w:pPr>
        <w:pStyle w:val="Heading3"/>
        <w:rPr>
          <w:rFonts w:cs="Segoe UI Light"/>
        </w:rPr>
      </w:pPr>
      <w:bookmarkStart w:id="143" w:name="_Toc164781635"/>
      <w:r>
        <w:t>F</w:t>
      </w:r>
      <w:r w:rsidR="00990B7E" w:rsidRPr="002724B9">
        <w:t>indings</w:t>
      </w:r>
      <w:bookmarkEnd w:id="143"/>
    </w:p>
    <w:p w14:paraId="133991A4" w14:textId="1D410345" w:rsidR="000F1AFF" w:rsidRDefault="000F1AFF" w:rsidP="000F1AFF">
      <w:r>
        <w:t xml:space="preserve">The public funding program for a new health technology is determined by both the type of health technology and the patient care setting where the health technology will be delivered. In turn, the HTA pathway and advisory committee are determined by the funding program. As a result, therapies can go down different pathways and be evaluated by different HTA advisory committees, depending on where they will be provided to </w:t>
      </w:r>
      <w:proofErr w:type="gramStart"/>
      <w:r>
        <w:t>patients;</w:t>
      </w:r>
      <w:proofErr w:type="gramEnd"/>
      <w:r>
        <w:t xml:space="preserve"> for example, in a public hospital or a community pharmacy. This results in inconsistencies between the funding and assessment of health technologies that are delivered in different care settings. </w:t>
      </w:r>
    </w:p>
    <w:p w14:paraId="229501EB" w14:textId="30AEAA8A" w:rsidR="000F1AFF" w:rsidRDefault="000F1AFF" w:rsidP="000F1AFF">
      <w:pPr>
        <w:rPr>
          <w:rFonts w:cs="Segoe UI"/>
        </w:rPr>
      </w:pPr>
      <w:r>
        <w:rPr>
          <w:rFonts w:cs="Segoe UI"/>
        </w:rPr>
        <w:t xml:space="preserve">Conversely, within the HTA and funding pathways, there is little difference between low-risk, simple submissions and high-risk complex submissions with respect to the amount of time and effort required for developing and evaluating the submission. This results in a lack of prioritisation of time and effort in the HTA system to achieve the most needed and useful clinical outcomes. </w:t>
      </w:r>
    </w:p>
    <w:p w14:paraId="57392E8F" w14:textId="56CCCB6C" w:rsidR="00134831" w:rsidRDefault="00134831" w:rsidP="00134831">
      <w:pPr>
        <w:pStyle w:val="Heading3"/>
      </w:pPr>
      <w:r>
        <w:t>Conclusion</w:t>
      </w:r>
    </w:p>
    <w:p w14:paraId="12812206" w14:textId="64532A24" w:rsidR="008F1FFC" w:rsidRDefault="00383667" w:rsidP="00990B7E">
      <w:r>
        <w:t>The funding and assessment pathways for health technologies in Australia</w:t>
      </w:r>
      <w:r w:rsidR="00051EE4">
        <w:t xml:space="preserve"> detailed </w:t>
      </w:r>
      <w:r w:rsidR="003C2247">
        <w:t xml:space="preserve">through </w:t>
      </w:r>
      <w:r w:rsidR="008A2F85">
        <w:t>chapter</w:t>
      </w:r>
      <w:r w:rsidR="00937836">
        <w:t>s</w:t>
      </w:r>
      <w:r w:rsidR="008A2F85">
        <w:t xml:space="preserve"> 4.</w:t>
      </w:r>
      <w:r w:rsidR="00FA3102">
        <w:t xml:space="preserve">2 </w:t>
      </w:r>
      <w:r w:rsidR="00937836">
        <w:t xml:space="preserve">to 4.6 </w:t>
      </w:r>
      <w:r w:rsidR="00830895">
        <w:t xml:space="preserve">are </w:t>
      </w:r>
      <w:r w:rsidR="00015E06">
        <w:t>complex with many interdependencies</w:t>
      </w:r>
      <w:r w:rsidR="000A1760">
        <w:t xml:space="preserve"> and in some cases</w:t>
      </w:r>
      <w:r w:rsidR="003B70AF">
        <w:t>,</w:t>
      </w:r>
      <w:r w:rsidR="000A1760">
        <w:t xml:space="preserve"> duplication</w:t>
      </w:r>
      <w:r w:rsidR="00015E06">
        <w:t xml:space="preserve">. </w:t>
      </w:r>
      <w:r w:rsidR="00985269">
        <w:t xml:space="preserve">Aligning the different pathways and processes </w:t>
      </w:r>
      <w:r w:rsidR="001C4C1E">
        <w:t>as well as s</w:t>
      </w:r>
      <w:r w:rsidR="00A038D4">
        <w:t>implifying</w:t>
      </w:r>
      <w:r w:rsidR="00D91D19">
        <w:t xml:space="preserve"> and</w:t>
      </w:r>
      <w:r w:rsidR="00985269">
        <w:t xml:space="preserve"> </w:t>
      </w:r>
      <w:r w:rsidR="00A038D4">
        <w:t xml:space="preserve">streamlining the </w:t>
      </w:r>
      <w:r w:rsidR="001C4C1E">
        <w:t>in</w:t>
      </w:r>
      <w:r w:rsidR="00A972A2">
        <w:t xml:space="preserve">dividual pathways </w:t>
      </w:r>
      <w:r w:rsidR="000654B1">
        <w:t xml:space="preserve">can improve </w:t>
      </w:r>
      <w:r w:rsidR="00EB630B">
        <w:t xml:space="preserve">time to access and reduce burden on the system. </w:t>
      </w:r>
      <w:r w:rsidR="00B460EA">
        <w:t>Additionally</w:t>
      </w:r>
      <w:r w:rsidR="00F01CD4">
        <w:t xml:space="preserve">, </w:t>
      </w:r>
      <w:r w:rsidR="00D32003">
        <w:t xml:space="preserve">aligning the health technology funding and assessment </w:t>
      </w:r>
      <w:r w:rsidR="004D79AA">
        <w:t xml:space="preserve">to </w:t>
      </w:r>
      <w:r w:rsidR="00FF1544">
        <w:t xml:space="preserve">be appropriate and fit for purpose </w:t>
      </w:r>
      <w:r w:rsidR="00B420AE">
        <w:t>for the clinical need</w:t>
      </w:r>
      <w:r w:rsidR="00BB51FC">
        <w:t xml:space="preserve"> and clinical benefit of the therapy and</w:t>
      </w:r>
      <w:r w:rsidR="00B420AE">
        <w:t xml:space="preserve"> complexity</w:t>
      </w:r>
      <w:r w:rsidR="00BB51FC">
        <w:t xml:space="preserve"> of the submission</w:t>
      </w:r>
      <w:r w:rsidR="002F1173">
        <w:t>,</w:t>
      </w:r>
      <w:r w:rsidR="00BB51FC">
        <w:t xml:space="preserve"> </w:t>
      </w:r>
      <w:r w:rsidR="00CF0F13">
        <w:t xml:space="preserve">will </w:t>
      </w:r>
      <w:r w:rsidR="00F3752E">
        <w:t xml:space="preserve">improve </w:t>
      </w:r>
      <w:r w:rsidR="00B75B4B">
        <w:t xml:space="preserve">the </w:t>
      </w:r>
      <w:r w:rsidR="00547611">
        <w:t xml:space="preserve">sustainability and outcomes of the HTA system. </w:t>
      </w:r>
    </w:p>
    <w:p w14:paraId="32EEA6DD" w14:textId="7667B607" w:rsidR="00263D1A" w:rsidRPr="00B72AC5" w:rsidRDefault="00383308" w:rsidP="00B72AC5">
      <w:pPr>
        <w:pStyle w:val="Heading3"/>
      </w:pPr>
      <w:r w:rsidRPr="00B72AC5">
        <w:t>Objectives of recommendation</w:t>
      </w:r>
      <w:r w:rsidR="00256080">
        <w:t>s</w:t>
      </w:r>
    </w:p>
    <w:p w14:paraId="5634B429" w14:textId="16052523" w:rsidR="00E5744C" w:rsidRDefault="006671F4" w:rsidP="00383308">
      <w:pPr>
        <w:rPr>
          <w:rFonts w:cs="Segoe UI"/>
        </w:rPr>
      </w:pPr>
      <w:r>
        <w:rPr>
          <w:rFonts w:cs="Segoe UI"/>
        </w:rPr>
        <w:t xml:space="preserve">The </w:t>
      </w:r>
      <w:r w:rsidR="00FA53E9">
        <w:rPr>
          <w:rFonts w:cs="Segoe UI"/>
        </w:rPr>
        <w:t>r</w:t>
      </w:r>
      <w:r w:rsidR="00070AB0">
        <w:rPr>
          <w:rFonts w:cs="Segoe UI"/>
        </w:rPr>
        <w:t xml:space="preserve">ecommendations in this chapter </w:t>
      </w:r>
      <w:r w:rsidR="005A005B">
        <w:rPr>
          <w:rFonts w:cs="Segoe UI"/>
        </w:rPr>
        <w:t xml:space="preserve">are designed </w:t>
      </w:r>
      <w:r w:rsidR="00CF315F">
        <w:rPr>
          <w:rFonts w:cs="Segoe UI"/>
        </w:rPr>
        <w:t xml:space="preserve">as </w:t>
      </w:r>
      <w:r w:rsidR="00E57CE1">
        <w:rPr>
          <w:rFonts w:cs="Segoe UI"/>
        </w:rPr>
        <w:t xml:space="preserve">guiding principles for the reform and </w:t>
      </w:r>
      <w:r w:rsidR="00C44592">
        <w:rPr>
          <w:rFonts w:cs="Segoe UI"/>
        </w:rPr>
        <w:t xml:space="preserve">the </w:t>
      </w:r>
      <w:r w:rsidR="00E57CE1">
        <w:rPr>
          <w:rFonts w:cs="Segoe UI"/>
        </w:rPr>
        <w:t xml:space="preserve">development of all health technology funding </w:t>
      </w:r>
      <w:r w:rsidR="00026107">
        <w:rPr>
          <w:rFonts w:cs="Segoe UI"/>
        </w:rPr>
        <w:t>and</w:t>
      </w:r>
      <w:r w:rsidR="00E57CE1">
        <w:rPr>
          <w:rFonts w:cs="Segoe UI"/>
        </w:rPr>
        <w:t xml:space="preserve"> assessment pathways and processes</w:t>
      </w:r>
      <w:r w:rsidR="00136E6C">
        <w:rPr>
          <w:rFonts w:cs="Segoe UI"/>
        </w:rPr>
        <w:t>,</w:t>
      </w:r>
      <w:r w:rsidR="00694059">
        <w:rPr>
          <w:rFonts w:cs="Segoe UI"/>
        </w:rPr>
        <w:t xml:space="preserve"> with the objectives of: </w:t>
      </w:r>
    </w:p>
    <w:p w14:paraId="62EAF660" w14:textId="3C591229" w:rsidR="00383308" w:rsidRPr="00361FFE" w:rsidRDefault="00FA53E9" w:rsidP="00281153">
      <w:pPr>
        <w:pStyle w:val="ListBullet"/>
        <w:numPr>
          <w:ilvl w:val="0"/>
          <w:numId w:val="63"/>
        </w:numPr>
      </w:pPr>
      <w:r>
        <w:lastRenderedPageBreak/>
        <w:t>i</w:t>
      </w:r>
      <w:r w:rsidR="00383308" w:rsidRPr="00361FFE">
        <w:t>mprov</w:t>
      </w:r>
      <w:r w:rsidR="00E5744C" w:rsidRPr="00361FFE">
        <w:t>ing</w:t>
      </w:r>
      <w:r w:rsidR="00383308" w:rsidRPr="00361FFE">
        <w:t xml:space="preserve"> time to subsidised access of health technologies by removing duplication and unnecessary steps </w:t>
      </w:r>
    </w:p>
    <w:p w14:paraId="2D8693B4" w14:textId="5378576D" w:rsidR="00383308" w:rsidRPr="00361FFE" w:rsidRDefault="00FA53E9" w:rsidP="00281153">
      <w:pPr>
        <w:pStyle w:val="ListBullet"/>
        <w:numPr>
          <w:ilvl w:val="0"/>
          <w:numId w:val="63"/>
        </w:numPr>
      </w:pPr>
      <w:r>
        <w:t>i</w:t>
      </w:r>
      <w:r w:rsidR="00383308" w:rsidRPr="00361FFE">
        <w:t>mprov</w:t>
      </w:r>
      <w:r w:rsidR="00E5744C" w:rsidRPr="00361FFE">
        <w:t>ing</w:t>
      </w:r>
      <w:r w:rsidR="00383308" w:rsidRPr="00361FFE">
        <w:t xml:space="preserve"> time to subsidised access of health technologies by ensuring the effort of the health system is directed to where it is most needed</w:t>
      </w:r>
    </w:p>
    <w:p w14:paraId="2460E587" w14:textId="6F3DCDC0" w:rsidR="00383308" w:rsidRPr="00361FFE" w:rsidRDefault="00FA53E9" w:rsidP="00281153">
      <w:pPr>
        <w:pStyle w:val="ListBullet"/>
        <w:numPr>
          <w:ilvl w:val="0"/>
          <w:numId w:val="63"/>
        </w:numPr>
      </w:pPr>
      <w:r>
        <w:t>i</w:t>
      </w:r>
      <w:r w:rsidR="00383308" w:rsidRPr="00361FFE">
        <w:t>mprov</w:t>
      </w:r>
      <w:r w:rsidR="00BB7F72" w:rsidRPr="00361FFE">
        <w:t>ing</w:t>
      </w:r>
      <w:r w:rsidR="00383308" w:rsidRPr="00361FFE">
        <w:t xml:space="preserve"> consistency and certainty</w:t>
      </w:r>
      <w:r w:rsidR="00B67CE2" w:rsidRPr="00361FFE">
        <w:t xml:space="preserve"> </w:t>
      </w:r>
      <w:r>
        <w:t>in</w:t>
      </w:r>
      <w:r w:rsidRPr="00361FFE">
        <w:t xml:space="preserve"> </w:t>
      </w:r>
      <w:r w:rsidR="00B67CE2" w:rsidRPr="00361FFE">
        <w:t>the HTA system and processes</w:t>
      </w:r>
      <w:r>
        <w:t>,</w:t>
      </w:r>
      <w:r w:rsidR="00B67CE2" w:rsidRPr="00361FFE">
        <w:t xml:space="preserve"> and mak</w:t>
      </w:r>
      <w:r>
        <w:t>ing</w:t>
      </w:r>
      <w:r w:rsidR="00B67CE2" w:rsidRPr="00361FFE">
        <w:t xml:space="preserve"> them </w:t>
      </w:r>
      <w:r w:rsidR="006671F4" w:rsidRPr="00361FFE">
        <w:t>eas</w:t>
      </w:r>
      <w:r w:rsidR="00F501A1">
        <w:t>ier</w:t>
      </w:r>
      <w:r w:rsidR="006671F4" w:rsidRPr="00361FFE">
        <w:t xml:space="preserve"> for stakeholders to navigate</w:t>
      </w:r>
    </w:p>
    <w:p w14:paraId="34522810" w14:textId="310B3836" w:rsidR="00383308" w:rsidRPr="00361FFE" w:rsidRDefault="00FA53E9" w:rsidP="00281153">
      <w:pPr>
        <w:pStyle w:val="ListBullet"/>
        <w:numPr>
          <w:ilvl w:val="0"/>
          <w:numId w:val="63"/>
        </w:numPr>
      </w:pPr>
      <w:r>
        <w:t>i</w:t>
      </w:r>
      <w:r w:rsidR="00383308" w:rsidRPr="00361FFE">
        <w:t>mprov</w:t>
      </w:r>
      <w:r w:rsidR="00BB7F72" w:rsidRPr="00361FFE">
        <w:t>ing</w:t>
      </w:r>
      <w:r w:rsidR="00383308" w:rsidRPr="00361FFE">
        <w:t xml:space="preserve"> equitable </w:t>
      </w:r>
      <w:proofErr w:type="gramStart"/>
      <w:r w:rsidR="00383308" w:rsidRPr="00361FFE">
        <w:t>access</w:t>
      </w:r>
      <w:r w:rsidR="00760EF3">
        <w:t>,</w:t>
      </w:r>
      <w:r w:rsidR="00383308" w:rsidRPr="00361FFE">
        <w:t xml:space="preserve"> and</w:t>
      </w:r>
      <w:proofErr w:type="gramEnd"/>
      <w:r w:rsidR="00383308" w:rsidRPr="00361FFE">
        <w:t xml:space="preserve"> ensur</w:t>
      </w:r>
      <w:r w:rsidR="00760EF3">
        <w:t>ing</w:t>
      </w:r>
      <w:r w:rsidR="002D6D3D">
        <w:t xml:space="preserve"> that</w:t>
      </w:r>
      <w:r w:rsidR="00383308" w:rsidRPr="00361FFE">
        <w:t xml:space="preserve"> HTA and funding processes and pathways support optimal</w:t>
      </w:r>
      <w:r w:rsidR="00555EB8">
        <w:t xml:space="preserve">, </w:t>
      </w:r>
      <w:r w:rsidR="0051497C">
        <w:t>continuous</w:t>
      </w:r>
      <w:r w:rsidR="00383308" w:rsidRPr="00361FFE">
        <w:t xml:space="preserve"> </w:t>
      </w:r>
      <w:r w:rsidR="00BB7F72" w:rsidRPr="00361FFE">
        <w:t xml:space="preserve">patient </w:t>
      </w:r>
      <w:r w:rsidR="00383308" w:rsidRPr="00361FFE">
        <w:t xml:space="preserve">care. </w:t>
      </w:r>
    </w:p>
    <w:p w14:paraId="16EEC126" w14:textId="328F18AA" w:rsidR="00D85BC7" w:rsidRPr="002724B9" w:rsidRDefault="00097376" w:rsidP="006464E3">
      <w:pPr>
        <w:pStyle w:val="Heading3"/>
        <w:rPr>
          <w:rFonts w:cs="Segoe UI Light"/>
        </w:rPr>
      </w:pPr>
      <w:bookmarkStart w:id="144" w:name="_Toc164781636"/>
      <w:r w:rsidRPr="002724B9">
        <w:t>Recommendation</w:t>
      </w:r>
      <w:r w:rsidR="00B80C15" w:rsidRPr="6CC68A72">
        <w:rPr>
          <w:rFonts w:cs="Segoe UI Light"/>
        </w:rPr>
        <w:t>s</w:t>
      </w:r>
      <w:bookmarkEnd w:id="144"/>
    </w:p>
    <w:p w14:paraId="0961179D" w14:textId="16783408" w:rsidR="007F418A" w:rsidRPr="002724B9" w:rsidRDefault="007F418A" w:rsidP="00645D5E">
      <w:pPr>
        <w:pStyle w:val="Recommendation1"/>
      </w:pPr>
      <w:bookmarkStart w:id="145" w:name="_Ref166787472"/>
      <w:bookmarkStart w:id="146" w:name="_Hlk167298470"/>
      <w:r w:rsidRPr="00FE5F69">
        <w:t xml:space="preserve">Overarching recommendations for all </w:t>
      </w:r>
      <w:r w:rsidR="00A72F2E">
        <w:t>HTA</w:t>
      </w:r>
      <w:r w:rsidRPr="00FE5F69">
        <w:t xml:space="preserve"> funding and assessment pathways and processes</w:t>
      </w:r>
      <w:bookmarkEnd w:id="145"/>
      <w:r>
        <w:t xml:space="preserve"> </w:t>
      </w:r>
    </w:p>
    <w:bookmarkEnd w:id="146"/>
    <w:p w14:paraId="6CD39E46" w14:textId="1C70C42A" w:rsidR="007F418A" w:rsidRPr="00C07AE2" w:rsidRDefault="007F418A" w:rsidP="00D74EC9">
      <w:pPr>
        <w:spacing w:before="120" w:after="120"/>
        <w:rPr>
          <w:rFonts w:eastAsiaTheme="minorEastAsia" w:cs="Segoe UI"/>
        </w:rPr>
      </w:pPr>
      <w:r w:rsidRPr="00675D56">
        <w:t>The Review recommends</w:t>
      </w:r>
      <w:r w:rsidR="00923D62">
        <w:t xml:space="preserve"> that</w:t>
      </w:r>
      <w:r w:rsidR="004C7044" w:rsidRPr="00675D56">
        <w:t xml:space="preserve"> </w:t>
      </w:r>
      <w:r w:rsidRPr="00675D56">
        <w:t>the Australian Government</w:t>
      </w:r>
      <w:r w:rsidR="00D74EC9">
        <w:t xml:space="preserve"> </w:t>
      </w:r>
      <w:r w:rsidR="004C7044" w:rsidRPr="00C07AE2">
        <w:rPr>
          <w:rFonts w:eastAsiaTheme="minorEastAsia" w:cs="Segoe UI"/>
        </w:rPr>
        <w:t xml:space="preserve">apply the </w:t>
      </w:r>
      <w:r w:rsidRPr="00C07AE2">
        <w:rPr>
          <w:rFonts w:eastAsiaTheme="minorEastAsia" w:cs="Segoe UI"/>
        </w:rPr>
        <w:t>following overarching principle</w:t>
      </w:r>
      <w:r w:rsidR="00050BAF" w:rsidRPr="00C07AE2">
        <w:rPr>
          <w:rFonts w:eastAsiaTheme="minorEastAsia" w:cs="Segoe UI"/>
        </w:rPr>
        <w:t>s</w:t>
      </w:r>
      <w:r w:rsidRPr="00C07AE2">
        <w:rPr>
          <w:rFonts w:eastAsiaTheme="minorEastAsia" w:cs="Segoe UI"/>
        </w:rPr>
        <w:t xml:space="preserve"> to </w:t>
      </w:r>
      <w:r w:rsidR="00CC4F94" w:rsidRPr="00C07AE2">
        <w:rPr>
          <w:rFonts w:eastAsiaTheme="minorEastAsia" w:cs="Segoe UI"/>
        </w:rPr>
        <w:t>the</w:t>
      </w:r>
      <w:r w:rsidRPr="00C07AE2">
        <w:rPr>
          <w:rFonts w:eastAsiaTheme="minorEastAsia" w:cs="Segoe UI"/>
        </w:rPr>
        <w:t xml:space="preserve"> restructuring and development of health technology funding and assessment processes and pathways: </w:t>
      </w:r>
    </w:p>
    <w:p w14:paraId="0D6BE522" w14:textId="05B6AB7A" w:rsidR="007F418A" w:rsidRPr="00C07AE2" w:rsidRDefault="00050BAF" w:rsidP="00B975C0">
      <w:pPr>
        <w:numPr>
          <w:ilvl w:val="0"/>
          <w:numId w:val="106"/>
        </w:numPr>
        <w:spacing w:after="0"/>
        <w:rPr>
          <w:rFonts w:eastAsia="Calibri" w:cs="Segoe UI"/>
        </w:rPr>
      </w:pPr>
      <w:bookmarkStart w:id="147" w:name="_Hlk167963422"/>
      <w:r w:rsidRPr="00C07AE2">
        <w:rPr>
          <w:rFonts w:eastAsia="Calibri" w:cs="Segoe UI"/>
        </w:rPr>
        <w:t>H</w:t>
      </w:r>
      <w:r w:rsidR="007F418A" w:rsidRPr="00C07AE2">
        <w:rPr>
          <w:rFonts w:eastAsia="Calibri" w:cs="Segoe UI"/>
        </w:rPr>
        <w:t>ealth technology funding and assessment processes, including the level of evaluation, should be fit-for-purpose and proportiona</w:t>
      </w:r>
      <w:r w:rsidR="00E73513" w:rsidRPr="00C07AE2">
        <w:rPr>
          <w:rFonts w:eastAsia="Calibri" w:cs="Segoe UI"/>
        </w:rPr>
        <w:t>te</w:t>
      </w:r>
      <w:r w:rsidR="007F418A" w:rsidRPr="00C07AE2">
        <w:rPr>
          <w:rFonts w:eastAsia="Calibri" w:cs="Segoe UI"/>
        </w:rPr>
        <w:t xml:space="preserve"> to the </w:t>
      </w:r>
      <w:r w:rsidR="007F418A" w:rsidRPr="00CE7001">
        <w:rPr>
          <w:rFonts w:eastAsia="Calibri" w:cs="Segoe UI"/>
        </w:rPr>
        <w:t xml:space="preserve">level of clinical benefit, clinical need, complexity and financial risk </w:t>
      </w:r>
      <w:r w:rsidR="00014DA1">
        <w:rPr>
          <w:rFonts w:eastAsia="Calibri" w:cs="Segoe UI"/>
        </w:rPr>
        <w:t>relating</w:t>
      </w:r>
      <w:r w:rsidR="007F418A" w:rsidRPr="00CE7001">
        <w:rPr>
          <w:rFonts w:eastAsia="Calibri" w:cs="Segoe UI"/>
        </w:rPr>
        <w:t xml:space="preserve"> to the health technology submission</w:t>
      </w:r>
      <w:bookmarkEnd w:id="147"/>
    </w:p>
    <w:p w14:paraId="7F420D02" w14:textId="5F0E1B29" w:rsidR="007F418A" w:rsidRPr="00BC6068" w:rsidRDefault="0020272B" w:rsidP="00B975C0">
      <w:pPr>
        <w:numPr>
          <w:ilvl w:val="0"/>
          <w:numId w:val="106"/>
        </w:numPr>
        <w:spacing w:after="0"/>
        <w:rPr>
          <w:rFonts w:eastAsia="Calibri" w:cs="Segoe UI"/>
        </w:rPr>
      </w:pPr>
      <w:r w:rsidRPr="00B212FD">
        <w:rPr>
          <w:rFonts w:eastAsia="Calibri" w:cs="Segoe UI"/>
        </w:rPr>
        <w:t>H</w:t>
      </w:r>
      <w:r w:rsidR="007F418A" w:rsidRPr="00B212FD">
        <w:rPr>
          <w:rFonts w:eastAsia="Calibri" w:cs="Segoe UI"/>
        </w:rPr>
        <w:t>ealth technology funding and assessment processes should be streamlined</w:t>
      </w:r>
      <w:r w:rsidR="00BC6068">
        <w:rPr>
          <w:rFonts w:eastAsia="Calibri" w:cs="Segoe UI"/>
        </w:rPr>
        <w:t xml:space="preserve"> and </w:t>
      </w:r>
      <w:r w:rsidR="007F418A" w:rsidRPr="00C07AE2">
        <w:rPr>
          <w:rFonts w:eastAsia="Calibri" w:cs="Segoe UI"/>
        </w:rPr>
        <w:t>simplified</w:t>
      </w:r>
      <w:r w:rsidR="007F418A" w:rsidRPr="00B212FD">
        <w:rPr>
          <w:rFonts w:eastAsia="Calibri" w:cs="Segoe UI"/>
        </w:rPr>
        <w:t xml:space="preserve">, </w:t>
      </w:r>
      <w:r w:rsidR="00A63D33" w:rsidRPr="00B212FD">
        <w:rPr>
          <w:rFonts w:eastAsia="Calibri" w:cs="Segoe UI"/>
        </w:rPr>
        <w:t xml:space="preserve">with </w:t>
      </w:r>
      <w:r w:rsidR="00CA66FD" w:rsidRPr="00B212FD">
        <w:rPr>
          <w:rFonts w:eastAsia="Calibri" w:cs="Segoe UI"/>
        </w:rPr>
        <w:t>u</w:t>
      </w:r>
      <w:r w:rsidR="007F418A" w:rsidRPr="00B212FD">
        <w:rPr>
          <w:rFonts w:eastAsia="Calibri" w:cs="Segoe UI"/>
        </w:rPr>
        <w:t xml:space="preserve">nnecessary complexity </w:t>
      </w:r>
      <w:r w:rsidR="007F418A" w:rsidRPr="00BC6068">
        <w:rPr>
          <w:rFonts w:eastAsia="Calibri" w:cs="Segoe UI"/>
        </w:rPr>
        <w:t>removed</w:t>
      </w:r>
    </w:p>
    <w:p w14:paraId="23FA06C1" w14:textId="16834CCE" w:rsidR="007F418A" w:rsidRPr="00C07AE2" w:rsidRDefault="00923D62" w:rsidP="00B975C0">
      <w:pPr>
        <w:numPr>
          <w:ilvl w:val="0"/>
          <w:numId w:val="106"/>
        </w:numPr>
        <w:spacing w:after="0"/>
        <w:rPr>
          <w:rFonts w:eastAsia="Calibri" w:cs="Segoe UI"/>
        </w:rPr>
      </w:pPr>
      <w:r w:rsidRPr="00C07AE2">
        <w:rPr>
          <w:rFonts w:eastAsia="Calibri" w:cs="Segoe UI"/>
        </w:rPr>
        <w:t>C</w:t>
      </w:r>
      <w:r w:rsidR="007940B2" w:rsidRPr="00C07AE2">
        <w:rPr>
          <w:rFonts w:eastAsia="Calibri" w:cs="Segoe UI"/>
        </w:rPr>
        <w:t xml:space="preserve">onsistency and clarity </w:t>
      </w:r>
      <w:r w:rsidRPr="00C07AE2">
        <w:rPr>
          <w:rFonts w:eastAsia="Calibri" w:cs="Segoe UI"/>
        </w:rPr>
        <w:t xml:space="preserve">should be created </w:t>
      </w:r>
      <w:r w:rsidR="007940B2" w:rsidRPr="00C07AE2">
        <w:rPr>
          <w:rFonts w:eastAsia="Calibri" w:cs="Segoe UI"/>
        </w:rPr>
        <w:t xml:space="preserve">for all </w:t>
      </w:r>
      <w:r w:rsidR="00A321CE" w:rsidRPr="00C07AE2">
        <w:rPr>
          <w:rFonts w:eastAsia="Calibri" w:cs="Segoe UI"/>
        </w:rPr>
        <w:t xml:space="preserve">health technology </w:t>
      </w:r>
      <w:r w:rsidR="007940B2" w:rsidRPr="00C07AE2">
        <w:rPr>
          <w:rFonts w:eastAsia="Calibri" w:cs="Segoe UI"/>
        </w:rPr>
        <w:t xml:space="preserve">submissions </w:t>
      </w:r>
      <w:r w:rsidR="00A321CE" w:rsidRPr="00C07AE2">
        <w:rPr>
          <w:rFonts w:eastAsia="Calibri" w:cs="Segoe UI"/>
        </w:rPr>
        <w:t>for</w:t>
      </w:r>
      <w:r w:rsidR="007940B2" w:rsidRPr="00C07AE2">
        <w:rPr>
          <w:rFonts w:eastAsia="Calibri" w:cs="Segoe UI"/>
        </w:rPr>
        <w:t xml:space="preserve"> Australian Government funding by developing</w:t>
      </w:r>
      <w:r w:rsidR="007F418A" w:rsidRPr="00C07AE2">
        <w:rPr>
          <w:rFonts w:eastAsia="Calibri" w:cs="Segoe UI"/>
        </w:rPr>
        <w:t xml:space="preserve"> a unified HTA pathway and committee approach</w:t>
      </w:r>
      <w:r w:rsidR="007940B2" w:rsidRPr="00C07AE2">
        <w:rPr>
          <w:rFonts w:eastAsia="Calibri" w:cs="Segoe UI"/>
        </w:rPr>
        <w:t>, progressed</w:t>
      </w:r>
      <w:r w:rsidR="002E06B7" w:rsidRPr="00C07AE2">
        <w:rPr>
          <w:rFonts w:eastAsia="Calibri" w:cs="Segoe UI"/>
        </w:rPr>
        <w:t xml:space="preserve"> in stages</w:t>
      </w:r>
      <w:r w:rsidR="006E4ACD">
        <w:rPr>
          <w:rFonts w:eastAsia="Calibri" w:cs="Segoe UI"/>
        </w:rPr>
        <w:t>. This should start</w:t>
      </w:r>
      <w:r w:rsidR="007940B2" w:rsidRPr="00C07AE2">
        <w:rPr>
          <w:rFonts w:eastAsia="Calibri" w:cs="Segoe UI"/>
        </w:rPr>
        <w:t xml:space="preserve"> with better aligning the HTA </w:t>
      </w:r>
      <w:proofErr w:type="gramStart"/>
      <w:r w:rsidR="007940B2" w:rsidRPr="00C07AE2">
        <w:rPr>
          <w:rFonts w:eastAsia="Calibri" w:cs="Segoe UI"/>
        </w:rPr>
        <w:t>pathways, and</w:t>
      </w:r>
      <w:proofErr w:type="gramEnd"/>
      <w:r w:rsidR="007940B2" w:rsidRPr="00C07AE2">
        <w:rPr>
          <w:rFonts w:eastAsia="Calibri" w:cs="Segoe UI"/>
        </w:rPr>
        <w:t xml:space="preserve"> removing duplication between them.</w:t>
      </w:r>
      <w:r w:rsidR="00DE0272" w:rsidRPr="00C07AE2">
        <w:rPr>
          <w:rFonts w:eastAsia="Calibri" w:cs="Segoe UI"/>
        </w:rPr>
        <w:t xml:space="preserve"> </w:t>
      </w:r>
      <w:r w:rsidR="006845CC" w:rsidRPr="00C07AE2">
        <w:rPr>
          <w:rFonts w:eastAsia="Calibri" w:cs="Segoe UI"/>
        </w:rPr>
        <w:t xml:space="preserve">It </w:t>
      </w:r>
      <w:r w:rsidR="007F418A" w:rsidRPr="00C07AE2">
        <w:rPr>
          <w:rFonts w:eastAsia="Calibri" w:cs="Segoe UI"/>
        </w:rPr>
        <w:t xml:space="preserve">should be designed to ensure that the health technology funding and assessment processes, pathways and committees support optimal patient care </w:t>
      </w:r>
      <w:r w:rsidR="00474216" w:rsidRPr="00C07AE2">
        <w:rPr>
          <w:rFonts w:eastAsia="Calibri" w:cs="Segoe UI"/>
        </w:rPr>
        <w:t xml:space="preserve">and reduce any fragmentation in </w:t>
      </w:r>
      <w:r w:rsidR="00F84529" w:rsidRPr="00C07AE2">
        <w:rPr>
          <w:rFonts w:eastAsia="Calibri" w:cs="Segoe UI"/>
        </w:rPr>
        <w:t xml:space="preserve">care pathways </w:t>
      </w:r>
      <w:r w:rsidR="007F418A" w:rsidRPr="00C07AE2">
        <w:rPr>
          <w:rFonts w:eastAsia="Calibri" w:cs="Segoe UI"/>
        </w:rPr>
        <w:t xml:space="preserve">(see </w:t>
      </w:r>
      <w:r w:rsidR="00435973" w:rsidRPr="00C07AE2">
        <w:rPr>
          <w:rFonts w:eastAsia="Calibri" w:cs="Segoe UI"/>
        </w:rPr>
        <w:t>‘</w:t>
      </w:r>
      <w:r w:rsidR="00A86E30" w:rsidRPr="00C07AE2">
        <w:rPr>
          <w:rFonts w:eastAsia="Calibri" w:cs="Segoe UI"/>
        </w:rPr>
        <w:t xml:space="preserve">Recommendation 4. </w:t>
      </w:r>
      <w:r w:rsidR="007F418A" w:rsidRPr="00C07AE2">
        <w:rPr>
          <w:rFonts w:eastAsia="Calibri" w:cs="Segoe UI"/>
        </w:rPr>
        <w:t xml:space="preserve">Unified HTA pathway </w:t>
      </w:r>
      <w:r w:rsidR="00A86E30" w:rsidRPr="00C07AE2">
        <w:rPr>
          <w:rFonts w:eastAsia="Calibri" w:cs="Segoe UI"/>
        </w:rPr>
        <w:t xml:space="preserve">and committee approach </w:t>
      </w:r>
      <w:r w:rsidR="007F418A" w:rsidRPr="00C07AE2">
        <w:rPr>
          <w:rFonts w:eastAsia="Calibri" w:cs="Segoe UI"/>
        </w:rPr>
        <w:t xml:space="preserve">for all </w:t>
      </w:r>
      <w:r w:rsidR="005F41B8">
        <w:rPr>
          <w:rFonts w:eastAsia="Calibri" w:cs="Segoe UI"/>
        </w:rPr>
        <w:t xml:space="preserve">applications for </w:t>
      </w:r>
      <w:r w:rsidR="007F418A" w:rsidRPr="00C07AE2">
        <w:rPr>
          <w:rFonts w:eastAsia="Calibri" w:cs="Segoe UI"/>
        </w:rPr>
        <w:t xml:space="preserve">Australian </w:t>
      </w:r>
      <w:r w:rsidR="00A86E30" w:rsidRPr="00C07AE2">
        <w:rPr>
          <w:rFonts w:eastAsia="Calibri" w:cs="Segoe UI"/>
        </w:rPr>
        <w:t>G</w:t>
      </w:r>
      <w:r w:rsidR="007F418A" w:rsidRPr="00C07AE2">
        <w:rPr>
          <w:rFonts w:eastAsia="Calibri" w:cs="Segoe UI"/>
        </w:rPr>
        <w:t>overnment funding</w:t>
      </w:r>
      <w:r w:rsidR="00A86E30" w:rsidRPr="00C07AE2">
        <w:rPr>
          <w:rFonts w:eastAsia="Calibri" w:cs="Segoe UI"/>
        </w:rPr>
        <w:t xml:space="preserve"> for health technologies</w:t>
      </w:r>
      <w:r w:rsidR="00435973" w:rsidRPr="00C07AE2">
        <w:rPr>
          <w:rFonts w:eastAsia="Calibri" w:cs="Segoe UI"/>
        </w:rPr>
        <w:t>’</w:t>
      </w:r>
      <w:r w:rsidR="007F418A" w:rsidRPr="00C07AE2">
        <w:rPr>
          <w:rFonts w:eastAsia="Calibri" w:cs="Segoe UI"/>
        </w:rPr>
        <w:t>). This w</w:t>
      </w:r>
      <w:r w:rsidR="00435973" w:rsidRPr="00C07AE2">
        <w:rPr>
          <w:rFonts w:eastAsia="Calibri" w:cs="Segoe UI"/>
        </w:rPr>
        <w:t>ould</w:t>
      </w:r>
      <w:r w:rsidR="007F418A" w:rsidRPr="00C07AE2">
        <w:rPr>
          <w:rFonts w:eastAsia="Calibri" w:cs="Segoe UI"/>
        </w:rPr>
        <w:t xml:space="preserve"> be supported by:</w:t>
      </w:r>
    </w:p>
    <w:p w14:paraId="4A46A793" w14:textId="15A689FB" w:rsidR="00A00690" w:rsidRPr="00D74EC9" w:rsidRDefault="007F418A" w:rsidP="00805F01">
      <w:pPr>
        <w:pStyle w:val="ListParagraph"/>
        <w:numPr>
          <w:ilvl w:val="1"/>
          <w:numId w:val="20"/>
        </w:numPr>
        <w:spacing w:after="0"/>
        <w:contextualSpacing w:val="0"/>
        <w:rPr>
          <w:rFonts w:eastAsia="Calibri" w:cs="Segoe UI"/>
        </w:rPr>
      </w:pPr>
      <w:r w:rsidRPr="00D74EC9">
        <w:rPr>
          <w:rFonts w:eastAsia="Calibri" w:cs="Segoe UI"/>
        </w:rPr>
        <w:t>the HTA</w:t>
      </w:r>
      <w:r w:rsidR="00452F43" w:rsidRPr="00D74EC9">
        <w:rPr>
          <w:rFonts w:eastAsia="Calibri" w:cs="Segoe UI"/>
        </w:rPr>
        <w:t xml:space="preserve"> </w:t>
      </w:r>
      <w:r w:rsidRPr="00D74EC9">
        <w:rPr>
          <w:rFonts w:eastAsia="Calibri" w:cs="Segoe UI"/>
        </w:rPr>
        <w:t>pathway and committee being determined by the assessment requirement for the health technology</w:t>
      </w:r>
    </w:p>
    <w:p w14:paraId="7B223747" w14:textId="77777777" w:rsidR="007F418A" w:rsidRPr="00D74EC9" w:rsidRDefault="007F418A" w:rsidP="00805F01">
      <w:pPr>
        <w:pStyle w:val="ListParagraph"/>
        <w:numPr>
          <w:ilvl w:val="1"/>
          <w:numId w:val="20"/>
        </w:numPr>
        <w:spacing w:after="0"/>
        <w:contextualSpacing w:val="0"/>
        <w:rPr>
          <w:rFonts w:eastAsia="Calibri" w:cs="Segoe UI"/>
        </w:rPr>
      </w:pPr>
      <w:r w:rsidRPr="00D74EC9">
        <w:rPr>
          <w:rFonts w:eastAsia="Calibri" w:cs="Segoe UI"/>
        </w:rPr>
        <w:t>the assessment committee being able to recommend the most appropriate funding mechanism for optimal patient care.</w:t>
      </w:r>
    </w:p>
    <w:p w14:paraId="289EC058" w14:textId="1145A8E9" w:rsidR="00990B7E" w:rsidRPr="002724B9" w:rsidRDefault="00990B7E" w:rsidP="00645D5E">
      <w:pPr>
        <w:pStyle w:val="Recommendation1"/>
      </w:pPr>
      <w:bookmarkStart w:id="148" w:name="_Ref166785329"/>
      <w:bookmarkStart w:id="149" w:name="_Hlk167301610"/>
      <w:r w:rsidRPr="002724B9">
        <w:t xml:space="preserve">Unified </w:t>
      </w:r>
      <w:r w:rsidR="006802C8">
        <w:t>HTA</w:t>
      </w:r>
      <w:r w:rsidR="006F4297">
        <w:t xml:space="preserve"> </w:t>
      </w:r>
      <w:r w:rsidRPr="002724B9">
        <w:t xml:space="preserve">pathway </w:t>
      </w:r>
      <w:r w:rsidR="006C0E1B">
        <w:t xml:space="preserve">and </w:t>
      </w:r>
      <w:r w:rsidR="00C32F93">
        <w:t>committee approach</w:t>
      </w:r>
      <w:r w:rsidRPr="002724B9">
        <w:t xml:space="preserve"> for all Australian </w:t>
      </w:r>
      <w:r w:rsidR="00A86E30">
        <w:t>G</w:t>
      </w:r>
      <w:r w:rsidRPr="002724B9">
        <w:t>overnment funding</w:t>
      </w:r>
      <w:r w:rsidR="006802C8">
        <w:t xml:space="preserve"> of health technologies</w:t>
      </w:r>
      <w:bookmarkEnd w:id="148"/>
    </w:p>
    <w:bookmarkEnd w:id="149"/>
    <w:p w14:paraId="11168E15" w14:textId="710F441C" w:rsidR="00786AA4" w:rsidRPr="00786AA4" w:rsidRDefault="00386008" w:rsidP="00B16415">
      <w:pPr>
        <w:spacing w:before="120" w:after="120"/>
        <w:contextualSpacing/>
      </w:pPr>
      <w:r w:rsidRPr="00E432E2">
        <w:rPr>
          <w:rFonts w:cs="Segoe UI"/>
        </w:rPr>
        <w:t xml:space="preserve">The Review recommends </w:t>
      </w:r>
      <w:r w:rsidR="00394DB7">
        <w:rPr>
          <w:rFonts w:cs="Segoe UI"/>
        </w:rPr>
        <w:t xml:space="preserve">that </w:t>
      </w:r>
      <w:r w:rsidRPr="00E432E2">
        <w:rPr>
          <w:rFonts w:cs="Segoe UI"/>
        </w:rPr>
        <w:t>the Australian Government</w:t>
      </w:r>
      <w:r w:rsidR="008B1E86">
        <w:rPr>
          <w:rFonts w:cs="Segoe UI"/>
        </w:rPr>
        <w:t xml:space="preserve"> d</w:t>
      </w:r>
      <w:r w:rsidR="00990B7E">
        <w:rPr>
          <w:rFonts w:cs="Segoe UI"/>
        </w:rPr>
        <w:t xml:space="preserve">evelop, in </w:t>
      </w:r>
      <w:r w:rsidR="00990B7E" w:rsidRPr="00B86397">
        <w:rPr>
          <w:rFonts w:eastAsia="Calibri" w:cs="Segoe UI"/>
        </w:rPr>
        <w:t>consultation</w:t>
      </w:r>
      <w:r w:rsidR="00990B7E">
        <w:rPr>
          <w:rFonts w:cs="Segoe UI"/>
        </w:rPr>
        <w:t xml:space="preserve"> with stakeholders, </w:t>
      </w:r>
      <w:r w:rsidR="00990B7E" w:rsidRPr="00824739">
        <w:rPr>
          <w:rFonts w:cs="Segoe UI"/>
        </w:rPr>
        <w:t xml:space="preserve">a unified, national </w:t>
      </w:r>
      <w:r w:rsidR="005424B2" w:rsidRPr="005424B2">
        <w:rPr>
          <w:rFonts w:cs="Segoe UI"/>
        </w:rPr>
        <w:t>HTA</w:t>
      </w:r>
      <w:r w:rsidR="005424B2">
        <w:rPr>
          <w:rFonts w:cs="Segoe UI"/>
        </w:rPr>
        <w:t xml:space="preserve"> </w:t>
      </w:r>
      <w:r w:rsidR="00990B7E" w:rsidRPr="00824739">
        <w:rPr>
          <w:rFonts w:cs="Segoe UI"/>
        </w:rPr>
        <w:t xml:space="preserve">pathway </w:t>
      </w:r>
      <w:r w:rsidR="00012995">
        <w:rPr>
          <w:rFonts w:cs="Segoe UI"/>
        </w:rPr>
        <w:t xml:space="preserve">and committee approach </w:t>
      </w:r>
      <w:r w:rsidR="00990B7E" w:rsidRPr="00824739">
        <w:rPr>
          <w:rFonts w:cs="Segoe UI"/>
        </w:rPr>
        <w:t xml:space="preserve">for all health technology evaluation. </w:t>
      </w:r>
      <w:r w:rsidR="005F48BD">
        <w:rPr>
          <w:rFonts w:cs="Segoe UI"/>
        </w:rPr>
        <w:t>The unifie</w:t>
      </w:r>
      <w:r w:rsidR="00012995">
        <w:rPr>
          <w:rFonts w:cs="Segoe UI"/>
        </w:rPr>
        <w:t>d</w:t>
      </w:r>
      <w:r w:rsidR="005F48BD">
        <w:rPr>
          <w:rFonts w:cs="Segoe UI"/>
        </w:rPr>
        <w:t xml:space="preserve"> </w:t>
      </w:r>
      <w:r w:rsidR="00012995">
        <w:rPr>
          <w:rFonts w:cs="Segoe UI"/>
        </w:rPr>
        <w:t>approach</w:t>
      </w:r>
      <w:r w:rsidR="00990B7E">
        <w:rPr>
          <w:rFonts w:cs="Segoe UI"/>
        </w:rPr>
        <w:t xml:space="preserve"> should include</w:t>
      </w:r>
      <w:r w:rsidR="00012995">
        <w:rPr>
          <w:rFonts w:cs="Segoe UI"/>
        </w:rPr>
        <w:t>:</w:t>
      </w:r>
    </w:p>
    <w:p w14:paraId="1A78454E" w14:textId="501E1458" w:rsidR="00EB6D83" w:rsidRPr="00824739" w:rsidRDefault="00394DB7" w:rsidP="00281153">
      <w:pPr>
        <w:numPr>
          <w:ilvl w:val="0"/>
          <w:numId w:val="36"/>
        </w:numPr>
        <w:contextualSpacing/>
        <w:rPr>
          <w:rFonts w:cs="Segoe UI"/>
        </w:rPr>
      </w:pPr>
      <w:r>
        <w:rPr>
          <w:rFonts w:cs="Segoe UI"/>
        </w:rPr>
        <w:lastRenderedPageBreak/>
        <w:t>d</w:t>
      </w:r>
      <w:r w:rsidR="00990B7E" w:rsidRPr="00D876CF">
        <w:rPr>
          <w:rFonts w:cs="Segoe UI"/>
        </w:rPr>
        <w:t>evelop</w:t>
      </w:r>
      <w:r>
        <w:rPr>
          <w:rFonts w:cs="Segoe UI"/>
        </w:rPr>
        <w:t>ing</w:t>
      </w:r>
      <w:r w:rsidR="00990B7E" w:rsidRPr="00D876CF">
        <w:rPr>
          <w:rFonts w:cs="Segoe UI"/>
        </w:rPr>
        <w:t xml:space="preserve"> </w:t>
      </w:r>
      <w:r w:rsidR="00EB6D83" w:rsidRPr="00824739">
        <w:rPr>
          <w:rFonts w:cs="Segoe UI"/>
        </w:rPr>
        <w:t xml:space="preserve">a unified HTA </w:t>
      </w:r>
      <w:r w:rsidR="00C16518">
        <w:rPr>
          <w:rFonts w:cs="Segoe UI"/>
        </w:rPr>
        <w:t xml:space="preserve">advisory </w:t>
      </w:r>
      <w:r w:rsidR="00EB6D83" w:rsidRPr="00824739">
        <w:rPr>
          <w:rFonts w:cs="Segoe UI"/>
        </w:rPr>
        <w:t>committee approach</w:t>
      </w:r>
      <w:r w:rsidR="00990B7E">
        <w:rPr>
          <w:rFonts w:cs="Segoe UI"/>
        </w:rPr>
        <w:t xml:space="preserve">, including </w:t>
      </w:r>
      <w:r w:rsidR="00990B7E" w:rsidRPr="00D876CF">
        <w:rPr>
          <w:rFonts w:cs="Segoe UI"/>
        </w:rPr>
        <w:t xml:space="preserve">changes to the </w:t>
      </w:r>
      <w:r w:rsidR="00990B7E">
        <w:rPr>
          <w:rFonts w:cs="Segoe UI"/>
        </w:rPr>
        <w:t>c</w:t>
      </w:r>
      <w:r w:rsidR="00990B7E" w:rsidRPr="00D876CF">
        <w:rPr>
          <w:rFonts w:cs="Segoe UI"/>
        </w:rPr>
        <w:t>ommittee</w:t>
      </w:r>
      <w:r w:rsidR="00EB6D83" w:rsidRPr="00824739">
        <w:rPr>
          <w:rFonts w:cs="Segoe UI"/>
        </w:rPr>
        <w:t xml:space="preserve"> composition and scope to ensure </w:t>
      </w:r>
      <w:r w:rsidR="00990B7E">
        <w:rPr>
          <w:rFonts w:cs="Segoe UI"/>
        </w:rPr>
        <w:t>it</w:t>
      </w:r>
      <w:r w:rsidR="00990B7E" w:rsidRPr="00D876CF">
        <w:rPr>
          <w:rFonts w:cs="Segoe UI"/>
        </w:rPr>
        <w:t xml:space="preserve"> </w:t>
      </w:r>
      <w:r w:rsidR="00EB6D83" w:rsidRPr="00824739">
        <w:rPr>
          <w:rFonts w:cs="Segoe UI"/>
        </w:rPr>
        <w:t xml:space="preserve">is resourced to consider the </w:t>
      </w:r>
      <w:r w:rsidR="00990B7E" w:rsidRPr="00D876CF">
        <w:rPr>
          <w:rFonts w:cs="Segoe UI"/>
        </w:rPr>
        <w:t xml:space="preserve">breadth of </w:t>
      </w:r>
      <w:r w:rsidR="00EB6D83" w:rsidRPr="00824739">
        <w:rPr>
          <w:rFonts w:cs="Segoe UI"/>
        </w:rPr>
        <w:t>different health technologies. Consideration should be given to</w:t>
      </w:r>
      <w:r w:rsidR="004B3767">
        <w:rPr>
          <w:rFonts w:cs="Segoe UI"/>
        </w:rPr>
        <w:t xml:space="preserve"> the following options for achieving this</w:t>
      </w:r>
      <w:r w:rsidR="00EB6D83" w:rsidRPr="00824739">
        <w:rPr>
          <w:rFonts w:cs="Segoe UI"/>
        </w:rPr>
        <w:t xml:space="preserve">: </w:t>
      </w:r>
    </w:p>
    <w:p w14:paraId="13078CF1" w14:textId="183960F8" w:rsidR="00EB6D83" w:rsidRPr="00824739" w:rsidRDefault="00394DB7" w:rsidP="00281153">
      <w:pPr>
        <w:numPr>
          <w:ilvl w:val="1"/>
          <w:numId w:val="36"/>
        </w:numPr>
        <w:spacing w:before="120" w:after="120"/>
        <w:contextualSpacing/>
        <w:rPr>
          <w:rFonts w:cs="Segoe UI"/>
        </w:rPr>
      </w:pPr>
      <w:r>
        <w:rPr>
          <w:rFonts w:cs="Segoe UI"/>
        </w:rPr>
        <w:t>t</w:t>
      </w:r>
      <w:r w:rsidR="00EB6D83" w:rsidRPr="00824739">
        <w:rPr>
          <w:rFonts w:cs="Segoe UI"/>
        </w:rPr>
        <w:t>he feasibility of having a smaller core committee membership (for example, 6</w:t>
      </w:r>
      <w:r>
        <w:rPr>
          <w:rFonts w:cs="Segoe UI"/>
        </w:rPr>
        <w:t>–</w:t>
      </w:r>
      <w:r w:rsidR="00EB6D83" w:rsidRPr="00824739">
        <w:rPr>
          <w:rFonts w:cs="Segoe UI"/>
        </w:rPr>
        <w:t>10 core members)</w:t>
      </w:r>
      <w:r>
        <w:rPr>
          <w:rFonts w:cs="Segoe UI"/>
        </w:rPr>
        <w:t>,</w:t>
      </w:r>
      <w:r w:rsidR="00EB6D83" w:rsidRPr="00824739">
        <w:rPr>
          <w:rFonts w:cs="Segoe UI"/>
        </w:rPr>
        <w:t xml:space="preserve"> supplemented by other members drawn from a larger membership pool of different experts, as needed</w:t>
      </w:r>
    </w:p>
    <w:p w14:paraId="23B6B798" w14:textId="5ED050D6" w:rsidR="00EB6D83" w:rsidRPr="00824739" w:rsidRDefault="00394DB7" w:rsidP="00281153">
      <w:pPr>
        <w:numPr>
          <w:ilvl w:val="1"/>
          <w:numId w:val="36"/>
        </w:numPr>
        <w:spacing w:before="120" w:after="120"/>
        <w:contextualSpacing/>
        <w:rPr>
          <w:rFonts w:cs="Segoe UI"/>
        </w:rPr>
      </w:pPr>
      <w:r>
        <w:rPr>
          <w:rFonts w:cs="Segoe UI"/>
        </w:rPr>
        <w:t>t</w:t>
      </w:r>
      <w:r w:rsidR="00EB6D83" w:rsidRPr="00824739">
        <w:rPr>
          <w:rFonts w:cs="Segoe UI"/>
        </w:rPr>
        <w:t xml:space="preserve">he feasibility of having two committees, with the same approach, that have </w:t>
      </w:r>
      <w:r w:rsidR="009132E2">
        <w:rPr>
          <w:rFonts w:cs="Segoe UI"/>
        </w:rPr>
        <w:t>alternating</w:t>
      </w:r>
      <w:r w:rsidR="00EB6D83" w:rsidRPr="00824739">
        <w:rPr>
          <w:rFonts w:cs="Segoe UI"/>
        </w:rPr>
        <w:t xml:space="preserve"> meeting</w:t>
      </w:r>
      <w:r w:rsidR="009132E2">
        <w:rPr>
          <w:rFonts w:cs="Segoe UI"/>
        </w:rPr>
        <w:t xml:space="preserve"> cycles</w:t>
      </w:r>
    </w:p>
    <w:p w14:paraId="33AE04FB" w14:textId="10C09EAA" w:rsidR="00EB6D83" w:rsidRPr="00824739" w:rsidRDefault="006F523F" w:rsidP="00281153">
      <w:pPr>
        <w:numPr>
          <w:ilvl w:val="1"/>
          <w:numId w:val="36"/>
        </w:numPr>
        <w:spacing w:before="120" w:after="120"/>
        <w:contextualSpacing/>
        <w:rPr>
          <w:rFonts w:cs="Segoe UI"/>
        </w:rPr>
      </w:pPr>
      <w:r>
        <w:rPr>
          <w:rFonts w:cs="Segoe UI"/>
        </w:rPr>
        <w:t>t</w:t>
      </w:r>
      <w:r w:rsidR="00386008">
        <w:rPr>
          <w:rFonts w:cs="Segoe UI"/>
        </w:rPr>
        <w:t>he most appropriate submission cycle duration and whether more flexibility or time is desirable and feasible</w:t>
      </w:r>
      <w:r w:rsidR="00D56CBB">
        <w:rPr>
          <w:rFonts w:cs="Segoe UI"/>
        </w:rPr>
        <w:t>.</w:t>
      </w:r>
    </w:p>
    <w:p w14:paraId="1FAFFB82" w14:textId="16C4754D" w:rsidR="00685BB8" w:rsidRDefault="006F523F" w:rsidP="00281153">
      <w:pPr>
        <w:numPr>
          <w:ilvl w:val="0"/>
          <w:numId w:val="36"/>
        </w:numPr>
        <w:contextualSpacing/>
        <w:rPr>
          <w:rFonts w:cs="Segoe UI"/>
        </w:rPr>
      </w:pPr>
      <w:r>
        <w:rPr>
          <w:rFonts w:cs="Segoe UI"/>
        </w:rPr>
        <w:t>a</w:t>
      </w:r>
      <w:r w:rsidR="00990B7E" w:rsidRPr="00903060">
        <w:rPr>
          <w:rFonts w:cs="Segoe UI"/>
        </w:rPr>
        <w:t xml:space="preserve"> staged approach</w:t>
      </w:r>
      <w:r w:rsidR="4523B73F" w:rsidRPr="760B44C9">
        <w:rPr>
          <w:rFonts w:cs="Segoe UI"/>
        </w:rPr>
        <w:t xml:space="preserve"> to implementation</w:t>
      </w:r>
      <w:r w:rsidR="00990B7E" w:rsidRPr="00903060">
        <w:rPr>
          <w:rFonts w:cs="Segoe UI"/>
        </w:rPr>
        <w:t xml:space="preserve">, with set review points along the stages to ensure changes are meeting objectives. Stages in this process </w:t>
      </w:r>
      <w:r>
        <w:rPr>
          <w:rFonts w:cs="Segoe UI"/>
        </w:rPr>
        <w:t>should</w:t>
      </w:r>
      <w:r w:rsidR="00990B7E">
        <w:rPr>
          <w:rFonts w:cs="Segoe UI"/>
        </w:rPr>
        <w:t xml:space="preserve"> include</w:t>
      </w:r>
      <w:r w:rsidR="00990B7E" w:rsidRPr="00903060">
        <w:rPr>
          <w:rFonts w:cs="Segoe UI"/>
        </w:rPr>
        <w:t xml:space="preserve"> </w:t>
      </w:r>
      <w:r w:rsidR="00990B7E">
        <w:rPr>
          <w:rFonts w:cs="Segoe UI"/>
        </w:rPr>
        <w:t>the</w:t>
      </w:r>
      <w:r>
        <w:rPr>
          <w:rFonts w:cs="Segoe UI"/>
        </w:rPr>
        <w:t xml:space="preserve"> entire </w:t>
      </w:r>
      <w:r w:rsidR="00990B7E">
        <w:rPr>
          <w:rFonts w:cs="Segoe UI"/>
        </w:rPr>
        <w:t>or components of</w:t>
      </w:r>
      <w:r w:rsidR="00990B7E" w:rsidRPr="00903060">
        <w:rPr>
          <w:rFonts w:cs="Segoe UI"/>
        </w:rPr>
        <w:t>:</w:t>
      </w:r>
      <w:r w:rsidR="00990B7E">
        <w:rPr>
          <w:rFonts w:cs="Segoe UI"/>
        </w:rPr>
        <w:t xml:space="preserve"> </w:t>
      </w:r>
    </w:p>
    <w:p w14:paraId="6F2397DF" w14:textId="1BEBCCB1" w:rsidR="00990B7E" w:rsidRPr="00987D45" w:rsidRDefault="006F523F" w:rsidP="00281153">
      <w:pPr>
        <w:numPr>
          <w:ilvl w:val="1"/>
          <w:numId w:val="36"/>
        </w:numPr>
        <w:contextualSpacing/>
        <w:rPr>
          <w:rFonts w:cs="Segoe UI"/>
        </w:rPr>
      </w:pPr>
      <w:r>
        <w:rPr>
          <w:rFonts w:cs="Segoe UI"/>
        </w:rPr>
        <w:t xml:space="preserve">Recommendation 5. </w:t>
      </w:r>
      <w:r w:rsidR="00990B7E" w:rsidRPr="00987D45">
        <w:rPr>
          <w:rFonts w:cs="Segoe UI"/>
        </w:rPr>
        <w:t>Triaging submissions</w:t>
      </w:r>
    </w:p>
    <w:p w14:paraId="3601E4F4" w14:textId="18E87FF6" w:rsidR="00EB6D83" w:rsidRPr="008D7B0F" w:rsidRDefault="006F523F" w:rsidP="00281153">
      <w:pPr>
        <w:numPr>
          <w:ilvl w:val="1"/>
          <w:numId w:val="36"/>
        </w:numPr>
        <w:spacing w:before="120" w:after="120"/>
        <w:contextualSpacing/>
        <w:rPr>
          <w:rFonts w:cs="Segoe UI"/>
        </w:rPr>
      </w:pPr>
      <w:r>
        <w:rPr>
          <w:rFonts w:cs="Segoe UI"/>
        </w:rPr>
        <w:t xml:space="preserve">Recommendation 6. </w:t>
      </w:r>
      <w:r w:rsidR="00D20611" w:rsidRPr="008D7B0F">
        <w:rPr>
          <w:rFonts w:cs="Segoe UI"/>
        </w:rPr>
        <w:t>Expand</w:t>
      </w:r>
      <w:r>
        <w:rPr>
          <w:rFonts w:cs="Segoe UI"/>
        </w:rPr>
        <w:t>ing</w:t>
      </w:r>
      <w:r w:rsidR="00D20611" w:rsidRPr="008D7B0F">
        <w:rPr>
          <w:rFonts w:cs="Segoe UI"/>
        </w:rPr>
        <w:t xml:space="preserve"> the advisory role of the </w:t>
      </w:r>
      <w:r w:rsidR="00924DE3" w:rsidRPr="00924DE3">
        <w:rPr>
          <w:rFonts w:cs="Segoe UI"/>
        </w:rPr>
        <w:t xml:space="preserve">Pharmaceutical Benefits Advisory Committee </w:t>
      </w:r>
      <w:r w:rsidR="00D20611" w:rsidRPr="008D7B0F">
        <w:rPr>
          <w:rFonts w:cs="Segoe UI"/>
        </w:rPr>
        <w:t xml:space="preserve">beyond </w:t>
      </w:r>
      <w:r>
        <w:rPr>
          <w:rFonts w:cs="Segoe UI"/>
        </w:rPr>
        <w:t xml:space="preserve">the </w:t>
      </w:r>
      <w:r w:rsidR="00C248EE" w:rsidRPr="00C248EE">
        <w:rPr>
          <w:rFonts w:cs="Segoe UI"/>
        </w:rPr>
        <w:t xml:space="preserve">Pharmaceutical Benefits Scheme </w:t>
      </w:r>
    </w:p>
    <w:p w14:paraId="54E6984E" w14:textId="372D0A0D" w:rsidR="008D7B0F" w:rsidRPr="001E7C2C" w:rsidRDefault="001E7C2C" w:rsidP="00281153">
      <w:pPr>
        <w:numPr>
          <w:ilvl w:val="1"/>
          <w:numId w:val="36"/>
        </w:numPr>
        <w:contextualSpacing/>
        <w:rPr>
          <w:rFonts w:cs="Segoe UI"/>
        </w:rPr>
      </w:pPr>
      <w:r>
        <w:rPr>
          <w:rFonts w:cs="Segoe UI"/>
        </w:rPr>
        <w:t xml:space="preserve">Recommendation </w:t>
      </w:r>
      <w:r w:rsidR="000B1C48">
        <w:rPr>
          <w:rFonts w:cs="Segoe UI"/>
        </w:rPr>
        <w:t xml:space="preserve">11. </w:t>
      </w:r>
      <w:r w:rsidR="000B1C48" w:rsidRPr="000B1C48">
        <w:rPr>
          <w:rFonts w:cs="Segoe UI"/>
        </w:rPr>
        <w:t>Proportionate appraisal pathways to align the Australian Technical Advisory Group on Immunisation assessments with the level of risk and complexity of the product</w:t>
      </w:r>
    </w:p>
    <w:p w14:paraId="034979AC" w14:textId="27F9418B" w:rsidR="00D20611" w:rsidRPr="008D7B0F" w:rsidRDefault="006F523F" w:rsidP="00281153">
      <w:pPr>
        <w:numPr>
          <w:ilvl w:val="1"/>
          <w:numId w:val="36"/>
        </w:numPr>
        <w:spacing w:before="120" w:after="120"/>
        <w:contextualSpacing/>
        <w:rPr>
          <w:rFonts w:cs="Segoe UI"/>
        </w:rPr>
      </w:pPr>
      <w:r>
        <w:rPr>
          <w:rFonts w:cs="Segoe UI"/>
        </w:rPr>
        <w:t xml:space="preserve">Recommendation 14. </w:t>
      </w:r>
      <w:r w:rsidR="00C60E84">
        <w:rPr>
          <w:rFonts w:cs="Segoe UI"/>
        </w:rPr>
        <w:t xml:space="preserve">Improving time to access </w:t>
      </w:r>
      <w:r w:rsidR="00D20611" w:rsidRPr="008D7B0F">
        <w:rPr>
          <w:rFonts w:cs="Segoe UI"/>
        </w:rPr>
        <w:t>life-saving drugs for patients with ultra-rare diseases (Life Saving Drugs Program)</w:t>
      </w:r>
      <w:r>
        <w:rPr>
          <w:rFonts w:cs="Segoe UI"/>
        </w:rPr>
        <w:t>.</w:t>
      </w:r>
    </w:p>
    <w:p w14:paraId="3C81A220" w14:textId="6C40D772" w:rsidR="008E1F54" w:rsidRPr="002724B9" w:rsidRDefault="008E1F54" w:rsidP="00645D5E">
      <w:pPr>
        <w:pStyle w:val="Recommendation1"/>
      </w:pPr>
      <w:bookmarkStart w:id="150" w:name="_Hlk164287437"/>
      <w:r w:rsidRPr="002724B9">
        <w:t>Triaging submissions</w:t>
      </w:r>
    </w:p>
    <w:bookmarkEnd w:id="150"/>
    <w:p w14:paraId="54356E14" w14:textId="78B93537" w:rsidR="008E1F54" w:rsidRPr="00824739" w:rsidRDefault="00464D53" w:rsidP="00A517CB">
      <w:pPr>
        <w:rPr>
          <w:rFonts w:eastAsia="Calibri" w:cs="Segoe UI"/>
        </w:rPr>
      </w:pPr>
      <w:r w:rsidRPr="006624B4">
        <w:t xml:space="preserve">The Review recommends </w:t>
      </w:r>
      <w:r w:rsidR="009F4997">
        <w:t xml:space="preserve">that </w:t>
      </w:r>
      <w:r w:rsidRPr="006624B4">
        <w:t>the Australian Government</w:t>
      </w:r>
      <w:r w:rsidR="00D76896" w:rsidRPr="006624B4">
        <w:t xml:space="preserve"> </w:t>
      </w:r>
      <w:r w:rsidR="00D76896" w:rsidRPr="00D76896">
        <w:rPr>
          <w:rFonts w:eastAsiaTheme="minorEastAsia" w:cs="Segoe UI"/>
        </w:rPr>
        <w:t>d</w:t>
      </w:r>
      <w:r w:rsidR="00990B7E" w:rsidRPr="00D76896">
        <w:rPr>
          <w:rFonts w:eastAsiaTheme="minorEastAsia" w:cs="Segoe UI"/>
        </w:rPr>
        <w:t>evelop</w:t>
      </w:r>
      <w:r w:rsidR="008E1F54">
        <w:rPr>
          <w:rFonts w:eastAsiaTheme="minorEastAsia" w:cs="Segoe UI"/>
        </w:rPr>
        <w:t xml:space="preserve"> processes</w:t>
      </w:r>
      <w:r w:rsidR="003C48FD">
        <w:rPr>
          <w:rFonts w:eastAsiaTheme="minorEastAsia" w:cs="Segoe UI"/>
        </w:rPr>
        <w:t>, in consultation with stakeholders,</w:t>
      </w:r>
      <w:r w:rsidR="008E1F54">
        <w:rPr>
          <w:rFonts w:eastAsiaTheme="minorEastAsia" w:cs="Segoe UI"/>
        </w:rPr>
        <w:t xml:space="preserve"> to</w:t>
      </w:r>
      <w:r w:rsidR="008E1F54" w:rsidRPr="00824739">
        <w:rPr>
          <w:rFonts w:eastAsiaTheme="minorEastAsia" w:cs="Segoe UI"/>
        </w:rPr>
        <w:t xml:space="preserve"> enable </w:t>
      </w:r>
      <w:r w:rsidR="009F4997">
        <w:rPr>
          <w:rFonts w:eastAsiaTheme="minorEastAsia" w:cs="Segoe UI"/>
        </w:rPr>
        <w:t xml:space="preserve">triaging of </w:t>
      </w:r>
      <w:r w:rsidR="008E1F54" w:rsidRPr="00824739">
        <w:rPr>
          <w:rFonts w:eastAsiaTheme="minorEastAsia" w:cs="Segoe UI"/>
        </w:rPr>
        <w:t xml:space="preserve">submissions to determine the </w:t>
      </w:r>
      <w:r w:rsidR="008E1F54" w:rsidRPr="00C9025A">
        <w:rPr>
          <w:rFonts w:eastAsia="Calibri" w:cs="Segoe UI"/>
        </w:rPr>
        <w:t>appropriate</w:t>
      </w:r>
      <w:r w:rsidR="008E1F54" w:rsidRPr="00824739">
        <w:rPr>
          <w:rFonts w:eastAsiaTheme="minorEastAsia" w:cs="Segoe UI"/>
        </w:rPr>
        <w:t xml:space="preserve"> evaluation and appraisal mechanisms</w:t>
      </w:r>
      <w:r w:rsidR="00D76896" w:rsidRPr="00D76896">
        <w:rPr>
          <w:rFonts w:eastAsiaTheme="minorEastAsia" w:cs="Segoe UI"/>
        </w:rPr>
        <w:t>.</w:t>
      </w:r>
      <w:r w:rsidR="008E1F54" w:rsidRPr="00824739">
        <w:rPr>
          <w:rFonts w:eastAsiaTheme="minorEastAsia" w:cs="Segoe UI"/>
        </w:rPr>
        <w:t xml:space="preserve"> The process for triaging should include: </w:t>
      </w:r>
    </w:p>
    <w:p w14:paraId="78E2DD5F" w14:textId="199C0C77" w:rsidR="00612BC3" w:rsidRPr="00D72196" w:rsidRDefault="001E7C2C" w:rsidP="00281153">
      <w:pPr>
        <w:numPr>
          <w:ilvl w:val="0"/>
          <w:numId w:val="34"/>
        </w:numPr>
        <w:spacing w:before="120" w:after="120"/>
        <w:contextualSpacing/>
        <w:rPr>
          <w:rFonts w:eastAsia="Calibri" w:cs="Segoe UI"/>
        </w:rPr>
      </w:pPr>
      <w:r>
        <w:rPr>
          <w:rFonts w:eastAsia="Calibri" w:cs="Segoe UI"/>
        </w:rPr>
        <w:t>submitting a</w:t>
      </w:r>
      <w:r w:rsidR="00E449AE">
        <w:rPr>
          <w:rFonts w:eastAsia="Calibri" w:cs="Segoe UI"/>
        </w:rPr>
        <w:t xml:space="preserve">ll </w:t>
      </w:r>
      <w:r w:rsidR="008F44A6" w:rsidRPr="008F44A6">
        <w:rPr>
          <w:rFonts w:eastAsia="Calibri" w:cs="Segoe UI"/>
        </w:rPr>
        <w:t>HTA</w:t>
      </w:r>
      <w:r w:rsidR="00E449AE">
        <w:rPr>
          <w:rFonts w:eastAsia="Calibri" w:cs="Segoe UI"/>
        </w:rPr>
        <w:t xml:space="preserve"> </w:t>
      </w:r>
      <w:r>
        <w:rPr>
          <w:rFonts w:eastAsia="Calibri" w:cs="Segoe UI"/>
        </w:rPr>
        <w:t>applications</w:t>
      </w:r>
      <w:r w:rsidRPr="00824739">
        <w:rPr>
          <w:rFonts w:eastAsiaTheme="minorEastAsia" w:cs="Segoe UI"/>
        </w:rPr>
        <w:t xml:space="preserve"> </w:t>
      </w:r>
      <w:r w:rsidR="004B6515">
        <w:rPr>
          <w:rFonts w:eastAsiaTheme="minorEastAsia" w:cs="Segoe UI"/>
        </w:rPr>
        <w:t>for</w:t>
      </w:r>
      <w:r w:rsidR="008E1F54">
        <w:rPr>
          <w:rFonts w:eastAsiaTheme="minorEastAsia" w:cs="Segoe UI"/>
        </w:rPr>
        <w:t xml:space="preserve"> </w:t>
      </w:r>
      <w:r w:rsidR="008E1F54" w:rsidRPr="00824739">
        <w:rPr>
          <w:rFonts w:eastAsiaTheme="minorEastAsia" w:cs="Segoe UI"/>
        </w:rPr>
        <w:t xml:space="preserve">Australian Government </w:t>
      </w:r>
      <w:r w:rsidR="004B6515">
        <w:rPr>
          <w:rFonts w:eastAsiaTheme="minorEastAsia" w:cs="Segoe UI"/>
        </w:rPr>
        <w:t xml:space="preserve">reimbursement </w:t>
      </w:r>
      <w:r w:rsidR="008E1F54" w:rsidRPr="00824739">
        <w:rPr>
          <w:rFonts w:eastAsiaTheme="minorEastAsia" w:cs="Segoe UI"/>
        </w:rPr>
        <w:t>u</w:t>
      </w:r>
      <w:r>
        <w:rPr>
          <w:rFonts w:eastAsiaTheme="minorEastAsia" w:cs="Segoe UI"/>
        </w:rPr>
        <w:t xml:space="preserve">sing </w:t>
      </w:r>
      <w:r w:rsidR="008E1F54" w:rsidRPr="00824739">
        <w:rPr>
          <w:rFonts w:eastAsiaTheme="minorEastAsia" w:cs="Segoe UI"/>
        </w:rPr>
        <w:t>a ‘single front door’ approach</w:t>
      </w:r>
      <w:r w:rsidR="00A63AB1">
        <w:rPr>
          <w:rFonts w:eastAsiaTheme="minorEastAsia" w:cs="Segoe UI"/>
        </w:rPr>
        <w:t xml:space="preserve">. </w:t>
      </w:r>
    </w:p>
    <w:p w14:paraId="6FE985AC" w14:textId="743B81F4" w:rsidR="008E1F54" w:rsidRPr="00FD2C2A" w:rsidRDefault="008E1F54" w:rsidP="00281153">
      <w:pPr>
        <w:numPr>
          <w:ilvl w:val="0"/>
          <w:numId w:val="34"/>
        </w:numPr>
        <w:spacing w:before="120" w:after="120"/>
        <w:contextualSpacing/>
        <w:rPr>
          <w:rFonts w:eastAsia="Calibri" w:cs="Segoe UI"/>
        </w:rPr>
      </w:pPr>
      <w:r w:rsidRPr="00FD2C2A">
        <w:rPr>
          <w:rFonts w:eastAsia="Calibri" w:cs="Segoe UI"/>
        </w:rPr>
        <w:t>develop</w:t>
      </w:r>
      <w:r w:rsidR="00A63AB1">
        <w:rPr>
          <w:rFonts w:eastAsia="Calibri" w:cs="Segoe UI"/>
        </w:rPr>
        <w:t>ing</w:t>
      </w:r>
      <w:r w:rsidRPr="00FD2C2A">
        <w:rPr>
          <w:rFonts w:eastAsia="Calibri" w:cs="Segoe UI"/>
        </w:rPr>
        <w:t xml:space="preserve"> a clear and transparent decision tool</w:t>
      </w:r>
      <w:r w:rsidR="00A63AB1">
        <w:rPr>
          <w:rFonts w:eastAsia="Calibri" w:cs="Segoe UI"/>
        </w:rPr>
        <w:t>,</w:t>
      </w:r>
      <w:r w:rsidRPr="00FD2C2A">
        <w:rPr>
          <w:rFonts w:eastAsia="Calibri" w:cs="Segoe UI"/>
        </w:rPr>
        <w:t xml:space="preserve"> such as a decision tree</w:t>
      </w:r>
      <w:r w:rsidR="00A63AB1">
        <w:rPr>
          <w:rFonts w:eastAsia="Calibri" w:cs="Segoe UI"/>
        </w:rPr>
        <w:t>,</w:t>
      </w:r>
      <w:r w:rsidRPr="00FD2C2A">
        <w:rPr>
          <w:rFonts w:eastAsia="Calibri" w:cs="Segoe UI"/>
        </w:rPr>
        <w:t xml:space="preserve"> to </w:t>
      </w:r>
      <w:r w:rsidR="000D4BC9" w:rsidRPr="00FD2C2A">
        <w:rPr>
          <w:rFonts w:eastAsia="Calibri" w:cs="Segoe UI"/>
        </w:rPr>
        <w:t>guide sponsors’ nomination</w:t>
      </w:r>
      <w:r w:rsidR="003C1515">
        <w:rPr>
          <w:rFonts w:eastAsia="Calibri" w:cs="Segoe UI"/>
        </w:rPr>
        <w:t>,</w:t>
      </w:r>
      <w:r w:rsidR="000D4BC9" w:rsidRPr="00FD2C2A">
        <w:rPr>
          <w:rFonts w:eastAsia="Calibri" w:cs="Segoe UI"/>
        </w:rPr>
        <w:t xml:space="preserve"> and </w:t>
      </w:r>
      <w:r w:rsidR="00A63AB1">
        <w:rPr>
          <w:rFonts w:eastAsia="Calibri" w:cs="Segoe UI"/>
        </w:rPr>
        <w:t xml:space="preserve">to </w:t>
      </w:r>
      <w:r w:rsidR="000D4BC9" w:rsidRPr="00FD2C2A">
        <w:rPr>
          <w:rFonts w:eastAsia="Calibri" w:cs="Segoe UI"/>
        </w:rPr>
        <w:t>triag</w:t>
      </w:r>
      <w:r w:rsidR="00A63AB1">
        <w:rPr>
          <w:rFonts w:eastAsia="Calibri" w:cs="Segoe UI"/>
        </w:rPr>
        <w:t xml:space="preserve">e </w:t>
      </w:r>
      <w:r w:rsidR="000D4BC9" w:rsidRPr="00FD2C2A">
        <w:rPr>
          <w:rFonts w:eastAsia="Calibri" w:cs="Segoe UI"/>
        </w:rPr>
        <w:t xml:space="preserve">selection of the most appropriate </w:t>
      </w:r>
      <w:r w:rsidR="00A902EE" w:rsidRPr="00FD2C2A">
        <w:rPr>
          <w:rFonts w:eastAsia="Calibri" w:cs="Segoe UI"/>
        </w:rPr>
        <w:t>HTA</w:t>
      </w:r>
      <w:r w:rsidRPr="00FD2C2A">
        <w:rPr>
          <w:rFonts w:eastAsia="Calibri" w:cs="Segoe UI"/>
        </w:rPr>
        <w:t xml:space="preserve"> pathway</w:t>
      </w:r>
    </w:p>
    <w:p w14:paraId="6CBA01E1" w14:textId="4FEED5D9" w:rsidR="008E1F54" w:rsidRPr="00FD2C2A" w:rsidRDefault="00A63AB1" w:rsidP="00281153">
      <w:pPr>
        <w:numPr>
          <w:ilvl w:val="0"/>
          <w:numId w:val="34"/>
        </w:numPr>
        <w:spacing w:before="120" w:after="120"/>
        <w:contextualSpacing/>
        <w:rPr>
          <w:rFonts w:eastAsia="Calibri" w:cs="Segoe UI"/>
        </w:rPr>
      </w:pPr>
      <w:r>
        <w:rPr>
          <w:rFonts w:eastAsia="Calibri" w:cs="Segoe UI"/>
        </w:rPr>
        <w:t>e</w:t>
      </w:r>
      <w:r w:rsidR="008E1F54" w:rsidRPr="00FD2C2A">
        <w:rPr>
          <w:rFonts w:eastAsia="Calibri" w:cs="Segoe UI"/>
        </w:rPr>
        <w:t>stablish</w:t>
      </w:r>
      <w:r>
        <w:rPr>
          <w:rFonts w:eastAsia="Calibri" w:cs="Segoe UI"/>
        </w:rPr>
        <w:t>ing</w:t>
      </w:r>
      <w:r w:rsidR="008E1F54" w:rsidRPr="00FD2C2A">
        <w:rPr>
          <w:rFonts w:eastAsia="Calibri" w:cs="Segoe UI"/>
        </w:rPr>
        <w:t xml:space="preserve"> a triaging committee </w:t>
      </w:r>
      <w:r w:rsidR="006A67B1">
        <w:rPr>
          <w:rFonts w:eastAsia="Calibri" w:cs="Segoe UI"/>
        </w:rPr>
        <w:t>for example</w:t>
      </w:r>
      <w:r w:rsidR="00E45609">
        <w:rPr>
          <w:rFonts w:eastAsia="Calibri" w:cs="Segoe UI"/>
        </w:rPr>
        <w:t xml:space="preserve"> </w:t>
      </w:r>
      <w:r w:rsidR="008E1F54" w:rsidRPr="00FD2C2A">
        <w:rPr>
          <w:rFonts w:eastAsia="Calibri" w:cs="Segoe UI"/>
        </w:rPr>
        <w:t>compris</w:t>
      </w:r>
      <w:r w:rsidR="00E45609">
        <w:rPr>
          <w:rFonts w:eastAsia="Calibri" w:cs="Segoe UI"/>
        </w:rPr>
        <w:t>ing</w:t>
      </w:r>
      <w:r w:rsidR="008E1F54" w:rsidRPr="00FD2C2A">
        <w:rPr>
          <w:rFonts w:eastAsia="Calibri" w:cs="Segoe UI"/>
        </w:rPr>
        <w:t xml:space="preserve"> of the chairs and deputy chairs of the </w:t>
      </w:r>
      <w:r w:rsidR="0037591D" w:rsidRPr="0037591D">
        <w:rPr>
          <w:rFonts w:eastAsia="Calibri" w:cs="Segoe UI"/>
        </w:rPr>
        <w:t>Pharmaceutical Benefits Advisory Committee</w:t>
      </w:r>
      <w:r w:rsidR="00CD3AF7">
        <w:rPr>
          <w:rFonts w:eastAsia="Calibri" w:cs="Segoe UI"/>
        </w:rPr>
        <w:t xml:space="preserve"> (PBAC)</w:t>
      </w:r>
      <w:r w:rsidR="008E1F54" w:rsidRPr="00FD2C2A">
        <w:rPr>
          <w:rFonts w:eastAsia="Calibri" w:cs="Segoe UI"/>
        </w:rPr>
        <w:t xml:space="preserve">, </w:t>
      </w:r>
      <w:r w:rsidR="00D62A14" w:rsidRPr="00D62A14">
        <w:rPr>
          <w:rFonts w:eastAsia="Calibri" w:cs="Segoe UI"/>
        </w:rPr>
        <w:t>Medical Services Advisory Committee</w:t>
      </w:r>
      <w:r w:rsidR="00CD3AF7">
        <w:rPr>
          <w:rFonts w:eastAsia="Calibri" w:cs="Segoe UI"/>
        </w:rPr>
        <w:t xml:space="preserve"> (MSAC</w:t>
      </w:r>
      <w:r w:rsidR="00DC3E31">
        <w:rPr>
          <w:rFonts w:eastAsia="Calibri" w:cs="Segoe UI"/>
        </w:rPr>
        <w:t>)</w:t>
      </w:r>
      <w:r w:rsidR="00DC3E31" w:rsidRPr="00FD2C2A">
        <w:rPr>
          <w:rFonts w:eastAsia="Calibri" w:cs="Segoe UI"/>
        </w:rPr>
        <w:t xml:space="preserve">, </w:t>
      </w:r>
      <w:r w:rsidR="00DC3E31" w:rsidRPr="003817EE">
        <w:t>Australian</w:t>
      </w:r>
      <w:r w:rsidR="003817EE">
        <w:t xml:space="preserve"> Technical Advisory Group on Immunisation</w:t>
      </w:r>
      <w:r w:rsidR="00CD3AF7">
        <w:t xml:space="preserve"> (ATAGI)</w:t>
      </w:r>
      <w:r w:rsidR="003817EE" w:rsidRPr="00FD2C2A" w:rsidDel="003817EE">
        <w:rPr>
          <w:rFonts w:eastAsia="Calibri" w:cs="Segoe UI"/>
        </w:rPr>
        <w:t xml:space="preserve"> </w:t>
      </w:r>
      <w:r w:rsidR="008E1F54" w:rsidRPr="00FD2C2A">
        <w:rPr>
          <w:rFonts w:eastAsia="Calibri" w:cs="Segoe UI"/>
        </w:rPr>
        <w:t>and technical sub</w:t>
      </w:r>
      <w:r>
        <w:rPr>
          <w:rFonts w:eastAsia="Calibri" w:cs="Segoe UI"/>
        </w:rPr>
        <w:t>-</w:t>
      </w:r>
      <w:r w:rsidR="008E1F54" w:rsidRPr="00FD2C2A">
        <w:rPr>
          <w:rFonts w:eastAsia="Calibri" w:cs="Segoe UI"/>
        </w:rPr>
        <w:t xml:space="preserve">committees </w:t>
      </w:r>
    </w:p>
    <w:p w14:paraId="7917DD36" w14:textId="3F14B54A" w:rsidR="00275EB6" w:rsidRPr="00FD2C2A" w:rsidRDefault="00A63AB1" w:rsidP="00281153">
      <w:pPr>
        <w:numPr>
          <w:ilvl w:val="0"/>
          <w:numId w:val="34"/>
        </w:numPr>
        <w:spacing w:before="120" w:after="120"/>
        <w:contextualSpacing/>
        <w:rPr>
          <w:rFonts w:eastAsia="Calibri" w:cs="Segoe UI"/>
        </w:rPr>
      </w:pPr>
      <w:r>
        <w:rPr>
          <w:rFonts w:eastAsia="Calibri" w:cs="Segoe UI"/>
        </w:rPr>
        <w:t>a</w:t>
      </w:r>
      <w:r w:rsidR="00590A8A" w:rsidRPr="00FD2C2A">
        <w:rPr>
          <w:rFonts w:eastAsia="Calibri" w:cs="Segoe UI"/>
        </w:rPr>
        <w:t>llow</w:t>
      </w:r>
      <w:r>
        <w:rPr>
          <w:rFonts w:eastAsia="Calibri" w:cs="Segoe UI"/>
        </w:rPr>
        <w:t>ing</w:t>
      </w:r>
      <w:r w:rsidR="00590A8A" w:rsidRPr="00FD2C2A">
        <w:rPr>
          <w:rFonts w:eastAsia="Calibri" w:cs="Segoe UI"/>
        </w:rPr>
        <w:t xml:space="preserve"> </w:t>
      </w:r>
      <w:r w:rsidR="000D1F1C" w:rsidRPr="00FD2C2A">
        <w:rPr>
          <w:rFonts w:eastAsia="Calibri" w:cs="Segoe UI"/>
        </w:rPr>
        <w:t>sponsor</w:t>
      </w:r>
      <w:r>
        <w:rPr>
          <w:rFonts w:eastAsia="Calibri" w:cs="Segoe UI"/>
        </w:rPr>
        <w:t>s to</w:t>
      </w:r>
      <w:r w:rsidR="00901BDE" w:rsidRPr="00FD2C2A">
        <w:rPr>
          <w:rFonts w:eastAsia="Calibri" w:cs="Segoe UI"/>
        </w:rPr>
        <w:t xml:space="preserve"> nominat</w:t>
      </w:r>
      <w:r>
        <w:rPr>
          <w:rFonts w:eastAsia="Calibri" w:cs="Segoe UI"/>
        </w:rPr>
        <w:t>e</w:t>
      </w:r>
      <w:r w:rsidR="00901BDE" w:rsidRPr="00FD2C2A">
        <w:rPr>
          <w:rFonts w:eastAsia="Calibri" w:cs="Segoe UI"/>
        </w:rPr>
        <w:t xml:space="preserve"> the</w:t>
      </w:r>
      <w:r w:rsidR="005E5EE7" w:rsidRPr="00FD2C2A">
        <w:rPr>
          <w:rFonts w:eastAsia="Calibri" w:cs="Segoe UI"/>
        </w:rPr>
        <w:t xml:space="preserve">ir </w:t>
      </w:r>
      <w:r w:rsidR="0041656D" w:rsidRPr="00FD2C2A">
        <w:rPr>
          <w:rFonts w:eastAsia="Calibri" w:cs="Segoe UI"/>
        </w:rPr>
        <w:t>preferred</w:t>
      </w:r>
      <w:r>
        <w:rPr>
          <w:rFonts w:eastAsia="Calibri" w:cs="Segoe UI"/>
        </w:rPr>
        <w:t xml:space="preserve"> or</w:t>
      </w:r>
      <w:r w:rsidR="00AE5EFA">
        <w:rPr>
          <w:rFonts w:eastAsia="Calibri" w:cs="Segoe UI"/>
        </w:rPr>
        <w:t xml:space="preserve"> appropriate</w:t>
      </w:r>
      <w:r w:rsidR="0041656D" w:rsidRPr="00FD2C2A">
        <w:rPr>
          <w:rFonts w:eastAsia="Calibri" w:cs="Segoe UI"/>
        </w:rPr>
        <w:t xml:space="preserve"> pathway based on their intended submission</w:t>
      </w:r>
    </w:p>
    <w:p w14:paraId="2C17A587" w14:textId="035DECEB" w:rsidR="008E1F54" w:rsidRPr="00C87991" w:rsidRDefault="00A63AB1" w:rsidP="00281153">
      <w:pPr>
        <w:numPr>
          <w:ilvl w:val="0"/>
          <w:numId w:val="34"/>
        </w:numPr>
        <w:spacing w:before="120" w:after="120"/>
        <w:contextualSpacing/>
        <w:rPr>
          <w:rFonts w:cs="Segoe UI"/>
        </w:rPr>
      </w:pPr>
      <w:r>
        <w:rPr>
          <w:rFonts w:cs="Segoe UI"/>
        </w:rPr>
        <w:lastRenderedPageBreak/>
        <w:t>giving the t</w:t>
      </w:r>
      <w:r w:rsidR="009A7003">
        <w:rPr>
          <w:rFonts w:cs="Segoe UI"/>
        </w:rPr>
        <w:t>riaging</w:t>
      </w:r>
      <w:r w:rsidR="00C16518">
        <w:rPr>
          <w:rFonts w:cs="Segoe UI"/>
        </w:rPr>
        <w:t xml:space="preserve"> </w:t>
      </w:r>
      <w:r w:rsidR="008E1F54" w:rsidRPr="00C87991">
        <w:rPr>
          <w:rFonts w:cs="Segoe UI"/>
        </w:rPr>
        <w:t>committee</w:t>
      </w:r>
      <w:r>
        <w:rPr>
          <w:rFonts w:cs="Segoe UI"/>
        </w:rPr>
        <w:t xml:space="preserve"> responsibility for</w:t>
      </w:r>
      <w:r w:rsidR="00C422C1">
        <w:rPr>
          <w:rFonts w:cs="Segoe UI"/>
        </w:rPr>
        <w:t xml:space="preserve"> c</w:t>
      </w:r>
      <w:r w:rsidR="1A9C0D05" w:rsidRPr="00C87991">
        <w:rPr>
          <w:rFonts w:cs="Segoe UI"/>
        </w:rPr>
        <w:t>onsidering the submission’s product type, risk, complexity, potential benefit and</w:t>
      </w:r>
      <w:r w:rsidR="00CB2CE4">
        <w:rPr>
          <w:rFonts w:cs="Segoe UI"/>
        </w:rPr>
        <w:t xml:space="preserve"> the sponsors</w:t>
      </w:r>
      <w:r w:rsidR="1A9C0D05" w:rsidRPr="00C87991">
        <w:rPr>
          <w:rFonts w:cs="Segoe UI"/>
        </w:rPr>
        <w:t xml:space="preserve"> nominated pathway to confirm an appropriate and proportionate:</w:t>
      </w:r>
    </w:p>
    <w:p w14:paraId="7E5B1D7D" w14:textId="7D8142F7" w:rsidR="1A9C0D05" w:rsidRPr="00C87991" w:rsidRDefault="00E83FE0" w:rsidP="00281153">
      <w:pPr>
        <w:numPr>
          <w:ilvl w:val="1"/>
          <w:numId w:val="34"/>
        </w:numPr>
        <w:contextualSpacing/>
        <w:rPr>
          <w:rFonts w:cs="Segoe UI"/>
        </w:rPr>
      </w:pPr>
      <w:r>
        <w:rPr>
          <w:rFonts w:cs="Segoe UI"/>
        </w:rPr>
        <w:t xml:space="preserve">health technology funding and assessment </w:t>
      </w:r>
      <w:r w:rsidR="1A9C0D05" w:rsidRPr="00C87991">
        <w:rPr>
          <w:rFonts w:cs="Segoe UI"/>
        </w:rPr>
        <w:t xml:space="preserve">pathway </w:t>
      </w:r>
    </w:p>
    <w:p w14:paraId="157DF811" w14:textId="3AD9135F" w:rsidR="1A9C0D05" w:rsidRPr="00C87991" w:rsidRDefault="1A9C0D05" w:rsidP="00281153">
      <w:pPr>
        <w:numPr>
          <w:ilvl w:val="1"/>
          <w:numId w:val="34"/>
        </w:numPr>
        <w:contextualSpacing/>
        <w:rPr>
          <w:rFonts w:cs="Segoe UI"/>
        </w:rPr>
      </w:pPr>
      <w:r w:rsidRPr="00C87991">
        <w:rPr>
          <w:rFonts w:cs="Segoe UI"/>
        </w:rPr>
        <w:t xml:space="preserve">HTA </w:t>
      </w:r>
      <w:r w:rsidR="00C16518">
        <w:rPr>
          <w:rFonts w:cs="Segoe UI"/>
        </w:rPr>
        <w:t xml:space="preserve">advisory </w:t>
      </w:r>
      <w:r w:rsidRPr="00C87991">
        <w:rPr>
          <w:rFonts w:cs="Segoe UI"/>
        </w:rPr>
        <w:t xml:space="preserve">committee and technical sub-committees </w:t>
      </w:r>
    </w:p>
    <w:p w14:paraId="6350D8FE" w14:textId="2054420C" w:rsidR="1A9C0D05" w:rsidRPr="00C87991" w:rsidRDefault="008C6DAF" w:rsidP="00281153">
      <w:pPr>
        <w:numPr>
          <w:ilvl w:val="1"/>
          <w:numId w:val="34"/>
        </w:numPr>
        <w:contextualSpacing/>
        <w:rPr>
          <w:rFonts w:cs="Segoe UI"/>
        </w:rPr>
      </w:pPr>
      <w:r w:rsidRPr="008C6DAF">
        <w:rPr>
          <w:rFonts w:cs="Segoe UI"/>
        </w:rPr>
        <w:t>Population, Intervention, Comparator, and Outcome (PICO)</w:t>
      </w:r>
      <w:r>
        <w:rPr>
          <w:rFonts w:cs="Segoe UI"/>
        </w:rPr>
        <w:t xml:space="preserve"> </w:t>
      </w:r>
      <w:r w:rsidR="1A9C0D05" w:rsidRPr="00C87991">
        <w:rPr>
          <w:rFonts w:cs="Segoe UI"/>
        </w:rPr>
        <w:t>scoping and engagement approach</w:t>
      </w:r>
    </w:p>
    <w:p w14:paraId="1539BC6E" w14:textId="496CC9CB" w:rsidR="760B44C9" w:rsidRDefault="1A9C0D05" w:rsidP="00281153">
      <w:pPr>
        <w:numPr>
          <w:ilvl w:val="1"/>
          <w:numId w:val="34"/>
        </w:numPr>
        <w:contextualSpacing/>
        <w:rPr>
          <w:rFonts w:cs="Segoe UI"/>
        </w:rPr>
      </w:pPr>
      <w:r w:rsidRPr="00C87991">
        <w:rPr>
          <w:rFonts w:cs="Segoe UI"/>
        </w:rPr>
        <w:t>HTA meeting date.</w:t>
      </w:r>
    </w:p>
    <w:p w14:paraId="61E7EED1" w14:textId="77777777" w:rsidR="00C7581D" w:rsidRDefault="00C7581D" w:rsidP="007165D0">
      <w:pPr>
        <w:contextualSpacing/>
        <w:rPr>
          <w:rFonts w:eastAsiaTheme="minorEastAsia" w:cs="Segoe UI"/>
          <w:highlight w:val="yellow"/>
        </w:rPr>
      </w:pPr>
    </w:p>
    <w:p w14:paraId="43C20F0D" w14:textId="187AE6E5" w:rsidR="007165D0" w:rsidRPr="00C87991" w:rsidRDefault="007165D0" w:rsidP="007165D0">
      <w:pPr>
        <w:contextualSpacing/>
        <w:rPr>
          <w:rFonts w:cs="Segoe UI"/>
        </w:rPr>
      </w:pPr>
      <w:r w:rsidRPr="00F71249">
        <w:rPr>
          <w:rFonts w:eastAsiaTheme="minorEastAsia" w:cs="Segoe UI"/>
        </w:rPr>
        <w:t xml:space="preserve">The triaging processes should facilitate ‘Recommendation </w:t>
      </w:r>
      <w:r w:rsidR="001164ED" w:rsidRPr="00F71249">
        <w:rPr>
          <w:rFonts w:eastAsiaTheme="minorEastAsia" w:cs="Segoe UI"/>
        </w:rPr>
        <w:t>3</w:t>
      </w:r>
      <w:r w:rsidRPr="00F71249">
        <w:rPr>
          <w:rFonts w:eastAsiaTheme="minorEastAsia" w:cs="Segoe UI"/>
        </w:rPr>
        <w:t>.</w:t>
      </w:r>
      <w:r w:rsidR="00B7648D">
        <w:rPr>
          <w:rFonts w:eastAsiaTheme="minorEastAsia" w:cs="Segoe UI"/>
        </w:rPr>
        <w:t xml:space="preserve"> Overarching </w:t>
      </w:r>
      <w:r w:rsidR="00FC3112">
        <w:rPr>
          <w:rFonts w:eastAsiaTheme="minorEastAsia" w:cs="Segoe UI"/>
        </w:rPr>
        <w:t>r</w:t>
      </w:r>
      <w:r w:rsidR="00B7648D">
        <w:rPr>
          <w:rFonts w:eastAsiaTheme="minorEastAsia" w:cs="Segoe UI"/>
        </w:rPr>
        <w:t>ecommendations</w:t>
      </w:r>
      <w:r w:rsidR="00FC3112">
        <w:rPr>
          <w:rFonts w:eastAsiaTheme="minorEastAsia" w:cs="Segoe UI"/>
        </w:rPr>
        <w:t xml:space="preserve"> for all health technology finding and assessment processes and pathways</w:t>
      </w:r>
      <w:r w:rsidRPr="00F71249">
        <w:t>’</w:t>
      </w:r>
      <w:r w:rsidRPr="00F71249">
        <w:rPr>
          <w:rFonts w:eastAsiaTheme="minorEastAsia" w:cs="Segoe UI"/>
        </w:rPr>
        <w:t xml:space="preserve"> and ‘Recommendation 4. Unified HTA pathway and committee approach for all Australian Government funding of health </w:t>
      </w:r>
      <w:proofErr w:type="gramStart"/>
      <w:r w:rsidRPr="00F71249">
        <w:rPr>
          <w:rFonts w:eastAsiaTheme="minorEastAsia" w:cs="Segoe UI"/>
        </w:rPr>
        <w:t>technologies’</w:t>
      </w:r>
      <w:proofErr w:type="gramEnd"/>
      <w:r w:rsidRPr="00F71249">
        <w:rPr>
          <w:rFonts w:eastAsiaTheme="minorEastAsia" w:cs="Segoe UI"/>
        </w:rPr>
        <w:t>.</w:t>
      </w:r>
    </w:p>
    <w:p w14:paraId="3E7313D1" w14:textId="397253CF" w:rsidR="004D1CA6" w:rsidRPr="002724B9" w:rsidRDefault="004D1CA6" w:rsidP="00645D5E">
      <w:pPr>
        <w:pStyle w:val="Recommendation1"/>
      </w:pPr>
      <w:bookmarkStart w:id="151" w:name="_Hlk167301628"/>
      <w:r w:rsidRPr="002724B9">
        <w:t>Expand</w:t>
      </w:r>
      <w:r w:rsidR="006F523F">
        <w:t>ing</w:t>
      </w:r>
      <w:r w:rsidRPr="002724B9">
        <w:t xml:space="preserve"> the </w:t>
      </w:r>
      <w:r w:rsidRPr="005B4965">
        <w:t>advisory</w:t>
      </w:r>
      <w:r w:rsidRPr="002724B9">
        <w:t xml:space="preserve"> role of the </w:t>
      </w:r>
      <w:r w:rsidR="006F523F" w:rsidRPr="00FE6A94">
        <w:rPr>
          <w:rFonts w:cs="Segoe UI"/>
        </w:rPr>
        <w:t>Pharmaceutical Benefits Advisory Committee</w:t>
      </w:r>
      <w:r w:rsidR="006F523F">
        <w:rPr>
          <w:rFonts w:cs="Segoe UI"/>
        </w:rPr>
        <w:t xml:space="preserve"> </w:t>
      </w:r>
      <w:r w:rsidRPr="002724B9">
        <w:t xml:space="preserve">beyond </w:t>
      </w:r>
      <w:r w:rsidR="006F523F">
        <w:t xml:space="preserve">the </w:t>
      </w:r>
      <w:r w:rsidRPr="002724B9">
        <w:t>P</w:t>
      </w:r>
      <w:r w:rsidR="006F523F">
        <w:t xml:space="preserve">harmaceutical </w:t>
      </w:r>
      <w:r w:rsidRPr="002724B9">
        <w:t>B</w:t>
      </w:r>
      <w:r w:rsidR="006F523F">
        <w:t xml:space="preserve">enefits </w:t>
      </w:r>
      <w:r w:rsidRPr="002724B9">
        <w:t>S</w:t>
      </w:r>
      <w:r w:rsidR="006F523F">
        <w:t xml:space="preserve">cheme </w:t>
      </w:r>
    </w:p>
    <w:bookmarkEnd w:id="151"/>
    <w:p w14:paraId="30ED926A" w14:textId="4F3A3AED" w:rsidR="004D1CA6" w:rsidRPr="00824739" w:rsidRDefault="00290717" w:rsidP="00147AD1">
      <w:pPr>
        <w:keepNext/>
      </w:pPr>
      <w:r w:rsidRPr="007864C9">
        <w:t>The Review recommends</w:t>
      </w:r>
      <w:r w:rsidR="00A63AB1">
        <w:t xml:space="preserve"> that</w:t>
      </w:r>
      <w:r w:rsidRPr="007864C9">
        <w:t xml:space="preserve"> the Australian Government</w:t>
      </w:r>
      <w:r w:rsidR="00283FF4">
        <w:t>, a</w:t>
      </w:r>
      <w:r w:rsidR="004C4311">
        <w:t xml:space="preserve">s a stage in the development of a unified </w:t>
      </w:r>
      <w:r w:rsidR="008C6DAF" w:rsidRPr="008C6DAF">
        <w:t>HTA</w:t>
      </w:r>
      <w:r w:rsidR="008C6DAF">
        <w:t xml:space="preserve"> </w:t>
      </w:r>
      <w:r w:rsidR="004C4311">
        <w:t xml:space="preserve">pathway (see </w:t>
      </w:r>
      <w:r w:rsidR="00DE153F">
        <w:t>‘</w:t>
      </w:r>
      <w:r w:rsidR="00545076">
        <w:fldChar w:fldCharType="begin" w:fldLock="1"/>
      </w:r>
      <w:r w:rsidR="00545076">
        <w:instrText xml:space="preserve"> REF _Ref166785329 \r \h </w:instrText>
      </w:r>
      <w:r w:rsidR="00545076">
        <w:fldChar w:fldCharType="separate"/>
      </w:r>
      <w:r w:rsidR="00545076">
        <w:t>Recommendation 4</w:t>
      </w:r>
      <w:r w:rsidR="00545076">
        <w:fldChar w:fldCharType="end"/>
      </w:r>
      <w:r w:rsidR="00DE153F">
        <w:t>.</w:t>
      </w:r>
      <w:r w:rsidR="00C90756" w:rsidRPr="00AE3CEE">
        <w:rPr>
          <w:i/>
        </w:rPr>
        <w:t xml:space="preserve"> </w:t>
      </w:r>
      <w:r w:rsidR="00B95F7C" w:rsidRPr="000C5623">
        <w:rPr>
          <w:iCs/>
        </w:rPr>
        <w:t xml:space="preserve">Unified HTA pathway and committee approach for all Australian </w:t>
      </w:r>
      <w:r w:rsidR="0036439F">
        <w:rPr>
          <w:iCs/>
        </w:rPr>
        <w:t>G</w:t>
      </w:r>
      <w:r w:rsidR="00B95F7C" w:rsidRPr="000C5623">
        <w:rPr>
          <w:iCs/>
        </w:rPr>
        <w:t>overnment funding of health technologies</w:t>
      </w:r>
      <w:r w:rsidR="00DE153F" w:rsidRPr="000C5623">
        <w:rPr>
          <w:iCs/>
        </w:rPr>
        <w:t>’</w:t>
      </w:r>
      <w:r w:rsidR="00237257">
        <w:t>)</w:t>
      </w:r>
      <w:r w:rsidR="00907158">
        <w:t>,</w:t>
      </w:r>
      <w:r w:rsidR="00A97D97">
        <w:t xml:space="preserve"> </w:t>
      </w:r>
      <w:r w:rsidR="00907158">
        <w:t>e</w:t>
      </w:r>
      <w:r w:rsidR="004D1CA6" w:rsidRPr="00824739">
        <w:t xml:space="preserve">xpand the advisory role of the </w:t>
      </w:r>
      <w:r w:rsidR="00F63F32" w:rsidRPr="00F63F32">
        <w:t>Pharmaceutical Benefits Advisory Committee</w:t>
      </w:r>
      <w:r w:rsidR="00CD3AF7">
        <w:t xml:space="preserve"> (PBAC)</w:t>
      </w:r>
      <w:r w:rsidR="00F63F32" w:rsidRPr="00F63F32">
        <w:t xml:space="preserve"> </w:t>
      </w:r>
      <w:r w:rsidR="004D1CA6" w:rsidRPr="00824739">
        <w:t>to enable it to make HTA recommendation</w:t>
      </w:r>
      <w:r w:rsidR="004D1CA6">
        <w:t>s</w:t>
      </w:r>
      <w:r w:rsidR="004D1CA6" w:rsidRPr="00824739">
        <w:t xml:space="preserve"> to the Minister for Health and Aged Care for a broader range of health technologies across different funding and subsidy programs. This</w:t>
      </w:r>
      <w:r w:rsidR="004D1CA6">
        <w:t xml:space="preserve"> could</w:t>
      </w:r>
      <w:r w:rsidR="004D1CA6" w:rsidRPr="00824739">
        <w:t xml:space="preserve"> include</w:t>
      </w:r>
      <w:r w:rsidR="004D1CA6">
        <w:t>:</w:t>
      </w:r>
    </w:p>
    <w:p w14:paraId="1145B1EE" w14:textId="6AD438A0" w:rsidR="00AE3CEE" w:rsidRDefault="00DE153F" w:rsidP="00281153">
      <w:pPr>
        <w:numPr>
          <w:ilvl w:val="0"/>
          <w:numId w:val="35"/>
        </w:numPr>
        <w:spacing w:before="120"/>
        <w:contextualSpacing/>
        <w:rPr>
          <w:rFonts w:cs="Segoe UI"/>
        </w:rPr>
      </w:pPr>
      <w:r>
        <w:rPr>
          <w:rFonts w:cs="Segoe UI"/>
        </w:rPr>
        <w:t>m</w:t>
      </w:r>
      <w:r w:rsidR="00AC1074">
        <w:rPr>
          <w:rFonts w:cs="Segoe UI"/>
        </w:rPr>
        <w:t>edicines for inclusion on the L</w:t>
      </w:r>
      <w:r w:rsidR="008C17C0">
        <w:rPr>
          <w:rFonts w:cs="Segoe UI"/>
        </w:rPr>
        <w:t xml:space="preserve">ife </w:t>
      </w:r>
      <w:r w:rsidR="00AC1074">
        <w:rPr>
          <w:rFonts w:cs="Segoe UI"/>
        </w:rPr>
        <w:t>S</w:t>
      </w:r>
      <w:r w:rsidR="008C17C0">
        <w:rPr>
          <w:rFonts w:cs="Segoe UI"/>
        </w:rPr>
        <w:t xml:space="preserve">aving </w:t>
      </w:r>
      <w:r w:rsidR="00AC1074">
        <w:rPr>
          <w:rFonts w:cs="Segoe UI"/>
        </w:rPr>
        <w:t>D</w:t>
      </w:r>
      <w:r w:rsidR="008C17C0">
        <w:rPr>
          <w:rFonts w:cs="Segoe UI"/>
        </w:rPr>
        <w:t xml:space="preserve">rugs </w:t>
      </w:r>
      <w:r w:rsidR="00AC1074">
        <w:rPr>
          <w:rFonts w:cs="Segoe UI"/>
        </w:rPr>
        <w:t>P</w:t>
      </w:r>
      <w:r w:rsidR="008C17C0">
        <w:rPr>
          <w:rFonts w:cs="Segoe UI"/>
        </w:rPr>
        <w:t>rogram</w:t>
      </w:r>
      <w:r w:rsidR="005B50C8">
        <w:rPr>
          <w:rFonts w:cs="Segoe UI"/>
        </w:rPr>
        <w:t xml:space="preserve"> (see</w:t>
      </w:r>
      <w:r w:rsidR="0014682F">
        <w:rPr>
          <w:rFonts w:cs="Segoe UI"/>
        </w:rPr>
        <w:t xml:space="preserve"> </w:t>
      </w:r>
      <w:r>
        <w:rPr>
          <w:rFonts w:cs="Segoe UI"/>
        </w:rPr>
        <w:t>‘</w:t>
      </w:r>
      <w:r w:rsidR="00473533">
        <w:rPr>
          <w:rFonts w:cs="Segoe UI"/>
        </w:rPr>
        <w:fldChar w:fldCharType="begin" w:fldLock="1"/>
      </w:r>
      <w:r w:rsidR="00473533">
        <w:rPr>
          <w:rFonts w:cs="Segoe UI"/>
        </w:rPr>
        <w:instrText xml:space="preserve"> REF _Ref166784680 \r \h </w:instrText>
      </w:r>
      <w:r w:rsidR="00473533">
        <w:rPr>
          <w:rFonts w:cs="Segoe UI"/>
        </w:rPr>
      </w:r>
      <w:r w:rsidR="00473533">
        <w:rPr>
          <w:rFonts w:cs="Segoe UI"/>
        </w:rPr>
        <w:fldChar w:fldCharType="separate"/>
      </w:r>
      <w:r w:rsidR="00473533">
        <w:rPr>
          <w:rFonts w:cs="Segoe UI"/>
        </w:rPr>
        <w:t>Recommendation 14</w:t>
      </w:r>
      <w:r w:rsidR="00473533">
        <w:rPr>
          <w:rFonts w:cs="Segoe UI"/>
        </w:rPr>
        <w:fldChar w:fldCharType="end"/>
      </w:r>
      <w:r>
        <w:rPr>
          <w:rFonts w:cs="Segoe UI"/>
        </w:rPr>
        <w:t>.</w:t>
      </w:r>
      <w:r w:rsidR="00CA7DA9" w:rsidRPr="00CA7DA9">
        <w:t xml:space="preserve"> </w:t>
      </w:r>
      <w:r w:rsidR="00CA7DA9" w:rsidRPr="000C5623">
        <w:rPr>
          <w:rFonts w:cs="Segoe UI"/>
        </w:rPr>
        <w:t>Improving time to access life-saving drugs for patients with ultra-rare diseases</w:t>
      </w:r>
      <w:r w:rsidR="00583B9B">
        <w:rPr>
          <w:rFonts w:cs="Segoe UI"/>
        </w:rPr>
        <w:t xml:space="preserve"> (Life </w:t>
      </w:r>
      <w:r w:rsidR="006F3128">
        <w:rPr>
          <w:rFonts w:cs="Segoe UI"/>
        </w:rPr>
        <w:t>Saving Drugs Program</w:t>
      </w:r>
      <w:r w:rsidR="002B07B2">
        <w:rPr>
          <w:rFonts w:cs="Segoe UI"/>
        </w:rPr>
        <w:t>)</w:t>
      </w:r>
      <w:r>
        <w:rPr>
          <w:rFonts w:cs="Segoe UI"/>
        </w:rPr>
        <w:t>’</w:t>
      </w:r>
      <w:r w:rsidR="004A777B">
        <w:rPr>
          <w:rFonts w:cs="Segoe UI"/>
        </w:rPr>
        <w:t>)</w:t>
      </w:r>
      <w:r w:rsidR="00AE3CEE">
        <w:rPr>
          <w:rFonts w:cs="Segoe UI"/>
        </w:rPr>
        <w:t xml:space="preserve"> </w:t>
      </w:r>
    </w:p>
    <w:p w14:paraId="2516B4AA" w14:textId="57269A69" w:rsidR="004D1CA6" w:rsidRDefault="00DE153F" w:rsidP="00281153">
      <w:pPr>
        <w:numPr>
          <w:ilvl w:val="0"/>
          <w:numId w:val="35"/>
        </w:numPr>
        <w:spacing w:before="120"/>
        <w:contextualSpacing/>
        <w:rPr>
          <w:rFonts w:cs="Segoe UI"/>
        </w:rPr>
      </w:pPr>
      <w:r>
        <w:rPr>
          <w:rFonts w:cs="Segoe UI"/>
        </w:rPr>
        <w:t>c</w:t>
      </w:r>
      <w:r w:rsidR="004D1CA6" w:rsidRPr="00D97616">
        <w:rPr>
          <w:rFonts w:cs="Segoe UI"/>
        </w:rPr>
        <w:t>o</w:t>
      </w:r>
      <w:r>
        <w:rPr>
          <w:rFonts w:cs="Segoe UI"/>
        </w:rPr>
        <w:t>-</w:t>
      </w:r>
      <w:r w:rsidR="004D1CA6" w:rsidRPr="00D97616">
        <w:rPr>
          <w:rFonts w:cs="Segoe UI"/>
        </w:rPr>
        <w:t>depend</w:t>
      </w:r>
      <w:r w:rsidR="009544F6">
        <w:rPr>
          <w:rFonts w:cs="Segoe UI"/>
        </w:rPr>
        <w:t>e</w:t>
      </w:r>
      <w:r w:rsidR="004D1CA6" w:rsidRPr="00D97616">
        <w:rPr>
          <w:rFonts w:cs="Segoe UI"/>
        </w:rPr>
        <w:t xml:space="preserve">nt health technologies funded through the </w:t>
      </w:r>
      <w:r w:rsidR="00027836" w:rsidRPr="00027836">
        <w:rPr>
          <w:rFonts w:cs="Segoe UI"/>
        </w:rPr>
        <w:t>Medicare Benefits Schedule</w:t>
      </w:r>
      <w:r w:rsidR="00BA2049">
        <w:rPr>
          <w:rFonts w:cs="Segoe UI"/>
        </w:rPr>
        <w:t xml:space="preserve"> (MBS)</w:t>
      </w:r>
      <w:r w:rsidR="00027836" w:rsidRPr="00027836">
        <w:rPr>
          <w:rFonts w:cs="Segoe UI"/>
        </w:rPr>
        <w:t xml:space="preserve"> </w:t>
      </w:r>
      <w:r w:rsidR="004D1CA6" w:rsidRPr="00D97616">
        <w:rPr>
          <w:rFonts w:cs="Segoe UI"/>
        </w:rPr>
        <w:t xml:space="preserve">and </w:t>
      </w:r>
      <w:r w:rsidR="00027836" w:rsidRPr="00027836">
        <w:rPr>
          <w:rFonts w:cs="Segoe UI"/>
        </w:rPr>
        <w:t>Pharmaceutical Benefits Scheme</w:t>
      </w:r>
      <w:r w:rsidR="00BA2049">
        <w:rPr>
          <w:rFonts w:cs="Segoe UI"/>
        </w:rPr>
        <w:t xml:space="preserve"> (PBS)</w:t>
      </w:r>
    </w:p>
    <w:p w14:paraId="02E300B2" w14:textId="29AF8A31" w:rsidR="00990B7E" w:rsidRDefault="009370D0" w:rsidP="00281153">
      <w:pPr>
        <w:numPr>
          <w:ilvl w:val="0"/>
          <w:numId w:val="35"/>
        </w:numPr>
        <w:spacing w:before="120" w:after="120"/>
        <w:contextualSpacing/>
        <w:rPr>
          <w:rFonts w:cs="Segoe UI"/>
        </w:rPr>
      </w:pPr>
      <w:r>
        <w:rPr>
          <w:rFonts w:cs="Segoe UI"/>
        </w:rPr>
        <w:t>Highly specialised therapie</w:t>
      </w:r>
      <w:r w:rsidR="00BA794A">
        <w:rPr>
          <w:rFonts w:cs="Segoe UI"/>
        </w:rPr>
        <w:t>s</w:t>
      </w:r>
      <w:r w:rsidR="004D1CA6" w:rsidRPr="00824739">
        <w:rPr>
          <w:rFonts w:cs="Segoe UI"/>
        </w:rPr>
        <w:t xml:space="preserve"> funded through the </w:t>
      </w:r>
      <w:r w:rsidR="001F42CC">
        <w:rPr>
          <w:rFonts w:cs="Segoe UI"/>
        </w:rPr>
        <w:t xml:space="preserve">2020–25 </w:t>
      </w:r>
      <w:r w:rsidR="00920692">
        <w:rPr>
          <w:rFonts w:cs="Segoe UI"/>
        </w:rPr>
        <w:t xml:space="preserve">Addendum to the </w:t>
      </w:r>
      <w:r w:rsidR="004D1CA6" w:rsidRPr="00824739">
        <w:rPr>
          <w:rFonts w:cs="Segoe UI"/>
        </w:rPr>
        <w:t>National Health Reform Agreement</w:t>
      </w:r>
      <w:r w:rsidR="005069F8">
        <w:rPr>
          <w:rFonts w:cs="Segoe UI"/>
        </w:rPr>
        <w:t xml:space="preserve"> (NHRA)</w:t>
      </w:r>
      <w:r w:rsidR="00920692">
        <w:rPr>
          <w:rFonts w:cs="Segoe UI"/>
        </w:rPr>
        <w:t>.</w:t>
      </w:r>
      <w:r w:rsidR="00483AAB">
        <w:rPr>
          <w:rFonts w:cs="Segoe UI"/>
        </w:rPr>
        <w:t xml:space="preserve"> </w:t>
      </w:r>
    </w:p>
    <w:p w14:paraId="7CD08932" w14:textId="3CF337A3" w:rsidR="00990B7E" w:rsidRPr="000E4596" w:rsidRDefault="000E4596" w:rsidP="000E4596">
      <w:pPr>
        <w:jc w:val="left"/>
        <w:rPr>
          <w:rFonts w:cs="Segoe UI"/>
        </w:rPr>
      </w:pPr>
      <w:r>
        <w:rPr>
          <w:rFonts w:cs="Segoe UI"/>
        </w:rPr>
        <w:br w:type="page"/>
      </w:r>
    </w:p>
    <w:p w14:paraId="64BC32F4" w14:textId="0C8AF788" w:rsidR="00990B7E" w:rsidRDefault="0038035C" w:rsidP="00114E84">
      <w:pPr>
        <w:pStyle w:val="Heading2"/>
        <w:rPr>
          <w:szCs w:val="44"/>
        </w:rPr>
      </w:pPr>
      <w:bookmarkStart w:id="152" w:name="_Toc171935872"/>
      <w:r>
        <w:lastRenderedPageBreak/>
        <w:t xml:space="preserve">Chapter </w:t>
      </w:r>
      <w:r w:rsidR="006B4012">
        <w:t>4</w:t>
      </w:r>
      <w:r>
        <w:t>.2</w:t>
      </w:r>
      <w:r w:rsidR="001B7A5E">
        <w:t>:</w:t>
      </w:r>
      <w:r>
        <w:t xml:space="preserve"> </w:t>
      </w:r>
      <w:r w:rsidR="00F82270" w:rsidRPr="67A235D3">
        <w:t>Improved pathways for listing medicines</w:t>
      </w:r>
      <w:r w:rsidR="00990B7E" w:rsidRPr="67A235D3">
        <w:rPr>
          <w:color w:val="00808A" w:themeColor="accent3"/>
          <w:szCs w:val="44"/>
        </w:rPr>
        <w:t xml:space="preserve"> on the PBS</w:t>
      </w:r>
      <w:bookmarkEnd w:id="152"/>
    </w:p>
    <w:p w14:paraId="0A3EE430" w14:textId="77777777" w:rsidR="004A395F" w:rsidRPr="00621C17" w:rsidRDefault="004A395F" w:rsidP="00A318F7">
      <w:pPr>
        <w:pStyle w:val="Heading3"/>
      </w:pPr>
      <w:r>
        <w:t>Introduction and context</w:t>
      </w:r>
    </w:p>
    <w:p w14:paraId="2A70E70D" w14:textId="77D619D4" w:rsidR="00990B7E" w:rsidRPr="002724B9" w:rsidRDefault="00990B7E" w:rsidP="00990B7E">
      <w:r w:rsidRPr="0016161A">
        <w:t>The PBS is the main subsidy program for medicines in Australia</w:t>
      </w:r>
      <w:r>
        <w:t>. It</w:t>
      </w:r>
      <w:r w:rsidRPr="0016161A">
        <w:t xml:space="preserve"> </w:t>
      </w:r>
      <w:r w:rsidR="00DE153F">
        <w:t>wa</w:t>
      </w:r>
      <w:r w:rsidRPr="0016161A">
        <w:t xml:space="preserve">s established </w:t>
      </w:r>
      <w:r w:rsidR="00DE153F">
        <w:t>under</w:t>
      </w:r>
      <w:r w:rsidRPr="0016161A">
        <w:t xml:space="preserve"> the </w:t>
      </w:r>
      <w:r w:rsidRPr="002724B9">
        <w:rPr>
          <w:i/>
        </w:rPr>
        <w:t xml:space="preserve">National Health Act 1953 </w:t>
      </w:r>
      <w:r w:rsidRPr="002724B9">
        <w:t>(</w:t>
      </w:r>
      <w:r w:rsidRPr="007766AA">
        <w:t>NHA</w:t>
      </w:r>
      <w:r w:rsidRPr="002724B9">
        <w:t xml:space="preserve">) </w:t>
      </w:r>
      <w:r>
        <w:t>and is funded by the Australian Government.</w:t>
      </w:r>
      <w:r w:rsidRPr="002724B9">
        <w:t xml:space="preserve"> </w:t>
      </w:r>
      <w:r w:rsidRPr="0016161A">
        <w:t xml:space="preserve">Medicines that are subsidised through the PBS are listed on the Schedule of Pharmaceutical Benefits. </w:t>
      </w:r>
    </w:p>
    <w:p w14:paraId="485C95EB" w14:textId="626A6A1E" w:rsidR="00990B7E" w:rsidRPr="001C3B25" w:rsidRDefault="00990B7E" w:rsidP="00990B7E">
      <w:r w:rsidRPr="0016161A">
        <w:t>Generally, medicines listed on the PBS are dispensed by community pharmacies</w:t>
      </w:r>
      <w:r w:rsidR="7D229433" w:rsidRPr="0016161A">
        <w:t xml:space="preserve"> and</w:t>
      </w:r>
      <w:r w:rsidRPr="0016161A">
        <w:t xml:space="preserve"> used by patients at home. These are known as ‘General Schedule’ or ‘section 85’ medicines because they are dispensed under section 85 of the NH</w:t>
      </w:r>
      <w:r w:rsidR="001608BD">
        <w:t>A</w:t>
      </w:r>
      <w:r w:rsidRPr="0016161A">
        <w:t>. In some cases, where normal supply arrangements are not suitable, PBS medicines are supplied through special arrangements under section 100 of the NH</w:t>
      </w:r>
      <w:r w:rsidR="00D9503B">
        <w:t>A</w:t>
      </w:r>
      <w:r w:rsidRPr="0016161A">
        <w:t>. For example, some medicines may require special storage or dispensing, specialist monitoring during treatment, or administration in a hospital outpatient setting</w:t>
      </w:r>
      <w:bookmarkStart w:id="153" w:name="_Ref165557016"/>
      <w:r w:rsidR="008E301E">
        <w:t>.</w:t>
      </w:r>
      <w:r w:rsidR="00F015B6">
        <w:rPr>
          <w:rStyle w:val="FootnoteReference"/>
        </w:rPr>
        <w:footnoteReference w:id="40"/>
      </w:r>
      <w:bookmarkEnd w:id="153"/>
    </w:p>
    <w:p w14:paraId="22F03B0E" w14:textId="7A9AEA61" w:rsidR="00990B7E" w:rsidRPr="002724B9" w:rsidRDefault="00990B7E" w:rsidP="00990B7E">
      <w:r w:rsidRPr="002724B9">
        <w:t>The NHA establishe</w:t>
      </w:r>
      <w:r w:rsidR="008E301E">
        <w:t>d</w:t>
      </w:r>
      <w:r w:rsidRPr="002724B9">
        <w:t xml:space="preserve"> the requirements for</w:t>
      </w:r>
      <w:r w:rsidRPr="002724B9" w:rsidDel="008E301E">
        <w:t xml:space="preserve"> </w:t>
      </w:r>
      <w:r w:rsidRPr="002724B9">
        <w:t>listing</w:t>
      </w:r>
      <w:r w:rsidRPr="002724B9" w:rsidDel="008E301E">
        <w:t xml:space="preserve"> </w:t>
      </w:r>
      <w:r w:rsidRPr="002724B9">
        <w:t>a medicine on the PBS</w:t>
      </w:r>
      <w:r w:rsidR="008E301E">
        <w:t>,</w:t>
      </w:r>
      <w:r w:rsidRPr="002724B9">
        <w:t xml:space="preserve"> including that the Minister for Health and Aged Care cannot list any medicine on the PBS without a positive </w:t>
      </w:r>
      <w:r w:rsidR="008E301E">
        <w:t xml:space="preserve">PBAC </w:t>
      </w:r>
      <w:r w:rsidRPr="002724B9">
        <w:t>recommendation.</w:t>
      </w:r>
      <w:r w:rsidR="00453069">
        <w:t xml:space="preserve"> </w:t>
      </w:r>
      <w:r w:rsidRPr="002724B9">
        <w:t xml:space="preserve">The PBAC is an independent expert HTA advisory committee. </w:t>
      </w:r>
    </w:p>
    <w:p w14:paraId="75164407" w14:textId="2FD4EB92" w:rsidR="00990B7E" w:rsidRDefault="00C6786F" w:rsidP="00990B7E">
      <w:r>
        <w:t>An</w:t>
      </w:r>
      <w:r w:rsidR="00990B7E">
        <w:t xml:space="preserve"> HTA</w:t>
      </w:r>
      <w:r w:rsidR="00990B7E" w:rsidDel="00C6786F">
        <w:t xml:space="preserve"> </w:t>
      </w:r>
      <w:r w:rsidR="00990B7E">
        <w:t>for medicines being considered for listing on the PBS involves several steps. Generally</w:t>
      </w:r>
      <w:r w:rsidR="3CC46F97" w:rsidRPr="008E301E">
        <w:t>,</w:t>
      </w:r>
      <w:r w:rsidR="00990B7E" w:rsidRPr="008E301E">
        <w:t xml:space="preserve"> </w:t>
      </w:r>
      <w:r w:rsidR="008E301E">
        <w:t xml:space="preserve">it follows this </w:t>
      </w:r>
      <w:r w:rsidR="00990B7E" w:rsidRPr="008E301E">
        <w:t>process</w:t>
      </w:r>
      <w:r w:rsidR="00990B7E">
        <w:t xml:space="preserve">: </w:t>
      </w:r>
    </w:p>
    <w:p w14:paraId="723CA65E" w14:textId="2367BFC9" w:rsidR="00990B7E" w:rsidRDefault="00990B7E" w:rsidP="00281153">
      <w:pPr>
        <w:pStyle w:val="ListNumber"/>
        <w:numPr>
          <w:ilvl w:val="0"/>
          <w:numId w:val="117"/>
        </w:numPr>
      </w:pPr>
      <w:r>
        <w:t xml:space="preserve">The sponsor (usually </w:t>
      </w:r>
      <w:r w:rsidR="00004746">
        <w:t xml:space="preserve">a </w:t>
      </w:r>
      <w:r>
        <w:t>pharmaceutical company) responsible for a medicine develops a submission in line with the</w:t>
      </w:r>
      <w:r w:rsidR="00B74DD1">
        <w:t xml:space="preserve"> PBAC </w:t>
      </w:r>
      <w:r w:rsidR="002F2027">
        <w:t>G</w:t>
      </w:r>
      <w:r w:rsidR="00B74DD1">
        <w:t>uidelines</w:t>
      </w:r>
      <w:bookmarkStart w:id="154" w:name="_Ref165635153"/>
      <w:r w:rsidR="008E301E">
        <w:t>.</w:t>
      </w:r>
      <w:r w:rsidR="008734F2">
        <w:rPr>
          <w:rStyle w:val="FootnoteReference"/>
        </w:rPr>
        <w:footnoteReference w:id="41"/>
      </w:r>
      <w:bookmarkEnd w:id="154"/>
    </w:p>
    <w:p w14:paraId="1BC75EA9" w14:textId="7BA3409E" w:rsidR="00990B7E" w:rsidRDefault="00990B7E" w:rsidP="00BD34D3">
      <w:pPr>
        <w:pStyle w:val="ListNumber"/>
      </w:pPr>
      <w:r>
        <w:t xml:space="preserve">The submission </w:t>
      </w:r>
      <w:r w:rsidR="001B6DDC">
        <w:t>goes to</w:t>
      </w:r>
      <w:r>
        <w:t xml:space="preserve"> the PBAC </w:t>
      </w:r>
      <w:r w:rsidR="002641E8">
        <w:t>S</w:t>
      </w:r>
      <w:r>
        <w:t xml:space="preserve">ecretariat </w:t>
      </w:r>
      <w:r w:rsidR="008E301E">
        <w:t>at</w:t>
      </w:r>
      <w:r>
        <w:t xml:space="preserve"> the Department.</w:t>
      </w:r>
    </w:p>
    <w:p w14:paraId="4A872C45" w14:textId="4E7DF599" w:rsidR="00990B7E" w:rsidRDefault="00990B7E" w:rsidP="00BD34D3">
      <w:pPr>
        <w:pStyle w:val="ListNumber"/>
      </w:pPr>
      <w:r>
        <w:t>The submission is evaluated, and an evaluation document</w:t>
      </w:r>
      <w:r w:rsidR="008E301E">
        <w:t xml:space="preserve"> (</w:t>
      </w:r>
      <w:r w:rsidR="00BA34A6">
        <w:t>a</w:t>
      </w:r>
      <w:r>
        <w:t xml:space="preserve"> commentary</w:t>
      </w:r>
      <w:r w:rsidR="008E301E">
        <w:t>)</w:t>
      </w:r>
      <w:r>
        <w:t xml:space="preserve"> is produced. For submission categories 1 and 2</w:t>
      </w:r>
      <w:r w:rsidR="00804D5A">
        <w:t>,</w:t>
      </w:r>
      <w:r>
        <w:t xml:space="preserve"> </w:t>
      </w:r>
      <w:r w:rsidR="00C36024">
        <w:t>and standard re</w:t>
      </w:r>
      <w:r w:rsidR="001B6DDC">
        <w:noBreakHyphen/>
      </w:r>
      <w:r w:rsidR="00C36024">
        <w:t>entry and facilitated resolution resubmissions</w:t>
      </w:r>
      <w:r w:rsidR="002F5AFF">
        <w:t>,</w:t>
      </w:r>
      <w:r w:rsidR="00C36024">
        <w:t xml:space="preserve"> </w:t>
      </w:r>
      <w:r>
        <w:t xml:space="preserve">the PBAC evaluation </w:t>
      </w:r>
      <w:proofErr w:type="spellStart"/>
      <w:r>
        <w:t>groups</w:t>
      </w:r>
      <w:r w:rsidR="00D40C50">
        <w:t>conduct</w:t>
      </w:r>
      <w:proofErr w:type="spellEnd"/>
      <w:r w:rsidR="00D40C50">
        <w:t xml:space="preserve"> the evaluation</w:t>
      </w:r>
      <w:r>
        <w:t xml:space="preserve">. </w:t>
      </w:r>
      <w:r w:rsidR="00403920">
        <w:t xml:space="preserve">For category 3 and 4 submissions, the </w:t>
      </w:r>
      <w:r w:rsidR="008E301E">
        <w:t xml:space="preserve">Department does the </w:t>
      </w:r>
      <w:r w:rsidR="00403920">
        <w:t>evaluation.</w:t>
      </w:r>
      <w:r w:rsidR="00B65870">
        <w:rPr>
          <w:rStyle w:val="FootnoteReference"/>
        </w:rPr>
        <w:footnoteReference w:id="42"/>
      </w:r>
      <w:r w:rsidR="00B65870">
        <w:t xml:space="preserve"> </w:t>
      </w:r>
      <w:r w:rsidR="00403920">
        <w:t xml:space="preserve"> </w:t>
      </w:r>
    </w:p>
    <w:p w14:paraId="3EBA39B8" w14:textId="27261662" w:rsidR="00990B7E" w:rsidRDefault="00990B7E" w:rsidP="00BD34D3">
      <w:pPr>
        <w:pStyle w:val="ListNumber"/>
      </w:pPr>
      <w:r>
        <w:t xml:space="preserve">The sponsor is </w:t>
      </w:r>
      <w:r w:rsidR="008E301E">
        <w:t xml:space="preserve">given </w:t>
      </w:r>
      <w:r>
        <w:t xml:space="preserve">the commentary for response or comment. </w:t>
      </w:r>
    </w:p>
    <w:p w14:paraId="09451BD8" w14:textId="2FC75793" w:rsidR="00990B7E" w:rsidRDefault="00990B7E" w:rsidP="00BD34D3">
      <w:pPr>
        <w:pStyle w:val="ListNumber"/>
      </w:pPr>
      <w:r>
        <w:t xml:space="preserve">The </w:t>
      </w:r>
      <w:bookmarkStart w:id="155" w:name="_Hlk167304843"/>
      <w:r>
        <w:t xml:space="preserve">PBAC Economic Subcommittee (ESC) </w:t>
      </w:r>
      <w:bookmarkEnd w:id="155"/>
      <w:r>
        <w:t xml:space="preserve">considers the submission and </w:t>
      </w:r>
      <w:r w:rsidR="008E3A31">
        <w:t>sponsor</w:t>
      </w:r>
      <w:r w:rsidR="001B6DDC">
        <w:t>’s</w:t>
      </w:r>
      <w:r w:rsidR="008E3A31">
        <w:t xml:space="preserve"> </w:t>
      </w:r>
      <w:proofErr w:type="gramStart"/>
      <w:r w:rsidR="008E3A31">
        <w:t>response</w:t>
      </w:r>
      <w:r w:rsidR="008E301E">
        <w:t>,</w:t>
      </w:r>
      <w:r w:rsidR="008E3A31">
        <w:t xml:space="preserve"> </w:t>
      </w:r>
      <w:r>
        <w:t>and</w:t>
      </w:r>
      <w:proofErr w:type="gramEnd"/>
      <w:r>
        <w:t xml:space="preserve"> prepares advice to the PBAC. </w:t>
      </w:r>
      <w:r w:rsidR="00A1274E">
        <w:t xml:space="preserve">The </w:t>
      </w:r>
      <w:bookmarkStart w:id="156" w:name="_Hlk167304877"/>
      <w:r w:rsidR="00A1274E">
        <w:t xml:space="preserve">PBAC Drug Utilisation </w:t>
      </w:r>
      <w:r w:rsidR="00A1274E">
        <w:lastRenderedPageBreak/>
        <w:t>Su</w:t>
      </w:r>
      <w:r w:rsidR="00FD1BB8">
        <w:t xml:space="preserve">bcommittee </w:t>
      </w:r>
      <w:r w:rsidR="00861820">
        <w:t>(DUSC)</w:t>
      </w:r>
      <w:bookmarkEnd w:id="156"/>
      <w:r w:rsidR="00FD1BB8">
        <w:t xml:space="preserve"> may also consider and provide advice to the PBAC</w:t>
      </w:r>
      <w:r w:rsidR="00CA2B60">
        <w:t>,</w:t>
      </w:r>
      <w:r w:rsidR="00FD1BB8">
        <w:t xml:space="preserve"> where appropriate</w:t>
      </w:r>
      <w:r w:rsidR="00CA2B60">
        <w:t>,</w:t>
      </w:r>
      <w:r w:rsidR="00FD1BB8">
        <w:t xml:space="preserve"> for the </w:t>
      </w:r>
      <w:r w:rsidR="00907C15">
        <w:t>HTA.</w:t>
      </w:r>
      <w:r>
        <w:t xml:space="preserve"> </w:t>
      </w:r>
    </w:p>
    <w:p w14:paraId="3B49D256" w14:textId="61675478" w:rsidR="00990B7E" w:rsidRDefault="00990B7E" w:rsidP="00BD34D3">
      <w:pPr>
        <w:pStyle w:val="ListNumber"/>
      </w:pPr>
      <w:r>
        <w:t xml:space="preserve">The sponsor is </w:t>
      </w:r>
      <w:r w:rsidR="001B6DDC">
        <w:t xml:space="preserve">given </w:t>
      </w:r>
      <w:r>
        <w:t xml:space="preserve">a summary of the ESC </w:t>
      </w:r>
      <w:r w:rsidR="009D4B05">
        <w:t xml:space="preserve">(and DUSC) </w:t>
      </w:r>
      <w:r>
        <w:t xml:space="preserve">advice and prepares </w:t>
      </w:r>
      <w:r w:rsidR="001B6DDC">
        <w:t xml:space="preserve">a </w:t>
      </w:r>
      <w:r>
        <w:t>response.</w:t>
      </w:r>
    </w:p>
    <w:p w14:paraId="1A16EECF" w14:textId="4456BC30" w:rsidR="00990B7E" w:rsidRDefault="00990B7E" w:rsidP="00BD34D3">
      <w:pPr>
        <w:pStyle w:val="ListNumber"/>
      </w:pPr>
      <w:r>
        <w:t>The PBAC appraises the submission</w:t>
      </w:r>
      <w:r w:rsidR="00E9412F">
        <w:t>,</w:t>
      </w:r>
      <w:r w:rsidR="00E9412F" w:rsidRPr="00E9412F">
        <w:t xml:space="preserve"> </w:t>
      </w:r>
      <w:r w:rsidR="00E9412F">
        <w:t>including the commentary, ESC advice and sponsor response,</w:t>
      </w:r>
      <w:r>
        <w:t xml:space="preserve"> and makes a recommendation. </w:t>
      </w:r>
    </w:p>
    <w:p w14:paraId="7CD42C33" w14:textId="59990B23" w:rsidR="00990B7E" w:rsidRDefault="00990B7E" w:rsidP="00BD34D3">
      <w:pPr>
        <w:pStyle w:val="ListNumber"/>
      </w:pPr>
      <w:r>
        <w:t xml:space="preserve">If the PBAC recommends that the medicine be listed on the PBS, the Minister for Health and Aged </w:t>
      </w:r>
      <w:r w:rsidR="00D57A52">
        <w:t>C</w:t>
      </w:r>
      <w:r>
        <w:t>are, or a delegate</w:t>
      </w:r>
      <w:r w:rsidR="001B6DDC">
        <w:t>,</w:t>
      </w:r>
      <w:r>
        <w:t xml:space="preserve"> can approve a PBS listing for a medicine </w:t>
      </w:r>
      <w:r w:rsidR="00DA5BA4">
        <w:t>with a financial impact</w:t>
      </w:r>
      <w:r w:rsidR="001B6DDC">
        <w:t xml:space="preserve"> of</w:t>
      </w:r>
      <w:r w:rsidR="00DA5BA4">
        <w:t xml:space="preserve"> </w:t>
      </w:r>
      <w:r>
        <w:t>less than $20 million</w:t>
      </w:r>
      <w:r w:rsidDel="001B6DDC">
        <w:t xml:space="preserve"> </w:t>
      </w:r>
      <w:r>
        <w:t>per annum.</w:t>
      </w:r>
    </w:p>
    <w:p w14:paraId="595C45BF" w14:textId="5F4D1827" w:rsidR="00EB0172" w:rsidRDefault="00EB0172" w:rsidP="00BD34D3">
      <w:pPr>
        <w:pStyle w:val="ListNumber"/>
      </w:pPr>
      <w:r>
        <w:t xml:space="preserve">Where the financial impact is greater than $20 million per annum, the </w:t>
      </w:r>
      <w:r w:rsidR="00072E19">
        <w:t>Minister requires a Cabinet decision</w:t>
      </w:r>
      <w:r w:rsidR="001B6DDC">
        <w:t>.</w:t>
      </w:r>
    </w:p>
    <w:p w14:paraId="72B098C9" w14:textId="1A0C9C1A" w:rsidR="00990B7E" w:rsidRDefault="00990B7E" w:rsidP="00990B7E">
      <w:r>
        <w:t>The PBAC ha</w:t>
      </w:r>
      <w:r w:rsidR="001B6DDC">
        <w:t>s</w:t>
      </w:r>
      <w:r>
        <w:t xml:space="preserve"> three main meetings, plus three intracycle meetings each year. The PBAC main meetings run on a 17-week cycle, with the submission due at week 0 and the PBAC meeting at week 17. </w:t>
      </w:r>
      <w:r w:rsidR="001B6DDC">
        <w:t>Some</w:t>
      </w:r>
      <w:r w:rsidDel="001B6DDC">
        <w:t xml:space="preserve"> s</w:t>
      </w:r>
      <w:r>
        <w:t>teps occur outside the 17-week cycle</w:t>
      </w:r>
      <w:r w:rsidR="001B6DDC">
        <w:t>. These</w:t>
      </w:r>
      <w:r>
        <w:t xml:space="preserve"> includ</w:t>
      </w:r>
      <w:r w:rsidR="001B6DDC">
        <w:t>e</w:t>
      </w:r>
      <w:r>
        <w:t xml:space="preserve"> the </w:t>
      </w:r>
      <w:r w:rsidR="001B6DDC">
        <w:t xml:space="preserve">issuing of </w:t>
      </w:r>
      <w:r>
        <w:t>notice</w:t>
      </w:r>
      <w:r w:rsidR="001B6DDC">
        <w:t>s</w:t>
      </w:r>
      <w:r>
        <w:t xml:space="preserve"> of intent to lodge a submission</w:t>
      </w:r>
      <w:r w:rsidR="001B6DDC">
        <w:t>,</w:t>
      </w:r>
      <w:r>
        <w:t xml:space="preserve"> which </w:t>
      </w:r>
      <w:r w:rsidR="001B6DDC">
        <w:t xml:space="preserve">are </w:t>
      </w:r>
      <w:r>
        <w:t xml:space="preserve">generally due four weeks before the submission is due, and receipt of minutes </w:t>
      </w:r>
      <w:r w:rsidR="009050F6">
        <w:t xml:space="preserve">by </w:t>
      </w:r>
      <w:r>
        <w:t>applicants</w:t>
      </w:r>
      <w:r w:rsidR="001B6DDC">
        <w:t>,</w:t>
      </w:r>
      <w:r>
        <w:t xml:space="preserve"> which occurs 3</w:t>
      </w:r>
      <w:r w:rsidR="001B6DDC">
        <w:t>–‍</w:t>
      </w:r>
      <w:r w:rsidR="00F139E8">
        <w:t>5</w:t>
      </w:r>
      <w:r w:rsidR="001B6DDC">
        <w:t> </w:t>
      </w:r>
      <w:r>
        <w:t>weeks after the meeting</w:t>
      </w:r>
      <w:r w:rsidR="001B6DDC">
        <w:t>. These steps are</w:t>
      </w:r>
      <w:r w:rsidR="00230900">
        <w:t xml:space="preserve"> followed by publication of </w:t>
      </w:r>
      <w:bookmarkStart w:id="157" w:name="_Hlk167305509"/>
      <w:r w:rsidR="00230900">
        <w:t xml:space="preserve">public summary documents </w:t>
      </w:r>
      <w:r w:rsidR="00862901">
        <w:t>(PSDs)</w:t>
      </w:r>
      <w:r w:rsidR="00230900">
        <w:t xml:space="preserve"> </w:t>
      </w:r>
      <w:bookmarkEnd w:id="157"/>
      <w:r w:rsidR="00602682">
        <w:t xml:space="preserve">up to </w:t>
      </w:r>
      <w:r w:rsidR="00B326E5">
        <w:t>16</w:t>
      </w:r>
      <w:r w:rsidR="00A04FEE">
        <w:t>–</w:t>
      </w:r>
      <w:r w:rsidR="00B326E5">
        <w:t>18</w:t>
      </w:r>
      <w:r w:rsidR="00862901">
        <w:t xml:space="preserve"> weeks after the meeting</w:t>
      </w:r>
      <w:r>
        <w:t xml:space="preserve">. </w:t>
      </w:r>
    </w:p>
    <w:p w14:paraId="7BE24563" w14:textId="46DC7DFB" w:rsidR="00990B7E" w:rsidRDefault="00990B7E" w:rsidP="00990B7E">
      <w:r>
        <w:t xml:space="preserve">There are </w:t>
      </w:r>
      <w:r w:rsidR="00A04FEE">
        <w:t xml:space="preserve">nine </w:t>
      </w:r>
      <w:r>
        <w:t>different PBAC submission types</w:t>
      </w:r>
      <w:r w:rsidR="00A04FEE">
        <w:t>,</w:t>
      </w:r>
      <w:r>
        <w:t xml:space="preserve"> including </w:t>
      </w:r>
      <w:r w:rsidR="00A04FEE">
        <w:t>four</w:t>
      </w:r>
      <w:r>
        <w:t xml:space="preserve"> initial submission types, </w:t>
      </w:r>
      <w:r w:rsidR="000352A5">
        <w:t>secretariat listings</w:t>
      </w:r>
      <w:r>
        <w:t xml:space="preserve"> and </w:t>
      </w:r>
      <w:r w:rsidR="00A04FEE">
        <w:t xml:space="preserve">four </w:t>
      </w:r>
      <w:r>
        <w:t>different resubmission</w:t>
      </w:r>
      <w:r w:rsidR="00F76822">
        <w:t xml:space="preserve"> pat</w:t>
      </w:r>
      <w:r w:rsidR="00A620FB">
        <w:t>h</w:t>
      </w:r>
      <w:r w:rsidR="00F76822">
        <w:t>way</w:t>
      </w:r>
      <w:r>
        <w:t>s.</w:t>
      </w:r>
      <w:r w:rsidR="00A04FEE">
        <w:rPr>
          <w:rStyle w:val="FootnoteReference"/>
        </w:rPr>
        <w:footnoteReference w:id="43"/>
      </w:r>
      <w:r>
        <w:t xml:space="preserve"> </w:t>
      </w:r>
    </w:p>
    <w:p w14:paraId="328CD63C" w14:textId="314E7BE5" w:rsidR="00990B7E" w:rsidRPr="002724B9" w:rsidRDefault="004A395F" w:rsidP="005B4965">
      <w:pPr>
        <w:pStyle w:val="Heading3"/>
        <w:rPr>
          <w:rFonts w:cs="Segoe UI Light"/>
        </w:rPr>
      </w:pPr>
      <w:bookmarkStart w:id="158" w:name="_Toc164781638"/>
      <w:r>
        <w:t>F</w:t>
      </w:r>
      <w:r w:rsidR="00990B7E" w:rsidRPr="002724B9">
        <w:t>indings</w:t>
      </w:r>
      <w:bookmarkEnd w:id="158"/>
    </w:p>
    <w:p w14:paraId="60038B98" w14:textId="42B75F8E" w:rsidR="00990B7E" w:rsidRDefault="00990B7E" w:rsidP="005B4965">
      <w:r>
        <w:t xml:space="preserve">Identifying features of HTA policy and methods that </w:t>
      </w:r>
      <w:r w:rsidR="008C17C0">
        <w:t>affect</w:t>
      </w:r>
      <w:r>
        <w:t xml:space="preserve"> the time </w:t>
      </w:r>
      <w:r w:rsidR="00A04FEE">
        <w:t xml:space="preserve">it takes </w:t>
      </w:r>
      <w:r>
        <w:t xml:space="preserve">for Australians to </w:t>
      </w:r>
      <w:r w:rsidR="00A04FEE">
        <w:t xml:space="preserve">gain </w:t>
      </w:r>
      <w:r>
        <w:t xml:space="preserve">subsidised access to new medicines was a key objective </w:t>
      </w:r>
      <w:r w:rsidR="00A04FEE">
        <w:t>of</w:t>
      </w:r>
      <w:r>
        <w:t xml:space="preserve"> the Review. Research from </w:t>
      </w:r>
      <w:r w:rsidRPr="00CE2391">
        <w:t>the</w:t>
      </w:r>
      <w:r w:rsidRPr="0067207D">
        <w:rPr>
          <w:i/>
        </w:rPr>
        <w:t xml:space="preserve"> </w:t>
      </w:r>
      <w:r w:rsidRPr="000C5623">
        <w:rPr>
          <w:iCs/>
        </w:rPr>
        <w:t>Centre for Innovation and Regulatory Science – HTA dock</w:t>
      </w:r>
      <w:r w:rsidR="00A04FEE" w:rsidRPr="000C5623">
        <w:rPr>
          <w:rStyle w:val="FootnoteReference"/>
          <w:iCs/>
        </w:rPr>
        <w:footnoteReference w:id="44"/>
      </w:r>
      <w:r w:rsidR="00164EB3" w:rsidRPr="00A04FEE">
        <w:rPr>
          <w:iCs/>
          <w:vertAlign w:val="superscript"/>
        </w:rPr>
        <w:t xml:space="preserve"> </w:t>
      </w:r>
      <w:r>
        <w:t xml:space="preserve">shows that for comparable countries, Australia’s time from regulatory approval (ARTG registration) to </w:t>
      </w:r>
      <w:r w:rsidR="00FC455C">
        <w:t xml:space="preserve">an </w:t>
      </w:r>
      <w:r>
        <w:t xml:space="preserve">HTA decision is the shortest of all countries in the study group. However, looking at the time </w:t>
      </w:r>
      <w:r w:rsidR="00A04FEE">
        <w:t>it takes for</w:t>
      </w:r>
      <w:r>
        <w:t xml:space="preserve"> Australians</w:t>
      </w:r>
      <w:r w:rsidR="00A04FEE">
        <w:t xml:space="preserve"> to</w:t>
      </w:r>
      <w:r>
        <w:t xml:space="preserve"> access subsidised medicines relative to the comparable countries, as shown in </w:t>
      </w:r>
      <w:r w:rsidR="004D2644" w:rsidRPr="00A8282D">
        <w:rPr>
          <w:i/>
        </w:rPr>
        <w:t>Pharmaceutical Research and Manufacturers of America</w:t>
      </w:r>
      <w:r w:rsidR="004D2644" w:rsidRPr="00A8282D" w:rsidDel="004D2644">
        <w:rPr>
          <w:i/>
        </w:rPr>
        <w:t xml:space="preserve"> </w:t>
      </w:r>
      <w:r w:rsidR="004D2644" w:rsidRPr="00A8282D">
        <w:rPr>
          <w:i/>
        </w:rPr>
        <w:t xml:space="preserve">(PhRMA) </w:t>
      </w:r>
      <w:r w:rsidRPr="00A8282D">
        <w:rPr>
          <w:i/>
        </w:rPr>
        <w:t>- Global Access to New Medicines Report</w:t>
      </w:r>
      <w:r w:rsidRPr="00A8282D">
        <w:t>,</w:t>
      </w:r>
      <w:r w:rsidR="00A04FEE">
        <w:rPr>
          <w:rStyle w:val="FootnoteReference"/>
        </w:rPr>
        <w:footnoteReference w:id="45"/>
      </w:r>
      <w:r>
        <w:t xml:space="preserve"> Australia sits in the median position, with several countries </w:t>
      </w:r>
      <w:r w:rsidR="00A04FEE">
        <w:t xml:space="preserve">providing </w:t>
      </w:r>
      <w:r>
        <w:t xml:space="preserve">subsidised access sooner. </w:t>
      </w:r>
      <w:proofErr w:type="gramStart"/>
      <w:r w:rsidR="00BA2C01">
        <w:t>So</w:t>
      </w:r>
      <w:proofErr w:type="gramEnd"/>
      <w:r w:rsidR="00BA2C01">
        <w:t xml:space="preserve"> while the 17-week PBAC </w:t>
      </w:r>
      <w:r w:rsidR="00007A56">
        <w:t>cycle</w:t>
      </w:r>
      <w:r w:rsidR="00BA2C01">
        <w:t xml:space="preserve"> is exceptionally short, </w:t>
      </w:r>
      <w:r w:rsidR="00FC455C">
        <w:t xml:space="preserve">there </w:t>
      </w:r>
      <w:r w:rsidR="00007A56">
        <w:t>is</w:t>
      </w:r>
      <w:r>
        <w:t xml:space="preserve"> a disparity between what </w:t>
      </w:r>
      <w:r w:rsidR="00A04FEE">
        <w:t xml:space="preserve">the HTA system can </w:t>
      </w:r>
      <w:r>
        <w:t xml:space="preserve">technically </w:t>
      </w:r>
      <w:r w:rsidR="00A04FEE">
        <w:t>achieve</w:t>
      </w:r>
      <w:r w:rsidDel="00A04FEE">
        <w:t xml:space="preserve"> </w:t>
      </w:r>
      <w:r>
        <w:t xml:space="preserve">and what occurs in reality. </w:t>
      </w:r>
    </w:p>
    <w:p w14:paraId="030F3138" w14:textId="28E5F629" w:rsidR="00990B7E" w:rsidRDefault="002724B9" w:rsidP="00990B7E">
      <w:r w:rsidRPr="002724B9">
        <w:rPr>
          <w:noProof/>
        </w:rPr>
        <w:lastRenderedPageBreak/>
        <mc:AlternateContent>
          <mc:Choice Requires="wps">
            <w:drawing>
              <wp:inline distT="0" distB="0" distL="0" distR="0" wp14:anchorId="7C458DD5" wp14:editId="763E75AD">
                <wp:extent cx="5748655" cy="1820545"/>
                <wp:effectExtent l="0" t="0" r="4445" b="8255"/>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9159" cy="1820545"/>
                        </a:xfrm>
                        <a:prstGeom prst="round2DiagRect">
                          <a:avLst/>
                        </a:prstGeom>
                        <a:solidFill>
                          <a:sysClr val="window" lastClr="FFFFFF">
                            <a:lumMod val="95000"/>
                          </a:sysClr>
                        </a:solidFill>
                        <a:ln w="9525">
                          <a:noFill/>
                          <a:miter lim="800000"/>
                          <a:headEnd/>
                          <a:tailEnd/>
                        </a:ln>
                      </wps:spPr>
                      <wps:txbx>
                        <w:txbxContent>
                          <w:p w14:paraId="328CD44C" w14:textId="7FB2951B" w:rsidR="002724B9" w:rsidRPr="00BA3CA7" w:rsidRDefault="002724B9" w:rsidP="002724B9">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5FB93B3A" w14:textId="4004D00C" w:rsidR="002724B9" w:rsidRPr="000C5623" w:rsidRDefault="00A11C19" w:rsidP="002724B9">
                            <w:pPr>
                              <w:ind w:left="284" w:right="521"/>
                              <w:rPr>
                                <w:color w:val="005A68" w:themeColor="accent6" w:themeShade="80"/>
                              </w:rPr>
                            </w:pPr>
                            <w:r>
                              <w:rPr>
                                <w:color w:val="005A68" w:themeColor="accent6" w:themeShade="80"/>
                              </w:rPr>
                              <w:t>‘</w:t>
                            </w:r>
                            <w:r w:rsidR="002724B9" w:rsidRPr="000C5623">
                              <w:rPr>
                                <w:color w:val="005A68" w:themeColor="accent6" w:themeShade="80"/>
                              </w:rPr>
                              <w:t>In theory, reimbursed access can be achieved within approximately 60</w:t>
                            </w:r>
                            <w:r>
                              <w:rPr>
                                <w:color w:val="005A68" w:themeColor="accent6" w:themeShade="80"/>
                              </w:rPr>
                              <w:t> </w:t>
                            </w:r>
                            <w:r w:rsidR="002724B9" w:rsidRPr="000C5623">
                              <w:rPr>
                                <w:color w:val="005A68" w:themeColor="accent6" w:themeShade="80"/>
                              </w:rPr>
                              <w:t>days of TGA registration if: there is parallel processing; a first time PBAC recommendation; and no delays to post-PBAC negotiations. In practice, however, there are very few cases where this is achieved.</w:t>
                            </w:r>
                            <w:r>
                              <w:rPr>
                                <w:color w:val="005A68" w:themeColor="accent6" w:themeShade="80"/>
                              </w:rPr>
                              <w:t>’</w:t>
                            </w:r>
                          </w:p>
                          <w:p w14:paraId="6022152E" w14:textId="2502F717" w:rsidR="002724B9" w:rsidRPr="00BA3CA7" w:rsidRDefault="002724B9" w:rsidP="002724B9">
                            <w:pPr>
                              <w:ind w:right="19"/>
                              <w:jc w:val="right"/>
                              <w:rPr>
                                <w:b/>
                                <w:color w:val="005A68" w:themeColor="accent6" w:themeShade="80"/>
                              </w:rPr>
                            </w:pPr>
                            <w:r w:rsidRPr="00BA3CA7">
                              <w:rPr>
                                <w:b/>
                                <w:color w:val="005A68" w:themeColor="accent6" w:themeShade="80"/>
                              </w:rPr>
                              <w:t xml:space="preserve">Consultation 1 submission: </w:t>
                            </w:r>
                            <w:r w:rsidR="00CE1F0E">
                              <w:rPr>
                                <w:b/>
                                <w:color w:val="005A68" w:themeColor="accent6" w:themeShade="80"/>
                              </w:rPr>
                              <w:t>Medicines Australia</w:t>
                            </w:r>
                            <w:r w:rsidRPr="00BA3CA7">
                              <w:rPr>
                                <w:b/>
                                <w:color w:val="005A68" w:themeColor="accent6" w:themeShade="80"/>
                              </w:rPr>
                              <w:t xml:space="preserve"> </w:t>
                            </w:r>
                          </w:p>
                          <w:p w14:paraId="1693823F" w14:textId="77777777" w:rsidR="002724B9" w:rsidRPr="00FF048A" w:rsidRDefault="002724B9" w:rsidP="002724B9">
                            <w:pPr>
                              <w:ind w:right="19"/>
                            </w:pPr>
                          </w:p>
                        </w:txbxContent>
                      </wps:txbx>
                      <wps:bodyPr rot="0" vert="horz" wrap="square" lIns="91440" tIns="45720" rIns="91440" bIns="45720" anchor="t" anchorCtr="0">
                        <a:noAutofit/>
                      </wps:bodyPr>
                    </wps:wsp>
                  </a:graphicData>
                </a:graphic>
              </wp:inline>
            </w:drawing>
          </mc:Choice>
          <mc:Fallback>
            <w:pict>
              <v:shape w14:anchorId="7C458DD5" id="Text Box 25" o:spid="_x0000_s1029" style="width:452.65pt;height:143.35pt;visibility:visible;mso-wrap-style:square;mso-left-percent:-10001;mso-top-percent:-10001;mso-position-horizontal:absolute;mso-position-horizontal-relative:char;mso-position-vertical:absolute;mso-position-vertical-relative:line;mso-left-percent:-10001;mso-top-percent:-10001;v-text-anchor:top" coordsize="5749159,182054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" adj="-11796480,,5400" path="m303430,l5749159,r,l5749159,1517115v,167580,-135850,303430,-303430,303430l,1820545r,l,303430c,135850,135850,,303430,xe" fillcolor="#f2f2f2" stroked="f">
                <v:stroke joinstyle="miter"/>
                <v:formulas/>
                <v:path arrowok="t" o:connecttype="custom" o:connectlocs="303430,0;5749159,0;5749159,0;5749159,1517115;5445729,1820545;0,1820545;0,1820545;0,303430;303430,0" o:connectangles="0,0,0,0,0,0,0,0,0" textboxrect="0,0,5749159,1820545"/>
                <v:textbox>
                  <w:txbxContent>
                    <w:p w14:paraId="328CD44C" w14:textId="7FB2951B" w:rsidR="002724B9" w:rsidRPr="00BA3CA7" w:rsidRDefault="002724B9" w:rsidP="002724B9">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5FB93B3A" w14:textId="4004D00C" w:rsidR="002724B9" w:rsidRPr="000C5623" w:rsidRDefault="00A11C19" w:rsidP="002724B9">
                      <w:pPr>
                        <w:ind w:left="284" w:right="521"/>
                        <w:rPr>
                          <w:color w:val="005A68" w:themeColor="accent6" w:themeShade="80"/>
                        </w:rPr>
                      </w:pPr>
                      <w:r>
                        <w:rPr>
                          <w:color w:val="005A68" w:themeColor="accent6" w:themeShade="80"/>
                        </w:rPr>
                        <w:t>‘</w:t>
                      </w:r>
                      <w:r w:rsidR="002724B9" w:rsidRPr="000C5623">
                        <w:rPr>
                          <w:color w:val="005A68" w:themeColor="accent6" w:themeShade="80"/>
                        </w:rPr>
                        <w:t>In theory, reimbursed access can be achieved within approximately 60</w:t>
                      </w:r>
                      <w:r>
                        <w:rPr>
                          <w:color w:val="005A68" w:themeColor="accent6" w:themeShade="80"/>
                        </w:rPr>
                        <w:t> </w:t>
                      </w:r>
                      <w:r w:rsidR="002724B9" w:rsidRPr="000C5623">
                        <w:rPr>
                          <w:color w:val="005A68" w:themeColor="accent6" w:themeShade="80"/>
                        </w:rPr>
                        <w:t>days of TGA registration if: there is parallel processing; a first time PBAC recommendation; and no delays to post-PBAC negotiations. In practice, however, there are very few cases where this is achieved.</w:t>
                      </w:r>
                      <w:r>
                        <w:rPr>
                          <w:color w:val="005A68" w:themeColor="accent6" w:themeShade="80"/>
                        </w:rPr>
                        <w:t>’</w:t>
                      </w:r>
                    </w:p>
                    <w:p w14:paraId="6022152E" w14:textId="2502F717" w:rsidR="002724B9" w:rsidRPr="00BA3CA7" w:rsidRDefault="002724B9" w:rsidP="002724B9">
                      <w:pPr>
                        <w:ind w:right="19"/>
                        <w:jc w:val="right"/>
                        <w:rPr>
                          <w:b/>
                          <w:color w:val="005A68" w:themeColor="accent6" w:themeShade="80"/>
                        </w:rPr>
                      </w:pPr>
                      <w:r w:rsidRPr="00BA3CA7">
                        <w:rPr>
                          <w:b/>
                          <w:color w:val="005A68" w:themeColor="accent6" w:themeShade="80"/>
                        </w:rPr>
                        <w:t xml:space="preserve">Consultation 1 submission: </w:t>
                      </w:r>
                      <w:r w:rsidR="00CE1F0E">
                        <w:rPr>
                          <w:b/>
                          <w:color w:val="005A68" w:themeColor="accent6" w:themeShade="80"/>
                        </w:rPr>
                        <w:t>Medicines Australia</w:t>
                      </w:r>
                      <w:r w:rsidRPr="00BA3CA7">
                        <w:rPr>
                          <w:b/>
                          <w:color w:val="005A68" w:themeColor="accent6" w:themeShade="80"/>
                        </w:rPr>
                        <w:t xml:space="preserve"> </w:t>
                      </w:r>
                    </w:p>
                    <w:p w14:paraId="1693823F" w14:textId="77777777" w:rsidR="002724B9" w:rsidRPr="00FF048A" w:rsidRDefault="002724B9" w:rsidP="002724B9">
                      <w:pPr>
                        <w:ind w:right="19"/>
                      </w:pPr>
                    </w:p>
                  </w:txbxContent>
                </v:textbox>
                <w10:anchorlock/>
              </v:shape>
            </w:pict>
          </mc:Fallback>
        </mc:AlternateContent>
      </w:r>
      <w:r w:rsidR="00990B7E">
        <w:t xml:space="preserve">Time to subsidised access was a key theme </w:t>
      </w:r>
      <w:r w:rsidR="00A04FEE">
        <w:t xml:space="preserve">in </w:t>
      </w:r>
      <w:r w:rsidR="00990B7E">
        <w:t>Consultation 1</w:t>
      </w:r>
      <w:r w:rsidR="00A04FEE">
        <w:t>,</w:t>
      </w:r>
      <w:r w:rsidR="00990B7E">
        <w:t xml:space="preserve"> with several stakeholders acknowledging the disparity between what is technically possible and </w:t>
      </w:r>
      <w:r w:rsidR="00A04FEE">
        <w:t xml:space="preserve">the </w:t>
      </w:r>
      <w:r w:rsidR="00990B7E">
        <w:t>reality.</w:t>
      </w:r>
    </w:p>
    <w:p w14:paraId="78DFF381" w14:textId="33520497" w:rsidR="00990B7E" w:rsidRDefault="00990B7E" w:rsidP="004E6B76">
      <w:r>
        <w:t xml:space="preserve">The time it takes a new medicine on the PBS and </w:t>
      </w:r>
      <w:r w:rsidR="00A04FEE">
        <w:t xml:space="preserve">make it </w:t>
      </w:r>
      <w:r>
        <w:t xml:space="preserve">accessible to Australians </w:t>
      </w:r>
      <w:r w:rsidR="00A04FEE">
        <w:t xml:space="preserve">depends on several key steps by </w:t>
      </w:r>
      <w:r>
        <w:t>different decision</w:t>
      </w:r>
      <w:r w:rsidR="00453069">
        <w:t>-</w:t>
      </w:r>
      <w:r>
        <w:t>makers:</w:t>
      </w:r>
    </w:p>
    <w:p w14:paraId="428D849E" w14:textId="6A649406" w:rsidR="00990B7E" w:rsidRDefault="00A04FEE" w:rsidP="00281153">
      <w:pPr>
        <w:pStyle w:val="ListNumber"/>
        <w:numPr>
          <w:ilvl w:val="0"/>
          <w:numId w:val="136"/>
        </w:numPr>
      </w:pPr>
      <w:r>
        <w:t>t</w:t>
      </w:r>
      <w:r w:rsidR="00990B7E">
        <w:t>he date</w:t>
      </w:r>
      <w:r w:rsidR="00990B7E" w:rsidDel="00A04FEE">
        <w:t xml:space="preserve"> </w:t>
      </w:r>
      <w:r>
        <w:t xml:space="preserve">the </w:t>
      </w:r>
      <w:r w:rsidR="00990B7E">
        <w:t xml:space="preserve">pharmaceutical company launches </w:t>
      </w:r>
      <w:r>
        <w:t xml:space="preserve">the </w:t>
      </w:r>
      <w:r w:rsidR="00990B7E">
        <w:t>new medicine globally/in the first country</w:t>
      </w:r>
    </w:p>
    <w:p w14:paraId="4A256967" w14:textId="16EF1A31" w:rsidR="00990B7E" w:rsidRDefault="00A04FEE" w:rsidP="00BD34D3">
      <w:pPr>
        <w:pStyle w:val="ListNumber"/>
      </w:pPr>
      <w:r>
        <w:t>t</w:t>
      </w:r>
      <w:r w:rsidR="00990B7E">
        <w:t xml:space="preserve">he time from global first launch to the pharmaceutical company applying </w:t>
      </w:r>
      <w:r>
        <w:t xml:space="preserve">to register </w:t>
      </w:r>
      <w:r w:rsidR="00990B7E">
        <w:t xml:space="preserve">the drug on the </w:t>
      </w:r>
      <w:r w:rsidR="0080079D" w:rsidRPr="0080079D">
        <w:t>ARTG</w:t>
      </w:r>
      <w:r w:rsidR="0080079D">
        <w:t xml:space="preserve"> </w:t>
      </w:r>
      <w:r w:rsidR="00990B7E">
        <w:t xml:space="preserve">(and </w:t>
      </w:r>
      <w:r w:rsidR="002A0EEA">
        <w:t xml:space="preserve">the </w:t>
      </w:r>
      <w:r w:rsidR="00990B7E">
        <w:t xml:space="preserve">PBAC if </w:t>
      </w:r>
      <w:r w:rsidR="002A0EEA">
        <w:t xml:space="preserve">it is </w:t>
      </w:r>
      <w:r w:rsidR="00990B7E">
        <w:t>applying under parallel processing)</w:t>
      </w:r>
    </w:p>
    <w:p w14:paraId="1849839D" w14:textId="5AE307F6" w:rsidR="00990B7E" w:rsidRDefault="002A0EEA" w:rsidP="00BD34D3">
      <w:pPr>
        <w:pStyle w:val="ListNumber"/>
      </w:pPr>
      <w:r>
        <w:t>t</w:t>
      </w:r>
      <w:r w:rsidR="00990B7E">
        <w:t>he time it takes for the TGA to review and approve the drug for the ARTG</w:t>
      </w:r>
    </w:p>
    <w:p w14:paraId="574AE6CA" w14:textId="106EA945" w:rsidR="00990B7E" w:rsidRDefault="002A0EEA" w:rsidP="00BD34D3">
      <w:pPr>
        <w:pStyle w:val="ListNumber"/>
      </w:pPr>
      <w:r>
        <w:t>t</w:t>
      </w:r>
      <w:r w:rsidR="00990B7E">
        <w:t>he time it takes for the company to apply to the PBAC for listing on the PBS</w:t>
      </w:r>
    </w:p>
    <w:p w14:paraId="6F84BB88" w14:textId="126F8D75" w:rsidR="00990B7E" w:rsidRDefault="002A0EEA" w:rsidP="00BD34D3">
      <w:pPr>
        <w:pStyle w:val="ListNumber"/>
      </w:pPr>
      <w:r>
        <w:t>t</w:t>
      </w:r>
      <w:r w:rsidR="00990B7E">
        <w:t>he time it takes the PBAC to make a positive recommendation on the medicine</w:t>
      </w:r>
    </w:p>
    <w:p w14:paraId="521B3CAD" w14:textId="19814C4D" w:rsidR="00990B7E" w:rsidRDefault="002A0EEA" w:rsidP="00BD34D3">
      <w:pPr>
        <w:pStyle w:val="ListNumber"/>
      </w:pPr>
      <w:r>
        <w:t>t</w:t>
      </w:r>
      <w:r w:rsidR="00990B7E">
        <w:t xml:space="preserve">he time it takes </w:t>
      </w:r>
      <w:r>
        <w:t xml:space="preserve">to list </w:t>
      </w:r>
      <w:r w:rsidR="00990B7E">
        <w:t>the medicine on the PBS after it receives a positive recommendation from the PBAC.</w:t>
      </w:r>
    </w:p>
    <w:p w14:paraId="79F3A4D1" w14:textId="1ED04791" w:rsidR="00990B7E" w:rsidRDefault="00990B7E" w:rsidP="00990B7E">
      <w:r w:rsidRPr="00E70CAC">
        <w:t>The</w:t>
      </w:r>
      <w:r>
        <w:t xml:space="preserve"> pharmaceutical company’s global launch strategy</w:t>
      </w:r>
      <w:r w:rsidRPr="00E70CAC">
        <w:t xml:space="preserve"> determines the time and location for the global first launch of a new medicine.</w:t>
      </w:r>
      <w:r>
        <w:t xml:space="preserve"> These strategies are commercial decisions </w:t>
      </w:r>
      <w:r w:rsidR="002A0EEA">
        <w:t xml:space="preserve">that </w:t>
      </w:r>
      <w:r w:rsidR="00381FA6">
        <w:t>consider</w:t>
      </w:r>
      <w:r>
        <w:t xml:space="preserve"> the </w:t>
      </w:r>
      <w:r w:rsidR="00547E4C">
        <w:t xml:space="preserve">return on investment and </w:t>
      </w:r>
      <w:r w:rsidR="00B406C3">
        <w:t xml:space="preserve">potential </w:t>
      </w:r>
      <w:r w:rsidR="004E5203">
        <w:t>for</w:t>
      </w:r>
      <w:r w:rsidR="00B406C3">
        <w:t xml:space="preserve"> </w:t>
      </w:r>
      <w:r>
        <w:t xml:space="preserve">profit </w:t>
      </w:r>
      <w:r w:rsidR="002D2DD8">
        <w:t xml:space="preserve">maximisation </w:t>
      </w:r>
      <w:r>
        <w:t>from the medicine. Research shows that</w:t>
      </w:r>
      <w:r w:rsidR="002A0EEA">
        <w:t>,</w:t>
      </w:r>
      <w:r>
        <w:t xml:space="preserve"> generally</w:t>
      </w:r>
      <w:r w:rsidRPr="00E70CAC">
        <w:t>,</w:t>
      </w:r>
      <w:r>
        <w:t xml:space="preserve"> pharmaceutical companies launch their medicine in the US first and in other countries about a year later. This is likely because of the </w:t>
      </w:r>
      <w:r w:rsidRPr="00E70CAC">
        <w:t xml:space="preserve">desire to launch first in a country with a </w:t>
      </w:r>
      <w:r>
        <w:t xml:space="preserve">large population base </w:t>
      </w:r>
      <w:r w:rsidR="002A0EEA">
        <w:t>and</w:t>
      </w:r>
      <w:r w:rsidRPr="00E70CAC">
        <w:t xml:space="preserve"> </w:t>
      </w:r>
      <w:r w:rsidR="002A0EEA">
        <w:t xml:space="preserve">the </w:t>
      </w:r>
      <w:r>
        <w:t>freedom to set the price before moving to other countries that use external reference pricing</w:t>
      </w:r>
      <w:r w:rsidR="002A0EEA">
        <w:t>.</w:t>
      </w:r>
      <w:r w:rsidRPr="002724B9">
        <w:rPr>
          <w:vertAlign w:val="superscript"/>
        </w:rPr>
        <w:footnoteReference w:id="46"/>
      </w:r>
      <w:r>
        <w:t xml:space="preserve"> Australia has a relatively small population base; additionally</w:t>
      </w:r>
      <w:r w:rsidR="67322462">
        <w:t>,</w:t>
      </w:r>
      <w:r>
        <w:t xml:space="preserve"> the price paid in Australia is used by other countries for external reference pricing</w:t>
      </w:r>
      <w:r w:rsidR="002A0EEA">
        <w:t>.</w:t>
      </w:r>
      <w:r w:rsidRPr="002724B9">
        <w:rPr>
          <w:vertAlign w:val="superscript"/>
        </w:rPr>
        <w:footnoteReference w:id="47"/>
      </w:r>
      <w:r>
        <w:t xml:space="preserve"> Consequently, </w:t>
      </w:r>
      <w:r>
        <w:lastRenderedPageBreak/>
        <w:t>pharmaceutical companies</w:t>
      </w:r>
      <w:r w:rsidR="00CB47EC">
        <w:t>’</w:t>
      </w:r>
      <w:r>
        <w:t xml:space="preserve"> launch strategy often involve a delay in bringing medicines to Australia until the larger markets have been secured</w:t>
      </w:r>
      <w:r w:rsidR="002A0EEA">
        <w:t>.</w:t>
      </w:r>
      <w:r w:rsidRPr="002724B9">
        <w:rPr>
          <w:vertAlign w:val="superscript"/>
        </w:rPr>
        <w:footnoteReference w:id="48"/>
      </w:r>
    </w:p>
    <w:p w14:paraId="1306DC51" w14:textId="3BBC6152" w:rsidR="00990B7E" w:rsidRDefault="00990B7E" w:rsidP="00990B7E">
      <w:r w:rsidRPr="00365201">
        <w:t xml:space="preserve">When a sponsor decides to bring their medicine to the Australian market, they need to apply to the TGA </w:t>
      </w:r>
      <w:r w:rsidR="002A0EEA">
        <w:t>to</w:t>
      </w:r>
      <w:r w:rsidRPr="00365201">
        <w:t xml:space="preserve"> register</w:t>
      </w:r>
      <w:r w:rsidR="002A0EEA">
        <w:t xml:space="preserve"> it</w:t>
      </w:r>
      <w:r w:rsidRPr="00365201">
        <w:t xml:space="preserve"> on the ARTG before it can be supplied. The TGA target time</w:t>
      </w:r>
      <w:r w:rsidR="004574C7">
        <w:t xml:space="preserve"> </w:t>
      </w:r>
      <w:r w:rsidRPr="00365201">
        <w:t>frame for processing applications for prescription medicines is 220 working days for the standard pathway and 150 working days for the priority review pathway</w:t>
      </w:r>
      <w:r w:rsidR="002A0EEA">
        <w:t>. This</w:t>
      </w:r>
      <w:r w:rsidRPr="00365201">
        <w:t xml:space="preserve"> equates to around 44</w:t>
      </w:r>
      <w:r w:rsidR="002A0EEA">
        <w:t xml:space="preserve"> weeks</w:t>
      </w:r>
      <w:r w:rsidRPr="00365201">
        <w:t xml:space="preserve"> and 30 weeks, respectively.</w:t>
      </w:r>
    </w:p>
    <w:p w14:paraId="093EC29B" w14:textId="679B368D" w:rsidR="00990B7E" w:rsidRDefault="002A0EEA" w:rsidP="00990B7E">
      <w:r>
        <w:t>Technically, s</w:t>
      </w:r>
      <w:r w:rsidR="00990B7E">
        <w:t xml:space="preserve">ponsors </w:t>
      </w:r>
      <w:r>
        <w:t>can</w:t>
      </w:r>
      <w:r w:rsidR="00990B7E">
        <w:t xml:space="preserve"> make a submission for PBS listing as soon as </w:t>
      </w:r>
      <w:r>
        <w:t>they have applied</w:t>
      </w:r>
      <w:r w:rsidR="00990B7E">
        <w:t xml:space="preserve"> for ARTG registration. The TGA and the PBAC applications will be progressed in parallel</w:t>
      </w:r>
      <w:r>
        <w:t>;</w:t>
      </w:r>
      <w:r w:rsidR="00C17F59">
        <w:t xml:space="preserve"> h</w:t>
      </w:r>
      <w:r w:rsidR="00990B7E">
        <w:t xml:space="preserve">owever, a recommendation for listing on the PBS will not be made until the TGA application has sufficiently progressed, such that a </w:t>
      </w:r>
      <w:r w:rsidR="00876531">
        <w:t xml:space="preserve">positive </w:t>
      </w:r>
      <w:r w:rsidR="00990B7E">
        <w:t xml:space="preserve">TGA </w:t>
      </w:r>
      <w:r w:rsidR="00897CB5">
        <w:t>d</w:t>
      </w:r>
      <w:r w:rsidR="00990B7E">
        <w:t>elegate</w:t>
      </w:r>
      <w:r w:rsidR="00897CB5">
        <w:t>’s o</w:t>
      </w:r>
      <w:r w:rsidR="00990B7E">
        <w:t>verview is available.</w:t>
      </w:r>
    </w:p>
    <w:p w14:paraId="47BC6A1B" w14:textId="4B80640E" w:rsidR="00990B7E" w:rsidRDefault="00990B7E" w:rsidP="00990B7E">
      <w:r w:rsidRPr="00AE3DE7">
        <w:t xml:space="preserve">Despite parallel TGA </w:t>
      </w:r>
      <w:r w:rsidR="00687AA4">
        <w:t>and</w:t>
      </w:r>
      <w:r w:rsidRPr="00AE3DE7">
        <w:t xml:space="preserve"> PBAC processing being available to all category 1 and 2 submissions, </w:t>
      </w:r>
      <w:r w:rsidR="002A0EEA" w:rsidRPr="00AE3DE7">
        <w:t xml:space="preserve">this </w:t>
      </w:r>
      <w:r w:rsidR="002A0EEA">
        <w:t xml:space="preserve">is an </w:t>
      </w:r>
      <w:r w:rsidRPr="00AE3DE7">
        <w:t>underu</w:t>
      </w:r>
      <w:r w:rsidR="002A0EEA">
        <w:t xml:space="preserve">sed </w:t>
      </w:r>
      <w:r w:rsidRPr="00AE3DE7" w:rsidDel="002A0EEA">
        <w:t>pathway</w:t>
      </w:r>
      <w:r w:rsidRPr="00AE3DE7">
        <w:t xml:space="preserve">. Stakeholders reported </w:t>
      </w:r>
      <w:r>
        <w:t xml:space="preserve">that </w:t>
      </w:r>
      <w:r w:rsidR="002A0EEA">
        <w:t xml:space="preserve">this is due to </w:t>
      </w:r>
      <w:r>
        <w:t xml:space="preserve">the PBAC </w:t>
      </w:r>
      <w:r w:rsidR="002A0EEA">
        <w:t>being</w:t>
      </w:r>
      <w:r>
        <w:t xml:space="preserve"> unable to provide a recommendation without </w:t>
      </w:r>
      <w:r w:rsidR="002A0EEA">
        <w:t xml:space="preserve">a </w:t>
      </w:r>
      <w:r>
        <w:t xml:space="preserve">TGA </w:t>
      </w:r>
      <w:r w:rsidR="00897CB5">
        <w:t>d</w:t>
      </w:r>
      <w:r>
        <w:t>elegate</w:t>
      </w:r>
      <w:r w:rsidR="00897CB5">
        <w:t>’s o</w:t>
      </w:r>
      <w:r>
        <w:t xml:space="preserve">verview. As a result, sponsors wait to apply to the PBAC to align the timing of the TGA </w:t>
      </w:r>
      <w:r w:rsidR="00897CB5">
        <w:t>d</w:t>
      </w:r>
      <w:r w:rsidR="00C17F59">
        <w:t>elegate</w:t>
      </w:r>
      <w:r w:rsidR="00897CB5">
        <w:t>’s o</w:t>
      </w:r>
      <w:r w:rsidR="00C17F59">
        <w:t>verview</w:t>
      </w:r>
      <w:r>
        <w:t xml:space="preserve"> with the PBAC meeting deadline. </w:t>
      </w:r>
    </w:p>
    <w:p w14:paraId="3BBFC18F" w14:textId="77777777" w:rsidR="007F2732" w:rsidRDefault="007F2732" w:rsidP="004E6B76">
      <w:pPr>
        <w:spacing w:before="240"/>
      </w:pPr>
      <w:r w:rsidRPr="002724B9">
        <w:rPr>
          <w:noProof/>
        </w:rPr>
        <mc:AlternateContent>
          <mc:Choice Requires="wps">
            <w:drawing>
              <wp:inline distT="0" distB="0" distL="0" distR="0" wp14:anchorId="21F4C0B1" wp14:editId="5DD44940">
                <wp:extent cx="5820355" cy="1630017"/>
                <wp:effectExtent l="0" t="0" r="9525" b="8890"/>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0355" cy="1630017"/>
                        </a:xfrm>
                        <a:prstGeom prst="round2DiagRect">
                          <a:avLst/>
                        </a:prstGeom>
                        <a:solidFill>
                          <a:sysClr val="window" lastClr="FFFFFF">
                            <a:lumMod val="95000"/>
                          </a:sysClr>
                        </a:solidFill>
                        <a:ln w="9525">
                          <a:noFill/>
                          <a:miter lim="800000"/>
                          <a:headEnd/>
                          <a:tailEnd/>
                        </a:ln>
                      </wps:spPr>
                      <wps:txbx>
                        <w:txbxContent>
                          <w:p w14:paraId="51071DC6" w14:textId="708C80F4" w:rsidR="007F2732" w:rsidRPr="00BA3CA7" w:rsidRDefault="007F2732" w:rsidP="007F2732">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190E081A" w14:textId="0405B6A5" w:rsidR="007F2732" w:rsidRPr="000C5623" w:rsidRDefault="007F2732" w:rsidP="000C5623">
                            <w:pPr>
                              <w:ind w:left="283" w:right="418"/>
                              <w:rPr>
                                <w:color w:val="005A68" w:themeColor="accent6" w:themeShade="80"/>
                              </w:rPr>
                            </w:pPr>
                            <w:r w:rsidRPr="000C5623">
                              <w:rPr>
                                <w:color w:val="005A68" w:themeColor="accent6" w:themeShade="80"/>
                              </w:rPr>
                              <w:t xml:space="preserve">The parallel process works well but could be even more effective in reducing time to access by, for example, </w:t>
                            </w:r>
                            <w:r w:rsidR="00A11C19">
                              <w:rPr>
                                <w:color w:val="005A68" w:themeColor="accent6" w:themeShade="80"/>
                              </w:rPr>
                              <w:t>removing</w:t>
                            </w:r>
                            <w:r w:rsidRPr="000C5623">
                              <w:rPr>
                                <w:color w:val="005A68" w:themeColor="accent6" w:themeShade="80"/>
                              </w:rPr>
                              <w:t xml:space="preserve"> the requirement for a TGA </w:t>
                            </w:r>
                            <w:r w:rsidR="00897CB5">
                              <w:rPr>
                                <w:color w:val="005A68" w:themeColor="accent6" w:themeShade="80"/>
                              </w:rPr>
                              <w:t>d</w:t>
                            </w:r>
                            <w:r w:rsidRPr="000C5623">
                              <w:rPr>
                                <w:color w:val="005A68" w:themeColor="accent6" w:themeShade="80"/>
                              </w:rPr>
                              <w:t xml:space="preserve">elegate </w:t>
                            </w:r>
                            <w:r w:rsidR="00897CB5">
                              <w:rPr>
                                <w:color w:val="005A68" w:themeColor="accent6" w:themeShade="80"/>
                              </w:rPr>
                              <w:t>o</w:t>
                            </w:r>
                            <w:r w:rsidRPr="000C5623">
                              <w:rPr>
                                <w:color w:val="005A68" w:themeColor="accent6" w:themeShade="80"/>
                              </w:rPr>
                              <w:t>verview</w:t>
                            </w:r>
                            <w:r w:rsidRPr="001E7C2C">
                              <w:rPr>
                                <w:b/>
                                <w:bCs/>
                                <w:i/>
                                <w:iCs/>
                                <w:color w:val="005A68" w:themeColor="accent6" w:themeShade="80"/>
                              </w:rPr>
                              <w:t xml:space="preserve"> </w:t>
                            </w:r>
                            <w:r w:rsidRPr="000C5623">
                              <w:rPr>
                                <w:color w:val="005A68" w:themeColor="accent6" w:themeShade="80"/>
                              </w:rPr>
                              <w:t>at</w:t>
                            </w:r>
                            <w:r w:rsidR="00A11C19">
                              <w:rPr>
                                <w:color w:val="005A68" w:themeColor="accent6" w:themeShade="80"/>
                              </w:rPr>
                              <w:t xml:space="preserve"> the</w:t>
                            </w:r>
                            <w:r w:rsidRPr="000C5623">
                              <w:rPr>
                                <w:color w:val="005A68" w:themeColor="accent6" w:themeShade="80"/>
                              </w:rPr>
                              <w:t xml:space="preserve"> time of </w:t>
                            </w:r>
                            <w:r w:rsidR="00A11C19">
                              <w:rPr>
                                <w:color w:val="005A68" w:themeColor="accent6" w:themeShade="80"/>
                              </w:rPr>
                              <w:t xml:space="preserve">a </w:t>
                            </w:r>
                            <w:r w:rsidRPr="000C5623">
                              <w:rPr>
                                <w:color w:val="005A68" w:themeColor="accent6" w:themeShade="80"/>
                              </w:rPr>
                              <w:t xml:space="preserve">PBAC decision. </w:t>
                            </w:r>
                          </w:p>
                          <w:p w14:paraId="6A45C647" w14:textId="5FE91634" w:rsidR="007F2732" w:rsidRPr="00BA3CA7" w:rsidRDefault="00302FB5" w:rsidP="00261863">
                            <w:pPr>
                              <w:ind w:left="3632" w:right="19" w:firstLine="454"/>
                              <w:jc w:val="right"/>
                              <w:rPr>
                                <w:b/>
                              </w:rPr>
                            </w:pPr>
                            <w:r>
                              <w:rPr>
                                <w:b/>
                                <w:color w:val="005A68" w:themeColor="accent6" w:themeShade="80"/>
                              </w:rPr>
                              <w:t>Consulta</w:t>
                            </w:r>
                            <w:r w:rsidR="00603C5C">
                              <w:rPr>
                                <w:b/>
                                <w:color w:val="005A68" w:themeColor="accent6" w:themeShade="80"/>
                              </w:rPr>
                              <w:t>tion 1 submission: Antengene</w:t>
                            </w:r>
                          </w:p>
                        </w:txbxContent>
                      </wps:txbx>
                      <wps:bodyPr rot="0" vert="horz" wrap="square" lIns="91440" tIns="45720" rIns="91440" bIns="45720" anchor="t" anchorCtr="0">
                        <a:noAutofit/>
                      </wps:bodyPr>
                    </wps:wsp>
                  </a:graphicData>
                </a:graphic>
              </wp:inline>
            </w:drawing>
          </mc:Choice>
          <mc:Fallback>
            <w:pict>
              <v:shape w14:anchorId="21F4C0B1" id="Text Box 14" o:spid="_x0000_s1030" style="width:458.3pt;height:128.35pt;visibility:visible;mso-wrap-style:square;mso-left-percent:-10001;mso-top-percent:-10001;mso-position-horizontal:absolute;mso-position-horizontal-relative:char;mso-position-vertical:absolute;mso-position-vertical-relative:line;mso-left-percent:-10001;mso-top-percent:-10001;v-text-anchor:top" coordsize="5820355,163001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" adj="-11796480,,5400" path="m271675,l5820355,r,l5820355,1358342v,150042,-121633,271675,-271675,271675l,1630017r,l,271675c,121633,121633,,271675,xe" fillcolor="#f2f2f2" stroked="f">
                <v:stroke joinstyle="miter"/>
                <v:formulas/>
                <v:path arrowok="t" o:connecttype="custom" o:connectlocs="271675,0;5820355,0;5820355,0;5820355,1358342;5548680,1630017;0,1630017;0,1630017;0,271675;271675,0" o:connectangles="0,0,0,0,0,0,0,0,0" textboxrect="0,0,5820355,1630017"/>
                <v:textbox>
                  <w:txbxContent>
                    <w:p w14:paraId="51071DC6" w14:textId="708C80F4" w:rsidR="007F2732" w:rsidRPr="00BA3CA7" w:rsidRDefault="007F2732" w:rsidP="007F2732">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190E081A" w14:textId="0405B6A5" w:rsidR="007F2732" w:rsidRPr="000C5623" w:rsidRDefault="007F2732" w:rsidP="000C5623">
                      <w:pPr>
                        <w:ind w:left="283" w:right="418"/>
                        <w:rPr>
                          <w:color w:val="005A68" w:themeColor="accent6" w:themeShade="80"/>
                        </w:rPr>
                      </w:pPr>
                      <w:r w:rsidRPr="000C5623">
                        <w:rPr>
                          <w:color w:val="005A68" w:themeColor="accent6" w:themeShade="80"/>
                        </w:rPr>
                        <w:t xml:space="preserve">The parallel process works well but could be even more effective in reducing time to access by, for example, </w:t>
                      </w:r>
                      <w:r w:rsidR="00A11C19">
                        <w:rPr>
                          <w:color w:val="005A68" w:themeColor="accent6" w:themeShade="80"/>
                        </w:rPr>
                        <w:t>removing</w:t>
                      </w:r>
                      <w:r w:rsidRPr="000C5623">
                        <w:rPr>
                          <w:color w:val="005A68" w:themeColor="accent6" w:themeShade="80"/>
                        </w:rPr>
                        <w:t xml:space="preserve"> the requirement for a TGA </w:t>
                      </w:r>
                      <w:r w:rsidR="00897CB5">
                        <w:rPr>
                          <w:color w:val="005A68" w:themeColor="accent6" w:themeShade="80"/>
                        </w:rPr>
                        <w:t>d</w:t>
                      </w:r>
                      <w:r w:rsidRPr="000C5623">
                        <w:rPr>
                          <w:color w:val="005A68" w:themeColor="accent6" w:themeShade="80"/>
                        </w:rPr>
                        <w:t xml:space="preserve">elegate </w:t>
                      </w:r>
                      <w:r w:rsidR="00897CB5">
                        <w:rPr>
                          <w:color w:val="005A68" w:themeColor="accent6" w:themeShade="80"/>
                        </w:rPr>
                        <w:t>o</w:t>
                      </w:r>
                      <w:r w:rsidRPr="000C5623">
                        <w:rPr>
                          <w:color w:val="005A68" w:themeColor="accent6" w:themeShade="80"/>
                        </w:rPr>
                        <w:t>verview</w:t>
                      </w:r>
                      <w:r w:rsidRPr="001E7C2C">
                        <w:rPr>
                          <w:b/>
                          <w:bCs/>
                          <w:i/>
                          <w:iCs/>
                          <w:color w:val="005A68" w:themeColor="accent6" w:themeShade="80"/>
                        </w:rPr>
                        <w:t xml:space="preserve"> </w:t>
                      </w:r>
                      <w:r w:rsidRPr="000C5623">
                        <w:rPr>
                          <w:color w:val="005A68" w:themeColor="accent6" w:themeShade="80"/>
                        </w:rPr>
                        <w:t>at</w:t>
                      </w:r>
                      <w:r w:rsidR="00A11C19">
                        <w:rPr>
                          <w:color w:val="005A68" w:themeColor="accent6" w:themeShade="80"/>
                        </w:rPr>
                        <w:t xml:space="preserve"> the</w:t>
                      </w:r>
                      <w:r w:rsidRPr="000C5623">
                        <w:rPr>
                          <w:color w:val="005A68" w:themeColor="accent6" w:themeShade="80"/>
                        </w:rPr>
                        <w:t xml:space="preserve"> time of </w:t>
                      </w:r>
                      <w:r w:rsidR="00A11C19">
                        <w:rPr>
                          <w:color w:val="005A68" w:themeColor="accent6" w:themeShade="80"/>
                        </w:rPr>
                        <w:t xml:space="preserve">a </w:t>
                      </w:r>
                      <w:r w:rsidRPr="000C5623">
                        <w:rPr>
                          <w:color w:val="005A68" w:themeColor="accent6" w:themeShade="80"/>
                        </w:rPr>
                        <w:t xml:space="preserve">PBAC decision. </w:t>
                      </w:r>
                    </w:p>
                    <w:p w14:paraId="6A45C647" w14:textId="5FE91634" w:rsidR="007F2732" w:rsidRPr="00BA3CA7" w:rsidRDefault="00302FB5" w:rsidP="00261863">
                      <w:pPr>
                        <w:ind w:left="3632" w:right="19" w:firstLine="454"/>
                        <w:jc w:val="right"/>
                        <w:rPr>
                          <w:b/>
                        </w:rPr>
                      </w:pPr>
                      <w:r>
                        <w:rPr>
                          <w:b/>
                          <w:color w:val="005A68" w:themeColor="accent6" w:themeShade="80"/>
                        </w:rPr>
                        <w:t>Consulta</w:t>
                      </w:r>
                      <w:r w:rsidR="00603C5C">
                        <w:rPr>
                          <w:b/>
                          <w:color w:val="005A68" w:themeColor="accent6" w:themeShade="80"/>
                        </w:rPr>
                        <w:t>tion 1 submission: Antengene</w:t>
                      </w:r>
                    </w:p>
                  </w:txbxContent>
                </v:textbox>
                <w10:anchorlock/>
              </v:shape>
            </w:pict>
          </mc:Fallback>
        </mc:AlternateContent>
      </w:r>
    </w:p>
    <w:p w14:paraId="223F77AF" w14:textId="5A6F8F41" w:rsidR="00990B7E" w:rsidRDefault="004618EC" w:rsidP="004E6B76">
      <w:pPr>
        <w:spacing w:before="240"/>
      </w:pPr>
      <w:r>
        <w:t>D</w:t>
      </w:r>
      <w:r w:rsidR="00990B7E">
        <w:t>elaying</w:t>
      </w:r>
      <w:r w:rsidR="00A21A38" w:rsidDel="002A0EEA">
        <w:t xml:space="preserve"> </w:t>
      </w:r>
      <w:r w:rsidR="00990B7E">
        <w:t>the PBAC submission to align it with recei</w:t>
      </w:r>
      <w:r w:rsidR="002A0EEA">
        <w:t>ving</w:t>
      </w:r>
      <w:r w:rsidR="00990B7E">
        <w:t xml:space="preserve"> the TGA </w:t>
      </w:r>
      <w:r w:rsidR="00897CB5">
        <w:t>d</w:t>
      </w:r>
      <w:r w:rsidR="00C17F59">
        <w:t>elegate</w:t>
      </w:r>
      <w:r w:rsidR="00897CB5">
        <w:t>’s o</w:t>
      </w:r>
      <w:r w:rsidR="00C17F59">
        <w:t>verview</w:t>
      </w:r>
      <w:r w:rsidR="00990B7E">
        <w:t xml:space="preserve"> is problematic for two reasons. The first is that the TGA time</w:t>
      </w:r>
      <w:r w:rsidR="004574C7">
        <w:t xml:space="preserve"> </w:t>
      </w:r>
      <w:r w:rsidR="00990B7E">
        <w:t xml:space="preserve">frames </w:t>
      </w:r>
      <w:r w:rsidR="00E42A63">
        <w:t xml:space="preserve">may </w:t>
      </w:r>
      <w:r w:rsidR="00990B7E">
        <w:t>not</w:t>
      </w:r>
      <w:r w:rsidR="00E42A63">
        <w:t xml:space="preserve"> be</w:t>
      </w:r>
      <w:r w:rsidR="00990B7E">
        <w:t xml:space="preserve"> consistent and a delay in </w:t>
      </w:r>
      <w:r w:rsidR="002A0EEA">
        <w:t>receiving a</w:t>
      </w:r>
      <w:r w:rsidR="00990B7E">
        <w:t xml:space="preserve"> </w:t>
      </w:r>
      <w:r w:rsidR="00897CB5">
        <w:t>d</w:t>
      </w:r>
      <w:r w:rsidR="00C17F59">
        <w:t>elegate</w:t>
      </w:r>
      <w:r w:rsidR="00897CB5">
        <w:t>’s</w:t>
      </w:r>
      <w:r w:rsidR="00C17F59">
        <w:t xml:space="preserve"> </w:t>
      </w:r>
      <w:r w:rsidR="00897CB5">
        <w:t>o</w:t>
      </w:r>
      <w:r w:rsidR="00C17F59">
        <w:t>verview</w:t>
      </w:r>
      <w:r w:rsidR="00990B7E">
        <w:t xml:space="preserve"> results in the PBAC deferring the submission. The second issue arises when the PBAC does not recommend a medicine for listing on the first submission. Depending on which resubmission pathway the subsequent submission will go down, this means that</w:t>
      </w:r>
      <w:r w:rsidR="00966036">
        <w:t xml:space="preserve"> </w:t>
      </w:r>
      <w:r w:rsidR="00990B7E">
        <w:t xml:space="preserve">the next meeting the submission can </w:t>
      </w:r>
      <w:r w:rsidR="00990B7E" w:rsidDel="00966036">
        <w:t>go to could be 34 weeks later</w:t>
      </w:r>
      <w:r w:rsidR="00990B7E">
        <w:t xml:space="preserve">. </w:t>
      </w:r>
    </w:p>
    <w:p w14:paraId="296DACC7" w14:textId="77777777" w:rsidR="001F37D8" w:rsidRDefault="001F37D8" w:rsidP="004E6B76">
      <w:pPr>
        <w:spacing w:before="240"/>
      </w:pPr>
    </w:p>
    <w:p w14:paraId="77DF414C" w14:textId="2BA4733A" w:rsidR="00990B7E" w:rsidRDefault="00990B7E" w:rsidP="00990B7E">
      <w:r>
        <w:lastRenderedPageBreak/>
        <w:t>The research and stakeholder input to the Review</w:t>
      </w:r>
      <w:r w:rsidDel="00966036">
        <w:t xml:space="preserve"> </w:t>
      </w:r>
      <w:r>
        <w:t xml:space="preserve">highlighted that most medicines that claim to have </w:t>
      </w:r>
      <w:r w:rsidR="001844B7">
        <w:t>high added therapeutic value</w:t>
      </w:r>
      <w:r>
        <w:t xml:space="preserve"> (HATV) that apply for PBS listing eventually get recommended. However, the first submission for new medicines is frequently not acceptable for the PBAC to make a positive recommendation. </w:t>
      </w:r>
    </w:p>
    <w:p w14:paraId="0200FD50" w14:textId="70CD412C" w:rsidR="00990B7E" w:rsidRDefault="00990B7E" w:rsidP="00990B7E">
      <w:r>
        <w:t xml:space="preserve">In Consultation 1, </w:t>
      </w:r>
      <w:r w:rsidR="00966036">
        <w:t xml:space="preserve">stakeholders commented widely on </w:t>
      </w:r>
      <w:r>
        <w:t xml:space="preserve">the number of PBAC submissions required before a medicine receives a positive recommendation. </w:t>
      </w:r>
      <w:r w:rsidR="00257B09">
        <w:t>Feedback</w:t>
      </w:r>
      <w:r>
        <w:t xml:space="preserve"> indicat</w:t>
      </w:r>
      <w:r w:rsidR="01577D34">
        <w:t>ed</w:t>
      </w:r>
      <w:r>
        <w:t xml:space="preserve"> that </w:t>
      </w:r>
      <w:r w:rsidR="7D63FA82">
        <w:t xml:space="preserve">some </w:t>
      </w:r>
      <w:r>
        <w:t xml:space="preserve">sponsors </w:t>
      </w:r>
      <w:r w:rsidR="00966036">
        <w:t xml:space="preserve">appeared to </w:t>
      </w:r>
      <w:r w:rsidR="00B6686F">
        <w:t>use</w:t>
      </w:r>
      <w:r w:rsidR="61641A2B">
        <w:t xml:space="preserve"> the </w:t>
      </w:r>
      <w:r>
        <w:t xml:space="preserve">first submissions to the PBAC </w:t>
      </w:r>
      <w:r w:rsidR="00966036">
        <w:t>for</w:t>
      </w:r>
      <w:r>
        <w:t xml:space="preserve"> early advice</w:t>
      </w:r>
      <w:r w:rsidR="00DE7E4A">
        <w:t>,</w:t>
      </w:r>
      <w:r>
        <w:t xml:space="preserve"> rather than a submission with an expected successful recommendation.</w:t>
      </w:r>
      <w:r w:rsidR="00453069">
        <w:t xml:space="preserve"> </w:t>
      </w:r>
    </w:p>
    <w:p w14:paraId="579A8737" w14:textId="769A056B" w:rsidR="00990B7E" w:rsidRDefault="00990B7E" w:rsidP="004E6B76">
      <w:pPr>
        <w:spacing w:before="240"/>
      </w:pPr>
      <w:r>
        <w:t>Underscoring th</w:t>
      </w:r>
      <w:r w:rsidR="00966036">
        <w:t xml:space="preserve">e </w:t>
      </w:r>
      <w:r>
        <w:t xml:space="preserve">two-submission system that appears to be standard in Australian HTA is, </w:t>
      </w:r>
      <w:r w:rsidRPr="00D93035">
        <w:t xml:space="preserve">at least in part, </w:t>
      </w:r>
      <w:r w:rsidRPr="00D93035" w:rsidDel="004B27AD">
        <w:t>due to</w:t>
      </w:r>
      <w:r w:rsidRPr="00D93035">
        <w:t xml:space="preserve"> the relatively short 17-week cycle. </w:t>
      </w:r>
      <w:r w:rsidR="00707B9F">
        <w:t xml:space="preserve">This short time </w:t>
      </w:r>
      <w:r w:rsidR="00966036">
        <w:t xml:space="preserve">frame </w:t>
      </w:r>
      <w:r w:rsidR="00F230AB">
        <w:t>represents a low opportunity cost for sponsors</w:t>
      </w:r>
      <w:r w:rsidR="009C5164">
        <w:t xml:space="preserve"> to obtain high-quality PBAC advice</w:t>
      </w:r>
      <w:r w:rsidR="00D7472C">
        <w:t xml:space="preserve">, </w:t>
      </w:r>
      <w:r w:rsidR="00181B90" w:rsidRPr="00A318F7">
        <w:t>compared to much longer decision</w:t>
      </w:r>
      <w:r w:rsidR="00966036" w:rsidRPr="00A318F7">
        <w:t xml:space="preserve"> </w:t>
      </w:r>
      <w:r w:rsidR="00181B90" w:rsidRPr="00A318F7">
        <w:t>cycles in other countries.</w:t>
      </w:r>
      <w:r w:rsidR="007C4E32" w:rsidRPr="00A318F7">
        <w:t xml:space="preserve"> The</w:t>
      </w:r>
      <w:r w:rsidRPr="00A318F7">
        <w:t xml:space="preserve"> quality advice </w:t>
      </w:r>
      <w:r w:rsidR="007C4E32" w:rsidRPr="00A318F7">
        <w:t xml:space="preserve">received </w:t>
      </w:r>
      <w:r w:rsidRPr="00A318F7">
        <w:t xml:space="preserve">from the </w:t>
      </w:r>
      <w:r w:rsidR="007C4E32" w:rsidRPr="00A318F7">
        <w:t xml:space="preserve">first </w:t>
      </w:r>
      <w:r w:rsidRPr="00A318F7">
        <w:t>PBAC</w:t>
      </w:r>
      <w:r w:rsidR="007C4E32" w:rsidRPr="00A318F7">
        <w:t xml:space="preserve"> submission assists the sponsor to submit the more plausible scenarios and prices in subsequent submissions.</w:t>
      </w:r>
      <w:r w:rsidR="00453069" w:rsidRPr="00A318F7">
        <w:t xml:space="preserve"> </w:t>
      </w:r>
    </w:p>
    <w:p w14:paraId="2EC3298F" w14:textId="19822300" w:rsidR="00990B7E" w:rsidRDefault="00966036" w:rsidP="00990B7E">
      <w:pPr>
        <w:spacing w:before="240"/>
      </w:pPr>
      <w:r>
        <w:t>In Consultation 2, t</w:t>
      </w:r>
      <w:r w:rsidR="00990B7E">
        <w:t xml:space="preserve">he Review tested options with stakeholders </w:t>
      </w:r>
      <w:r>
        <w:t xml:space="preserve">for reforms to </w:t>
      </w:r>
      <w:r w:rsidR="00990B7E">
        <w:t>reduc</w:t>
      </w:r>
      <w:r>
        <w:t>e</w:t>
      </w:r>
      <w:r w:rsidR="00990B7E">
        <w:t xml:space="preserve"> the time to access for new therapies </w:t>
      </w:r>
      <w:r w:rsidR="00990B7E" w:rsidRPr="00142120">
        <w:t xml:space="preserve">with </w:t>
      </w:r>
      <w:r w:rsidR="00990B7E" w:rsidRPr="00B61FDC">
        <w:t>HATV</w:t>
      </w:r>
      <w:r w:rsidR="00990B7E">
        <w:t xml:space="preserve"> in areas </w:t>
      </w:r>
      <w:r w:rsidR="002B1A76">
        <w:t>of HUCN</w:t>
      </w:r>
      <w:r w:rsidR="00431D1D">
        <w:t xml:space="preserve">, </w:t>
      </w:r>
      <w:r w:rsidR="00990B7E">
        <w:t>includ</w:t>
      </w:r>
      <w:r w:rsidR="00431D1D">
        <w:t>ing</w:t>
      </w:r>
      <w:r w:rsidR="00990B7E">
        <w:t xml:space="preserve"> strategies to:</w:t>
      </w:r>
      <w:r w:rsidR="005C0958">
        <w:t xml:space="preserve"> </w:t>
      </w:r>
    </w:p>
    <w:p w14:paraId="101E0FB8" w14:textId="6E7DEA12" w:rsidR="00990B7E" w:rsidRDefault="00966036" w:rsidP="00281153">
      <w:pPr>
        <w:pStyle w:val="ListBullet"/>
        <w:numPr>
          <w:ilvl w:val="0"/>
          <w:numId w:val="64"/>
        </w:numPr>
      </w:pPr>
      <w:r>
        <w:t>i</w:t>
      </w:r>
      <w:r w:rsidR="00990B7E">
        <w:t>ncentivise companies to b</w:t>
      </w:r>
      <w:r w:rsidR="007F5FEA">
        <w:t>r</w:t>
      </w:r>
      <w:r w:rsidR="00990B7E">
        <w:t>ing their medicine</w:t>
      </w:r>
      <w:r>
        <w:t>s</w:t>
      </w:r>
      <w:r w:rsidR="00990B7E">
        <w:t xml:space="preserve"> to Australia earlier</w:t>
      </w:r>
    </w:p>
    <w:p w14:paraId="6C4DC53B" w14:textId="6F899B7D" w:rsidR="00990B7E" w:rsidRDefault="00966036" w:rsidP="00281153">
      <w:pPr>
        <w:pStyle w:val="ListBullet"/>
        <w:numPr>
          <w:ilvl w:val="0"/>
          <w:numId w:val="64"/>
        </w:numPr>
      </w:pPr>
      <w:r>
        <w:t>b</w:t>
      </w:r>
      <w:r w:rsidR="00990B7E">
        <w:t xml:space="preserve">ring the first submission </w:t>
      </w:r>
      <w:r w:rsidR="002A69DC">
        <w:t>for a new medicine</w:t>
      </w:r>
      <w:r w:rsidR="00A86062">
        <w:t xml:space="preserve"> </w:t>
      </w:r>
      <w:r w:rsidR="00990B7E">
        <w:t>to the PBAC as early as possible</w:t>
      </w:r>
    </w:p>
    <w:p w14:paraId="7E945BE5" w14:textId="0D1EFA6E" w:rsidR="00990B7E" w:rsidRDefault="00966036" w:rsidP="00281153">
      <w:pPr>
        <w:pStyle w:val="ListBullet"/>
        <w:numPr>
          <w:ilvl w:val="0"/>
          <w:numId w:val="64"/>
        </w:numPr>
      </w:pPr>
      <w:r>
        <w:t>m</w:t>
      </w:r>
      <w:r w:rsidR="00990B7E">
        <w:t>inimise the time between the PBAC</w:t>
      </w:r>
      <w:r>
        <w:t>’s</w:t>
      </w:r>
      <w:r w:rsidR="00990B7E">
        <w:t xml:space="preserve"> initial and subsequent consideration</w:t>
      </w:r>
      <w:r>
        <w:t>s</w:t>
      </w:r>
    </w:p>
    <w:p w14:paraId="1C965CF3" w14:textId="2FCECD6B" w:rsidR="00990B7E" w:rsidRDefault="00966036" w:rsidP="00281153">
      <w:pPr>
        <w:pStyle w:val="ListBullet"/>
        <w:numPr>
          <w:ilvl w:val="0"/>
          <w:numId w:val="64"/>
        </w:numPr>
      </w:pPr>
      <w:r>
        <w:t>m</w:t>
      </w:r>
      <w:r w:rsidR="001F455A">
        <w:t>aximise the chance</w:t>
      </w:r>
      <w:r w:rsidR="002F6328">
        <w:t xml:space="preserve">s that </w:t>
      </w:r>
      <w:r w:rsidR="00990B7E">
        <w:t>submission</w:t>
      </w:r>
      <w:r>
        <w:t>s</w:t>
      </w:r>
      <w:r w:rsidR="00990B7E">
        <w:t xml:space="preserve"> </w:t>
      </w:r>
      <w:r w:rsidR="00E24A42">
        <w:t xml:space="preserve">will </w:t>
      </w:r>
      <w:r w:rsidR="00990B7E">
        <w:t>succe</w:t>
      </w:r>
      <w:r>
        <w:t>ed</w:t>
      </w:r>
      <w:r w:rsidR="00990B7E">
        <w:t xml:space="preserve"> within two </w:t>
      </w:r>
      <w:r w:rsidR="00086B1D">
        <w:t xml:space="preserve">considerations. </w:t>
      </w:r>
    </w:p>
    <w:p w14:paraId="2C60E3EF" w14:textId="0758DF55" w:rsidR="00FF660E" w:rsidRDefault="001961BE" w:rsidP="001961BE">
      <w:pPr>
        <w:pStyle w:val="Heading3"/>
      </w:pPr>
      <w:r>
        <w:t xml:space="preserve">Conclusion </w:t>
      </w:r>
    </w:p>
    <w:p w14:paraId="3A948DFF" w14:textId="775D1839" w:rsidR="004A20C3" w:rsidRPr="004A20C3" w:rsidRDefault="00311A93" w:rsidP="005B4965">
      <w:r>
        <w:t>W</w:t>
      </w:r>
      <w:r w:rsidR="004A20C3" w:rsidRPr="004A20C3">
        <w:t xml:space="preserve">ith the minimal use of parallel processing, the TGA and PBAC processing times are largely </w:t>
      </w:r>
      <w:r w:rsidR="00F24481">
        <w:t>sequential</w:t>
      </w:r>
      <w:r w:rsidR="00086B1D">
        <w:t>.</w:t>
      </w:r>
      <w:r w:rsidR="004A20C3" w:rsidRPr="004A20C3">
        <w:t xml:space="preserve"> </w:t>
      </w:r>
      <w:r w:rsidR="004A20C3" w:rsidRPr="00AA0779">
        <w:t xml:space="preserve">Coupled with the </w:t>
      </w:r>
      <w:r w:rsidR="00C01A18" w:rsidRPr="00BD34D3">
        <w:t>findings</w:t>
      </w:r>
      <w:r w:rsidR="004A20C3" w:rsidRPr="00AA0779">
        <w:t xml:space="preserve"> that many major new therapeutic advances require two (or more) submissions </w:t>
      </w:r>
      <w:r w:rsidR="006464EF" w:rsidRPr="00BD34D3">
        <w:t>t</w:t>
      </w:r>
      <w:r w:rsidR="00086B1D">
        <w:t>o</w:t>
      </w:r>
      <w:r w:rsidR="006464EF" w:rsidRPr="00BD34D3">
        <w:t xml:space="preserve"> a</w:t>
      </w:r>
      <w:r w:rsidR="00AE43EE">
        <w:t>n</w:t>
      </w:r>
      <w:r w:rsidR="006464EF" w:rsidRPr="00BD34D3">
        <w:t xml:space="preserve"> HTA committee</w:t>
      </w:r>
      <w:r w:rsidR="004A20C3" w:rsidRPr="00AA0779">
        <w:t xml:space="preserve"> before receiving a positive recommendation, the time from application for regulatory approval (ARTG registration) to positive HTA recommendation </w:t>
      </w:r>
      <w:r w:rsidR="006464EF" w:rsidRPr="00BD34D3">
        <w:t xml:space="preserve">can typically be </w:t>
      </w:r>
      <w:r w:rsidR="00086B1D">
        <w:t>up to</w:t>
      </w:r>
      <w:r w:rsidR="006464EF" w:rsidRPr="00BD34D3">
        <w:t xml:space="preserve"> </w:t>
      </w:r>
      <w:r w:rsidR="004A20C3" w:rsidRPr="00AA0779">
        <w:t>9</w:t>
      </w:r>
      <w:r w:rsidR="005E6F35">
        <w:t>5</w:t>
      </w:r>
      <w:r w:rsidR="004A20C3" w:rsidRPr="00AA0779">
        <w:t xml:space="preserve"> weeks</w:t>
      </w:r>
      <w:r w:rsidR="00037A9F">
        <w:t xml:space="preserve"> </w:t>
      </w:r>
      <w:r w:rsidR="006464EF" w:rsidRPr="00BD34D3">
        <w:t>(</w:t>
      </w:r>
      <w:r w:rsidR="004A20C3" w:rsidRPr="00AA0779">
        <w:t>44</w:t>
      </w:r>
      <w:r w:rsidR="00897CB5">
        <w:t> </w:t>
      </w:r>
      <w:r w:rsidR="004A20C3" w:rsidRPr="00AA0779">
        <w:t>week</w:t>
      </w:r>
      <w:r w:rsidR="00086B1D">
        <w:t>s for a</w:t>
      </w:r>
      <w:r w:rsidR="004A20C3" w:rsidRPr="00AA0779">
        <w:t xml:space="preserve"> TGA </w:t>
      </w:r>
      <w:r w:rsidR="00771A36" w:rsidRPr="00BD34D3">
        <w:t>evaluation</w:t>
      </w:r>
      <w:r w:rsidR="00771A36" w:rsidRPr="00AA0779">
        <w:t xml:space="preserve"> </w:t>
      </w:r>
      <w:r w:rsidR="00A05FB8" w:rsidRPr="00AA0779">
        <w:t>plus</w:t>
      </w:r>
      <w:r w:rsidR="004A20C3" w:rsidRPr="00AA0779">
        <w:t xml:space="preserve"> 51 weeks for </w:t>
      </w:r>
      <w:r w:rsidR="00A05FB8" w:rsidRPr="00AA0779">
        <w:t>two</w:t>
      </w:r>
      <w:r w:rsidR="004A20C3" w:rsidRPr="00AA0779">
        <w:t xml:space="preserve"> submissions to the PBAC</w:t>
      </w:r>
      <w:r w:rsidR="001C6B78" w:rsidRPr="00BD34D3">
        <w:t>)</w:t>
      </w:r>
      <w:r w:rsidR="004A20C3" w:rsidRPr="00AA0779">
        <w:t>.</w:t>
      </w:r>
      <w:r w:rsidR="004A20C3" w:rsidRPr="004A20C3">
        <w:t xml:space="preserve"> This can be </w:t>
      </w:r>
      <w:r w:rsidR="00086B1D">
        <w:t xml:space="preserve">more </w:t>
      </w:r>
      <w:r w:rsidR="004A20C3" w:rsidRPr="004A20C3">
        <w:t>protracted if more than one resubmission is required</w:t>
      </w:r>
      <w:r w:rsidR="00985CCC">
        <w:t>,</w:t>
      </w:r>
      <w:r w:rsidR="004A20C3" w:rsidRPr="004A20C3">
        <w:t xml:space="preserve"> or a longer period between the first and subsequent submission is taken. Additionally, this is further compounded by the delay in companies applying to the TGA relative to </w:t>
      </w:r>
      <w:r w:rsidR="00D7521A">
        <w:t>other</w:t>
      </w:r>
      <w:r w:rsidR="00D7521A" w:rsidRPr="004A20C3">
        <w:t xml:space="preserve"> </w:t>
      </w:r>
      <w:r w:rsidR="004A20C3" w:rsidRPr="004A20C3">
        <w:t xml:space="preserve">countries </w:t>
      </w:r>
      <w:r w:rsidR="00C26B4F">
        <w:t>with similar health system</w:t>
      </w:r>
      <w:r w:rsidR="00086B1D">
        <w:t>s</w:t>
      </w:r>
      <w:r w:rsidR="00C26B4F">
        <w:t xml:space="preserve"> and HTA arrangements</w:t>
      </w:r>
      <w:r w:rsidR="004A20C3" w:rsidRPr="004A20C3">
        <w:t xml:space="preserve"> (estimated median of 17 months). </w:t>
      </w:r>
    </w:p>
    <w:p w14:paraId="60C7A613" w14:textId="30856695" w:rsidR="00990B7E" w:rsidRDefault="00990B7E" w:rsidP="005B4965">
      <w:r>
        <w:t>Australia has exceptionally comprehensive health and medicines access systems</w:t>
      </w:r>
      <w:r w:rsidR="00086B1D">
        <w:t>,</w:t>
      </w:r>
      <w:r w:rsidR="00C26B4F">
        <w:t xml:space="preserve"> underpinned by high-quality HTA arrangements</w:t>
      </w:r>
      <w:r>
        <w:t xml:space="preserve">. However, compared to other jurisdictions like the </w:t>
      </w:r>
      <w:r w:rsidR="0037071C">
        <w:t xml:space="preserve">United Kingdom </w:t>
      </w:r>
      <w:r>
        <w:t>and Canada, Australia has a small population base. To maintain comprehensive medicines access</w:t>
      </w:r>
      <w:r w:rsidR="00196516">
        <w:t xml:space="preserve"> and the same quality of HTA advice to decision-makers</w:t>
      </w:r>
      <w:r>
        <w:t xml:space="preserve">, </w:t>
      </w:r>
      <w:r w:rsidR="008A1E9F">
        <w:t xml:space="preserve">the Australian </w:t>
      </w:r>
      <w:r>
        <w:t>system need</w:t>
      </w:r>
      <w:r w:rsidR="008A1E9F">
        <w:t>s</w:t>
      </w:r>
      <w:r>
        <w:t xml:space="preserve"> to </w:t>
      </w:r>
      <w:r w:rsidR="00CA46BB">
        <w:t xml:space="preserve">be able to </w:t>
      </w:r>
      <w:r>
        <w:t xml:space="preserve">process the same amount of </w:t>
      </w:r>
      <w:r w:rsidR="006F1B92">
        <w:t>HTAs</w:t>
      </w:r>
      <w:r>
        <w:t xml:space="preserve"> as much larger countries, </w:t>
      </w:r>
      <w:r w:rsidR="008A1E9F">
        <w:t xml:space="preserve">but </w:t>
      </w:r>
      <w:r>
        <w:t xml:space="preserve">with a relatively limited pool of HTA </w:t>
      </w:r>
      <w:r>
        <w:lastRenderedPageBreak/>
        <w:t xml:space="preserve">professionals. Strategies to bolster the capacity and capability of the HTA system are further elaborated in Chapter </w:t>
      </w:r>
      <w:r w:rsidR="004E6B76">
        <w:t>9</w:t>
      </w:r>
      <w:r w:rsidR="00086B1D">
        <w:t>. T</w:t>
      </w:r>
      <w:r>
        <w:t xml:space="preserve">hese will be supported by mechanisms to ensure the HTA processes are efficient and agile. Analysis and stakeholder inputs identified that, unlike many other countries, Australia does not have a system </w:t>
      </w:r>
      <w:r w:rsidR="000C6F10">
        <w:t xml:space="preserve">in place </w:t>
      </w:r>
      <w:r>
        <w:t xml:space="preserve">to prioritise submissions. In Consultation 2, options for reform included methods for differentiating the amount of effort pharmaceutical companies and HTA consultants </w:t>
      </w:r>
      <w:r w:rsidR="00086B1D">
        <w:t xml:space="preserve">spend </w:t>
      </w:r>
      <w:r>
        <w:t>in developing submissions, and the Australian Government</w:t>
      </w:r>
      <w:r w:rsidR="00086B1D">
        <w:t xml:space="preserve"> spends</w:t>
      </w:r>
      <w:r>
        <w:t xml:space="preserve"> assessing </w:t>
      </w:r>
      <w:r w:rsidR="000C6F10">
        <w:t>these submissions</w:t>
      </w:r>
      <w:r>
        <w:t xml:space="preserve">. </w:t>
      </w:r>
      <w:r w:rsidR="002549FE">
        <w:t>These options were widely supported by stakeholders across different stakeholder groups</w:t>
      </w:r>
      <w:r>
        <w:t xml:space="preserve">. Aligning the HTA pathways and processes to ensure </w:t>
      </w:r>
      <w:r w:rsidR="00086B1D">
        <w:t xml:space="preserve">the HTA system expends </w:t>
      </w:r>
      <w:r>
        <w:t>time and effort where it is needed most will help maintain and improve timely, equitable and comprehensive medicines access.</w:t>
      </w:r>
      <w:r w:rsidR="00453069">
        <w:t xml:space="preserve"> </w:t>
      </w:r>
    </w:p>
    <w:p w14:paraId="6DF23D9B" w14:textId="0B51D770" w:rsidR="009B4E0B" w:rsidRDefault="00944F00" w:rsidP="00A318F7">
      <w:pPr>
        <w:pStyle w:val="Heading3"/>
      </w:pPr>
      <w:bookmarkStart w:id="159" w:name="_Toc164781639"/>
      <w:r>
        <w:t>Objectives of r</w:t>
      </w:r>
      <w:r w:rsidR="009B4E0B" w:rsidRPr="002724B9">
        <w:t>ecommendations</w:t>
      </w:r>
    </w:p>
    <w:p w14:paraId="03DEC1B4" w14:textId="77777777" w:rsidR="00AF1175" w:rsidRPr="00AF1175" w:rsidRDefault="00AF1175" w:rsidP="005B4965">
      <w:r w:rsidRPr="00AF1175">
        <w:t xml:space="preserve">The Recommendations in this chapter are intended to: </w:t>
      </w:r>
    </w:p>
    <w:p w14:paraId="5FA40016" w14:textId="37AC0023" w:rsidR="00AF1175" w:rsidRDefault="00EC002B" w:rsidP="00281153">
      <w:pPr>
        <w:pStyle w:val="ListBullet"/>
        <w:numPr>
          <w:ilvl w:val="0"/>
          <w:numId w:val="64"/>
        </w:numPr>
      </w:pPr>
      <w:r>
        <w:t>r</w:t>
      </w:r>
      <w:r w:rsidR="00AF1175" w:rsidRPr="00AF1175">
        <w:t xml:space="preserve">educe the time and effort that sponsors, the Department, </w:t>
      </w:r>
      <w:r w:rsidR="00CA7FDB">
        <w:t>e</w:t>
      </w:r>
      <w:r w:rsidR="00AF1175" w:rsidRPr="00AF1175">
        <w:t xml:space="preserve">valuators and the PBAC spend on low-risk, simple submissions for therapies with no </w:t>
      </w:r>
      <w:r w:rsidR="00716C33">
        <w:t xml:space="preserve">additional </w:t>
      </w:r>
      <w:r w:rsidR="00AF1175" w:rsidRPr="00AF1175">
        <w:t>therapeutic advantage over existing alternatives</w:t>
      </w:r>
      <w:r w:rsidR="00453069">
        <w:t xml:space="preserve"> </w:t>
      </w:r>
    </w:p>
    <w:p w14:paraId="22290B6D" w14:textId="51CF02B9" w:rsidR="00797F95" w:rsidRDefault="00EC002B" w:rsidP="00281153">
      <w:pPr>
        <w:pStyle w:val="ListBullet"/>
        <w:numPr>
          <w:ilvl w:val="0"/>
          <w:numId w:val="64"/>
        </w:numPr>
      </w:pPr>
      <w:r>
        <w:t>e</w:t>
      </w:r>
      <w:r w:rsidR="00797F95">
        <w:t xml:space="preserve">nsure that the </w:t>
      </w:r>
      <w:r w:rsidR="0097527F">
        <w:t>funding and assessment mechanisms and levels are proportiona</w:t>
      </w:r>
      <w:r>
        <w:t>te</w:t>
      </w:r>
      <w:r w:rsidR="0097527F">
        <w:t xml:space="preserve"> to the </w:t>
      </w:r>
      <w:r w:rsidR="00D36939">
        <w:t>complexity, risk and potential benefit related to the submission</w:t>
      </w:r>
    </w:p>
    <w:p w14:paraId="49B748AD" w14:textId="08BD22B9" w:rsidR="00662820" w:rsidRPr="00AF1175" w:rsidRDefault="00EC002B" w:rsidP="00281153">
      <w:pPr>
        <w:pStyle w:val="ListBullet"/>
        <w:numPr>
          <w:ilvl w:val="0"/>
          <w:numId w:val="64"/>
        </w:numPr>
      </w:pPr>
      <w:r>
        <w:t>r</w:t>
      </w:r>
      <w:r w:rsidR="00205E57">
        <w:t xml:space="preserve">educe the time to access for therapies with </w:t>
      </w:r>
      <w:r w:rsidR="001A6D4D">
        <w:t>HATV</w:t>
      </w:r>
      <w:r>
        <w:t>.</w:t>
      </w:r>
    </w:p>
    <w:p w14:paraId="01674163" w14:textId="3021241C" w:rsidR="00990B7E" w:rsidRDefault="00990B7E" w:rsidP="00A318F7">
      <w:pPr>
        <w:pStyle w:val="Heading3"/>
      </w:pPr>
      <w:r w:rsidRPr="002724B9">
        <w:t>Recommendations</w:t>
      </w:r>
      <w:bookmarkEnd w:id="159"/>
    </w:p>
    <w:p w14:paraId="7144302E" w14:textId="22947384" w:rsidR="00990B7E" w:rsidRPr="002724B9" w:rsidRDefault="00990B7E" w:rsidP="00645D5E">
      <w:pPr>
        <w:pStyle w:val="Recommendation1"/>
      </w:pPr>
      <w:bookmarkStart w:id="160" w:name="_Hlk167301674"/>
      <w:r w:rsidRPr="002724B9">
        <w:t>Streamlined pathway for submissions using cost-</w:t>
      </w:r>
      <w:proofErr w:type="spellStart"/>
      <w:r w:rsidRPr="002724B9">
        <w:t>minimisation</w:t>
      </w:r>
      <w:proofErr w:type="spellEnd"/>
      <w:r w:rsidRPr="002724B9">
        <w:t xml:space="preserve"> analysis </w:t>
      </w:r>
      <w:bookmarkStart w:id="161" w:name="_Hlk164109798"/>
    </w:p>
    <w:bookmarkEnd w:id="160"/>
    <w:bookmarkEnd w:id="161"/>
    <w:p w14:paraId="4E9B8126" w14:textId="3110618E" w:rsidR="005C2B94" w:rsidRPr="009B7634" w:rsidRDefault="00990B7E" w:rsidP="00C07AE2">
      <w:r w:rsidRPr="009B7634">
        <w:t xml:space="preserve">The </w:t>
      </w:r>
      <w:r w:rsidR="005C2B94" w:rsidRPr="009B7634">
        <w:t xml:space="preserve">Review </w:t>
      </w:r>
      <w:r w:rsidR="005C2B94">
        <w:t>recommends</w:t>
      </w:r>
      <w:r w:rsidR="0097707B">
        <w:t>:</w:t>
      </w:r>
    </w:p>
    <w:p w14:paraId="5FF93DE9" w14:textId="7B9D8348" w:rsidR="00990B7E" w:rsidRDefault="00062AC1" w:rsidP="000E35DD">
      <w:pPr>
        <w:numPr>
          <w:ilvl w:val="0"/>
          <w:numId w:val="33"/>
        </w:numPr>
        <w:spacing w:before="120" w:after="0"/>
        <w:rPr>
          <w:rFonts w:cs="Segoe UI"/>
        </w:rPr>
      </w:pPr>
      <w:r>
        <w:rPr>
          <w:rFonts w:cs="Segoe UI"/>
        </w:rPr>
        <w:t>t</w:t>
      </w:r>
      <w:r w:rsidR="00990B7E" w:rsidRPr="006F40B5">
        <w:rPr>
          <w:rFonts w:cs="Segoe UI"/>
        </w:rPr>
        <w:t xml:space="preserve">he </w:t>
      </w:r>
      <w:r w:rsidR="009E5BEF">
        <w:rPr>
          <w:rFonts w:cs="Segoe UI"/>
        </w:rPr>
        <w:t>Australian Government</w:t>
      </w:r>
      <w:r w:rsidR="00990B7E" w:rsidRPr="006F40B5">
        <w:rPr>
          <w:rFonts w:cs="Segoe UI"/>
        </w:rPr>
        <w:t xml:space="preserve">, in consultation with stakeholders, </w:t>
      </w:r>
      <w:r w:rsidR="00990B7E">
        <w:rPr>
          <w:rFonts w:cs="Segoe UI"/>
        </w:rPr>
        <w:t xml:space="preserve">develop and implement </w:t>
      </w:r>
      <w:r w:rsidR="00990B7E" w:rsidRPr="000F0452">
        <w:rPr>
          <w:rFonts w:cs="Segoe UI"/>
        </w:rPr>
        <w:t>a streamlined appraisal pathway for submissions using cost-minimisation analysis</w:t>
      </w:r>
      <w:r w:rsidR="00DF41D3">
        <w:rPr>
          <w:rFonts w:cs="Segoe UI"/>
        </w:rPr>
        <w:t xml:space="preserve">. </w:t>
      </w:r>
      <w:r w:rsidR="00121238">
        <w:rPr>
          <w:rFonts w:cs="Segoe UI"/>
        </w:rPr>
        <w:t>This pathway should include</w:t>
      </w:r>
      <w:r w:rsidR="00990B7E">
        <w:rPr>
          <w:rFonts w:cs="Segoe UI"/>
        </w:rPr>
        <w:t xml:space="preserve">: </w:t>
      </w:r>
    </w:p>
    <w:p w14:paraId="77C8F9EB" w14:textId="64C2657A" w:rsidR="00990B7E" w:rsidRDefault="00ED15E0" w:rsidP="00281153">
      <w:pPr>
        <w:numPr>
          <w:ilvl w:val="1"/>
          <w:numId w:val="33"/>
        </w:numPr>
        <w:spacing w:after="0"/>
        <w:rPr>
          <w:rFonts w:cs="Segoe UI"/>
        </w:rPr>
      </w:pPr>
      <w:r>
        <w:rPr>
          <w:rFonts w:cs="Segoe UI"/>
        </w:rPr>
        <w:t>d</w:t>
      </w:r>
      <w:r w:rsidR="0010720D">
        <w:rPr>
          <w:rFonts w:cs="Segoe UI"/>
        </w:rPr>
        <w:t>evelop</w:t>
      </w:r>
      <w:r w:rsidR="00086B1D">
        <w:rPr>
          <w:rFonts w:cs="Segoe UI"/>
        </w:rPr>
        <w:t>ing</w:t>
      </w:r>
      <w:r w:rsidR="00990B7E" w:rsidRPr="006F40B5">
        <w:rPr>
          <w:rFonts w:cs="Segoe UI"/>
        </w:rPr>
        <w:t xml:space="preserve"> criteria for therapies to be eligible for a streamlined pathway for submissions using cost-minimisation analysis</w:t>
      </w:r>
    </w:p>
    <w:p w14:paraId="7428AA3F" w14:textId="23C3EA55" w:rsidR="00990B7E" w:rsidRPr="00803DFA" w:rsidRDefault="00086B1D" w:rsidP="00967D8E">
      <w:pPr>
        <w:numPr>
          <w:ilvl w:val="1"/>
          <w:numId w:val="33"/>
        </w:numPr>
        <w:spacing w:after="0"/>
        <w:rPr>
          <w:rFonts w:cs="Segoe UI"/>
        </w:rPr>
      </w:pPr>
      <w:r>
        <w:rPr>
          <w:rFonts w:cs="Segoe UI"/>
        </w:rPr>
        <w:t xml:space="preserve">using </w:t>
      </w:r>
      <w:r w:rsidR="00F6668E">
        <w:rPr>
          <w:rFonts w:cs="Segoe UI"/>
        </w:rPr>
        <w:t>a</w:t>
      </w:r>
      <w:r w:rsidR="0081305E">
        <w:rPr>
          <w:rFonts w:cs="Segoe UI"/>
        </w:rPr>
        <w:t xml:space="preserve">n abbreviated evaluation for </w:t>
      </w:r>
      <w:r w:rsidR="00990B7E">
        <w:rPr>
          <w:rFonts w:cs="Segoe UI"/>
        </w:rPr>
        <w:t>s</w:t>
      </w:r>
      <w:r w:rsidR="00990B7E" w:rsidRPr="00803DFA">
        <w:rPr>
          <w:rFonts w:cs="Segoe UI"/>
        </w:rPr>
        <w:t xml:space="preserve">ubmissions for therapies that meet the criteria, </w:t>
      </w:r>
      <w:r w:rsidR="00990B7E">
        <w:rPr>
          <w:rFonts w:cs="Segoe UI"/>
        </w:rPr>
        <w:t>and</w:t>
      </w:r>
      <w:r w:rsidR="00990B7E" w:rsidRPr="00803DFA">
        <w:rPr>
          <w:rFonts w:cs="Segoe UI"/>
        </w:rPr>
        <w:t xml:space="preserve"> fast</w:t>
      </w:r>
      <w:r w:rsidR="00037A9F">
        <w:rPr>
          <w:rFonts w:cs="Segoe UI"/>
        </w:rPr>
        <w:t>-</w:t>
      </w:r>
      <w:r w:rsidR="00990B7E" w:rsidRPr="00803DFA">
        <w:rPr>
          <w:rFonts w:cs="Segoe UI"/>
        </w:rPr>
        <w:t>track</w:t>
      </w:r>
      <w:r>
        <w:rPr>
          <w:rFonts w:cs="Segoe UI"/>
        </w:rPr>
        <w:t>ing</w:t>
      </w:r>
      <w:r w:rsidR="00990B7E" w:rsidRPr="00803DFA">
        <w:rPr>
          <w:rFonts w:cs="Segoe UI"/>
        </w:rPr>
        <w:t xml:space="preserve"> </w:t>
      </w:r>
      <w:r>
        <w:rPr>
          <w:rFonts w:cs="Segoe UI"/>
        </w:rPr>
        <w:t xml:space="preserve">them </w:t>
      </w:r>
      <w:r w:rsidR="00990B7E" w:rsidRPr="00803DFA">
        <w:rPr>
          <w:rFonts w:cs="Segoe UI"/>
        </w:rPr>
        <w:t xml:space="preserve">to the price agreement stage after consideration by the </w:t>
      </w:r>
      <w:r w:rsidR="00E4651B" w:rsidRPr="00E4651B">
        <w:rPr>
          <w:rFonts w:cs="Segoe UI"/>
        </w:rPr>
        <w:t>Pharmaceutical Benefits Advisory Committee (PBAC)</w:t>
      </w:r>
      <w:r w:rsidR="00990B7E" w:rsidRPr="00803DFA">
        <w:rPr>
          <w:rFonts w:cs="Segoe UI"/>
        </w:rPr>
        <w:t>/PBAC Executive (or similar)</w:t>
      </w:r>
    </w:p>
    <w:p w14:paraId="16FA67F1" w14:textId="27B4C7B7" w:rsidR="00AA546D" w:rsidRPr="00AA546D" w:rsidRDefault="00AA546D" w:rsidP="000E35DD">
      <w:pPr>
        <w:numPr>
          <w:ilvl w:val="1"/>
          <w:numId w:val="33"/>
        </w:numPr>
        <w:spacing w:after="0"/>
        <w:rPr>
          <w:rFonts w:cs="Segoe UI"/>
        </w:rPr>
      </w:pPr>
      <w:r>
        <w:rPr>
          <w:rFonts w:cs="Segoe UI"/>
        </w:rPr>
        <w:t>f</w:t>
      </w:r>
      <w:r w:rsidRPr="00824739">
        <w:rPr>
          <w:rFonts w:cs="Segoe UI"/>
        </w:rPr>
        <w:t xml:space="preserve">or submissions that do not meet the developed criteria, </w:t>
      </w:r>
      <w:r w:rsidR="00086B1D">
        <w:rPr>
          <w:rFonts w:cs="Segoe UI"/>
        </w:rPr>
        <w:t xml:space="preserve">granting </w:t>
      </w:r>
      <w:r>
        <w:rPr>
          <w:rFonts w:cs="Segoe UI"/>
        </w:rPr>
        <w:t>the</w:t>
      </w:r>
      <w:r w:rsidRPr="00824739">
        <w:rPr>
          <w:rFonts w:cs="Segoe UI"/>
        </w:rPr>
        <w:t xml:space="preserve"> PBAC </w:t>
      </w:r>
      <w:r w:rsidR="00086B1D">
        <w:rPr>
          <w:rFonts w:cs="Segoe UI"/>
        </w:rPr>
        <w:t>E</w:t>
      </w:r>
      <w:r w:rsidR="00086B1D" w:rsidRPr="00824739">
        <w:rPr>
          <w:rFonts w:cs="Segoe UI"/>
        </w:rPr>
        <w:t>xecutive the</w:t>
      </w:r>
      <w:r w:rsidR="00086B1D">
        <w:rPr>
          <w:rFonts w:cs="Segoe UI"/>
        </w:rPr>
        <w:t xml:space="preserve"> ability </w:t>
      </w:r>
      <w:r>
        <w:rPr>
          <w:rFonts w:cs="Segoe UI"/>
        </w:rPr>
        <w:t>to</w:t>
      </w:r>
      <w:r w:rsidRPr="00824739">
        <w:rPr>
          <w:rFonts w:cs="Segoe UI"/>
        </w:rPr>
        <w:t xml:space="preserve"> nominate for the submission to be considered without change by the PBAC</w:t>
      </w:r>
      <w:r>
        <w:rPr>
          <w:rFonts w:cs="Segoe UI"/>
        </w:rPr>
        <w:t xml:space="preserve"> or </w:t>
      </w:r>
      <w:r w:rsidRPr="00824739">
        <w:rPr>
          <w:rFonts w:cs="Segoe UI"/>
        </w:rPr>
        <w:t>in the next cycle</w:t>
      </w:r>
      <w:r w:rsidR="00086B1D">
        <w:rPr>
          <w:rFonts w:cs="Segoe UI"/>
        </w:rPr>
        <w:t>,</w:t>
      </w:r>
      <w:r>
        <w:rPr>
          <w:rFonts w:cs="Segoe UI"/>
        </w:rPr>
        <w:t xml:space="preserve"> to </w:t>
      </w:r>
      <w:r w:rsidRPr="00824739">
        <w:rPr>
          <w:rFonts w:cs="Segoe UI"/>
        </w:rPr>
        <w:t>allow the sponsor time to address issues raised, noting the sponsor would have the discretion to withdraw their submission</w:t>
      </w:r>
      <w:r w:rsidR="00967D8E">
        <w:rPr>
          <w:rFonts w:cs="Segoe UI"/>
        </w:rPr>
        <w:t>.</w:t>
      </w:r>
    </w:p>
    <w:p w14:paraId="57183915" w14:textId="10BBF122" w:rsidR="00990B7E" w:rsidRPr="00824739" w:rsidRDefault="00086B1D" w:rsidP="000E35DD">
      <w:pPr>
        <w:numPr>
          <w:ilvl w:val="0"/>
          <w:numId w:val="33"/>
        </w:numPr>
        <w:rPr>
          <w:rFonts w:cs="Segoe UI"/>
        </w:rPr>
      </w:pPr>
      <w:r>
        <w:rPr>
          <w:rFonts w:cs="Segoe UI"/>
        </w:rPr>
        <w:lastRenderedPageBreak/>
        <w:t>i</w:t>
      </w:r>
      <w:r w:rsidR="00990B7E" w:rsidRPr="00824739">
        <w:rPr>
          <w:rFonts w:cs="Segoe UI"/>
        </w:rPr>
        <w:t xml:space="preserve">ndustry </w:t>
      </w:r>
      <w:r w:rsidR="00BA0BF2">
        <w:rPr>
          <w:rFonts w:cs="Segoe UI"/>
        </w:rPr>
        <w:t>examine</w:t>
      </w:r>
      <w:r>
        <w:rPr>
          <w:rFonts w:cs="Segoe UI"/>
        </w:rPr>
        <w:t>s</w:t>
      </w:r>
      <w:r w:rsidR="00BA0BF2">
        <w:rPr>
          <w:rFonts w:cs="Segoe UI"/>
        </w:rPr>
        <w:t xml:space="preserve"> the feasibility</w:t>
      </w:r>
      <w:r w:rsidR="00990B7E" w:rsidRPr="00824739">
        <w:rPr>
          <w:rFonts w:cs="Segoe UI"/>
        </w:rPr>
        <w:t xml:space="preserve"> and </w:t>
      </w:r>
      <w:r w:rsidR="00BA0BF2">
        <w:rPr>
          <w:rFonts w:cs="Segoe UI"/>
        </w:rPr>
        <w:t>constrain</w:t>
      </w:r>
      <w:r w:rsidR="008D1449">
        <w:rPr>
          <w:rFonts w:cs="Segoe UI"/>
        </w:rPr>
        <w:t>ts</w:t>
      </w:r>
      <w:r w:rsidR="00990B7E" w:rsidRPr="00824739">
        <w:rPr>
          <w:rFonts w:cs="Segoe UI"/>
        </w:rPr>
        <w:t xml:space="preserve">, in consultation with relevant stakeholders, </w:t>
      </w:r>
      <w:r w:rsidR="00A966F1">
        <w:rPr>
          <w:rFonts w:cs="Segoe UI"/>
        </w:rPr>
        <w:t>of sharing</w:t>
      </w:r>
      <w:r w:rsidR="00990B7E" w:rsidRPr="00824739">
        <w:rPr>
          <w:rFonts w:cs="Segoe UI"/>
        </w:rPr>
        <w:t xml:space="preserve"> information </w:t>
      </w:r>
      <w:r w:rsidR="00A6110D">
        <w:rPr>
          <w:rFonts w:cs="Segoe UI"/>
        </w:rPr>
        <w:t>about</w:t>
      </w:r>
      <w:r w:rsidR="00990B7E" w:rsidRPr="00824739">
        <w:rPr>
          <w:rFonts w:cs="Segoe UI"/>
        </w:rPr>
        <w:t xml:space="preserve"> the </w:t>
      </w:r>
      <w:r w:rsidR="00990B7E">
        <w:rPr>
          <w:rFonts w:cs="Segoe UI"/>
        </w:rPr>
        <w:t xml:space="preserve">effective </w:t>
      </w:r>
      <w:r w:rsidR="00990B7E" w:rsidRPr="00824739">
        <w:rPr>
          <w:rFonts w:cs="Segoe UI"/>
        </w:rPr>
        <w:t>price of the comparator</w:t>
      </w:r>
      <w:r w:rsidR="001D55B6">
        <w:rPr>
          <w:rFonts w:cs="Segoe UI"/>
        </w:rPr>
        <w:t xml:space="preserve"> for</w:t>
      </w:r>
      <w:r w:rsidR="00990B7E" w:rsidRPr="00824739">
        <w:rPr>
          <w:rFonts w:cs="Segoe UI"/>
        </w:rPr>
        <w:t xml:space="preserve"> cost</w:t>
      </w:r>
      <w:r w:rsidR="00037A9F">
        <w:rPr>
          <w:rFonts w:cs="Segoe UI"/>
        </w:rPr>
        <w:t>-</w:t>
      </w:r>
      <w:r w:rsidR="001D55B6">
        <w:rPr>
          <w:rFonts w:cs="Segoe UI"/>
        </w:rPr>
        <w:t>minimisation submissions</w:t>
      </w:r>
      <w:r w:rsidR="00B31D09">
        <w:rPr>
          <w:rFonts w:cs="Segoe UI"/>
        </w:rPr>
        <w:t xml:space="preserve"> </w:t>
      </w:r>
      <w:r w:rsidR="00990B7E" w:rsidRPr="00824739">
        <w:rPr>
          <w:rFonts w:cs="Segoe UI"/>
        </w:rPr>
        <w:t xml:space="preserve">with the </w:t>
      </w:r>
      <w:r w:rsidR="004C388C">
        <w:rPr>
          <w:rFonts w:cs="Segoe UI"/>
        </w:rPr>
        <w:t xml:space="preserve">applicant </w:t>
      </w:r>
      <w:r w:rsidR="00990B7E" w:rsidRPr="00824739">
        <w:rPr>
          <w:rFonts w:cs="Segoe UI"/>
        </w:rPr>
        <w:t xml:space="preserve">sponsor </w:t>
      </w:r>
      <w:r>
        <w:rPr>
          <w:rFonts w:cs="Segoe UI"/>
        </w:rPr>
        <w:t>before</w:t>
      </w:r>
      <w:r w:rsidR="00E1511D">
        <w:rPr>
          <w:rFonts w:cs="Segoe UI"/>
        </w:rPr>
        <w:t xml:space="preserve"> the</w:t>
      </w:r>
      <w:r w:rsidR="00990B7E" w:rsidRPr="00824739">
        <w:rPr>
          <w:rFonts w:cs="Segoe UI"/>
        </w:rPr>
        <w:t xml:space="preserve"> </w:t>
      </w:r>
      <w:r w:rsidR="00E4651B" w:rsidRPr="00E4651B">
        <w:rPr>
          <w:rFonts w:cs="Segoe UI"/>
        </w:rPr>
        <w:t>HTA</w:t>
      </w:r>
      <w:r w:rsidR="00E4651B">
        <w:rPr>
          <w:rFonts w:cs="Segoe UI"/>
        </w:rPr>
        <w:t xml:space="preserve"> </w:t>
      </w:r>
      <w:r w:rsidR="00C16518">
        <w:rPr>
          <w:rFonts w:cs="Segoe UI"/>
        </w:rPr>
        <w:t xml:space="preserve">advisory </w:t>
      </w:r>
      <w:r w:rsidR="00990B7E" w:rsidRPr="00824739">
        <w:rPr>
          <w:rFonts w:cs="Segoe UI"/>
        </w:rPr>
        <w:t>committee consider</w:t>
      </w:r>
      <w:r>
        <w:rPr>
          <w:rFonts w:cs="Segoe UI"/>
        </w:rPr>
        <w:t>s it</w:t>
      </w:r>
      <w:r w:rsidR="00990B7E" w:rsidRPr="00824739">
        <w:rPr>
          <w:rFonts w:cs="Segoe UI"/>
        </w:rPr>
        <w:t xml:space="preserve">. </w:t>
      </w:r>
    </w:p>
    <w:p w14:paraId="2E304F5D" w14:textId="4ACF1155" w:rsidR="00CF0968" w:rsidRPr="005E5E5F" w:rsidRDefault="00AE04DC" w:rsidP="00645D5E">
      <w:pPr>
        <w:pStyle w:val="Recommendation1"/>
      </w:pPr>
      <w:bookmarkStart w:id="162" w:name="_Ref166787239"/>
      <w:bookmarkStart w:id="163" w:name="_Hlk167301687"/>
      <w:r>
        <w:t xml:space="preserve">Improve </w:t>
      </w:r>
      <w:r w:rsidR="00E80FBC">
        <w:t xml:space="preserve">the </w:t>
      </w:r>
      <w:r w:rsidR="00E32D8F">
        <w:t>pathways and processes</w:t>
      </w:r>
      <w:r w:rsidR="00E80FBC">
        <w:t xml:space="preserve"> </w:t>
      </w:r>
      <w:r w:rsidR="00135A3F">
        <w:t xml:space="preserve">for </w:t>
      </w:r>
      <w:r w:rsidR="003117B0">
        <w:t>listing t</w:t>
      </w:r>
      <w:r w:rsidR="00990B7E" w:rsidRPr="005E5E5F">
        <w:t xml:space="preserve">herapies with high added therapeutic value in areas of unmet clinical need </w:t>
      </w:r>
      <w:r w:rsidR="003117B0">
        <w:t>on the</w:t>
      </w:r>
      <w:r w:rsidR="00990B7E" w:rsidRPr="005E5E5F">
        <w:t xml:space="preserve"> P</w:t>
      </w:r>
      <w:r w:rsidR="00CD465F">
        <w:t xml:space="preserve">harmaceutical </w:t>
      </w:r>
      <w:r w:rsidR="00990B7E" w:rsidRPr="005E5E5F">
        <w:t>B</w:t>
      </w:r>
      <w:r w:rsidR="00CD465F">
        <w:t xml:space="preserve">enefits </w:t>
      </w:r>
      <w:r w:rsidR="00990B7E" w:rsidRPr="005E5E5F">
        <w:t>S</w:t>
      </w:r>
      <w:r w:rsidR="00CD465F">
        <w:t>cheme</w:t>
      </w:r>
      <w:bookmarkEnd w:id="162"/>
    </w:p>
    <w:bookmarkEnd w:id="163"/>
    <w:p w14:paraId="625DEDAC" w14:textId="77777777" w:rsidR="00317479" w:rsidRDefault="00D4619D" w:rsidP="00C44E40">
      <w:pPr>
        <w:spacing w:before="120"/>
        <w:rPr>
          <w:rFonts w:cs="Segoe UI"/>
        </w:rPr>
      </w:pPr>
      <w:r>
        <w:rPr>
          <w:rFonts w:cs="Segoe UI"/>
        </w:rPr>
        <w:t>The Review recommends</w:t>
      </w:r>
      <w:r w:rsidR="00317479">
        <w:rPr>
          <w:rFonts w:cs="Segoe UI"/>
        </w:rPr>
        <w:t>:</w:t>
      </w:r>
      <w:r>
        <w:rPr>
          <w:rFonts w:cs="Segoe UI"/>
        </w:rPr>
        <w:t xml:space="preserve"> </w:t>
      </w:r>
    </w:p>
    <w:p w14:paraId="2393E333" w14:textId="506D7F5E" w:rsidR="00990B7E" w:rsidRPr="00824739" w:rsidRDefault="00D4619D" w:rsidP="00195BDA">
      <w:pPr>
        <w:numPr>
          <w:ilvl w:val="0"/>
          <w:numId w:val="37"/>
        </w:numPr>
        <w:spacing w:before="120" w:after="0"/>
        <w:rPr>
          <w:rFonts w:cs="Segoe UI"/>
        </w:rPr>
      </w:pPr>
      <w:r>
        <w:rPr>
          <w:rFonts w:cs="Segoe UI"/>
        </w:rPr>
        <w:t>the Australian</w:t>
      </w:r>
      <w:r w:rsidR="00990B7E">
        <w:rPr>
          <w:rFonts w:cs="Segoe UI"/>
        </w:rPr>
        <w:t xml:space="preserve"> Government, in consultation with stakeholders, </w:t>
      </w:r>
      <w:r w:rsidR="00F51A7D">
        <w:rPr>
          <w:rFonts w:cs="Segoe UI"/>
        </w:rPr>
        <w:t>enhance</w:t>
      </w:r>
      <w:r w:rsidR="00990B7E" w:rsidRPr="00824739">
        <w:rPr>
          <w:rFonts w:cs="Segoe UI"/>
        </w:rPr>
        <w:t xml:space="preserve"> or replace the early resolution and</w:t>
      </w:r>
      <w:r w:rsidR="005E5E5F">
        <w:rPr>
          <w:rFonts w:cs="Segoe UI"/>
        </w:rPr>
        <w:t>/</w:t>
      </w:r>
      <w:r w:rsidR="00990B7E" w:rsidRPr="00824739">
        <w:rPr>
          <w:rFonts w:cs="Segoe UI"/>
        </w:rPr>
        <w:t xml:space="preserve">or facilitated resolution pathway </w:t>
      </w:r>
      <w:r w:rsidR="00990B7E">
        <w:rPr>
          <w:rFonts w:cs="Segoe UI"/>
        </w:rPr>
        <w:t>with</w:t>
      </w:r>
      <w:r w:rsidR="00990B7E" w:rsidRPr="00824739">
        <w:rPr>
          <w:rFonts w:cs="Segoe UI"/>
        </w:rPr>
        <w:t xml:space="preserve"> a more flexible pathway. The new pathway should support sponsors of therapies with </w:t>
      </w:r>
      <w:r w:rsidR="008C6685">
        <w:rPr>
          <w:rFonts w:cs="Segoe UI"/>
        </w:rPr>
        <w:t>high added therapeutic value</w:t>
      </w:r>
      <w:r w:rsidR="008C6685" w:rsidRPr="00824739" w:rsidDel="00CD465F">
        <w:rPr>
          <w:rFonts w:cs="Segoe UI"/>
        </w:rPr>
        <w:t xml:space="preserve"> </w:t>
      </w:r>
      <w:r w:rsidR="008C6685">
        <w:rPr>
          <w:rFonts w:cs="Segoe UI"/>
        </w:rPr>
        <w:t>in areas of</w:t>
      </w:r>
      <w:r w:rsidR="00990B7E">
        <w:rPr>
          <w:rFonts w:cs="Segoe UI"/>
        </w:rPr>
        <w:t xml:space="preserve"> </w:t>
      </w:r>
      <w:r w:rsidR="008C6685">
        <w:rPr>
          <w:rFonts w:cs="Segoe UI"/>
        </w:rPr>
        <w:t>high unmet clinical</w:t>
      </w:r>
      <w:r w:rsidR="0089085A">
        <w:rPr>
          <w:rFonts w:cs="Segoe UI"/>
        </w:rPr>
        <w:t xml:space="preserve"> (HUCN)</w:t>
      </w:r>
      <w:r w:rsidR="008C6685">
        <w:rPr>
          <w:rFonts w:cs="Segoe UI"/>
        </w:rPr>
        <w:t xml:space="preserve"> need</w:t>
      </w:r>
      <w:r w:rsidR="00990B7E">
        <w:rPr>
          <w:rFonts w:cs="Segoe UI"/>
        </w:rPr>
        <w:t xml:space="preserve"> </w:t>
      </w:r>
      <w:r w:rsidR="00990B7E" w:rsidRPr="00824739">
        <w:rPr>
          <w:rFonts w:cs="Segoe UI"/>
        </w:rPr>
        <w:t>to improve the quality of their resubmission</w:t>
      </w:r>
      <w:r w:rsidR="00E1511D">
        <w:rPr>
          <w:rFonts w:cs="Segoe UI"/>
        </w:rPr>
        <w:t>s</w:t>
      </w:r>
      <w:r w:rsidR="005E5E5F">
        <w:rPr>
          <w:rFonts w:cs="Segoe UI"/>
        </w:rPr>
        <w:t>.</w:t>
      </w:r>
      <w:r w:rsidR="00990B7E" w:rsidRPr="00824739">
        <w:rPr>
          <w:rFonts w:cs="Segoe UI"/>
        </w:rPr>
        <w:t xml:space="preserve"> </w:t>
      </w:r>
      <w:r w:rsidR="005E5E5F">
        <w:rPr>
          <w:rFonts w:cs="Segoe UI"/>
        </w:rPr>
        <w:t>The HTA advisory committee</w:t>
      </w:r>
      <w:r w:rsidR="005E5E5F" w:rsidRPr="00824739">
        <w:rPr>
          <w:rFonts w:cs="Segoe UI"/>
        </w:rPr>
        <w:t xml:space="preserve"> </w:t>
      </w:r>
      <w:r w:rsidR="005E5E5F">
        <w:rPr>
          <w:rFonts w:cs="Segoe UI"/>
        </w:rPr>
        <w:t>should also be</w:t>
      </w:r>
      <w:r w:rsidR="00990B7E" w:rsidRPr="00824739" w:rsidDel="005E5E5F">
        <w:rPr>
          <w:rFonts w:cs="Segoe UI"/>
        </w:rPr>
        <w:t xml:space="preserve"> </w:t>
      </w:r>
      <w:r w:rsidR="00990B7E" w:rsidRPr="00824739">
        <w:rPr>
          <w:rFonts w:cs="Segoe UI"/>
        </w:rPr>
        <w:t>give</w:t>
      </w:r>
      <w:r w:rsidR="005E5E5F">
        <w:rPr>
          <w:rFonts w:cs="Segoe UI"/>
        </w:rPr>
        <w:t>n</w:t>
      </w:r>
      <w:r w:rsidR="00990B7E" w:rsidRPr="00824739">
        <w:rPr>
          <w:rFonts w:cs="Segoe UI"/>
        </w:rPr>
        <w:t xml:space="preserve"> more time </w:t>
      </w:r>
      <w:r w:rsidR="005E5E5F">
        <w:rPr>
          <w:rFonts w:cs="Segoe UI"/>
        </w:rPr>
        <w:t>to consider</w:t>
      </w:r>
      <w:r w:rsidR="00990B7E" w:rsidRPr="00824739">
        <w:rPr>
          <w:rFonts w:cs="Segoe UI"/>
        </w:rPr>
        <w:t xml:space="preserve"> submission</w:t>
      </w:r>
      <w:r w:rsidR="005E5E5F">
        <w:rPr>
          <w:rFonts w:cs="Segoe UI"/>
        </w:rPr>
        <w:t>s</w:t>
      </w:r>
      <w:r w:rsidR="00990B7E" w:rsidRPr="00824739">
        <w:rPr>
          <w:rFonts w:cs="Segoe UI"/>
        </w:rPr>
        <w:t xml:space="preserve">. This pathway should be proportionate, </w:t>
      </w:r>
      <w:r w:rsidR="0003112F">
        <w:rPr>
          <w:rFonts w:cs="Segoe UI"/>
        </w:rPr>
        <w:t>and</w:t>
      </w:r>
      <w:r w:rsidR="00990B7E" w:rsidRPr="00824739">
        <w:rPr>
          <w:rFonts w:cs="Segoe UI"/>
        </w:rPr>
        <w:t xml:space="preserve"> the level of facilitation </w:t>
      </w:r>
      <w:r w:rsidR="00D13961">
        <w:rPr>
          <w:rFonts w:cs="Segoe UI"/>
        </w:rPr>
        <w:t xml:space="preserve">should be </w:t>
      </w:r>
      <w:r w:rsidR="00990B7E" w:rsidRPr="00824739">
        <w:rPr>
          <w:rFonts w:cs="Segoe UI"/>
        </w:rPr>
        <w:t xml:space="preserve">commensurate </w:t>
      </w:r>
      <w:r w:rsidR="00862B10">
        <w:rPr>
          <w:rFonts w:cs="Segoe UI"/>
        </w:rPr>
        <w:t>with</w:t>
      </w:r>
      <w:r w:rsidR="00990B7E" w:rsidRPr="00824739">
        <w:rPr>
          <w:rFonts w:cs="Segoe UI"/>
        </w:rPr>
        <w:t xml:space="preserve"> the level of complexity and added therapeutic value of the submission. </w:t>
      </w:r>
      <w:r w:rsidR="00020571">
        <w:rPr>
          <w:rFonts w:cs="Segoe UI"/>
        </w:rPr>
        <w:t>Enhancements should</w:t>
      </w:r>
      <w:r w:rsidR="00990B7E" w:rsidRPr="00824739">
        <w:rPr>
          <w:rFonts w:cs="Segoe UI"/>
        </w:rPr>
        <w:t xml:space="preserve"> include: </w:t>
      </w:r>
    </w:p>
    <w:p w14:paraId="7B7FE52E" w14:textId="13BC1C6E" w:rsidR="00990B7E" w:rsidRPr="00824739" w:rsidRDefault="00020571" w:rsidP="00281153">
      <w:pPr>
        <w:numPr>
          <w:ilvl w:val="1"/>
          <w:numId w:val="37"/>
        </w:numPr>
        <w:spacing w:after="0"/>
        <w:ind w:left="1440"/>
        <w:rPr>
          <w:rFonts w:cs="Segoe UI"/>
        </w:rPr>
      </w:pPr>
      <w:r>
        <w:rPr>
          <w:rFonts w:cs="Segoe UI"/>
        </w:rPr>
        <w:t>g</w:t>
      </w:r>
      <w:r w:rsidR="00990B7E" w:rsidRPr="00824739">
        <w:rPr>
          <w:rFonts w:cs="Segoe UI"/>
        </w:rPr>
        <w:t xml:space="preserve">reater flexibility </w:t>
      </w:r>
      <w:r w:rsidR="00E1511D">
        <w:rPr>
          <w:rFonts w:cs="Segoe UI"/>
        </w:rPr>
        <w:t>in</w:t>
      </w:r>
      <w:r w:rsidR="00E1511D" w:rsidRPr="00824739">
        <w:rPr>
          <w:rFonts w:cs="Segoe UI"/>
        </w:rPr>
        <w:t xml:space="preserve"> </w:t>
      </w:r>
      <w:r w:rsidR="00990B7E" w:rsidRPr="00824739">
        <w:rPr>
          <w:rFonts w:cs="Segoe UI"/>
        </w:rPr>
        <w:t>the</w:t>
      </w:r>
      <w:r w:rsidR="00BE070A">
        <w:rPr>
          <w:rFonts w:cs="Segoe UI"/>
        </w:rPr>
        <w:t xml:space="preserve"> amount of</w:t>
      </w:r>
      <w:r w:rsidR="00990B7E" w:rsidRPr="00824739">
        <w:rPr>
          <w:rFonts w:cs="Segoe UI"/>
        </w:rPr>
        <w:t xml:space="preserve"> time for resubmission tha</w:t>
      </w:r>
      <w:r w:rsidR="00990B7E">
        <w:rPr>
          <w:rFonts w:cs="Segoe UI"/>
        </w:rPr>
        <w:t>n</w:t>
      </w:r>
      <w:r w:rsidR="00990B7E" w:rsidRPr="00824739">
        <w:rPr>
          <w:rFonts w:cs="Segoe UI"/>
        </w:rPr>
        <w:t xml:space="preserve"> the current</w:t>
      </w:r>
      <w:r w:rsidR="00E1511D">
        <w:rPr>
          <w:rFonts w:cs="Segoe UI"/>
        </w:rPr>
        <w:t xml:space="preserve"> </w:t>
      </w:r>
      <w:r w:rsidR="00BE070A">
        <w:rPr>
          <w:rFonts w:cs="Segoe UI"/>
        </w:rPr>
        <w:t xml:space="preserve">maximum of 19 weeks </w:t>
      </w:r>
      <w:r w:rsidR="00E1511D">
        <w:rPr>
          <w:rFonts w:cs="Segoe UI"/>
        </w:rPr>
        <w:t>for the</w:t>
      </w:r>
      <w:r w:rsidR="00990B7E" w:rsidRPr="00824739">
        <w:rPr>
          <w:rFonts w:cs="Segoe UI"/>
        </w:rPr>
        <w:t xml:space="preserve"> facilitated and</w:t>
      </w:r>
      <w:r w:rsidR="00E1511D">
        <w:rPr>
          <w:rFonts w:cs="Segoe UI"/>
        </w:rPr>
        <w:t>/or</w:t>
      </w:r>
      <w:r w:rsidR="00990B7E" w:rsidRPr="00824739">
        <w:rPr>
          <w:rFonts w:cs="Segoe UI"/>
        </w:rPr>
        <w:t xml:space="preserve"> early resolution pathways, </w:t>
      </w:r>
      <w:r w:rsidR="00E1511D">
        <w:rPr>
          <w:rFonts w:cs="Segoe UI"/>
        </w:rPr>
        <w:t xml:space="preserve">with the </w:t>
      </w:r>
      <w:r w:rsidR="00BE070A">
        <w:rPr>
          <w:rFonts w:cs="Segoe UI"/>
        </w:rPr>
        <w:t xml:space="preserve">amount of </w:t>
      </w:r>
      <w:r w:rsidR="00E1511D">
        <w:rPr>
          <w:rFonts w:cs="Segoe UI"/>
        </w:rPr>
        <w:t>time</w:t>
      </w:r>
      <w:r w:rsidR="00990B7E" w:rsidRPr="00824739" w:rsidDel="00E1511D">
        <w:rPr>
          <w:rFonts w:cs="Segoe UI"/>
        </w:rPr>
        <w:t xml:space="preserve"> </w:t>
      </w:r>
      <w:r w:rsidR="00990B7E" w:rsidRPr="00824739">
        <w:rPr>
          <w:rFonts w:cs="Segoe UI"/>
        </w:rPr>
        <w:t xml:space="preserve">determined by the HTA </w:t>
      </w:r>
      <w:r w:rsidR="00C16518">
        <w:rPr>
          <w:rFonts w:cs="Segoe UI"/>
        </w:rPr>
        <w:t xml:space="preserve">advisory </w:t>
      </w:r>
      <w:r w:rsidR="00990B7E" w:rsidRPr="00824739">
        <w:rPr>
          <w:rFonts w:cs="Segoe UI"/>
        </w:rPr>
        <w:t>committee</w:t>
      </w:r>
    </w:p>
    <w:p w14:paraId="748804C0" w14:textId="71B5B962" w:rsidR="00990B7E" w:rsidRPr="00824739" w:rsidRDefault="004072B5" w:rsidP="00281153">
      <w:pPr>
        <w:numPr>
          <w:ilvl w:val="1"/>
          <w:numId w:val="37"/>
        </w:numPr>
        <w:spacing w:after="0"/>
        <w:ind w:left="1440"/>
        <w:rPr>
          <w:rFonts w:cs="Segoe UI"/>
        </w:rPr>
      </w:pPr>
      <w:r>
        <w:rPr>
          <w:rFonts w:cs="Segoe UI"/>
        </w:rPr>
        <w:t>a</w:t>
      </w:r>
      <w:r w:rsidR="00990B7E" w:rsidRPr="00824739">
        <w:rPr>
          <w:rFonts w:cs="Segoe UI"/>
        </w:rPr>
        <w:t xml:space="preserve"> resubmission timeline, where needed, </w:t>
      </w:r>
      <w:r>
        <w:rPr>
          <w:rFonts w:cs="Segoe UI"/>
        </w:rPr>
        <w:t xml:space="preserve">to </w:t>
      </w:r>
      <w:r w:rsidR="00990B7E" w:rsidRPr="00824739">
        <w:rPr>
          <w:rFonts w:cs="Segoe UI"/>
        </w:rPr>
        <w:t>allow time for the Department</w:t>
      </w:r>
      <w:r w:rsidR="001B43AE">
        <w:rPr>
          <w:rFonts w:cs="Segoe UI"/>
        </w:rPr>
        <w:t xml:space="preserve"> of Health and Aged Care</w:t>
      </w:r>
      <w:r w:rsidR="00990B7E" w:rsidRPr="00824739">
        <w:rPr>
          <w:rFonts w:cs="Segoe UI"/>
        </w:rPr>
        <w:t xml:space="preserve"> to: </w:t>
      </w:r>
    </w:p>
    <w:p w14:paraId="212B4173" w14:textId="7D67A187" w:rsidR="00990B7E" w:rsidRPr="00824739" w:rsidRDefault="00990B7E" w:rsidP="00281153">
      <w:pPr>
        <w:numPr>
          <w:ilvl w:val="2"/>
          <w:numId w:val="37"/>
        </w:numPr>
        <w:spacing w:after="0"/>
        <w:ind w:left="1554"/>
        <w:rPr>
          <w:rFonts w:cs="Segoe UI"/>
        </w:rPr>
      </w:pPr>
      <w:r w:rsidRPr="00824739">
        <w:rPr>
          <w:rFonts w:cs="Segoe UI"/>
        </w:rPr>
        <w:t xml:space="preserve">review the information in the resubmission to determine if and how the issues raised by the </w:t>
      </w:r>
      <w:r w:rsidR="00367FC2">
        <w:rPr>
          <w:rFonts w:cs="Segoe UI"/>
        </w:rPr>
        <w:t>Pharmaceutical Benefits Advisory Committee (</w:t>
      </w:r>
      <w:r w:rsidRPr="00824739">
        <w:rPr>
          <w:rFonts w:cs="Segoe UI"/>
        </w:rPr>
        <w:t>PBAC</w:t>
      </w:r>
      <w:r w:rsidR="00367FC2">
        <w:rPr>
          <w:rFonts w:cs="Segoe UI"/>
        </w:rPr>
        <w:t>)</w:t>
      </w:r>
      <w:r w:rsidRPr="00824739">
        <w:rPr>
          <w:rFonts w:cs="Segoe UI"/>
        </w:rPr>
        <w:t xml:space="preserve"> have been addressed</w:t>
      </w:r>
    </w:p>
    <w:p w14:paraId="137A8A75" w14:textId="318B1C43" w:rsidR="00990B7E" w:rsidRPr="00824739" w:rsidRDefault="00990B7E" w:rsidP="00281153">
      <w:pPr>
        <w:numPr>
          <w:ilvl w:val="2"/>
          <w:numId w:val="37"/>
        </w:numPr>
        <w:spacing w:after="0"/>
        <w:rPr>
          <w:rFonts w:cs="Segoe UI"/>
        </w:rPr>
      </w:pPr>
      <w:r w:rsidRPr="00824739">
        <w:rPr>
          <w:rFonts w:cs="Segoe UI"/>
        </w:rPr>
        <w:t xml:space="preserve">clarify outstanding issues with the </w:t>
      </w:r>
      <w:r w:rsidR="00BE070A">
        <w:rPr>
          <w:rFonts w:cs="Segoe UI"/>
        </w:rPr>
        <w:t>s</w:t>
      </w:r>
      <w:r w:rsidRPr="00824739">
        <w:rPr>
          <w:rFonts w:cs="Segoe UI"/>
        </w:rPr>
        <w:t xml:space="preserve">ponsor, including </w:t>
      </w:r>
      <w:r w:rsidR="00BE070A">
        <w:rPr>
          <w:rFonts w:cs="Segoe UI"/>
        </w:rPr>
        <w:t>whether</w:t>
      </w:r>
      <w:r w:rsidRPr="00824739">
        <w:rPr>
          <w:rFonts w:cs="Segoe UI"/>
        </w:rPr>
        <w:t xml:space="preserve"> the </w:t>
      </w:r>
      <w:r w:rsidR="0009197E" w:rsidRPr="0009197E">
        <w:rPr>
          <w:rFonts w:cs="Segoe UI"/>
        </w:rPr>
        <w:t>PBAC</w:t>
      </w:r>
      <w:r w:rsidR="0009197E">
        <w:rPr>
          <w:rFonts w:cs="Segoe UI"/>
        </w:rPr>
        <w:t xml:space="preserve"> </w:t>
      </w:r>
      <w:r w:rsidRPr="00824739">
        <w:rPr>
          <w:rFonts w:cs="Segoe UI"/>
        </w:rPr>
        <w:t>advice has been adequately addressed</w:t>
      </w:r>
    </w:p>
    <w:p w14:paraId="5F1E6E63" w14:textId="14B97827" w:rsidR="00990B7E" w:rsidRPr="00824739" w:rsidRDefault="00990B7E" w:rsidP="00281153">
      <w:pPr>
        <w:numPr>
          <w:ilvl w:val="2"/>
          <w:numId w:val="37"/>
        </w:numPr>
        <w:spacing w:after="0"/>
        <w:rPr>
          <w:rFonts w:cs="Segoe UI"/>
        </w:rPr>
      </w:pPr>
      <w:r w:rsidRPr="00824739">
        <w:rPr>
          <w:rFonts w:cs="Segoe UI"/>
        </w:rPr>
        <w:t>support the PBAC if</w:t>
      </w:r>
      <w:r w:rsidR="00BE070A">
        <w:rPr>
          <w:rFonts w:cs="Segoe UI"/>
        </w:rPr>
        <w:t xml:space="preserve"> it has</w:t>
      </w:r>
      <w:r w:rsidRPr="00824739" w:rsidDel="00BE070A">
        <w:rPr>
          <w:rFonts w:cs="Segoe UI"/>
        </w:rPr>
        <w:t xml:space="preserve"> </w:t>
      </w:r>
      <w:r w:rsidRPr="00824739">
        <w:rPr>
          <w:rFonts w:cs="Segoe UI"/>
        </w:rPr>
        <w:t xml:space="preserve">questions or </w:t>
      </w:r>
      <w:r w:rsidR="00BE070A">
        <w:rPr>
          <w:rFonts w:cs="Segoe UI"/>
        </w:rPr>
        <w:t xml:space="preserve">requires </w:t>
      </w:r>
      <w:r w:rsidRPr="00824739">
        <w:rPr>
          <w:rFonts w:cs="Segoe UI"/>
        </w:rPr>
        <w:t xml:space="preserve">additional </w:t>
      </w:r>
      <w:r w:rsidRPr="7589E48D">
        <w:rPr>
          <w:rFonts w:cs="Segoe UI"/>
        </w:rPr>
        <w:t>information</w:t>
      </w:r>
      <w:r w:rsidRPr="00824739">
        <w:rPr>
          <w:rFonts w:cs="Segoe UI"/>
        </w:rPr>
        <w:t>.</w:t>
      </w:r>
    </w:p>
    <w:p w14:paraId="2D7DBB89" w14:textId="078F0A29" w:rsidR="00990B7E" w:rsidRPr="00824739" w:rsidRDefault="004072B5" w:rsidP="00281153">
      <w:pPr>
        <w:numPr>
          <w:ilvl w:val="1"/>
          <w:numId w:val="37"/>
        </w:numPr>
        <w:spacing w:after="0"/>
        <w:ind w:left="1440"/>
        <w:rPr>
          <w:rFonts w:cs="Segoe UI"/>
        </w:rPr>
      </w:pPr>
      <w:r>
        <w:rPr>
          <w:rFonts w:cs="Segoe UI"/>
        </w:rPr>
        <w:t>facilitat</w:t>
      </w:r>
      <w:r w:rsidR="008149B6">
        <w:rPr>
          <w:rFonts w:cs="Segoe UI"/>
        </w:rPr>
        <w:t>e</w:t>
      </w:r>
      <w:r>
        <w:rPr>
          <w:rFonts w:cs="Segoe UI"/>
        </w:rPr>
        <w:t xml:space="preserve"> these tasks </w:t>
      </w:r>
      <w:r w:rsidR="00990B7E" w:rsidRPr="00824739">
        <w:rPr>
          <w:rFonts w:cs="Segoe UI"/>
        </w:rPr>
        <w:t>by:</w:t>
      </w:r>
    </w:p>
    <w:p w14:paraId="4B903C01" w14:textId="10C84824" w:rsidR="00990B7E" w:rsidRPr="00824739" w:rsidRDefault="00966E0C" w:rsidP="00281153">
      <w:pPr>
        <w:numPr>
          <w:ilvl w:val="2"/>
          <w:numId w:val="37"/>
        </w:numPr>
        <w:spacing w:after="0"/>
        <w:rPr>
          <w:rFonts w:cs="Segoe UI"/>
        </w:rPr>
      </w:pPr>
      <w:r>
        <w:rPr>
          <w:rFonts w:cs="Segoe UI"/>
        </w:rPr>
        <w:t>a</w:t>
      </w:r>
      <w:r w:rsidR="00990B7E" w:rsidRPr="00824739">
        <w:rPr>
          <w:rFonts w:cs="Segoe UI"/>
        </w:rPr>
        <w:t>ssigning a case manager for the application</w:t>
      </w:r>
    </w:p>
    <w:p w14:paraId="775AC5E8" w14:textId="618DDEED" w:rsidR="00990B7E" w:rsidRPr="00897CB5" w:rsidRDefault="00BE070A" w:rsidP="00281153">
      <w:pPr>
        <w:numPr>
          <w:ilvl w:val="2"/>
          <w:numId w:val="37"/>
        </w:numPr>
        <w:spacing w:after="0"/>
        <w:rPr>
          <w:rFonts w:cs="Segoe UI"/>
        </w:rPr>
      </w:pPr>
      <w:r>
        <w:rPr>
          <w:rFonts w:cs="Segoe UI"/>
        </w:rPr>
        <w:t xml:space="preserve">providing </w:t>
      </w:r>
      <w:r w:rsidR="00966E0C">
        <w:rPr>
          <w:rFonts w:cs="Segoe UI"/>
        </w:rPr>
        <w:t>a</w:t>
      </w:r>
      <w:r w:rsidR="00103D46">
        <w:rPr>
          <w:rFonts w:cs="Segoe UI"/>
        </w:rPr>
        <w:t>dditional</w:t>
      </w:r>
      <w:r w:rsidR="00990B7E" w:rsidRPr="00824739">
        <w:rPr>
          <w:rFonts w:cs="Segoe UI"/>
        </w:rPr>
        <w:t xml:space="preserve"> commercial negotiation and economic modelling resources to work with the sponsor to resolve matters and present</w:t>
      </w:r>
      <w:r>
        <w:rPr>
          <w:rFonts w:cs="Segoe UI"/>
        </w:rPr>
        <w:t xml:space="preserve"> </w:t>
      </w:r>
      <w:r w:rsidRPr="00824739">
        <w:rPr>
          <w:rFonts w:cs="Segoe UI"/>
        </w:rPr>
        <w:t xml:space="preserve">a comprehensive </w:t>
      </w:r>
      <w:r>
        <w:rPr>
          <w:rFonts w:cs="Segoe UI"/>
        </w:rPr>
        <w:t>data</w:t>
      </w:r>
      <w:r w:rsidRPr="00824739">
        <w:rPr>
          <w:rFonts w:cs="Segoe UI"/>
        </w:rPr>
        <w:t>set</w:t>
      </w:r>
      <w:r w:rsidR="00990B7E" w:rsidRPr="00824739">
        <w:rPr>
          <w:rFonts w:cs="Segoe UI"/>
        </w:rPr>
        <w:t xml:space="preserve"> to the PBAC to enable </w:t>
      </w:r>
      <w:r>
        <w:rPr>
          <w:rFonts w:cs="Segoe UI"/>
        </w:rPr>
        <w:t xml:space="preserve">the committee to make </w:t>
      </w:r>
      <w:r w:rsidR="00990B7E" w:rsidRPr="00897CB5">
        <w:rPr>
          <w:rFonts w:cs="Segoe UI"/>
        </w:rPr>
        <w:t>decision</w:t>
      </w:r>
      <w:r w:rsidRPr="00897CB5">
        <w:rPr>
          <w:rFonts w:cs="Segoe UI"/>
        </w:rPr>
        <w:t>s</w:t>
      </w:r>
      <w:r w:rsidR="00990B7E" w:rsidRPr="00897CB5" w:rsidDel="00BE070A">
        <w:rPr>
          <w:rFonts w:cs="Segoe UI"/>
        </w:rPr>
        <w:t xml:space="preserve"> </w:t>
      </w:r>
      <w:r w:rsidR="00990B7E" w:rsidRPr="00897CB5">
        <w:rPr>
          <w:rFonts w:cs="Segoe UI"/>
        </w:rPr>
        <w:t>with the greatest degree of confidence</w:t>
      </w:r>
    </w:p>
    <w:p w14:paraId="34CDD43E" w14:textId="4F2B3E94" w:rsidR="00990B7E" w:rsidRPr="00B61FDC" w:rsidRDefault="00FF054B" w:rsidP="00281153">
      <w:pPr>
        <w:numPr>
          <w:ilvl w:val="2"/>
          <w:numId w:val="37"/>
        </w:numPr>
        <w:rPr>
          <w:rFonts w:cs="Segoe UI"/>
        </w:rPr>
      </w:pPr>
      <w:r w:rsidRPr="00897CB5">
        <w:rPr>
          <w:rFonts w:cs="Segoe UI"/>
        </w:rPr>
        <w:t>t</w:t>
      </w:r>
      <w:r w:rsidR="00990B7E" w:rsidRPr="00897CB5">
        <w:rPr>
          <w:rFonts w:cs="Segoe UI"/>
        </w:rPr>
        <w:t>he</w:t>
      </w:r>
      <w:r w:rsidR="003E5A00" w:rsidRPr="00897CB5">
        <w:rPr>
          <w:rFonts w:cs="Segoe UI"/>
        </w:rPr>
        <w:t xml:space="preserve"> ability for the</w:t>
      </w:r>
      <w:r w:rsidR="00990B7E" w:rsidRPr="00897CB5">
        <w:rPr>
          <w:rFonts w:cs="Segoe UI"/>
        </w:rPr>
        <w:t xml:space="preserve"> PBAC to </w:t>
      </w:r>
      <w:r w:rsidRPr="00897CB5">
        <w:rPr>
          <w:rFonts w:cs="Segoe UI"/>
        </w:rPr>
        <w:t>hold</w:t>
      </w:r>
      <w:r w:rsidR="00990B7E" w:rsidRPr="00897CB5">
        <w:rPr>
          <w:rFonts w:cs="Segoe UI"/>
        </w:rPr>
        <w:t xml:space="preserve"> stakeholder meeting</w:t>
      </w:r>
      <w:r w:rsidRPr="00897CB5">
        <w:rPr>
          <w:rFonts w:cs="Segoe UI"/>
        </w:rPr>
        <w:t>s</w:t>
      </w:r>
      <w:r w:rsidR="00990B7E" w:rsidRPr="00897CB5">
        <w:rPr>
          <w:rFonts w:cs="Segoe UI"/>
        </w:rPr>
        <w:t xml:space="preserve"> with key patient and clinical organisations. Th</w:t>
      </w:r>
      <w:r w:rsidR="0006502D" w:rsidRPr="00897CB5">
        <w:rPr>
          <w:rFonts w:cs="Segoe UI"/>
        </w:rPr>
        <w:t>e pur</w:t>
      </w:r>
      <w:r w:rsidR="003A3852" w:rsidRPr="00897CB5">
        <w:rPr>
          <w:rFonts w:cs="Segoe UI"/>
        </w:rPr>
        <w:t xml:space="preserve">pose </w:t>
      </w:r>
      <w:r w:rsidR="00B2084A" w:rsidRPr="00897CB5">
        <w:rPr>
          <w:rFonts w:cs="Segoe UI"/>
        </w:rPr>
        <w:t>of these meetings</w:t>
      </w:r>
      <w:r w:rsidR="00990B7E" w:rsidRPr="00897CB5">
        <w:rPr>
          <w:rFonts w:cs="Segoe UI"/>
        </w:rPr>
        <w:t xml:space="preserve"> would</w:t>
      </w:r>
      <w:r w:rsidR="00B2084A" w:rsidRPr="00897CB5">
        <w:rPr>
          <w:rFonts w:cs="Segoe UI"/>
        </w:rPr>
        <w:t xml:space="preserve"> be to make </w:t>
      </w:r>
      <w:r w:rsidR="008B6C09" w:rsidRPr="00897CB5">
        <w:rPr>
          <w:rFonts w:cs="Segoe UI"/>
        </w:rPr>
        <w:t>issues transparent to stakeholders</w:t>
      </w:r>
      <w:r w:rsidR="00BE070A" w:rsidRPr="00897CB5">
        <w:rPr>
          <w:rFonts w:cs="Segoe UI"/>
        </w:rPr>
        <w:t>,</w:t>
      </w:r>
      <w:r w:rsidR="008B6C09" w:rsidRPr="00897CB5">
        <w:rPr>
          <w:rFonts w:cs="Segoe UI"/>
        </w:rPr>
        <w:t xml:space="preserve"> including</w:t>
      </w:r>
      <w:r w:rsidR="00BC4A46" w:rsidRPr="00897CB5">
        <w:rPr>
          <w:rFonts w:cs="Segoe UI"/>
        </w:rPr>
        <w:t xml:space="preserve"> making</w:t>
      </w:r>
      <w:r w:rsidR="00990B7E" w:rsidRPr="00897CB5">
        <w:rPr>
          <w:rFonts w:cs="Segoe UI"/>
        </w:rPr>
        <w:t xml:space="preserve"> difficult trade-</w:t>
      </w:r>
      <w:r w:rsidR="00990B7E" w:rsidRPr="00B61FDC">
        <w:rPr>
          <w:rFonts w:cs="Segoe UI"/>
        </w:rPr>
        <w:t xml:space="preserve">offs </w:t>
      </w:r>
      <w:r w:rsidR="00BE4CF2">
        <w:rPr>
          <w:rFonts w:cs="Segoe UI"/>
        </w:rPr>
        <w:t xml:space="preserve">between the </w:t>
      </w:r>
      <w:r w:rsidR="00BE4CF2" w:rsidRPr="00B61FDC">
        <w:rPr>
          <w:rFonts w:cs="Segoe UI"/>
        </w:rPr>
        <w:t>seller and buyer</w:t>
      </w:r>
      <w:r w:rsidR="00BE4CF2">
        <w:rPr>
          <w:rFonts w:cs="Segoe UI"/>
        </w:rPr>
        <w:t xml:space="preserve">, </w:t>
      </w:r>
      <w:r w:rsidR="00990B7E" w:rsidRPr="00B61FDC">
        <w:rPr>
          <w:rFonts w:cs="Segoe UI"/>
        </w:rPr>
        <w:t xml:space="preserve">transparent </w:t>
      </w:r>
      <w:r w:rsidR="001E473B">
        <w:rPr>
          <w:rFonts w:cs="Segoe UI"/>
        </w:rPr>
        <w:t xml:space="preserve">to </w:t>
      </w:r>
      <w:r w:rsidR="00941D67">
        <w:rPr>
          <w:rFonts w:cs="Segoe UI"/>
        </w:rPr>
        <w:t xml:space="preserve">other </w:t>
      </w:r>
      <w:r w:rsidR="001E473B">
        <w:rPr>
          <w:rFonts w:cs="Segoe UI"/>
        </w:rPr>
        <w:t>stakeholders</w:t>
      </w:r>
      <w:r w:rsidR="00990B7E" w:rsidRPr="00B61FDC">
        <w:rPr>
          <w:rFonts w:cs="Segoe UI"/>
        </w:rPr>
        <w:t xml:space="preserve">. </w:t>
      </w:r>
    </w:p>
    <w:p w14:paraId="37B5E669" w14:textId="626A90E5" w:rsidR="00F1405C" w:rsidRPr="00F1405C" w:rsidRDefault="00F1405C" w:rsidP="00F1405C">
      <w:pPr>
        <w:spacing w:after="120"/>
        <w:rPr>
          <w:rFonts w:ascii="Calibri" w:hAnsi="Calibri"/>
        </w:rPr>
      </w:pPr>
      <w:bookmarkStart w:id="164" w:name="_Hlk171527471"/>
      <w:r w:rsidRPr="0023693C">
        <w:lastRenderedPageBreak/>
        <w:t>Comment by Ms Elizabeth de Somer, Member</w:t>
      </w:r>
      <w:r w:rsidRPr="00B93127">
        <w:t xml:space="preserve"> Nominated by Medicines Australia</w:t>
      </w:r>
      <w:r w:rsidR="00C770A7">
        <w:t>:</w:t>
      </w:r>
      <w:r w:rsidRPr="000C5623">
        <w:t xml:space="preserve"> </w:t>
      </w:r>
      <w:r w:rsidR="00BD3ADA">
        <w:t>‘</w:t>
      </w:r>
      <w:r w:rsidRPr="00B93127">
        <w:t>The</w:t>
      </w:r>
      <w:r>
        <w:t xml:space="preserve"> industry recognises the need to ensure no perverse incentives are introduced into these pathways and recommends establishing independent dispute resolution and commercial negotiation processes.</w:t>
      </w:r>
      <w:r w:rsidR="00BD3ADA">
        <w:t>’</w:t>
      </w:r>
      <w:r>
        <w:t xml:space="preserve"> </w:t>
      </w:r>
    </w:p>
    <w:bookmarkEnd w:id="164"/>
    <w:p w14:paraId="02F325CB" w14:textId="41CD9ABE" w:rsidR="00AE04DC" w:rsidRPr="00AE04DC" w:rsidRDefault="00AE04DC" w:rsidP="00281153">
      <w:pPr>
        <w:numPr>
          <w:ilvl w:val="0"/>
          <w:numId w:val="37"/>
        </w:numPr>
        <w:spacing w:after="0"/>
        <w:rPr>
          <w:rFonts w:cs="Segoe UI"/>
          <w:color w:val="000000" w:themeColor="text1"/>
        </w:rPr>
      </w:pPr>
      <w:r w:rsidRPr="00AE04DC">
        <w:rPr>
          <w:rFonts w:cs="Segoe UI"/>
          <w:color w:val="000000" w:themeColor="text1"/>
        </w:rPr>
        <w:t xml:space="preserve">resource case managers to facilitate </w:t>
      </w:r>
      <w:r w:rsidRPr="00317479">
        <w:rPr>
          <w:rFonts w:cs="Segoe UI"/>
        </w:rPr>
        <w:t>communication</w:t>
      </w:r>
      <w:r w:rsidRPr="00AE04DC">
        <w:rPr>
          <w:rFonts w:cs="Segoe UI"/>
          <w:color w:val="000000" w:themeColor="text1"/>
        </w:rPr>
        <w:t xml:space="preserve"> and information sharing between the Department and applicant for health technologies with likely high added therapeutic value in areas of </w:t>
      </w:r>
      <w:r w:rsidR="0089085A">
        <w:rPr>
          <w:rFonts w:cs="Segoe UI"/>
          <w:color w:val="000000" w:themeColor="text1"/>
        </w:rPr>
        <w:t>HUCN</w:t>
      </w:r>
      <w:r w:rsidRPr="00AE04DC">
        <w:rPr>
          <w:rFonts w:cs="Segoe UI"/>
          <w:color w:val="000000" w:themeColor="text1"/>
        </w:rPr>
        <w:t xml:space="preserve"> and are using a cost-utility analysis or cost </w:t>
      </w:r>
      <w:r w:rsidRPr="00AE04DC">
        <w:rPr>
          <w:rFonts w:eastAsia="Calibri" w:cs="Segoe UI"/>
        </w:rPr>
        <w:t>effectiveness</w:t>
      </w:r>
      <w:r w:rsidRPr="00AE04DC">
        <w:rPr>
          <w:rFonts w:cs="Segoe UI"/>
          <w:color w:val="000000" w:themeColor="text1"/>
        </w:rPr>
        <w:t xml:space="preserve"> analysis in their submissions. Consistent with other recommendations, the case management approach should be:</w:t>
      </w:r>
    </w:p>
    <w:p w14:paraId="49E6F9CF" w14:textId="766FA8D9" w:rsidR="00990B7E" w:rsidRPr="00824739" w:rsidRDefault="00990B7E" w:rsidP="00117CDF">
      <w:pPr>
        <w:numPr>
          <w:ilvl w:val="1"/>
          <w:numId w:val="37"/>
        </w:numPr>
        <w:spacing w:after="0"/>
        <w:ind w:left="1440"/>
        <w:rPr>
          <w:rFonts w:cs="Segoe UI"/>
        </w:rPr>
      </w:pPr>
      <w:r w:rsidRPr="00824739">
        <w:rPr>
          <w:rFonts w:cs="Segoe UI"/>
        </w:rPr>
        <w:t>proportiona</w:t>
      </w:r>
      <w:r w:rsidR="00B12CB6">
        <w:rPr>
          <w:rFonts w:cs="Segoe UI"/>
        </w:rPr>
        <w:t>te</w:t>
      </w:r>
      <w:r w:rsidRPr="00824739">
        <w:rPr>
          <w:rFonts w:cs="Segoe UI"/>
        </w:rPr>
        <w:t xml:space="preserve"> to the level of complexity and potential clinical benefit of the therapy</w:t>
      </w:r>
    </w:p>
    <w:p w14:paraId="3D0A474D" w14:textId="2F984E0B" w:rsidR="00990B7E" w:rsidRPr="00824739" w:rsidRDefault="00990B7E" w:rsidP="00117CDF">
      <w:pPr>
        <w:numPr>
          <w:ilvl w:val="1"/>
          <w:numId w:val="37"/>
        </w:numPr>
        <w:spacing w:after="0"/>
        <w:ind w:left="1440"/>
        <w:rPr>
          <w:rFonts w:cs="Segoe UI"/>
        </w:rPr>
      </w:pPr>
      <w:r w:rsidRPr="00824739">
        <w:rPr>
          <w:rFonts w:cs="Segoe UI"/>
        </w:rPr>
        <w:t>developed in consultation with relevant stakeholders</w:t>
      </w:r>
    </w:p>
    <w:p w14:paraId="4E5E2B4A" w14:textId="304D5C84" w:rsidR="00990B7E" w:rsidRPr="00824739" w:rsidRDefault="00990B7E" w:rsidP="00117CDF">
      <w:pPr>
        <w:numPr>
          <w:ilvl w:val="1"/>
          <w:numId w:val="37"/>
        </w:numPr>
        <w:spacing w:after="0"/>
        <w:ind w:left="1440"/>
        <w:rPr>
          <w:rFonts w:cs="Segoe UI"/>
        </w:rPr>
      </w:pPr>
      <w:r w:rsidRPr="00824739">
        <w:rPr>
          <w:rFonts w:cs="Segoe UI"/>
        </w:rPr>
        <w:t>consistent with best practi</w:t>
      </w:r>
      <w:r w:rsidR="00B84F94">
        <w:rPr>
          <w:rFonts w:cs="Segoe UI"/>
        </w:rPr>
        <w:t>c</w:t>
      </w:r>
      <w:r w:rsidRPr="00824739">
        <w:rPr>
          <w:rFonts w:cs="Segoe UI"/>
        </w:rPr>
        <w:t>e approaches across government and</w:t>
      </w:r>
      <w:r w:rsidR="00B12CB6">
        <w:rPr>
          <w:rFonts w:cs="Segoe UI"/>
        </w:rPr>
        <w:t>,</w:t>
      </w:r>
      <w:r w:rsidRPr="00824739">
        <w:rPr>
          <w:rFonts w:cs="Segoe UI"/>
        </w:rPr>
        <w:t xml:space="preserve"> if relevant, international counterparts</w:t>
      </w:r>
    </w:p>
    <w:p w14:paraId="3CEF186E" w14:textId="00F6BF96" w:rsidR="00ED2052" w:rsidRDefault="00990B7E" w:rsidP="00117CDF">
      <w:pPr>
        <w:numPr>
          <w:ilvl w:val="1"/>
          <w:numId w:val="37"/>
        </w:numPr>
        <w:spacing w:after="0"/>
        <w:ind w:left="1440"/>
        <w:rPr>
          <w:rFonts w:cs="Segoe UI"/>
        </w:rPr>
      </w:pPr>
      <w:r w:rsidRPr="00824739">
        <w:rPr>
          <w:rFonts w:cs="Segoe UI"/>
        </w:rPr>
        <w:t>developed with clear and transparent roles and responsibilities</w:t>
      </w:r>
      <w:r w:rsidR="00B84F94">
        <w:rPr>
          <w:rFonts w:cs="Segoe UI"/>
        </w:rPr>
        <w:t>,</w:t>
      </w:r>
      <w:r w:rsidRPr="00824739">
        <w:rPr>
          <w:rFonts w:cs="Segoe UI"/>
        </w:rPr>
        <w:t xml:space="preserve"> </w:t>
      </w:r>
      <w:r w:rsidR="00211C02">
        <w:rPr>
          <w:rFonts w:cs="Segoe UI"/>
        </w:rPr>
        <w:t>and principles governing interactions</w:t>
      </w:r>
    </w:p>
    <w:p w14:paraId="24996D54" w14:textId="168F7BE4" w:rsidR="00990B7E" w:rsidRPr="00824739" w:rsidRDefault="00990B7E" w:rsidP="00AD2518">
      <w:pPr>
        <w:numPr>
          <w:ilvl w:val="1"/>
          <w:numId w:val="37"/>
        </w:numPr>
        <w:spacing w:after="0"/>
        <w:ind w:left="1440"/>
        <w:rPr>
          <w:rFonts w:cs="Segoe UI"/>
        </w:rPr>
      </w:pPr>
      <w:r w:rsidRPr="00824739">
        <w:rPr>
          <w:rFonts w:cs="Segoe UI"/>
        </w:rPr>
        <w:t xml:space="preserve">reviewed after 2 years against </w:t>
      </w:r>
      <w:r w:rsidR="00B12CB6">
        <w:rPr>
          <w:rFonts w:cs="Segoe UI"/>
        </w:rPr>
        <w:t>key performance indicator</w:t>
      </w:r>
      <w:r w:rsidRPr="00824739">
        <w:rPr>
          <w:rFonts w:cs="Segoe UI"/>
        </w:rPr>
        <w:t xml:space="preserve">s and </w:t>
      </w:r>
      <w:r w:rsidR="00B84F94">
        <w:rPr>
          <w:rFonts w:cs="Segoe UI"/>
        </w:rPr>
        <w:t xml:space="preserve">the </w:t>
      </w:r>
      <w:r w:rsidRPr="00824739">
        <w:rPr>
          <w:rFonts w:cs="Segoe UI"/>
        </w:rPr>
        <w:t>approach adjusted accordingly</w:t>
      </w:r>
      <w:r>
        <w:rPr>
          <w:rFonts w:cs="Segoe UI"/>
        </w:rPr>
        <w:t>.</w:t>
      </w:r>
    </w:p>
    <w:p w14:paraId="3F37888C" w14:textId="3F0908D5" w:rsidR="009742C2" w:rsidRDefault="00B12CB6" w:rsidP="00AD2518">
      <w:pPr>
        <w:numPr>
          <w:ilvl w:val="0"/>
          <w:numId w:val="37"/>
        </w:numPr>
        <w:rPr>
          <w:rFonts w:cs="Segoe UI"/>
        </w:rPr>
      </w:pPr>
      <w:r>
        <w:rPr>
          <w:rFonts w:cs="Segoe UI"/>
        </w:rPr>
        <w:t>e</w:t>
      </w:r>
      <w:r w:rsidR="00990B7E" w:rsidRPr="00824739">
        <w:rPr>
          <w:rFonts w:cs="Segoe UI"/>
        </w:rPr>
        <w:t xml:space="preserve">nable full parallel processing of </w:t>
      </w:r>
      <w:r w:rsidR="0009197E" w:rsidRPr="0009197E">
        <w:rPr>
          <w:rFonts w:cs="Segoe UI"/>
        </w:rPr>
        <w:t>Therapeutic Goods Administration (TGA)</w:t>
      </w:r>
      <w:r w:rsidR="0009197E">
        <w:rPr>
          <w:rFonts w:cs="Segoe UI"/>
        </w:rPr>
        <w:t xml:space="preserve"> </w:t>
      </w:r>
      <w:r w:rsidR="00990B7E" w:rsidRPr="00824739">
        <w:rPr>
          <w:rFonts w:cs="Segoe UI"/>
        </w:rPr>
        <w:t xml:space="preserve">and </w:t>
      </w:r>
      <w:r w:rsidR="0009197E" w:rsidRPr="0009197E">
        <w:rPr>
          <w:rFonts w:cs="Segoe UI"/>
        </w:rPr>
        <w:t>PBAC</w:t>
      </w:r>
      <w:r w:rsidR="00990B7E" w:rsidRPr="00824739">
        <w:rPr>
          <w:rFonts w:cs="Segoe UI"/>
        </w:rPr>
        <w:t xml:space="preserve"> submissions</w:t>
      </w:r>
      <w:r w:rsidR="008615BC">
        <w:rPr>
          <w:rFonts w:cs="Segoe UI"/>
        </w:rPr>
        <w:t>. It should do this</w:t>
      </w:r>
      <w:r w:rsidR="00990B7E" w:rsidRPr="00824739">
        <w:rPr>
          <w:rFonts w:cs="Segoe UI"/>
        </w:rPr>
        <w:t xml:space="preserve"> by updating the PBAC </w:t>
      </w:r>
      <w:r w:rsidR="00BA4CDE">
        <w:rPr>
          <w:rFonts w:cs="Segoe UI"/>
        </w:rPr>
        <w:t>G</w:t>
      </w:r>
      <w:r w:rsidR="00990B7E" w:rsidRPr="00824739">
        <w:rPr>
          <w:rFonts w:cs="Segoe UI"/>
        </w:rPr>
        <w:t xml:space="preserve">uidelines to enable the PBAC to communicate its likely advice to sponsors </w:t>
      </w:r>
      <w:r w:rsidR="00371929">
        <w:rPr>
          <w:rFonts w:cs="Segoe UI"/>
        </w:rPr>
        <w:t>before</w:t>
      </w:r>
      <w:r w:rsidR="00990B7E" w:rsidRPr="00824739">
        <w:rPr>
          <w:rFonts w:cs="Segoe UI"/>
        </w:rPr>
        <w:t xml:space="preserve"> receiving the TGA </w:t>
      </w:r>
      <w:r w:rsidR="00897CB5">
        <w:rPr>
          <w:rFonts w:cs="Segoe UI"/>
        </w:rPr>
        <w:t>d</w:t>
      </w:r>
      <w:r w:rsidR="00990B7E" w:rsidRPr="00824739">
        <w:rPr>
          <w:rFonts w:cs="Segoe UI"/>
        </w:rPr>
        <w:t>elegate</w:t>
      </w:r>
      <w:r w:rsidR="00897CB5">
        <w:rPr>
          <w:rFonts w:cs="Segoe UI"/>
        </w:rPr>
        <w:t>’s</w:t>
      </w:r>
      <w:r w:rsidR="00990B7E" w:rsidRPr="00824739">
        <w:rPr>
          <w:rFonts w:cs="Segoe UI"/>
        </w:rPr>
        <w:t xml:space="preserve"> </w:t>
      </w:r>
      <w:r w:rsidR="00897CB5">
        <w:rPr>
          <w:rFonts w:cs="Segoe UI"/>
        </w:rPr>
        <w:t>o</w:t>
      </w:r>
      <w:r w:rsidR="00990B7E" w:rsidRPr="00824739">
        <w:rPr>
          <w:rFonts w:cs="Segoe UI"/>
        </w:rPr>
        <w:t xml:space="preserve">verview. The PBAC’s final advice to </w:t>
      </w:r>
      <w:r w:rsidR="008615BC">
        <w:rPr>
          <w:rFonts w:cs="Segoe UI"/>
        </w:rPr>
        <w:t xml:space="preserve">the </w:t>
      </w:r>
      <w:r w:rsidR="00990B7E" w:rsidRPr="00824739">
        <w:rPr>
          <w:rFonts w:cs="Segoe UI"/>
        </w:rPr>
        <w:t xml:space="preserve">Government, the PBS listing, and resulting funding arrangements, would still </w:t>
      </w:r>
      <w:r w:rsidR="008615BC">
        <w:rPr>
          <w:rFonts w:cs="Segoe UI"/>
        </w:rPr>
        <w:t>need</w:t>
      </w:r>
      <w:r w:rsidR="00990B7E" w:rsidRPr="00824739">
        <w:rPr>
          <w:rFonts w:cs="Segoe UI"/>
        </w:rPr>
        <w:t xml:space="preserve"> to </w:t>
      </w:r>
      <w:r w:rsidR="00990B7E" w:rsidRPr="00824739" w:rsidDel="00173CD8">
        <w:rPr>
          <w:rFonts w:cs="Segoe UI"/>
        </w:rPr>
        <w:t>be consistent with</w:t>
      </w:r>
      <w:r w:rsidR="00990B7E" w:rsidRPr="00824739">
        <w:rPr>
          <w:rFonts w:cs="Segoe UI"/>
        </w:rPr>
        <w:t xml:space="preserve"> the Australian Register of Therapeutic Goods (ARTG) listing</w:t>
      </w:r>
      <w:r w:rsidR="008615BC">
        <w:rPr>
          <w:rFonts w:cs="Segoe UI"/>
        </w:rPr>
        <w:t>.</w:t>
      </w:r>
      <w:r w:rsidR="007712D5" w:rsidRPr="002077A7">
        <w:rPr>
          <w:rFonts w:cs="Segoe UI"/>
        </w:rPr>
        <w:t xml:space="preserve"> (Note</w:t>
      </w:r>
      <w:r w:rsidR="008615BC">
        <w:rPr>
          <w:rFonts w:cs="Segoe UI"/>
        </w:rPr>
        <w:t>:</w:t>
      </w:r>
      <w:r w:rsidR="007712D5" w:rsidRPr="002077A7">
        <w:rPr>
          <w:rFonts w:cs="Segoe UI"/>
        </w:rPr>
        <w:t xml:space="preserve"> this recommendation is not intended to limit </w:t>
      </w:r>
      <w:r w:rsidR="00677BDD" w:rsidRPr="002077A7">
        <w:rPr>
          <w:rFonts w:cs="Segoe UI"/>
        </w:rPr>
        <w:t xml:space="preserve">the </w:t>
      </w:r>
      <w:r w:rsidR="002926A0" w:rsidRPr="002077A7">
        <w:rPr>
          <w:rFonts w:cs="Segoe UI"/>
        </w:rPr>
        <w:t xml:space="preserve">execution of </w:t>
      </w:r>
      <w:r w:rsidR="008615BC">
        <w:rPr>
          <w:rFonts w:cs="Segoe UI"/>
        </w:rPr>
        <w:t>‘</w:t>
      </w:r>
      <w:r w:rsidR="005E5341">
        <w:rPr>
          <w:rFonts w:cs="Segoe UI"/>
        </w:rPr>
        <w:fldChar w:fldCharType="begin" w:fldLock="1"/>
      </w:r>
      <w:r w:rsidR="005E5341">
        <w:rPr>
          <w:rFonts w:cs="Segoe UI"/>
        </w:rPr>
        <w:instrText xml:space="preserve"> REF _Ref166786902 \r \h </w:instrText>
      </w:r>
      <w:r w:rsidR="005E5341">
        <w:rPr>
          <w:rFonts w:cs="Segoe UI"/>
        </w:rPr>
      </w:r>
      <w:r w:rsidR="005E5341">
        <w:rPr>
          <w:rFonts w:cs="Segoe UI"/>
        </w:rPr>
        <w:fldChar w:fldCharType="separate"/>
      </w:r>
      <w:r w:rsidR="005E5341">
        <w:rPr>
          <w:rFonts w:cs="Segoe UI"/>
        </w:rPr>
        <w:t>Recommendation 2</w:t>
      </w:r>
      <w:r w:rsidR="005E5341">
        <w:rPr>
          <w:rFonts w:cs="Segoe UI"/>
        </w:rPr>
        <w:fldChar w:fldCharType="end"/>
      </w:r>
      <w:r w:rsidR="008615BC">
        <w:rPr>
          <w:rFonts w:cs="Segoe UI"/>
        </w:rPr>
        <w:t>. Creating equitable access to medicines for children and young people’</w:t>
      </w:r>
      <w:r w:rsidR="008436BC" w:rsidRPr="002077A7">
        <w:rPr>
          <w:rFonts w:cs="Segoe UI"/>
        </w:rPr>
        <w:t>)</w:t>
      </w:r>
      <w:r w:rsidR="008615BC">
        <w:rPr>
          <w:rFonts w:cs="Segoe UI"/>
        </w:rPr>
        <w:t>.</w:t>
      </w:r>
      <w:r w:rsidR="00453069">
        <w:rPr>
          <w:rFonts w:cs="Segoe UI"/>
        </w:rPr>
        <w:t xml:space="preserve"> </w:t>
      </w:r>
    </w:p>
    <w:p w14:paraId="62539C31" w14:textId="092FDCAA" w:rsidR="00205E57" w:rsidRPr="002724B9" w:rsidRDefault="00205E57" w:rsidP="00645D5E">
      <w:pPr>
        <w:pStyle w:val="Recommendation1"/>
      </w:pPr>
      <w:bookmarkStart w:id="165" w:name="_Hlk167301725"/>
      <w:r w:rsidRPr="002724B9">
        <w:t xml:space="preserve">Therapies </w:t>
      </w:r>
      <w:r w:rsidR="00DB64CD">
        <w:t>with added therapeutic value</w:t>
      </w:r>
    </w:p>
    <w:bookmarkEnd w:id="165"/>
    <w:p w14:paraId="28410B1A" w14:textId="76460669" w:rsidR="00205E57" w:rsidRPr="00651AB4" w:rsidRDefault="00DB64CD" w:rsidP="00ED2B9F">
      <w:pPr>
        <w:spacing w:before="120"/>
        <w:rPr>
          <w:rFonts w:cs="Segoe UI"/>
        </w:rPr>
      </w:pPr>
      <w:r>
        <w:rPr>
          <w:rFonts w:cs="Segoe UI"/>
        </w:rPr>
        <w:t>The Review recommends</w:t>
      </w:r>
      <w:r w:rsidR="001F7930">
        <w:rPr>
          <w:rFonts w:cs="Segoe UI"/>
        </w:rPr>
        <w:t xml:space="preserve"> that</w:t>
      </w:r>
      <w:r>
        <w:rPr>
          <w:rFonts w:cs="Segoe UI"/>
        </w:rPr>
        <w:t xml:space="preserve"> the Australian Government,</w:t>
      </w:r>
      <w:r w:rsidR="00AE5E9B">
        <w:rPr>
          <w:rFonts w:cs="Segoe UI"/>
        </w:rPr>
        <w:t xml:space="preserve"> </w:t>
      </w:r>
      <w:r w:rsidR="00D7645C">
        <w:rPr>
          <w:rFonts w:cs="Segoe UI"/>
        </w:rPr>
        <w:t xml:space="preserve">after </w:t>
      </w:r>
      <w:r w:rsidR="002F2770">
        <w:rPr>
          <w:rFonts w:cs="Segoe UI"/>
        </w:rPr>
        <w:t xml:space="preserve">a trial period and review, </w:t>
      </w:r>
      <w:r w:rsidR="00AE5E9B">
        <w:rPr>
          <w:rFonts w:cs="Segoe UI"/>
        </w:rPr>
        <w:t xml:space="preserve">extend the mechanisms covered in </w:t>
      </w:r>
      <w:r w:rsidR="001F7930">
        <w:rPr>
          <w:rFonts w:cs="Segoe UI"/>
        </w:rPr>
        <w:t>‘</w:t>
      </w:r>
      <w:r w:rsidR="009E408C" w:rsidRPr="0049530C">
        <w:rPr>
          <w:rFonts w:cs="Segoe UI"/>
        </w:rPr>
        <w:fldChar w:fldCharType="begin" w:fldLock="1"/>
      </w:r>
      <w:r w:rsidR="009E408C" w:rsidRPr="0049530C">
        <w:rPr>
          <w:rFonts w:cs="Segoe UI"/>
        </w:rPr>
        <w:instrText xml:space="preserve"> REF _Ref166787239 \r \h </w:instrText>
      </w:r>
      <w:r w:rsidR="007144EF" w:rsidRPr="0049530C">
        <w:rPr>
          <w:rFonts w:cs="Segoe UI"/>
        </w:rPr>
        <w:instrText xml:space="preserve"> \* MERGEFORMAT </w:instrText>
      </w:r>
      <w:r w:rsidR="009E408C" w:rsidRPr="0049530C">
        <w:rPr>
          <w:rFonts w:cs="Segoe UI"/>
        </w:rPr>
      </w:r>
      <w:r w:rsidR="009E408C" w:rsidRPr="0049530C">
        <w:rPr>
          <w:rFonts w:cs="Segoe UI"/>
        </w:rPr>
        <w:fldChar w:fldCharType="separate"/>
      </w:r>
      <w:r w:rsidR="009E408C" w:rsidRPr="0049530C">
        <w:rPr>
          <w:rFonts w:cs="Segoe UI"/>
        </w:rPr>
        <w:t>Recommendation 8</w:t>
      </w:r>
      <w:r w:rsidR="009E408C" w:rsidRPr="0049530C">
        <w:rPr>
          <w:rFonts w:cs="Segoe UI"/>
        </w:rPr>
        <w:fldChar w:fldCharType="end"/>
      </w:r>
      <w:r w:rsidR="001F7930" w:rsidRPr="0049530C">
        <w:rPr>
          <w:rFonts w:cs="Segoe UI"/>
        </w:rPr>
        <w:t>.</w:t>
      </w:r>
      <w:r w:rsidR="00DC10D3" w:rsidRPr="0049530C">
        <w:rPr>
          <w:rFonts w:cs="Segoe UI"/>
          <w:i/>
          <w:iCs/>
        </w:rPr>
        <w:t xml:space="preserve"> </w:t>
      </w:r>
      <w:r w:rsidR="008B6F09" w:rsidRPr="008B6F09">
        <w:rPr>
          <w:rFonts w:cs="Segoe UI"/>
        </w:rPr>
        <w:t>Improve the pathways and processes for listing therapies with high added therapeutic value in areas of unmet clinical need on the Pharmaceutical Benefits Scheme</w:t>
      </w:r>
      <w:r w:rsidR="001F7930" w:rsidRPr="0049530C">
        <w:rPr>
          <w:rFonts w:cs="Segoe UI"/>
        </w:rPr>
        <w:t>’</w:t>
      </w:r>
      <w:r w:rsidR="00DC10D3" w:rsidRPr="00DC10D3">
        <w:rPr>
          <w:rFonts w:cs="Segoe UI"/>
          <w:i/>
          <w:iCs/>
        </w:rPr>
        <w:t>,</w:t>
      </w:r>
      <w:r w:rsidR="00DC10D3">
        <w:rPr>
          <w:rFonts w:cs="Segoe UI"/>
        </w:rPr>
        <w:t xml:space="preserve"> to all </w:t>
      </w:r>
      <w:r w:rsidR="00532352">
        <w:rPr>
          <w:rFonts w:cs="Segoe UI"/>
        </w:rPr>
        <w:t>therapies claiming clinical benefit over existing alternatives</w:t>
      </w:r>
      <w:r w:rsidR="00D7645C">
        <w:rPr>
          <w:rFonts w:cs="Segoe UI"/>
        </w:rPr>
        <w:t xml:space="preserve">. </w:t>
      </w:r>
      <w:r w:rsidR="00651AB4">
        <w:rPr>
          <w:rFonts w:cs="Segoe UI"/>
        </w:rPr>
        <w:t>In</w:t>
      </w:r>
      <w:r w:rsidR="00C21A28">
        <w:rPr>
          <w:rFonts w:cs="Segoe UI"/>
        </w:rPr>
        <w:t xml:space="preserve"> line with</w:t>
      </w:r>
      <w:r w:rsidR="008472E8">
        <w:rPr>
          <w:rFonts w:cs="Segoe UI"/>
        </w:rPr>
        <w:t xml:space="preserve"> </w:t>
      </w:r>
      <w:r w:rsidR="001F7930">
        <w:rPr>
          <w:rFonts w:cs="Segoe UI"/>
        </w:rPr>
        <w:t>‘</w:t>
      </w:r>
      <w:r w:rsidR="00BB4425">
        <w:rPr>
          <w:rFonts w:cs="Segoe UI"/>
        </w:rPr>
        <w:fldChar w:fldCharType="begin" w:fldLock="1"/>
      </w:r>
      <w:r w:rsidR="00BB4425">
        <w:rPr>
          <w:rFonts w:cs="Segoe UI"/>
        </w:rPr>
        <w:instrText xml:space="preserve"> REF _Ref166787472 \r \h </w:instrText>
      </w:r>
      <w:r w:rsidR="00BB4425">
        <w:rPr>
          <w:rFonts w:cs="Segoe UI"/>
        </w:rPr>
      </w:r>
      <w:r w:rsidR="00BB4425">
        <w:rPr>
          <w:rFonts w:cs="Segoe UI"/>
        </w:rPr>
        <w:fldChar w:fldCharType="separate"/>
      </w:r>
      <w:r w:rsidR="00BB4425">
        <w:rPr>
          <w:rFonts w:cs="Segoe UI"/>
        </w:rPr>
        <w:t>Recommendation 3</w:t>
      </w:r>
      <w:r w:rsidR="00BB4425">
        <w:rPr>
          <w:rFonts w:cs="Segoe UI"/>
        </w:rPr>
        <w:fldChar w:fldCharType="end"/>
      </w:r>
      <w:r w:rsidR="001F7930">
        <w:rPr>
          <w:rFonts w:cs="Segoe UI"/>
        </w:rPr>
        <w:t>.</w:t>
      </w:r>
      <w:r w:rsidR="008472E8">
        <w:rPr>
          <w:rFonts w:cs="Segoe UI"/>
          <w:i/>
          <w:iCs/>
        </w:rPr>
        <w:t> </w:t>
      </w:r>
      <w:r w:rsidR="008472E8" w:rsidRPr="000C5623">
        <w:rPr>
          <w:rFonts w:cs="Segoe UI"/>
        </w:rPr>
        <w:t xml:space="preserve">Overarching recommendations for all </w:t>
      </w:r>
      <w:r w:rsidR="00A72F2E">
        <w:rPr>
          <w:rFonts w:cs="Segoe UI"/>
        </w:rPr>
        <w:t>HTA</w:t>
      </w:r>
      <w:r w:rsidR="008472E8" w:rsidRPr="000C5623">
        <w:rPr>
          <w:rFonts w:cs="Segoe UI"/>
        </w:rPr>
        <w:t xml:space="preserve"> funding and assessment pathways and processes</w:t>
      </w:r>
      <w:r w:rsidR="001F7930">
        <w:rPr>
          <w:rFonts w:cs="Segoe UI"/>
        </w:rPr>
        <w:t>’</w:t>
      </w:r>
      <w:r w:rsidR="00651AB4">
        <w:rPr>
          <w:rFonts w:cs="Segoe UI"/>
          <w:i/>
          <w:iCs/>
        </w:rPr>
        <w:t xml:space="preserve">, </w:t>
      </w:r>
      <w:r w:rsidR="00651AB4">
        <w:rPr>
          <w:rFonts w:cs="Segoe UI"/>
        </w:rPr>
        <w:t xml:space="preserve">this should follow a proportional approach. </w:t>
      </w:r>
    </w:p>
    <w:p w14:paraId="4430AFA8" w14:textId="2290C0EC" w:rsidR="0097243C" w:rsidRDefault="00990B7E" w:rsidP="00645D5E">
      <w:pPr>
        <w:pStyle w:val="Recommendation1"/>
      </w:pPr>
      <w:bookmarkStart w:id="166" w:name="_Hlk167301733"/>
      <w:bookmarkStart w:id="167" w:name="_Hlk167301835"/>
      <w:r w:rsidRPr="002724B9">
        <w:t>Alternative modelling and analysis types for disease areas</w:t>
      </w:r>
      <w:bookmarkEnd w:id="166"/>
    </w:p>
    <w:bookmarkEnd w:id="167"/>
    <w:p w14:paraId="524F534C" w14:textId="15208AD4" w:rsidR="00990B7E" w:rsidRPr="00824739" w:rsidRDefault="008C639E" w:rsidP="000725DF">
      <w:pPr>
        <w:spacing w:after="0"/>
        <w:rPr>
          <w:rFonts w:cs="Segoe UI"/>
        </w:rPr>
      </w:pPr>
      <w:r>
        <w:rPr>
          <w:rFonts w:cs="Segoe UI"/>
        </w:rPr>
        <w:t xml:space="preserve">The Review recommends </w:t>
      </w:r>
      <w:r w:rsidR="00AD0866">
        <w:rPr>
          <w:rFonts w:cs="Segoe UI"/>
        </w:rPr>
        <w:t xml:space="preserve">that </w:t>
      </w:r>
      <w:r>
        <w:rPr>
          <w:rFonts w:cs="Segoe UI"/>
        </w:rPr>
        <w:t xml:space="preserve">the Australian </w:t>
      </w:r>
      <w:r w:rsidR="00990B7E" w:rsidRPr="00824739" w:rsidDel="008C639E">
        <w:rPr>
          <w:rFonts w:cs="Segoe UI"/>
        </w:rPr>
        <w:t>Government</w:t>
      </w:r>
      <w:r w:rsidR="00990B7E" w:rsidRPr="00824739">
        <w:rPr>
          <w:rFonts w:cs="Segoe UI"/>
        </w:rPr>
        <w:t>, in consultation with industry and other relevant stakeholders, investigate the feasibility and potential place for alternative types of analysis and modelling for disease areas</w:t>
      </w:r>
      <w:r w:rsidR="00EC002B">
        <w:rPr>
          <w:rFonts w:cs="Segoe UI"/>
        </w:rPr>
        <w:t>. These should i</w:t>
      </w:r>
      <w:r w:rsidR="00990B7E" w:rsidRPr="00824739">
        <w:rPr>
          <w:rFonts w:cs="Segoe UI"/>
        </w:rPr>
        <w:t>nclud</w:t>
      </w:r>
      <w:r w:rsidR="00EC002B">
        <w:rPr>
          <w:rFonts w:cs="Segoe UI"/>
        </w:rPr>
        <w:t>e</w:t>
      </w:r>
      <w:r w:rsidR="00990B7E" w:rsidRPr="00824739">
        <w:rPr>
          <w:rFonts w:cs="Segoe UI"/>
        </w:rPr>
        <w:t xml:space="preserve">: </w:t>
      </w:r>
    </w:p>
    <w:p w14:paraId="483B753B" w14:textId="7F5C6FD8" w:rsidR="00990B7E" w:rsidRPr="00824739" w:rsidRDefault="00EC002B" w:rsidP="00C311FA">
      <w:pPr>
        <w:numPr>
          <w:ilvl w:val="0"/>
          <w:numId w:val="26"/>
        </w:numPr>
        <w:spacing w:after="0"/>
        <w:rPr>
          <w:rFonts w:cs="Segoe UI"/>
        </w:rPr>
      </w:pPr>
      <w:r>
        <w:rPr>
          <w:rFonts w:cs="Segoe UI"/>
        </w:rPr>
        <w:lastRenderedPageBreak/>
        <w:t xml:space="preserve">a </w:t>
      </w:r>
      <w:r w:rsidR="008C639E">
        <w:rPr>
          <w:rFonts w:cs="Segoe UI"/>
        </w:rPr>
        <w:t>d</w:t>
      </w:r>
      <w:r w:rsidR="00990B7E" w:rsidRPr="00824739">
        <w:rPr>
          <w:rFonts w:cs="Segoe UI"/>
        </w:rPr>
        <w:t>isease</w:t>
      </w:r>
      <w:r>
        <w:rPr>
          <w:rFonts w:cs="Segoe UI"/>
        </w:rPr>
        <w:t>-</w:t>
      </w:r>
      <w:r w:rsidR="00990B7E" w:rsidRPr="00824739">
        <w:rPr>
          <w:rFonts w:cs="Segoe UI"/>
        </w:rPr>
        <w:t>specific common mode</w:t>
      </w:r>
      <w:r w:rsidR="008C639E">
        <w:rPr>
          <w:rFonts w:cs="Segoe UI"/>
        </w:rPr>
        <w:t>l</w:t>
      </w:r>
    </w:p>
    <w:p w14:paraId="2C0D447B" w14:textId="464C9786" w:rsidR="00990B7E" w:rsidRPr="00824739" w:rsidRDefault="008C639E" w:rsidP="00C311FA">
      <w:pPr>
        <w:numPr>
          <w:ilvl w:val="0"/>
          <w:numId w:val="26"/>
        </w:numPr>
        <w:spacing w:after="0"/>
        <w:rPr>
          <w:rFonts w:cs="Segoe UI"/>
        </w:rPr>
      </w:pPr>
      <w:r>
        <w:rPr>
          <w:rFonts w:cs="Segoe UI"/>
        </w:rPr>
        <w:t>r</w:t>
      </w:r>
      <w:r w:rsidR="00990B7E" w:rsidRPr="00824739">
        <w:rPr>
          <w:rFonts w:cs="Segoe UI"/>
        </w:rPr>
        <w:t>eference case modelling</w:t>
      </w:r>
    </w:p>
    <w:p w14:paraId="1408F9AE" w14:textId="7770EB78" w:rsidR="00990B7E" w:rsidRDefault="008C639E" w:rsidP="000725DF">
      <w:pPr>
        <w:numPr>
          <w:ilvl w:val="0"/>
          <w:numId w:val="26"/>
        </w:numPr>
        <w:spacing w:after="0"/>
        <w:rPr>
          <w:rFonts w:cs="Segoe UI"/>
        </w:rPr>
      </w:pPr>
      <w:r>
        <w:rPr>
          <w:rFonts w:cs="Segoe UI"/>
        </w:rPr>
        <w:t>w</w:t>
      </w:r>
      <w:r w:rsidR="00990B7E" w:rsidRPr="00B1246C">
        <w:rPr>
          <w:rFonts w:cs="Segoe UI"/>
        </w:rPr>
        <w:t>hole</w:t>
      </w:r>
      <w:r w:rsidR="00EC002B">
        <w:rPr>
          <w:rFonts w:cs="Segoe UI"/>
        </w:rPr>
        <w:t>-</w:t>
      </w:r>
      <w:r w:rsidR="00990B7E" w:rsidRPr="00B1246C">
        <w:rPr>
          <w:rFonts w:cs="Segoe UI"/>
        </w:rPr>
        <w:t xml:space="preserve">care pathway modelling that would enable the evaluation of </w:t>
      </w:r>
      <w:r w:rsidR="00EC002B">
        <w:rPr>
          <w:rFonts w:cs="Segoe UI"/>
        </w:rPr>
        <w:t xml:space="preserve">the </w:t>
      </w:r>
      <w:r w:rsidR="00990B7E" w:rsidRPr="00B1246C">
        <w:rPr>
          <w:rFonts w:cs="Segoe UI"/>
        </w:rPr>
        <w:t>cost</w:t>
      </w:r>
      <w:r w:rsidR="00EC002B">
        <w:rPr>
          <w:rFonts w:cs="Segoe UI"/>
        </w:rPr>
        <w:noBreakHyphen/>
      </w:r>
      <w:r w:rsidR="00990B7E" w:rsidRPr="00B1246C">
        <w:rPr>
          <w:rFonts w:cs="Segoe UI"/>
        </w:rPr>
        <w:t>effectiveness of different diagnostics and therapies across the care pathway</w:t>
      </w:r>
      <w:r>
        <w:rPr>
          <w:rFonts w:cs="Segoe UI"/>
        </w:rPr>
        <w:t>.</w:t>
      </w:r>
    </w:p>
    <w:p w14:paraId="375F3744" w14:textId="77777777" w:rsidR="00990B7E" w:rsidRPr="005C208A" w:rsidRDefault="00990B7E" w:rsidP="000725DF">
      <w:pPr>
        <w:spacing w:after="0"/>
        <w:ind w:left="357"/>
        <w:rPr>
          <w:rFonts w:cs="Segoe UI"/>
        </w:rPr>
      </w:pPr>
      <w:r w:rsidRPr="005C208A">
        <w:rPr>
          <w:rFonts w:cs="Segoe UI"/>
        </w:rPr>
        <w:t>The feasibility testing should include:</w:t>
      </w:r>
    </w:p>
    <w:p w14:paraId="5AD8083D" w14:textId="42064837" w:rsidR="00990B7E" w:rsidRPr="00824739" w:rsidRDefault="00990B7E" w:rsidP="00C311FA">
      <w:pPr>
        <w:numPr>
          <w:ilvl w:val="0"/>
          <w:numId w:val="100"/>
        </w:numPr>
        <w:spacing w:after="0"/>
        <w:rPr>
          <w:rFonts w:cs="Segoe UI"/>
        </w:rPr>
      </w:pPr>
      <w:r w:rsidRPr="00824739">
        <w:rPr>
          <w:rFonts w:cs="Segoe UI"/>
        </w:rPr>
        <w:t>the potential for international collaboration in the development of models</w:t>
      </w:r>
    </w:p>
    <w:p w14:paraId="5C8A224C" w14:textId="25E79810" w:rsidR="003F5A65" w:rsidRDefault="00990B7E" w:rsidP="00C311FA">
      <w:pPr>
        <w:numPr>
          <w:ilvl w:val="0"/>
          <w:numId w:val="100"/>
        </w:numPr>
        <w:spacing w:after="0"/>
        <w:rPr>
          <w:rFonts w:cs="Segoe UI"/>
        </w:rPr>
      </w:pPr>
      <w:r w:rsidRPr="00824739">
        <w:rPr>
          <w:rFonts w:cs="Segoe UI"/>
        </w:rPr>
        <w:t>consultation with industry and other stakeholders</w:t>
      </w:r>
    </w:p>
    <w:p w14:paraId="01246A14" w14:textId="060D35EF" w:rsidR="00990B7E" w:rsidRPr="00824739" w:rsidRDefault="00990B7E" w:rsidP="00C311FA">
      <w:pPr>
        <w:numPr>
          <w:ilvl w:val="0"/>
          <w:numId w:val="100"/>
        </w:numPr>
        <w:spacing w:after="0"/>
        <w:rPr>
          <w:rFonts w:cs="Segoe UI"/>
        </w:rPr>
      </w:pPr>
      <w:r w:rsidRPr="00824739">
        <w:rPr>
          <w:rFonts w:cs="Segoe UI"/>
        </w:rPr>
        <w:t>the rol</w:t>
      </w:r>
      <w:r>
        <w:rPr>
          <w:rFonts w:cs="Segoe UI"/>
        </w:rPr>
        <w:t>e</w:t>
      </w:r>
      <w:r w:rsidRPr="00824739">
        <w:rPr>
          <w:rFonts w:cs="Segoe UI"/>
        </w:rPr>
        <w:t xml:space="preserve"> of horizon scanning</w:t>
      </w:r>
      <w:r w:rsidR="008C639E">
        <w:rPr>
          <w:rFonts w:cs="Segoe UI"/>
        </w:rPr>
        <w:t>.</w:t>
      </w:r>
      <w:r w:rsidRPr="00824739">
        <w:rPr>
          <w:rFonts w:cs="Segoe UI"/>
        </w:rPr>
        <w:t xml:space="preserve"> </w:t>
      </w:r>
    </w:p>
    <w:p w14:paraId="029CBD59" w14:textId="77777777" w:rsidR="003F5A65" w:rsidRPr="003F5A65" w:rsidRDefault="003F5A65" w:rsidP="003F5A65">
      <w:pPr>
        <w:spacing w:after="0"/>
        <w:ind w:left="720"/>
        <w:rPr>
          <w:rFonts w:cs="Segoe UI"/>
        </w:rPr>
      </w:pPr>
    </w:p>
    <w:p w14:paraId="4AC0C849" w14:textId="1DE8C307" w:rsidR="003774BD" w:rsidRPr="00824739" w:rsidRDefault="003F5A65" w:rsidP="00405FD7">
      <w:pPr>
        <w:rPr>
          <w:rFonts w:cs="Segoe UI"/>
        </w:rPr>
      </w:pPr>
      <w:r>
        <w:rPr>
          <w:noProof/>
        </w:rPr>
        <mc:AlternateContent>
          <mc:Choice Requires="wps">
            <w:drawing>
              <wp:inline distT="0" distB="0" distL="0" distR="0" wp14:anchorId="058EB273" wp14:editId="3BBCECF7">
                <wp:extent cx="5662295" cy="3859618"/>
                <wp:effectExtent l="0" t="0" r="14605" b="26670"/>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2295" cy="3859618"/>
                        </a:xfrm>
                        <a:prstGeom prst="roundRect">
                          <a:avLst/>
                        </a:prstGeom>
                        <a:solidFill>
                          <a:srgbClr val="FFFFFF"/>
                        </a:solidFill>
                        <a:ln w="9525">
                          <a:solidFill>
                            <a:schemeClr val="accent5"/>
                          </a:solidFill>
                          <a:miter lim="800000"/>
                          <a:headEnd/>
                          <a:tailEnd/>
                        </a:ln>
                      </wps:spPr>
                      <wps:txbx>
                        <w:txbxContent>
                          <w:p w14:paraId="5EEB7DFC" w14:textId="2AB13708" w:rsidR="007E434E" w:rsidRPr="00562C6B" w:rsidRDefault="003F5A65" w:rsidP="005B0F1D">
                            <w:pPr>
                              <w:pStyle w:val="Call-outbox"/>
                              <w:spacing w:before="0"/>
                              <w:rPr>
                                <w:szCs w:val="28"/>
                              </w:rPr>
                            </w:pPr>
                            <w:r w:rsidRPr="00562C6B">
                              <w:rPr>
                                <w:szCs w:val="28"/>
                              </w:rPr>
                              <w:t xml:space="preserve">Why </w:t>
                            </w:r>
                            <w:r w:rsidRPr="00562C6B">
                              <w:rPr>
                                <w:szCs w:val="28"/>
                              </w:rPr>
                              <w:t>this matters</w:t>
                            </w:r>
                          </w:p>
                          <w:p w14:paraId="74C49143" w14:textId="616D6141" w:rsidR="007E434E" w:rsidRPr="00562C6B" w:rsidRDefault="007E434E" w:rsidP="00F86EF1">
                            <w:pPr>
                              <w:pStyle w:val="Call-outbox"/>
                              <w:jc w:val="both"/>
                              <w:rPr>
                                <w:rFonts w:cs="Segoe UI"/>
                                <w:b w:val="0"/>
                                <w:i w:val="0"/>
                                <w:color w:val="000000" w:themeColor="text1"/>
                                <w:sz w:val="24"/>
                              </w:rPr>
                            </w:pPr>
                            <w:r w:rsidRPr="00562C6B">
                              <w:rPr>
                                <w:rFonts w:cs="Segoe UI"/>
                                <w:b w:val="0"/>
                                <w:i w:val="0"/>
                                <w:color w:val="000000" w:themeColor="text1"/>
                                <w:sz w:val="24"/>
                              </w:rPr>
                              <w:t xml:space="preserve">Following the recommendations in Chapter 4.2 would reduce the time frame for Australians to gain subsidised access to </w:t>
                            </w:r>
                            <w:r w:rsidR="00CD465F" w:rsidRPr="00562C6B">
                              <w:rPr>
                                <w:rFonts w:cs="Segoe UI"/>
                                <w:b w:val="0"/>
                                <w:i w:val="0"/>
                                <w:color w:val="000000" w:themeColor="text1"/>
                                <w:sz w:val="24"/>
                              </w:rPr>
                              <w:t>HATV</w:t>
                            </w:r>
                            <w:r w:rsidRPr="00562C6B">
                              <w:rPr>
                                <w:rFonts w:cs="Segoe UI"/>
                                <w:b w:val="0"/>
                                <w:i w:val="0"/>
                                <w:color w:val="000000" w:themeColor="text1"/>
                                <w:sz w:val="24"/>
                              </w:rPr>
                              <w:t xml:space="preserve"> therapies by around 16 months.</w:t>
                            </w:r>
                          </w:p>
                          <w:p w14:paraId="3F2957A1" w14:textId="5CB7B815" w:rsidR="00C6106F" w:rsidRPr="00562C6B" w:rsidRDefault="001778E0" w:rsidP="00F86EF1">
                            <w:pPr>
                              <w:pStyle w:val="Call-outbox"/>
                              <w:jc w:val="both"/>
                              <w:rPr>
                                <w:rFonts w:cs="Segoe UI"/>
                                <w:b w:val="0"/>
                                <w:i w:val="0"/>
                                <w:color w:val="000000" w:themeColor="text1"/>
                                <w:sz w:val="24"/>
                              </w:rPr>
                            </w:pPr>
                            <w:r w:rsidRPr="00562C6B">
                              <w:rPr>
                                <w:rFonts w:cs="Segoe UI"/>
                                <w:b w:val="0"/>
                                <w:i w:val="0"/>
                                <w:color w:val="000000" w:themeColor="text1"/>
                                <w:sz w:val="24"/>
                              </w:rPr>
                              <w:t>T</w:t>
                            </w:r>
                            <w:r w:rsidR="00573D55" w:rsidRPr="00562C6B">
                              <w:rPr>
                                <w:rFonts w:cs="Segoe UI"/>
                                <w:b w:val="0"/>
                                <w:i w:val="0"/>
                                <w:color w:val="000000" w:themeColor="text1"/>
                                <w:sz w:val="24"/>
                              </w:rPr>
                              <w:t>ypically, under the current system, a sponsor</w:t>
                            </w:r>
                            <w:r w:rsidR="00C6106F" w:rsidRPr="00562C6B">
                              <w:rPr>
                                <w:rFonts w:cs="Segoe UI"/>
                                <w:b w:val="0"/>
                                <w:i w:val="0"/>
                                <w:color w:val="000000" w:themeColor="text1"/>
                                <w:sz w:val="24"/>
                              </w:rPr>
                              <w:t xml:space="preserve">: </w:t>
                            </w:r>
                          </w:p>
                          <w:p w14:paraId="4F2D96A4" w14:textId="14D8BE37" w:rsidR="004E2672" w:rsidRPr="00562C6B" w:rsidRDefault="004E2672"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 xml:space="preserve">does not </w:t>
                            </w:r>
                            <w:r w:rsidR="0058449A" w:rsidRPr="00562C6B">
                              <w:rPr>
                                <w:rFonts w:cs="Segoe UI"/>
                                <w:b w:val="0"/>
                                <w:i w:val="0"/>
                                <w:color w:val="000000" w:themeColor="text1"/>
                                <w:sz w:val="24"/>
                              </w:rPr>
                              <w:t>apply for</w:t>
                            </w:r>
                            <w:r w:rsidR="00C7540C" w:rsidRPr="00562C6B">
                              <w:rPr>
                                <w:rFonts w:cs="Segoe UI"/>
                                <w:b w:val="0"/>
                                <w:i w:val="0"/>
                                <w:color w:val="000000" w:themeColor="text1"/>
                                <w:sz w:val="24"/>
                              </w:rPr>
                              <w:t xml:space="preserve"> ARTG registration until </w:t>
                            </w:r>
                            <w:r w:rsidR="00573D55" w:rsidRPr="00562C6B">
                              <w:rPr>
                                <w:rFonts w:cs="Segoe UI"/>
                                <w:b w:val="0"/>
                                <w:i w:val="0"/>
                                <w:color w:val="000000" w:themeColor="text1"/>
                                <w:sz w:val="24"/>
                              </w:rPr>
                              <w:t xml:space="preserve">an average of </w:t>
                            </w:r>
                            <w:r w:rsidR="00C7540C" w:rsidRPr="00562C6B">
                              <w:rPr>
                                <w:rFonts w:cs="Segoe UI"/>
                                <w:b w:val="0"/>
                                <w:i w:val="0"/>
                                <w:color w:val="000000" w:themeColor="text1"/>
                                <w:sz w:val="24"/>
                              </w:rPr>
                              <w:t>17</w:t>
                            </w:r>
                            <w:r w:rsidR="00573D55" w:rsidRPr="00562C6B">
                              <w:rPr>
                                <w:rFonts w:cs="Segoe UI"/>
                                <w:b w:val="0"/>
                                <w:i w:val="0"/>
                                <w:color w:val="000000" w:themeColor="text1"/>
                                <w:sz w:val="24"/>
                              </w:rPr>
                              <w:t> </w:t>
                            </w:r>
                            <w:r w:rsidR="00C7540C" w:rsidRPr="00562C6B">
                              <w:rPr>
                                <w:rFonts w:cs="Segoe UI"/>
                                <w:b w:val="0"/>
                                <w:i w:val="0"/>
                                <w:color w:val="000000" w:themeColor="text1"/>
                                <w:sz w:val="24"/>
                              </w:rPr>
                              <w:t xml:space="preserve">months after </w:t>
                            </w:r>
                            <w:r w:rsidR="005E1263" w:rsidRPr="00562C6B">
                              <w:rPr>
                                <w:rFonts w:cs="Segoe UI"/>
                                <w:b w:val="0"/>
                                <w:i w:val="0"/>
                                <w:color w:val="000000" w:themeColor="text1"/>
                                <w:sz w:val="24"/>
                              </w:rPr>
                              <w:t xml:space="preserve">receiving </w:t>
                            </w:r>
                            <w:r w:rsidR="00573D55" w:rsidRPr="00562C6B">
                              <w:rPr>
                                <w:rFonts w:cs="Segoe UI"/>
                                <w:b w:val="0"/>
                                <w:i w:val="0"/>
                                <w:color w:val="000000" w:themeColor="text1"/>
                                <w:sz w:val="24"/>
                              </w:rPr>
                              <w:t>its</w:t>
                            </w:r>
                            <w:r w:rsidR="005E1263" w:rsidRPr="00562C6B">
                              <w:rPr>
                                <w:rFonts w:cs="Segoe UI"/>
                                <w:b w:val="0"/>
                                <w:i w:val="0"/>
                                <w:color w:val="000000" w:themeColor="text1"/>
                                <w:sz w:val="24"/>
                              </w:rPr>
                              <w:t xml:space="preserve"> first </w:t>
                            </w:r>
                            <w:r w:rsidR="00E504A5" w:rsidRPr="00562C6B">
                              <w:rPr>
                                <w:rFonts w:cs="Segoe UI"/>
                                <w:b w:val="0"/>
                                <w:i w:val="0"/>
                                <w:color w:val="000000" w:themeColor="text1"/>
                                <w:sz w:val="24"/>
                              </w:rPr>
                              <w:t xml:space="preserve">major </w:t>
                            </w:r>
                            <w:r w:rsidR="005068F9" w:rsidRPr="00562C6B">
                              <w:rPr>
                                <w:rFonts w:cs="Segoe UI"/>
                                <w:b w:val="0"/>
                                <w:i w:val="0"/>
                                <w:color w:val="000000" w:themeColor="text1"/>
                                <w:sz w:val="24"/>
                              </w:rPr>
                              <w:t>overseas</w:t>
                            </w:r>
                            <w:r w:rsidR="00E504A5" w:rsidRPr="00562C6B">
                              <w:rPr>
                                <w:rFonts w:cs="Segoe UI"/>
                                <w:b w:val="0"/>
                                <w:i w:val="0"/>
                                <w:color w:val="000000" w:themeColor="text1"/>
                                <w:sz w:val="24"/>
                              </w:rPr>
                              <w:t xml:space="preserve"> registr</w:t>
                            </w:r>
                            <w:r w:rsidR="00DB0159" w:rsidRPr="00562C6B">
                              <w:rPr>
                                <w:rFonts w:cs="Segoe UI"/>
                                <w:b w:val="0"/>
                                <w:i w:val="0"/>
                                <w:color w:val="000000" w:themeColor="text1"/>
                                <w:sz w:val="24"/>
                              </w:rPr>
                              <w:t>ation</w:t>
                            </w:r>
                          </w:p>
                          <w:p w14:paraId="7DE5EBD1" w14:textId="3C185088" w:rsidR="003C126D" w:rsidRPr="00562C6B" w:rsidRDefault="00573D55"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w</w:t>
                            </w:r>
                            <w:r w:rsidR="00994E78" w:rsidRPr="00562C6B">
                              <w:rPr>
                                <w:rFonts w:cs="Segoe UI"/>
                                <w:b w:val="0"/>
                                <w:i w:val="0"/>
                                <w:color w:val="000000" w:themeColor="text1"/>
                                <w:sz w:val="24"/>
                              </w:rPr>
                              <w:t xml:space="preserve">aits to </w:t>
                            </w:r>
                            <w:r w:rsidRPr="00562C6B">
                              <w:rPr>
                                <w:rFonts w:cs="Segoe UI"/>
                                <w:b w:val="0"/>
                                <w:i w:val="0"/>
                                <w:color w:val="000000" w:themeColor="text1"/>
                                <w:sz w:val="24"/>
                              </w:rPr>
                              <w:t xml:space="preserve">receive ARTG registration before </w:t>
                            </w:r>
                            <w:r w:rsidR="00994E78" w:rsidRPr="00562C6B">
                              <w:rPr>
                                <w:rFonts w:cs="Segoe UI"/>
                                <w:b w:val="0"/>
                                <w:i w:val="0"/>
                                <w:color w:val="000000" w:themeColor="text1"/>
                                <w:sz w:val="24"/>
                              </w:rPr>
                              <w:t>apply</w:t>
                            </w:r>
                            <w:r w:rsidRPr="00562C6B">
                              <w:rPr>
                                <w:rFonts w:cs="Segoe UI"/>
                                <w:b w:val="0"/>
                                <w:i w:val="0"/>
                                <w:color w:val="000000" w:themeColor="text1"/>
                                <w:sz w:val="24"/>
                              </w:rPr>
                              <w:t>ing</w:t>
                            </w:r>
                            <w:r w:rsidR="00994E78" w:rsidRPr="00562C6B">
                              <w:rPr>
                                <w:rFonts w:cs="Segoe UI"/>
                                <w:b w:val="0"/>
                                <w:i w:val="0"/>
                                <w:color w:val="000000" w:themeColor="text1"/>
                                <w:sz w:val="24"/>
                              </w:rPr>
                              <w:t xml:space="preserve"> </w:t>
                            </w:r>
                            <w:r w:rsidR="00F76D85" w:rsidRPr="00562C6B">
                              <w:rPr>
                                <w:rFonts w:cs="Segoe UI"/>
                                <w:b w:val="0"/>
                                <w:i w:val="0"/>
                                <w:color w:val="000000" w:themeColor="text1"/>
                                <w:sz w:val="24"/>
                              </w:rPr>
                              <w:t>for PBAC consideration</w:t>
                            </w:r>
                            <w:r w:rsidRPr="00562C6B">
                              <w:rPr>
                                <w:rFonts w:cs="Segoe UI"/>
                                <w:b w:val="0"/>
                                <w:i w:val="0"/>
                                <w:color w:val="000000" w:themeColor="text1"/>
                                <w:sz w:val="24"/>
                              </w:rPr>
                              <w:t>,</w:t>
                            </w:r>
                            <w:r w:rsidR="003C126D" w:rsidRPr="00562C6B">
                              <w:rPr>
                                <w:rFonts w:cs="Segoe UI"/>
                                <w:b w:val="0"/>
                                <w:i w:val="0"/>
                                <w:color w:val="000000" w:themeColor="text1"/>
                                <w:sz w:val="24"/>
                              </w:rPr>
                              <w:t xml:space="preserve"> rather than using </w:t>
                            </w:r>
                            <w:r w:rsidR="00F13CD8" w:rsidRPr="00562C6B">
                              <w:rPr>
                                <w:rFonts w:cs="Segoe UI"/>
                                <w:b w:val="0"/>
                                <w:i w:val="0"/>
                                <w:color w:val="000000" w:themeColor="text1"/>
                                <w:sz w:val="24"/>
                              </w:rPr>
                              <w:t>parallel TGA and PBAC processing</w:t>
                            </w:r>
                            <w:r w:rsidR="003C126D" w:rsidRPr="00562C6B">
                              <w:rPr>
                                <w:rFonts w:cs="Segoe UI"/>
                                <w:b w:val="0"/>
                                <w:i w:val="0"/>
                                <w:color w:val="000000" w:themeColor="text1"/>
                                <w:sz w:val="24"/>
                              </w:rPr>
                              <w:t xml:space="preserve"> </w:t>
                            </w:r>
                          </w:p>
                          <w:p w14:paraId="1DD6128E" w14:textId="3FB500F4" w:rsidR="00AA20C3" w:rsidRPr="00562C6B" w:rsidRDefault="00573D55"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d</w:t>
                            </w:r>
                            <w:r w:rsidR="00560D86" w:rsidRPr="00562C6B">
                              <w:rPr>
                                <w:rFonts w:cs="Segoe UI"/>
                                <w:b w:val="0"/>
                                <w:i w:val="0"/>
                                <w:color w:val="000000" w:themeColor="text1"/>
                                <w:sz w:val="24"/>
                              </w:rPr>
                              <w:t xml:space="preserve">oes not use one of the </w:t>
                            </w:r>
                            <w:r w:rsidR="000863E7" w:rsidRPr="00562C6B">
                              <w:rPr>
                                <w:rFonts w:cs="Segoe UI"/>
                                <w:b w:val="0"/>
                                <w:i w:val="0"/>
                                <w:color w:val="000000" w:themeColor="text1"/>
                                <w:sz w:val="24"/>
                              </w:rPr>
                              <w:t xml:space="preserve">current early resolution or </w:t>
                            </w:r>
                            <w:r w:rsidR="004A6295" w:rsidRPr="00562C6B">
                              <w:rPr>
                                <w:rFonts w:cs="Segoe UI"/>
                                <w:b w:val="0"/>
                                <w:i w:val="0"/>
                                <w:color w:val="000000" w:themeColor="text1"/>
                                <w:sz w:val="24"/>
                              </w:rPr>
                              <w:t>facilitated resolution</w:t>
                            </w:r>
                            <w:r w:rsidR="000863E7" w:rsidRPr="00562C6B">
                              <w:rPr>
                                <w:rFonts w:cs="Segoe UI"/>
                                <w:b w:val="0"/>
                                <w:i w:val="0"/>
                                <w:color w:val="000000" w:themeColor="text1"/>
                                <w:sz w:val="24"/>
                              </w:rPr>
                              <w:t xml:space="preserve"> PBAC pathways</w:t>
                            </w:r>
                          </w:p>
                          <w:p w14:paraId="606CFC96" w14:textId="729DE81A" w:rsidR="00697685" w:rsidRPr="00562C6B" w:rsidRDefault="00573D55" w:rsidP="00281153">
                            <w:pPr>
                              <w:pStyle w:val="Call-outbox"/>
                              <w:numPr>
                                <w:ilvl w:val="0"/>
                                <w:numId w:val="56"/>
                              </w:numPr>
                              <w:spacing w:after="240"/>
                              <w:jc w:val="both"/>
                              <w:rPr>
                                <w:rFonts w:cs="Segoe UI"/>
                                <w:b w:val="0"/>
                                <w:i w:val="0"/>
                                <w:color w:val="000000" w:themeColor="text1"/>
                                <w:sz w:val="24"/>
                              </w:rPr>
                            </w:pPr>
                            <w:r w:rsidRPr="00562C6B">
                              <w:rPr>
                                <w:rFonts w:cs="Segoe UI"/>
                                <w:b w:val="0"/>
                                <w:i w:val="0"/>
                                <w:color w:val="000000" w:themeColor="text1"/>
                                <w:sz w:val="24"/>
                              </w:rPr>
                              <w:t>d</w:t>
                            </w:r>
                            <w:r w:rsidR="004E2D6E" w:rsidRPr="00562C6B">
                              <w:rPr>
                                <w:rFonts w:cs="Segoe UI"/>
                                <w:b w:val="0"/>
                                <w:i w:val="0"/>
                                <w:color w:val="000000" w:themeColor="text1"/>
                                <w:sz w:val="24"/>
                              </w:rPr>
                              <w:t>oe</w:t>
                            </w:r>
                            <w:r w:rsidR="008B7C21" w:rsidRPr="00562C6B">
                              <w:rPr>
                                <w:rFonts w:cs="Segoe UI"/>
                                <w:b w:val="0"/>
                                <w:i w:val="0"/>
                                <w:color w:val="000000" w:themeColor="text1"/>
                                <w:sz w:val="24"/>
                              </w:rPr>
                              <w:t>s not need more than one resubmission.</w:t>
                            </w:r>
                          </w:p>
                          <w:p w14:paraId="5EAFD6E5" w14:textId="70FFA542" w:rsidR="004E2D6E" w:rsidRPr="00562C6B" w:rsidRDefault="00041067" w:rsidP="000C5623">
                            <w:pPr>
                              <w:pStyle w:val="Call-outbox"/>
                              <w:jc w:val="both"/>
                              <w:rPr>
                                <w:rFonts w:cs="Segoe UI"/>
                                <w:b w:val="0"/>
                                <w:color w:val="000000" w:themeColor="text1"/>
                                <w:sz w:val="24"/>
                              </w:rPr>
                            </w:pPr>
                            <w:r w:rsidRPr="00562C6B">
                              <w:rPr>
                                <w:rFonts w:cs="Segoe UI"/>
                                <w:b w:val="0"/>
                                <w:i w:val="0"/>
                                <w:iCs w:val="0"/>
                                <w:color w:val="000000" w:themeColor="text1"/>
                                <w:sz w:val="24"/>
                              </w:rPr>
                              <w:t xml:space="preserve">Note: </w:t>
                            </w:r>
                            <w:r w:rsidR="00697685" w:rsidRPr="00562C6B">
                              <w:rPr>
                                <w:rFonts w:cs="Segoe UI"/>
                                <w:b w:val="0"/>
                                <w:i w:val="0"/>
                                <w:iCs w:val="0"/>
                                <w:color w:val="000000" w:themeColor="text1"/>
                                <w:sz w:val="24"/>
                              </w:rPr>
                              <w:t>Currently</w:t>
                            </w:r>
                            <w:r w:rsidR="007E434E" w:rsidRPr="00562C6B">
                              <w:rPr>
                                <w:rFonts w:cs="Segoe UI"/>
                                <w:b w:val="0"/>
                                <w:i w:val="0"/>
                                <w:iCs w:val="0"/>
                                <w:color w:val="000000" w:themeColor="text1"/>
                                <w:sz w:val="24"/>
                              </w:rPr>
                              <w:t>,</w:t>
                            </w:r>
                            <w:r w:rsidR="00697685" w:rsidRPr="00562C6B">
                              <w:rPr>
                                <w:rFonts w:cs="Segoe UI"/>
                                <w:b w:val="0"/>
                                <w:i w:val="0"/>
                                <w:iCs w:val="0"/>
                                <w:color w:val="000000" w:themeColor="text1"/>
                                <w:sz w:val="24"/>
                              </w:rPr>
                              <w:t xml:space="preserve"> the </w:t>
                            </w:r>
                            <w:r w:rsidRPr="00562C6B">
                              <w:rPr>
                                <w:rFonts w:cs="Segoe UI"/>
                                <w:b w:val="0"/>
                                <w:i w:val="0"/>
                                <w:iCs w:val="0"/>
                                <w:color w:val="000000" w:themeColor="text1"/>
                                <w:sz w:val="24"/>
                              </w:rPr>
                              <w:t xml:space="preserve">PBAC </w:t>
                            </w:r>
                            <w:r w:rsidR="007E434E" w:rsidRPr="00562C6B">
                              <w:rPr>
                                <w:rFonts w:cs="Segoe UI"/>
                                <w:b w:val="0"/>
                                <w:i w:val="0"/>
                                <w:iCs w:val="0"/>
                                <w:color w:val="000000" w:themeColor="text1"/>
                                <w:sz w:val="24"/>
                              </w:rPr>
                              <w:t>assesses re</w:t>
                            </w:r>
                            <w:r w:rsidR="008309FC" w:rsidRPr="00562C6B">
                              <w:rPr>
                                <w:rFonts w:cs="Segoe UI"/>
                                <w:b w:val="0"/>
                                <w:i w:val="0"/>
                                <w:iCs w:val="0"/>
                                <w:color w:val="000000" w:themeColor="text1"/>
                                <w:sz w:val="24"/>
                              </w:rPr>
                              <w:t xml:space="preserve">submissions of HATV </w:t>
                            </w:r>
                            <w:r w:rsidR="00573D55" w:rsidRPr="00562C6B">
                              <w:rPr>
                                <w:rFonts w:cs="Segoe UI"/>
                                <w:b w:val="0"/>
                                <w:i w:val="0"/>
                                <w:iCs w:val="0"/>
                                <w:color w:val="000000" w:themeColor="text1"/>
                                <w:sz w:val="24"/>
                              </w:rPr>
                              <w:t>via the</w:t>
                            </w:r>
                            <w:r w:rsidR="00647A7F" w:rsidRPr="00562C6B">
                              <w:rPr>
                                <w:rFonts w:cs="Segoe UI"/>
                                <w:b w:val="0"/>
                                <w:i w:val="0"/>
                                <w:iCs w:val="0"/>
                                <w:color w:val="000000" w:themeColor="text1"/>
                                <w:sz w:val="24"/>
                              </w:rPr>
                              <w:t xml:space="preserve"> early </w:t>
                            </w:r>
                            <w:r w:rsidR="00C60EB7" w:rsidRPr="00562C6B">
                              <w:rPr>
                                <w:rFonts w:cs="Segoe UI"/>
                                <w:b w:val="0"/>
                                <w:i w:val="0"/>
                                <w:iCs w:val="0"/>
                                <w:color w:val="000000" w:themeColor="text1"/>
                                <w:sz w:val="24"/>
                              </w:rPr>
                              <w:t>re</w:t>
                            </w:r>
                            <w:r w:rsidR="00697685" w:rsidRPr="00562C6B">
                              <w:rPr>
                                <w:rFonts w:cs="Segoe UI"/>
                                <w:b w:val="0"/>
                                <w:i w:val="0"/>
                                <w:iCs w:val="0"/>
                                <w:color w:val="000000" w:themeColor="text1"/>
                                <w:sz w:val="24"/>
                              </w:rPr>
                              <w:t xml:space="preserve">solution or </w:t>
                            </w:r>
                            <w:r w:rsidR="00573D55" w:rsidRPr="00562C6B">
                              <w:rPr>
                                <w:rFonts w:cs="Segoe UI"/>
                                <w:b w:val="0"/>
                                <w:i w:val="0"/>
                                <w:iCs w:val="0"/>
                                <w:color w:val="000000" w:themeColor="text1"/>
                                <w:sz w:val="24"/>
                              </w:rPr>
                              <w:t xml:space="preserve">facilitated resolution </w:t>
                            </w:r>
                            <w:r w:rsidR="00697685" w:rsidRPr="00562C6B">
                              <w:rPr>
                                <w:rFonts w:cs="Segoe UI"/>
                                <w:b w:val="0"/>
                                <w:i w:val="0"/>
                                <w:iCs w:val="0"/>
                                <w:color w:val="000000" w:themeColor="text1"/>
                                <w:sz w:val="24"/>
                              </w:rPr>
                              <w:t>pathway</w:t>
                            </w:r>
                            <w:r w:rsidR="00573D55" w:rsidRPr="00562C6B">
                              <w:rPr>
                                <w:rFonts w:cs="Segoe UI"/>
                                <w:b w:val="0"/>
                                <w:i w:val="0"/>
                                <w:iCs w:val="0"/>
                                <w:color w:val="000000" w:themeColor="text1"/>
                                <w:sz w:val="24"/>
                              </w:rPr>
                              <w:t>,</w:t>
                            </w:r>
                            <w:r w:rsidR="00697685" w:rsidRPr="00562C6B">
                              <w:rPr>
                                <w:rFonts w:cs="Segoe UI"/>
                                <w:b w:val="0"/>
                                <w:i w:val="0"/>
                                <w:iCs w:val="0"/>
                                <w:color w:val="000000" w:themeColor="text1"/>
                                <w:sz w:val="24"/>
                              </w:rPr>
                              <w:t xml:space="preserve"> wherever</w:t>
                            </w:r>
                            <w:r w:rsidR="00697685" w:rsidRPr="00562C6B">
                              <w:rPr>
                                <w:rFonts w:cs="Segoe UI"/>
                                <w:b w:val="0"/>
                                <w:iCs w:val="0"/>
                                <w:color w:val="000000" w:themeColor="text1"/>
                                <w:sz w:val="24"/>
                              </w:rPr>
                              <w:t xml:space="preserve"> </w:t>
                            </w:r>
                            <w:r w:rsidR="00697685" w:rsidRPr="00562C6B">
                              <w:rPr>
                                <w:rFonts w:cs="Segoe UI"/>
                                <w:b w:val="0"/>
                                <w:i w:val="0"/>
                                <w:color w:val="000000" w:themeColor="text1"/>
                                <w:sz w:val="24"/>
                              </w:rPr>
                              <w:t>possible.</w:t>
                            </w:r>
                            <w:r w:rsidR="00697685" w:rsidRPr="00562C6B">
                              <w:rPr>
                                <w:rFonts w:cs="Segoe UI"/>
                                <w:b w:val="0"/>
                                <w:iCs w:val="0"/>
                                <w:color w:val="000000" w:themeColor="text1"/>
                                <w:sz w:val="24"/>
                              </w:rPr>
                              <w:t xml:space="preserve"> </w:t>
                            </w:r>
                          </w:p>
                        </w:txbxContent>
                      </wps:txbx>
                      <wps:bodyPr rot="0" vert="horz" wrap="square" lIns="91440" tIns="45720" rIns="91440" bIns="45720" anchor="t" anchorCtr="0">
                        <a:noAutofit/>
                      </wps:bodyPr>
                    </wps:wsp>
                  </a:graphicData>
                </a:graphic>
              </wp:inline>
            </w:drawing>
          </mc:Choice>
          <mc:Fallback>
            <w:pict>
              <v:roundrect w14:anchorId="058EB273" id="Text Box 7" o:spid="_x0000_s1031" style="width:445.85pt;height:303.9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" strokecolor="#acc02a [3208]">
                <v:stroke joinstyle="miter"/>
                <v:textbox>
                  <w:txbxContent>
                    <w:p w14:paraId="5EEB7DFC" w14:textId="2AB13708" w:rsidR="007E434E" w:rsidRPr="00562C6B" w:rsidRDefault="003F5A65" w:rsidP="005B0F1D">
                      <w:pPr>
                        <w:pStyle w:val="Call-outbox"/>
                        <w:spacing w:before="0"/>
                        <w:rPr>
                          <w:szCs w:val="28"/>
                        </w:rPr>
                      </w:pPr>
                      <w:r w:rsidRPr="00562C6B">
                        <w:rPr>
                          <w:szCs w:val="28"/>
                        </w:rPr>
                        <w:t>Why this matters</w:t>
                      </w:r>
                    </w:p>
                    <w:p w14:paraId="74C49143" w14:textId="616D6141" w:rsidR="007E434E" w:rsidRPr="00562C6B" w:rsidRDefault="007E434E" w:rsidP="00F86EF1">
                      <w:pPr>
                        <w:pStyle w:val="Call-outbox"/>
                        <w:jc w:val="both"/>
                        <w:rPr>
                          <w:rFonts w:cs="Segoe UI"/>
                          <w:b w:val="0"/>
                          <w:i w:val="0"/>
                          <w:color w:val="000000" w:themeColor="text1"/>
                          <w:sz w:val="24"/>
                        </w:rPr>
                      </w:pPr>
                      <w:r w:rsidRPr="00562C6B">
                        <w:rPr>
                          <w:rFonts w:cs="Segoe UI"/>
                          <w:b w:val="0"/>
                          <w:i w:val="0"/>
                          <w:color w:val="000000" w:themeColor="text1"/>
                          <w:sz w:val="24"/>
                        </w:rPr>
                        <w:t xml:space="preserve">Following the recommendations in Chapter 4.2 would reduce the time frame for Australians to gain subsidised access to </w:t>
                      </w:r>
                      <w:r w:rsidR="00CD465F" w:rsidRPr="00562C6B">
                        <w:rPr>
                          <w:rFonts w:cs="Segoe UI"/>
                          <w:b w:val="0"/>
                          <w:i w:val="0"/>
                          <w:color w:val="000000" w:themeColor="text1"/>
                          <w:sz w:val="24"/>
                        </w:rPr>
                        <w:t>HATV</w:t>
                      </w:r>
                      <w:r w:rsidRPr="00562C6B">
                        <w:rPr>
                          <w:rFonts w:cs="Segoe UI"/>
                          <w:b w:val="0"/>
                          <w:i w:val="0"/>
                          <w:color w:val="000000" w:themeColor="text1"/>
                          <w:sz w:val="24"/>
                        </w:rPr>
                        <w:t xml:space="preserve"> therapies by around 16 months.</w:t>
                      </w:r>
                    </w:p>
                    <w:p w14:paraId="3F2957A1" w14:textId="5CB7B815" w:rsidR="00C6106F" w:rsidRPr="00562C6B" w:rsidRDefault="001778E0" w:rsidP="00F86EF1">
                      <w:pPr>
                        <w:pStyle w:val="Call-outbox"/>
                        <w:jc w:val="both"/>
                        <w:rPr>
                          <w:rFonts w:cs="Segoe UI"/>
                          <w:b w:val="0"/>
                          <w:i w:val="0"/>
                          <w:color w:val="000000" w:themeColor="text1"/>
                          <w:sz w:val="24"/>
                        </w:rPr>
                      </w:pPr>
                      <w:r w:rsidRPr="00562C6B">
                        <w:rPr>
                          <w:rFonts w:cs="Segoe UI"/>
                          <w:b w:val="0"/>
                          <w:i w:val="0"/>
                          <w:color w:val="000000" w:themeColor="text1"/>
                          <w:sz w:val="24"/>
                        </w:rPr>
                        <w:t>T</w:t>
                      </w:r>
                      <w:r w:rsidR="00573D55" w:rsidRPr="00562C6B">
                        <w:rPr>
                          <w:rFonts w:cs="Segoe UI"/>
                          <w:b w:val="0"/>
                          <w:i w:val="0"/>
                          <w:color w:val="000000" w:themeColor="text1"/>
                          <w:sz w:val="24"/>
                        </w:rPr>
                        <w:t>ypically, under the current system, a sponsor</w:t>
                      </w:r>
                      <w:r w:rsidR="00C6106F" w:rsidRPr="00562C6B">
                        <w:rPr>
                          <w:rFonts w:cs="Segoe UI"/>
                          <w:b w:val="0"/>
                          <w:i w:val="0"/>
                          <w:color w:val="000000" w:themeColor="text1"/>
                          <w:sz w:val="24"/>
                        </w:rPr>
                        <w:t xml:space="preserve">: </w:t>
                      </w:r>
                    </w:p>
                    <w:p w14:paraId="4F2D96A4" w14:textId="14D8BE37" w:rsidR="004E2672" w:rsidRPr="00562C6B" w:rsidRDefault="004E2672"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 xml:space="preserve">does not </w:t>
                      </w:r>
                      <w:r w:rsidR="0058449A" w:rsidRPr="00562C6B">
                        <w:rPr>
                          <w:rFonts w:cs="Segoe UI"/>
                          <w:b w:val="0"/>
                          <w:i w:val="0"/>
                          <w:color w:val="000000" w:themeColor="text1"/>
                          <w:sz w:val="24"/>
                        </w:rPr>
                        <w:t>apply for</w:t>
                      </w:r>
                      <w:r w:rsidR="00C7540C" w:rsidRPr="00562C6B">
                        <w:rPr>
                          <w:rFonts w:cs="Segoe UI"/>
                          <w:b w:val="0"/>
                          <w:i w:val="0"/>
                          <w:color w:val="000000" w:themeColor="text1"/>
                          <w:sz w:val="24"/>
                        </w:rPr>
                        <w:t xml:space="preserve"> ARTG registration until </w:t>
                      </w:r>
                      <w:r w:rsidR="00573D55" w:rsidRPr="00562C6B">
                        <w:rPr>
                          <w:rFonts w:cs="Segoe UI"/>
                          <w:b w:val="0"/>
                          <w:i w:val="0"/>
                          <w:color w:val="000000" w:themeColor="text1"/>
                          <w:sz w:val="24"/>
                        </w:rPr>
                        <w:t xml:space="preserve">an average of </w:t>
                      </w:r>
                      <w:r w:rsidR="00C7540C" w:rsidRPr="00562C6B">
                        <w:rPr>
                          <w:rFonts w:cs="Segoe UI"/>
                          <w:b w:val="0"/>
                          <w:i w:val="0"/>
                          <w:color w:val="000000" w:themeColor="text1"/>
                          <w:sz w:val="24"/>
                        </w:rPr>
                        <w:t>17</w:t>
                      </w:r>
                      <w:r w:rsidR="00573D55" w:rsidRPr="00562C6B">
                        <w:rPr>
                          <w:rFonts w:cs="Segoe UI"/>
                          <w:b w:val="0"/>
                          <w:i w:val="0"/>
                          <w:color w:val="000000" w:themeColor="text1"/>
                          <w:sz w:val="24"/>
                        </w:rPr>
                        <w:t> </w:t>
                      </w:r>
                      <w:r w:rsidR="00C7540C" w:rsidRPr="00562C6B">
                        <w:rPr>
                          <w:rFonts w:cs="Segoe UI"/>
                          <w:b w:val="0"/>
                          <w:i w:val="0"/>
                          <w:color w:val="000000" w:themeColor="text1"/>
                          <w:sz w:val="24"/>
                        </w:rPr>
                        <w:t xml:space="preserve">months after </w:t>
                      </w:r>
                      <w:r w:rsidR="005E1263" w:rsidRPr="00562C6B">
                        <w:rPr>
                          <w:rFonts w:cs="Segoe UI"/>
                          <w:b w:val="0"/>
                          <w:i w:val="0"/>
                          <w:color w:val="000000" w:themeColor="text1"/>
                          <w:sz w:val="24"/>
                        </w:rPr>
                        <w:t xml:space="preserve">receiving </w:t>
                      </w:r>
                      <w:r w:rsidR="00573D55" w:rsidRPr="00562C6B">
                        <w:rPr>
                          <w:rFonts w:cs="Segoe UI"/>
                          <w:b w:val="0"/>
                          <w:i w:val="0"/>
                          <w:color w:val="000000" w:themeColor="text1"/>
                          <w:sz w:val="24"/>
                        </w:rPr>
                        <w:t>its</w:t>
                      </w:r>
                      <w:r w:rsidR="005E1263" w:rsidRPr="00562C6B">
                        <w:rPr>
                          <w:rFonts w:cs="Segoe UI"/>
                          <w:b w:val="0"/>
                          <w:i w:val="0"/>
                          <w:color w:val="000000" w:themeColor="text1"/>
                          <w:sz w:val="24"/>
                        </w:rPr>
                        <w:t xml:space="preserve"> first </w:t>
                      </w:r>
                      <w:r w:rsidR="00E504A5" w:rsidRPr="00562C6B">
                        <w:rPr>
                          <w:rFonts w:cs="Segoe UI"/>
                          <w:b w:val="0"/>
                          <w:i w:val="0"/>
                          <w:color w:val="000000" w:themeColor="text1"/>
                          <w:sz w:val="24"/>
                        </w:rPr>
                        <w:t xml:space="preserve">major </w:t>
                      </w:r>
                      <w:r w:rsidR="005068F9" w:rsidRPr="00562C6B">
                        <w:rPr>
                          <w:rFonts w:cs="Segoe UI"/>
                          <w:b w:val="0"/>
                          <w:i w:val="0"/>
                          <w:color w:val="000000" w:themeColor="text1"/>
                          <w:sz w:val="24"/>
                        </w:rPr>
                        <w:t>overseas</w:t>
                      </w:r>
                      <w:r w:rsidR="00E504A5" w:rsidRPr="00562C6B">
                        <w:rPr>
                          <w:rFonts w:cs="Segoe UI"/>
                          <w:b w:val="0"/>
                          <w:i w:val="0"/>
                          <w:color w:val="000000" w:themeColor="text1"/>
                          <w:sz w:val="24"/>
                        </w:rPr>
                        <w:t xml:space="preserve"> registr</w:t>
                      </w:r>
                      <w:r w:rsidR="00DB0159" w:rsidRPr="00562C6B">
                        <w:rPr>
                          <w:rFonts w:cs="Segoe UI"/>
                          <w:b w:val="0"/>
                          <w:i w:val="0"/>
                          <w:color w:val="000000" w:themeColor="text1"/>
                          <w:sz w:val="24"/>
                        </w:rPr>
                        <w:t>ation</w:t>
                      </w:r>
                    </w:p>
                    <w:p w14:paraId="7DE5EBD1" w14:textId="3C185088" w:rsidR="003C126D" w:rsidRPr="00562C6B" w:rsidRDefault="00573D55"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w</w:t>
                      </w:r>
                      <w:r w:rsidR="00994E78" w:rsidRPr="00562C6B">
                        <w:rPr>
                          <w:rFonts w:cs="Segoe UI"/>
                          <w:b w:val="0"/>
                          <w:i w:val="0"/>
                          <w:color w:val="000000" w:themeColor="text1"/>
                          <w:sz w:val="24"/>
                        </w:rPr>
                        <w:t xml:space="preserve">aits to </w:t>
                      </w:r>
                      <w:r w:rsidRPr="00562C6B">
                        <w:rPr>
                          <w:rFonts w:cs="Segoe UI"/>
                          <w:b w:val="0"/>
                          <w:i w:val="0"/>
                          <w:color w:val="000000" w:themeColor="text1"/>
                          <w:sz w:val="24"/>
                        </w:rPr>
                        <w:t xml:space="preserve">receive ARTG registration before </w:t>
                      </w:r>
                      <w:r w:rsidR="00994E78" w:rsidRPr="00562C6B">
                        <w:rPr>
                          <w:rFonts w:cs="Segoe UI"/>
                          <w:b w:val="0"/>
                          <w:i w:val="0"/>
                          <w:color w:val="000000" w:themeColor="text1"/>
                          <w:sz w:val="24"/>
                        </w:rPr>
                        <w:t>apply</w:t>
                      </w:r>
                      <w:r w:rsidRPr="00562C6B">
                        <w:rPr>
                          <w:rFonts w:cs="Segoe UI"/>
                          <w:b w:val="0"/>
                          <w:i w:val="0"/>
                          <w:color w:val="000000" w:themeColor="text1"/>
                          <w:sz w:val="24"/>
                        </w:rPr>
                        <w:t>ing</w:t>
                      </w:r>
                      <w:r w:rsidR="00994E78" w:rsidRPr="00562C6B">
                        <w:rPr>
                          <w:rFonts w:cs="Segoe UI"/>
                          <w:b w:val="0"/>
                          <w:i w:val="0"/>
                          <w:color w:val="000000" w:themeColor="text1"/>
                          <w:sz w:val="24"/>
                        </w:rPr>
                        <w:t xml:space="preserve"> </w:t>
                      </w:r>
                      <w:r w:rsidR="00F76D85" w:rsidRPr="00562C6B">
                        <w:rPr>
                          <w:rFonts w:cs="Segoe UI"/>
                          <w:b w:val="0"/>
                          <w:i w:val="0"/>
                          <w:color w:val="000000" w:themeColor="text1"/>
                          <w:sz w:val="24"/>
                        </w:rPr>
                        <w:t>for PBAC consideration</w:t>
                      </w:r>
                      <w:r w:rsidRPr="00562C6B">
                        <w:rPr>
                          <w:rFonts w:cs="Segoe UI"/>
                          <w:b w:val="0"/>
                          <w:i w:val="0"/>
                          <w:color w:val="000000" w:themeColor="text1"/>
                          <w:sz w:val="24"/>
                        </w:rPr>
                        <w:t>,</w:t>
                      </w:r>
                      <w:r w:rsidR="003C126D" w:rsidRPr="00562C6B">
                        <w:rPr>
                          <w:rFonts w:cs="Segoe UI"/>
                          <w:b w:val="0"/>
                          <w:i w:val="0"/>
                          <w:color w:val="000000" w:themeColor="text1"/>
                          <w:sz w:val="24"/>
                        </w:rPr>
                        <w:t xml:space="preserve"> rather than using </w:t>
                      </w:r>
                      <w:r w:rsidR="00F13CD8" w:rsidRPr="00562C6B">
                        <w:rPr>
                          <w:rFonts w:cs="Segoe UI"/>
                          <w:b w:val="0"/>
                          <w:i w:val="0"/>
                          <w:color w:val="000000" w:themeColor="text1"/>
                          <w:sz w:val="24"/>
                        </w:rPr>
                        <w:t>parallel TGA and PBAC processing</w:t>
                      </w:r>
                      <w:r w:rsidR="003C126D" w:rsidRPr="00562C6B">
                        <w:rPr>
                          <w:rFonts w:cs="Segoe UI"/>
                          <w:b w:val="0"/>
                          <w:i w:val="0"/>
                          <w:color w:val="000000" w:themeColor="text1"/>
                          <w:sz w:val="24"/>
                        </w:rPr>
                        <w:t xml:space="preserve"> </w:t>
                      </w:r>
                    </w:p>
                    <w:p w14:paraId="1DD6128E" w14:textId="3FB500F4" w:rsidR="00AA20C3" w:rsidRPr="00562C6B" w:rsidRDefault="00573D55" w:rsidP="00281153">
                      <w:pPr>
                        <w:pStyle w:val="Call-outbox"/>
                        <w:numPr>
                          <w:ilvl w:val="0"/>
                          <w:numId w:val="56"/>
                        </w:numPr>
                        <w:jc w:val="both"/>
                        <w:rPr>
                          <w:rFonts w:cs="Segoe UI"/>
                          <w:b w:val="0"/>
                          <w:i w:val="0"/>
                          <w:color w:val="000000" w:themeColor="text1"/>
                          <w:sz w:val="24"/>
                        </w:rPr>
                      </w:pPr>
                      <w:r w:rsidRPr="00562C6B">
                        <w:rPr>
                          <w:rFonts w:cs="Segoe UI"/>
                          <w:b w:val="0"/>
                          <w:i w:val="0"/>
                          <w:color w:val="000000" w:themeColor="text1"/>
                          <w:sz w:val="24"/>
                        </w:rPr>
                        <w:t>d</w:t>
                      </w:r>
                      <w:r w:rsidR="00560D86" w:rsidRPr="00562C6B">
                        <w:rPr>
                          <w:rFonts w:cs="Segoe UI"/>
                          <w:b w:val="0"/>
                          <w:i w:val="0"/>
                          <w:color w:val="000000" w:themeColor="text1"/>
                          <w:sz w:val="24"/>
                        </w:rPr>
                        <w:t xml:space="preserve">oes not use one of the </w:t>
                      </w:r>
                      <w:r w:rsidR="000863E7" w:rsidRPr="00562C6B">
                        <w:rPr>
                          <w:rFonts w:cs="Segoe UI"/>
                          <w:b w:val="0"/>
                          <w:i w:val="0"/>
                          <w:color w:val="000000" w:themeColor="text1"/>
                          <w:sz w:val="24"/>
                        </w:rPr>
                        <w:t xml:space="preserve">current early resolution or </w:t>
                      </w:r>
                      <w:r w:rsidR="004A6295" w:rsidRPr="00562C6B">
                        <w:rPr>
                          <w:rFonts w:cs="Segoe UI"/>
                          <w:b w:val="0"/>
                          <w:i w:val="0"/>
                          <w:color w:val="000000" w:themeColor="text1"/>
                          <w:sz w:val="24"/>
                        </w:rPr>
                        <w:t>facilitated resolution</w:t>
                      </w:r>
                      <w:r w:rsidR="000863E7" w:rsidRPr="00562C6B">
                        <w:rPr>
                          <w:rFonts w:cs="Segoe UI"/>
                          <w:b w:val="0"/>
                          <w:i w:val="0"/>
                          <w:color w:val="000000" w:themeColor="text1"/>
                          <w:sz w:val="24"/>
                        </w:rPr>
                        <w:t xml:space="preserve"> PBAC pathways</w:t>
                      </w:r>
                    </w:p>
                    <w:p w14:paraId="606CFC96" w14:textId="729DE81A" w:rsidR="00697685" w:rsidRPr="00562C6B" w:rsidRDefault="00573D55" w:rsidP="00281153">
                      <w:pPr>
                        <w:pStyle w:val="Call-outbox"/>
                        <w:numPr>
                          <w:ilvl w:val="0"/>
                          <w:numId w:val="56"/>
                        </w:numPr>
                        <w:spacing w:after="240"/>
                        <w:jc w:val="both"/>
                        <w:rPr>
                          <w:rFonts w:cs="Segoe UI"/>
                          <w:b w:val="0"/>
                          <w:i w:val="0"/>
                          <w:color w:val="000000" w:themeColor="text1"/>
                          <w:sz w:val="24"/>
                        </w:rPr>
                      </w:pPr>
                      <w:r w:rsidRPr="00562C6B">
                        <w:rPr>
                          <w:rFonts w:cs="Segoe UI"/>
                          <w:b w:val="0"/>
                          <w:i w:val="0"/>
                          <w:color w:val="000000" w:themeColor="text1"/>
                          <w:sz w:val="24"/>
                        </w:rPr>
                        <w:t>d</w:t>
                      </w:r>
                      <w:r w:rsidR="004E2D6E" w:rsidRPr="00562C6B">
                        <w:rPr>
                          <w:rFonts w:cs="Segoe UI"/>
                          <w:b w:val="0"/>
                          <w:i w:val="0"/>
                          <w:color w:val="000000" w:themeColor="text1"/>
                          <w:sz w:val="24"/>
                        </w:rPr>
                        <w:t>oe</w:t>
                      </w:r>
                      <w:r w:rsidR="008B7C21" w:rsidRPr="00562C6B">
                        <w:rPr>
                          <w:rFonts w:cs="Segoe UI"/>
                          <w:b w:val="0"/>
                          <w:i w:val="0"/>
                          <w:color w:val="000000" w:themeColor="text1"/>
                          <w:sz w:val="24"/>
                        </w:rPr>
                        <w:t>s not need more than one resubmission.</w:t>
                      </w:r>
                    </w:p>
                    <w:p w14:paraId="5EAFD6E5" w14:textId="70FFA542" w:rsidR="004E2D6E" w:rsidRPr="00562C6B" w:rsidRDefault="00041067" w:rsidP="000C5623">
                      <w:pPr>
                        <w:pStyle w:val="Call-outbox"/>
                        <w:jc w:val="both"/>
                        <w:rPr>
                          <w:rFonts w:cs="Segoe UI"/>
                          <w:b w:val="0"/>
                          <w:color w:val="000000" w:themeColor="text1"/>
                          <w:sz w:val="24"/>
                        </w:rPr>
                      </w:pPr>
                      <w:r w:rsidRPr="00562C6B">
                        <w:rPr>
                          <w:rFonts w:cs="Segoe UI"/>
                          <w:b w:val="0"/>
                          <w:i w:val="0"/>
                          <w:iCs w:val="0"/>
                          <w:color w:val="000000" w:themeColor="text1"/>
                          <w:sz w:val="24"/>
                        </w:rPr>
                        <w:t xml:space="preserve">Note: </w:t>
                      </w:r>
                      <w:r w:rsidR="00697685" w:rsidRPr="00562C6B">
                        <w:rPr>
                          <w:rFonts w:cs="Segoe UI"/>
                          <w:b w:val="0"/>
                          <w:i w:val="0"/>
                          <w:iCs w:val="0"/>
                          <w:color w:val="000000" w:themeColor="text1"/>
                          <w:sz w:val="24"/>
                        </w:rPr>
                        <w:t>Currently</w:t>
                      </w:r>
                      <w:r w:rsidR="007E434E" w:rsidRPr="00562C6B">
                        <w:rPr>
                          <w:rFonts w:cs="Segoe UI"/>
                          <w:b w:val="0"/>
                          <w:i w:val="0"/>
                          <w:iCs w:val="0"/>
                          <w:color w:val="000000" w:themeColor="text1"/>
                          <w:sz w:val="24"/>
                        </w:rPr>
                        <w:t>,</w:t>
                      </w:r>
                      <w:r w:rsidR="00697685" w:rsidRPr="00562C6B">
                        <w:rPr>
                          <w:rFonts w:cs="Segoe UI"/>
                          <w:b w:val="0"/>
                          <w:i w:val="0"/>
                          <w:iCs w:val="0"/>
                          <w:color w:val="000000" w:themeColor="text1"/>
                          <w:sz w:val="24"/>
                        </w:rPr>
                        <w:t xml:space="preserve"> the </w:t>
                      </w:r>
                      <w:r w:rsidRPr="00562C6B">
                        <w:rPr>
                          <w:rFonts w:cs="Segoe UI"/>
                          <w:b w:val="0"/>
                          <w:i w:val="0"/>
                          <w:iCs w:val="0"/>
                          <w:color w:val="000000" w:themeColor="text1"/>
                          <w:sz w:val="24"/>
                        </w:rPr>
                        <w:t xml:space="preserve">PBAC </w:t>
                      </w:r>
                      <w:r w:rsidR="007E434E" w:rsidRPr="00562C6B">
                        <w:rPr>
                          <w:rFonts w:cs="Segoe UI"/>
                          <w:b w:val="0"/>
                          <w:i w:val="0"/>
                          <w:iCs w:val="0"/>
                          <w:color w:val="000000" w:themeColor="text1"/>
                          <w:sz w:val="24"/>
                        </w:rPr>
                        <w:t>assesses re</w:t>
                      </w:r>
                      <w:r w:rsidR="008309FC" w:rsidRPr="00562C6B">
                        <w:rPr>
                          <w:rFonts w:cs="Segoe UI"/>
                          <w:b w:val="0"/>
                          <w:i w:val="0"/>
                          <w:iCs w:val="0"/>
                          <w:color w:val="000000" w:themeColor="text1"/>
                          <w:sz w:val="24"/>
                        </w:rPr>
                        <w:t xml:space="preserve">submissions of HATV </w:t>
                      </w:r>
                      <w:r w:rsidR="00573D55" w:rsidRPr="00562C6B">
                        <w:rPr>
                          <w:rFonts w:cs="Segoe UI"/>
                          <w:b w:val="0"/>
                          <w:i w:val="0"/>
                          <w:iCs w:val="0"/>
                          <w:color w:val="000000" w:themeColor="text1"/>
                          <w:sz w:val="24"/>
                        </w:rPr>
                        <w:t>via the</w:t>
                      </w:r>
                      <w:r w:rsidR="00647A7F" w:rsidRPr="00562C6B">
                        <w:rPr>
                          <w:rFonts w:cs="Segoe UI"/>
                          <w:b w:val="0"/>
                          <w:i w:val="0"/>
                          <w:iCs w:val="0"/>
                          <w:color w:val="000000" w:themeColor="text1"/>
                          <w:sz w:val="24"/>
                        </w:rPr>
                        <w:t xml:space="preserve"> early </w:t>
                      </w:r>
                      <w:r w:rsidR="00C60EB7" w:rsidRPr="00562C6B">
                        <w:rPr>
                          <w:rFonts w:cs="Segoe UI"/>
                          <w:b w:val="0"/>
                          <w:i w:val="0"/>
                          <w:iCs w:val="0"/>
                          <w:color w:val="000000" w:themeColor="text1"/>
                          <w:sz w:val="24"/>
                        </w:rPr>
                        <w:t>re</w:t>
                      </w:r>
                      <w:r w:rsidR="00697685" w:rsidRPr="00562C6B">
                        <w:rPr>
                          <w:rFonts w:cs="Segoe UI"/>
                          <w:b w:val="0"/>
                          <w:i w:val="0"/>
                          <w:iCs w:val="0"/>
                          <w:color w:val="000000" w:themeColor="text1"/>
                          <w:sz w:val="24"/>
                        </w:rPr>
                        <w:t xml:space="preserve">solution or </w:t>
                      </w:r>
                      <w:r w:rsidR="00573D55" w:rsidRPr="00562C6B">
                        <w:rPr>
                          <w:rFonts w:cs="Segoe UI"/>
                          <w:b w:val="0"/>
                          <w:i w:val="0"/>
                          <w:iCs w:val="0"/>
                          <w:color w:val="000000" w:themeColor="text1"/>
                          <w:sz w:val="24"/>
                        </w:rPr>
                        <w:t xml:space="preserve">facilitated resolution </w:t>
                      </w:r>
                      <w:r w:rsidR="00697685" w:rsidRPr="00562C6B">
                        <w:rPr>
                          <w:rFonts w:cs="Segoe UI"/>
                          <w:b w:val="0"/>
                          <w:i w:val="0"/>
                          <w:iCs w:val="0"/>
                          <w:color w:val="000000" w:themeColor="text1"/>
                          <w:sz w:val="24"/>
                        </w:rPr>
                        <w:t>pathway</w:t>
                      </w:r>
                      <w:r w:rsidR="00573D55" w:rsidRPr="00562C6B">
                        <w:rPr>
                          <w:rFonts w:cs="Segoe UI"/>
                          <w:b w:val="0"/>
                          <w:i w:val="0"/>
                          <w:iCs w:val="0"/>
                          <w:color w:val="000000" w:themeColor="text1"/>
                          <w:sz w:val="24"/>
                        </w:rPr>
                        <w:t>,</w:t>
                      </w:r>
                      <w:r w:rsidR="00697685" w:rsidRPr="00562C6B">
                        <w:rPr>
                          <w:rFonts w:cs="Segoe UI"/>
                          <w:b w:val="0"/>
                          <w:i w:val="0"/>
                          <w:iCs w:val="0"/>
                          <w:color w:val="000000" w:themeColor="text1"/>
                          <w:sz w:val="24"/>
                        </w:rPr>
                        <w:t xml:space="preserve"> wherever</w:t>
                      </w:r>
                      <w:r w:rsidR="00697685" w:rsidRPr="00562C6B">
                        <w:rPr>
                          <w:rFonts w:cs="Segoe UI"/>
                          <w:b w:val="0"/>
                          <w:iCs w:val="0"/>
                          <w:color w:val="000000" w:themeColor="text1"/>
                          <w:sz w:val="24"/>
                        </w:rPr>
                        <w:t xml:space="preserve"> </w:t>
                      </w:r>
                      <w:r w:rsidR="00697685" w:rsidRPr="00562C6B">
                        <w:rPr>
                          <w:rFonts w:cs="Segoe UI"/>
                          <w:b w:val="0"/>
                          <w:i w:val="0"/>
                          <w:color w:val="000000" w:themeColor="text1"/>
                          <w:sz w:val="24"/>
                        </w:rPr>
                        <w:t>possible.</w:t>
                      </w:r>
                      <w:r w:rsidR="00697685" w:rsidRPr="00562C6B">
                        <w:rPr>
                          <w:rFonts w:cs="Segoe UI"/>
                          <w:b w:val="0"/>
                          <w:iCs w:val="0"/>
                          <w:color w:val="000000" w:themeColor="text1"/>
                          <w:sz w:val="24"/>
                        </w:rPr>
                        <w:t xml:space="preserve"> </w:t>
                      </w:r>
                    </w:p>
                  </w:txbxContent>
                </v:textbox>
                <w10:anchorlock/>
              </v:roundrect>
            </w:pict>
          </mc:Fallback>
        </mc:AlternateContent>
      </w:r>
    </w:p>
    <w:p w14:paraId="6D06369D" w14:textId="43DABE08" w:rsidR="00990B7E" w:rsidRPr="002724B9" w:rsidRDefault="0038035C" w:rsidP="002B25F3">
      <w:pPr>
        <w:pStyle w:val="Heading2"/>
        <w:rPr>
          <w:rFonts w:cs="Segoe UI Light"/>
          <w:color w:val="00869B" w:themeColor="accent6" w:themeShade="BF"/>
          <w:kern w:val="28"/>
        </w:rPr>
      </w:pPr>
      <w:bookmarkStart w:id="168" w:name="_Toc171935873"/>
      <w:bookmarkStart w:id="169" w:name="_Toc164781640"/>
      <w:r>
        <w:t xml:space="preserve">Chapter </w:t>
      </w:r>
      <w:r w:rsidR="00E74923">
        <w:t>4</w:t>
      </w:r>
      <w:r>
        <w:t xml:space="preserve">.3: </w:t>
      </w:r>
      <w:r w:rsidR="00CD465F">
        <w:t>Application p</w:t>
      </w:r>
      <w:r w:rsidR="00990B7E" w:rsidRPr="002724B9">
        <w:t xml:space="preserve">athway for </w:t>
      </w:r>
      <w:r w:rsidR="00CD465F">
        <w:t xml:space="preserve">having </w:t>
      </w:r>
      <w:r w:rsidR="00990B7E" w:rsidRPr="002724B9">
        <w:t xml:space="preserve">vaccines </w:t>
      </w:r>
      <w:r w:rsidR="00CD465F">
        <w:t>listed</w:t>
      </w:r>
      <w:r w:rsidR="00990B7E" w:rsidRPr="002724B9">
        <w:t xml:space="preserve"> on the National </w:t>
      </w:r>
      <w:r w:rsidR="00990B7E" w:rsidRPr="6CC68A72">
        <w:rPr>
          <w:rFonts w:cs="Segoe UI Light"/>
          <w:color w:val="00869B" w:themeColor="accent6" w:themeShade="BF"/>
          <w:kern w:val="28"/>
        </w:rPr>
        <w:t>Immunisation Program</w:t>
      </w:r>
      <w:bookmarkEnd w:id="168"/>
      <w:r w:rsidR="00990B7E" w:rsidRPr="6CC68A72">
        <w:rPr>
          <w:rFonts w:cs="Segoe UI Light"/>
          <w:color w:val="00869B" w:themeColor="accent6" w:themeShade="BF"/>
          <w:kern w:val="28"/>
        </w:rPr>
        <w:t xml:space="preserve"> </w:t>
      </w:r>
      <w:bookmarkEnd w:id="169"/>
    </w:p>
    <w:p w14:paraId="481603D0" w14:textId="147A6D5B" w:rsidR="007D373D" w:rsidRPr="002724B9" w:rsidRDefault="007D373D" w:rsidP="00A318F7">
      <w:pPr>
        <w:pStyle w:val="Heading3"/>
        <w:rPr>
          <w:rFonts w:cs="Segoe UI Light"/>
        </w:rPr>
      </w:pPr>
      <w:r>
        <w:t>Introduction and context</w:t>
      </w:r>
    </w:p>
    <w:p w14:paraId="226A0B77" w14:textId="3C89219F" w:rsidR="00990B7E" w:rsidRPr="003D50D5" w:rsidRDefault="00990B7E" w:rsidP="00990B7E">
      <w:r w:rsidRPr="003D50D5">
        <w:t>The NIP provides free vaccines to eligible people to help reduce</w:t>
      </w:r>
      <w:r w:rsidR="00BE5EE8">
        <w:t xml:space="preserve"> preventable</w:t>
      </w:r>
      <w:r w:rsidRPr="003D50D5">
        <w:t xml:space="preserve"> diseases. </w:t>
      </w:r>
      <w:r w:rsidR="00311A93">
        <w:t>It</w:t>
      </w:r>
      <w:r w:rsidRPr="003D50D5">
        <w:t xml:space="preserve"> consists of a schedule (the NIP Schedule) of recommended vaccines by age group and/or medical risk. Vaccines on the NIP are free to Australians in the recommended age groups and risk groups. </w:t>
      </w:r>
    </w:p>
    <w:p w14:paraId="3187AE39" w14:textId="73DBAD8F" w:rsidR="00D8630E" w:rsidRDefault="00E9037F" w:rsidP="00990B7E">
      <w:r>
        <w:t>A</w:t>
      </w:r>
      <w:r w:rsidR="00990B7E">
        <w:t xml:space="preserve">s with other international jurisdictions, </w:t>
      </w:r>
      <w:r>
        <w:t>Australia uses a National Immunisation Technical Advisory Group to</w:t>
      </w:r>
      <w:r w:rsidR="00990B7E">
        <w:t xml:space="preserve"> evaluat</w:t>
      </w:r>
      <w:r>
        <w:t>e</w:t>
      </w:r>
      <w:r w:rsidR="00990B7E">
        <w:t xml:space="preserve"> vaccines. </w:t>
      </w:r>
      <w:r>
        <w:t xml:space="preserve">The </w:t>
      </w:r>
      <w:r w:rsidR="00990B7E">
        <w:t>Australia</w:t>
      </w:r>
      <w:r>
        <w:t>n</w:t>
      </w:r>
      <w:r w:rsidR="00990B7E">
        <w:t xml:space="preserve"> Technical Advisory </w:t>
      </w:r>
      <w:r w:rsidR="00990B7E">
        <w:lastRenderedPageBreak/>
        <w:t xml:space="preserve">Group on Immunisation </w:t>
      </w:r>
      <w:r w:rsidR="009609A4">
        <w:t>(</w:t>
      </w:r>
      <w:r w:rsidR="00990B7E">
        <w:t>ATAGI</w:t>
      </w:r>
      <w:r w:rsidR="009609A4">
        <w:t>)</w:t>
      </w:r>
      <w:r w:rsidR="00990B7E">
        <w:t xml:space="preserve"> provide</w:t>
      </w:r>
      <w:r>
        <w:t>s</w:t>
      </w:r>
      <w:r w:rsidR="00990B7E">
        <w:t xml:space="preserve"> a wide range of advice for government and the public, including contributing to public health recommendations on the use of vaccines. </w:t>
      </w:r>
    </w:p>
    <w:p w14:paraId="7ED4BE93" w14:textId="4D9E328C" w:rsidR="003B6FE3" w:rsidRDefault="00E9037F" w:rsidP="00990B7E">
      <w:r>
        <w:t>However, u</w:t>
      </w:r>
      <w:r w:rsidR="00990B7E">
        <w:t>nlike many other jurisdictions</w:t>
      </w:r>
      <w:r>
        <w:t>,</w:t>
      </w:r>
      <w:r w:rsidR="00990B7E">
        <w:t xml:space="preserve"> </w:t>
      </w:r>
      <w:r w:rsidR="00990B7E" w:rsidRPr="00AA4D35">
        <w:t xml:space="preserve">recommendations for the inclusion of vaccines in the NIP do not come directly from ATAGI, </w:t>
      </w:r>
      <w:r>
        <w:t>and</w:t>
      </w:r>
      <w:r w:rsidR="00990B7E" w:rsidRPr="00AA4D35">
        <w:t xml:space="preserve"> </w:t>
      </w:r>
      <w:r w:rsidR="00CD465F">
        <w:t>they must be</w:t>
      </w:r>
      <w:r w:rsidR="00990B7E" w:rsidRPr="00AA4D35">
        <w:t xml:space="preserve"> review</w:t>
      </w:r>
      <w:r w:rsidR="00CD465F">
        <w:t>ed</w:t>
      </w:r>
      <w:r w:rsidR="00990B7E" w:rsidRPr="00AA4D35">
        <w:t xml:space="preserve"> by the PBAC.</w:t>
      </w:r>
      <w:r w:rsidR="00990B7E">
        <w:t xml:space="preserve"> </w:t>
      </w:r>
      <w:r w:rsidR="00990B7E" w:rsidRPr="0043297C">
        <w:t xml:space="preserve">To be considered for listing on the NIP, pharmaceutical companies must seek ATAGI advice </w:t>
      </w:r>
      <w:r>
        <w:t>before</w:t>
      </w:r>
      <w:r w:rsidR="00990B7E" w:rsidRPr="0043297C">
        <w:t xml:space="preserve"> making a PBAC submission.</w:t>
      </w:r>
      <w:r w:rsidR="00990B7E">
        <w:t xml:space="preserve"> </w:t>
      </w:r>
    </w:p>
    <w:p w14:paraId="505ACFE8" w14:textId="3E88F40A" w:rsidR="00132361" w:rsidRDefault="00132361" w:rsidP="00990B7E"/>
    <w:p w14:paraId="2E4C17B3" w14:textId="35E1AC12" w:rsidR="007D4780" w:rsidRDefault="00046133" w:rsidP="000167C0">
      <w:pPr>
        <w:jc w:val="center"/>
      </w:pPr>
      <w:r>
        <w:rPr>
          <w:noProof/>
        </w:rPr>
        <w:lastRenderedPageBreak/>
        <w:drawing>
          <wp:inline distT="0" distB="0" distL="0" distR="0" wp14:anchorId="634858FF" wp14:editId="0F6FAE50">
            <wp:extent cx="5438140" cy="7297420"/>
            <wp:effectExtent l="0" t="0" r="0" b="0"/>
            <wp:docPr id="50" name="Picture 50" descr="Pathway showing how vaccines are listed through National Immunisation Program (N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Pathway showing how vaccines are listed through National Immunisation Program (NI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38140" cy="7297420"/>
                    </a:xfrm>
                    <a:prstGeom prst="rect">
                      <a:avLst/>
                    </a:prstGeom>
                    <a:noFill/>
                  </pic:spPr>
                </pic:pic>
              </a:graphicData>
            </a:graphic>
          </wp:inline>
        </w:drawing>
      </w:r>
    </w:p>
    <w:p w14:paraId="7750B7E9" w14:textId="4905F867" w:rsidR="000A50CB" w:rsidRDefault="00767D78" w:rsidP="00405FD7">
      <w:pPr>
        <w:pStyle w:val="Caption"/>
      </w:pPr>
      <w:bookmarkStart w:id="170" w:name="_Toc171935089"/>
      <w:r>
        <w:t xml:space="preserve">Figure </w:t>
      </w:r>
      <w:r>
        <w:fldChar w:fldCharType="begin" w:fldLock="1"/>
      </w:r>
      <w:r>
        <w:instrText>SEQ Figure \* ARABIC</w:instrText>
      </w:r>
      <w:r>
        <w:fldChar w:fldCharType="separate"/>
      </w:r>
      <w:r w:rsidR="00FA396E">
        <w:rPr>
          <w:noProof/>
        </w:rPr>
        <w:t>1</w:t>
      </w:r>
      <w:r>
        <w:fldChar w:fldCharType="end"/>
      </w:r>
      <w:r>
        <w:t xml:space="preserve">: </w:t>
      </w:r>
      <w:r w:rsidRPr="00311A93">
        <w:t>HTA pathway for</w:t>
      </w:r>
      <w:r w:rsidRPr="000D2119">
        <w:t xml:space="preserve"> vaccines being listed on the NIP</w:t>
      </w:r>
      <w:bookmarkEnd w:id="170"/>
    </w:p>
    <w:p w14:paraId="054C1457" w14:textId="74C2B36C" w:rsidR="00990B7E" w:rsidRPr="002724B9" w:rsidRDefault="00D16D80" w:rsidP="00C957F0">
      <w:pPr>
        <w:pStyle w:val="Heading3"/>
        <w:rPr>
          <w:rFonts w:cs="Segoe UI Light"/>
        </w:rPr>
      </w:pPr>
      <w:r>
        <w:t>Findings</w:t>
      </w:r>
    </w:p>
    <w:p w14:paraId="52B4F518" w14:textId="7BAE8424" w:rsidR="00990B7E" w:rsidRDefault="00311A93" w:rsidP="00990B7E">
      <w:r>
        <w:t>T</w:t>
      </w:r>
      <w:r w:rsidR="00990B7E">
        <w:t>he minimum time for a vaccine to receive a positive HTA recommendation is 48 weeks</w:t>
      </w:r>
      <w:r w:rsidR="008D5E88">
        <w:t>,</w:t>
      </w:r>
      <w:r w:rsidR="00990B7E">
        <w:t xml:space="preserve"> as the ATAGI process starts 31 weeks before the PBAC </w:t>
      </w:r>
      <w:r w:rsidR="007B0678">
        <w:t xml:space="preserve">17-week </w:t>
      </w:r>
      <w:r w:rsidR="00990B7E">
        <w:t xml:space="preserve">cycle. </w:t>
      </w:r>
    </w:p>
    <w:p w14:paraId="03654EDA" w14:textId="17F97677" w:rsidR="008F01C6" w:rsidRDefault="00990B7E" w:rsidP="00990B7E">
      <w:r>
        <w:t xml:space="preserve">The </w:t>
      </w:r>
      <w:r w:rsidR="007D05EC">
        <w:t>Review’s</w:t>
      </w:r>
      <w:r>
        <w:t xml:space="preserve"> </w:t>
      </w:r>
      <w:r w:rsidRPr="00566AEE">
        <w:t>early consultation</w:t>
      </w:r>
      <w:r>
        <w:t xml:space="preserve"> relating to ATAGI highlighted the extended time</w:t>
      </w:r>
      <w:r w:rsidR="004574C7">
        <w:t xml:space="preserve"> </w:t>
      </w:r>
      <w:r>
        <w:t>frame for a vaccine to be listed on the NIP relative to the minimum time</w:t>
      </w:r>
      <w:r w:rsidR="004574C7">
        <w:t xml:space="preserve"> </w:t>
      </w:r>
      <w:r>
        <w:t xml:space="preserve">frame for therapies </w:t>
      </w:r>
      <w:r>
        <w:lastRenderedPageBreak/>
        <w:t>to be listed on the PBS. Stakeholder comments indicated perception</w:t>
      </w:r>
      <w:r w:rsidR="00B35DD8">
        <w:t>s</w:t>
      </w:r>
      <w:r>
        <w:t xml:space="preserve"> </w:t>
      </w:r>
      <w:r w:rsidR="00B35DD8">
        <w:t>of</w:t>
      </w:r>
      <w:r>
        <w:t xml:space="preserve"> potential duplication between ATAGI and the PBAC. Additionally, stakeholder sentiment indicated that the ATAGI processes were protracted, suggesting that it was perhaps due to the size of ATAGI and the difficulty</w:t>
      </w:r>
      <w:r w:rsidR="00B35DD8">
        <w:t xml:space="preserve"> of</w:t>
      </w:r>
      <w:r>
        <w:t xml:space="preserve"> coordinating the full membership. </w:t>
      </w:r>
    </w:p>
    <w:p w14:paraId="032B68FF" w14:textId="7C7A85A0" w:rsidR="00990B7E" w:rsidRDefault="008F01C6" w:rsidP="00990B7E">
      <w:r w:rsidRPr="002724B9">
        <w:rPr>
          <w:noProof/>
        </w:rPr>
        <mc:AlternateContent>
          <mc:Choice Requires="wps">
            <w:drawing>
              <wp:inline distT="0" distB="0" distL="0" distR="0" wp14:anchorId="41B60415" wp14:editId="3A62CA56">
                <wp:extent cx="5907819" cy="2568272"/>
                <wp:effectExtent l="0" t="0" r="0" b="3810"/>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7819" cy="2568272"/>
                        </a:xfrm>
                        <a:prstGeom prst="round2DiagRect">
                          <a:avLst/>
                        </a:prstGeom>
                        <a:solidFill>
                          <a:sysClr val="window" lastClr="FFFFFF">
                            <a:lumMod val="95000"/>
                          </a:sysClr>
                        </a:solidFill>
                        <a:ln w="9525">
                          <a:noFill/>
                          <a:miter lim="800000"/>
                          <a:headEnd/>
                          <a:tailEnd/>
                        </a:ln>
                      </wps:spPr>
                      <wps:txbx>
                        <w:txbxContent>
                          <w:p w14:paraId="3965DECE" w14:textId="5B1A2F63" w:rsidR="008F01C6" w:rsidRPr="00BA3CA7" w:rsidRDefault="008F01C6" w:rsidP="008F01C6">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14215CE1" w14:textId="64F134EA" w:rsidR="008F01C6" w:rsidRPr="000C5623" w:rsidRDefault="00A11C19" w:rsidP="000C5623">
                            <w:pPr>
                              <w:ind w:left="283" w:right="579"/>
                              <w:rPr>
                                <w:color w:val="005A68" w:themeColor="accent6" w:themeShade="80"/>
                              </w:rPr>
                            </w:pPr>
                            <w:r>
                              <w:rPr>
                                <w:color w:val="005A68" w:themeColor="accent6" w:themeShade="80"/>
                              </w:rPr>
                              <w:t>‘</w:t>
                            </w:r>
                            <w:r w:rsidR="008F01C6" w:rsidRPr="000C5623">
                              <w:rPr>
                                <w:color w:val="005A68" w:themeColor="accent6" w:themeShade="80"/>
                              </w:rPr>
                              <w:t>The current vaccine assessment process is slow and cumbersome, with the average time taken to get TGA approval more than 3 years. There is a clear need in Australia to accelerate the process for introducing new vaccines on to the National Immunisation Program; the 2</w:t>
                            </w:r>
                            <w:r>
                              <w:rPr>
                                <w:color w:val="005A68" w:themeColor="accent6" w:themeShade="80"/>
                              </w:rPr>
                              <w:t>-</w:t>
                            </w:r>
                            <w:r w:rsidR="008F01C6" w:rsidRPr="000C5623">
                              <w:rPr>
                                <w:color w:val="005A68" w:themeColor="accent6" w:themeShade="80"/>
                              </w:rPr>
                              <w:t>step approval process, being ATAGI, then PBAC, is unusual. It would be useful to look at other models around the world where vaccine recommendation processes are much faster.</w:t>
                            </w:r>
                            <w:r>
                              <w:rPr>
                                <w:color w:val="005A68" w:themeColor="accent6" w:themeShade="80"/>
                              </w:rPr>
                              <w:t>’</w:t>
                            </w:r>
                          </w:p>
                          <w:p w14:paraId="5EF4E79F" w14:textId="269C2FA8" w:rsidR="008F01C6" w:rsidRPr="00BA3CA7" w:rsidRDefault="008F01C6" w:rsidP="008F01C6">
                            <w:pPr>
                              <w:ind w:right="19"/>
                              <w:jc w:val="right"/>
                              <w:rPr>
                                <w:b/>
                                <w:color w:val="005A68" w:themeColor="accent6" w:themeShade="80"/>
                              </w:rPr>
                            </w:pPr>
                            <w:r w:rsidRPr="00BA3CA7">
                              <w:rPr>
                                <w:b/>
                                <w:color w:val="005A68" w:themeColor="accent6" w:themeShade="80"/>
                              </w:rPr>
                              <w:t>Consultation 1 submission:</w:t>
                            </w:r>
                            <w:r w:rsidR="00CE466C">
                              <w:rPr>
                                <w:b/>
                                <w:color w:val="005A68" w:themeColor="accent6" w:themeShade="80"/>
                              </w:rPr>
                              <w:t xml:space="preserve"> Immunisation Coalition</w:t>
                            </w:r>
                            <w:r w:rsidRPr="00BA3CA7">
                              <w:rPr>
                                <w:b/>
                                <w:color w:val="005A68" w:themeColor="accent6" w:themeShade="80"/>
                              </w:rPr>
                              <w:t xml:space="preserve"> </w:t>
                            </w:r>
                          </w:p>
                          <w:p w14:paraId="7466AE54" w14:textId="77777777" w:rsidR="008F01C6" w:rsidRPr="00FF048A" w:rsidRDefault="008F01C6" w:rsidP="008F01C6">
                            <w:pPr>
                              <w:ind w:right="19"/>
                            </w:pPr>
                          </w:p>
                        </w:txbxContent>
                      </wps:txbx>
                      <wps:bodyPr rot="0" vert="horz" wrap="square" lIns="91440" tIns="45720" rIns="91440" bIns="45720" anchor="t" anchorCtr="0">
                        <a:noAutofit/>
                      </wps:bodyPr>
                    </wps:wsp>
                  </a:graphicData>
                </a:graphic>
              </wp:inline>
            </w:drawing>
          </mc:Choice>
          <mc:Fallback>
            <w:pict>
              <v:shape w14:anchorId="41B60415" id="Text Box 43" o:spid="_x0000_s1032" style="width:465.2pt;height:202.25pt;visibility:visible;mso-wrap-style:square;mso-left-percent:-10001;mso-top-percent:-10001;mso-position-horizontal:absolute;mso-position-horizontal-relative:char;mso-position-vertical:absolute;mso-position-vertical-relative:line;mso-left-percent:-10001;mso-top-percent:-10001;v-text-anchor:top" coordsize="5907819,256827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" adj="-11796480,,5400" path="m428054,l5907819,r,l5907819,2140218v,236408,-191646,428054,-428054,428054l,2568272r,l,428054c,191646,191646,,428054,xe" fillcolor="#f2f2f2" stroked="f">
                <v:stroke joinstyle="miter"/>
                <v:formulas/>
                <v:path arrowok="t" o:connecttype="custom" o:connectlocs="428054,0;5907819,0;5907819,0;5907819,2140218;5479765,2568272;0,2568272;0,2568272;0,428054;428054,0" o:connectangles="0,0,0,0,0,0,0,0,0" textboxrect="0,0,5907819,2568272"/>
                <v:textbox>
                  <w:txbxContent>
                    <w:p w14:paraId="3965DECE" w14:textId="5B1A2F63" w:rsidR="008F01C6" w:rsidRPr="00BA3CA7" w:rsidRDefault="008F01C6" w:rsidP="008F01C6">
                      <w:pPr>
                        <w:ind w:right="19"/>
                        <w:rPr>
                          <w:b/>
                          <w:color w:val="005A68" w:themeColor="accent6" w:themeShade="80"/>
                        </w:rPr>
                      </w:pPr>
                      <w:r w:rsidRPr="00BA3CA7">
                        <w:rPr>
                          <w:b/>
                          <w:color w:val="005A68" w:themeColor="accent6" w:themeShade="80"/>
                        </w:rPr>
                        <w:t>What we heard</w:t>
                      </w:r>
                      <w:r w:rsidR="00A11C19" w:rsidRPr="00BA3CA7">
                        <w:rPr>
                          <w:b/>
                          <w:color w:val="005A68" w:themeColor="accent6" w:themeShade="80"/>
                        </w:rPr>
                        <w:t>:</w:t>
                      </w:r>
                    </w:p>
                    <w:p w14:paraId="14215CE1" w14:textId="64F134EA" w:rsidR="008F01C6" w:rsidRPr="000C5623" w:rsidRDefault="00A11C19" w:rsidP="000C5623">
                      <w:pPr>
                        <w:ind w:left="283" w:right="579"/>
                        <w:rPr>
                          <w:color w:val="005A68" w:themeColor="accent6" w:themeShade="80"/>
                        </w:rPr>
                      </w:pPr>
                      <w:r>
                        <w:rPr>
                          <w:color w:val="005A68" w:themeColor="accent6" w:themeShade="80"/>
                        </w:rPr>
                        <w:t>‘</w:t>
                      </w:r>
                      <w:r w:rsidR="008F01C6" w:rsidRPr="000C5623">
                        <w:rPr>
                          <w:color w:val="005A68" w:themeColor="accent6" w:themeShade="80"/>
                        </w:rPr>
                        <w:t>The current vaccine assessment process is slow and cumbersome, with the average time taken to get TGA approval more than 3 years. There is a clear need in Australia to accelerate the process for introducing new vaccines on to the National Immunisation Program; the 2</w:t>
                      </w:r>
                      <w:r>
                        <w:rPr>
                          <w:color w:val="005A68" w:themeColor="accent6" w:themeShade="80"/>
                        </w:rPr>
                        <w:t>-</w:t>
                      </w:r>
                      <w:r w:rsidR="008F01C6" w:rsidRPr="000C5623">
                        <w:rPr>
                          <w:color w:val="005A68" w:themeColor="accent6" w:themeShade="80"/>
                        </w:rPr>
                        <w:t>step approval process, being ATAGI, then PBAC, is unusual. It would be useful to look at other models around the world where vaccine recommendation processes are much faster.</w:t>
                      </w:r>
                      <w:r>
                        <w:rPr>
                          <w:color w:val="005A68" w:themeColor="accent6" w:themeShade="80"/>
                        </w:rPr>
                        <w:t>’</w:t>
                      </w:r>
                    </w:p>
                    <w:p w14:paraId="5EF4E79F" w14:textId="269C2FA8" w:rsidR="008F01C6" w:rsidRPr="00BA3CA7" w:rsidRDefault="008F01C6" w:rsidP="008F01C6">
                      <w:pPr>
                        <w:ind w:right="19"/>
                        <w:jc w:val="right"/>
                        <w:rPr>
                          <w:b/>
                          <w:color w:val="005A68" w:themeColor="accent6" w:themeShade="80"/>
                        </w:rPr>
                      </w:pPr>
                      <w:r w:rsidRPr="00BA3CA7">
                        <w:rPr>
                          <w:b/>
                          <w:color w:val="005A68" w:themeColor="accent6" w:themeShade="80"/>
                        </w:rPr>
                        <w:t>Consultation 1 submission:</w:t>
                      </w:r>
                      <w:r w:rsidR="00CE466C">
                        <w:rPr>
                          <w:b/>
                          <w:color w:val="005A68" w:themeColor="accent6" w:themeShade="80"/>
                        </w:rPr>
                        <w:t xml:space="preserve"> Immunisation Coalition</w:t>
                      </w:r>
                      <w:r w:rsidRPr="00BA3CA7">
                        <w:rPr>
                          <w:b/>
                          <w:color w:val="005A68" w:themeColor="accent6" w:themeShade="80"/>
                        </w:rPr>
                        <w:t xml:space="preserve"> </w:t>
                      </w:r>
                    </w:p>
                    <w:p w14:paraId="7466AE54" w14:textId="77777777" w:rsidR="008F01C6" w:rsidRPr="00FF048A" w:rsidRDefault="008F01C6" w:rsidP="008F01C6">
                      <w:pPr>
                        <w:ind w:right="19"/>
                      </w:pPr>
                    </w:p>
                  </w:txbxContent>
                </v:textbox>
                <w10:anchorlock/>
              </v:shape>
            </w:pict>
          </mc:Fallback>
        </mc:AlternateContent>
      </w:r>
    </w:p>
    <w:p w14:paraId="3367B8DB" w14:textId="789A6868" w:rsidR="00990B7E" w:rsidRDefault="00B35DD8" w:rsidP="00990B7E">
      <w:r>
        <w:t>During</w:t>
      </w:r>
      <w:r w:rsidR="00990B7E">
        <w:t xml:space="preserve"> Consultation 2, the Review tested </w:t>
      </w:r>
      <w:r w:rsidR="00C074A9">
        <w:t xml:space="preserve">a </w:t>
      </w:r>
      <w:r>
        <w:t xml:space="preserve">reform </w:t>
      </w:r>
      <w:r w:rsidR="00990B7E">
        <w:t>option with stakeholders</w:t>
      </w:r>
      <w:r>
        <w:t xml:space="preserve"> to</w:t>
      </w:r>
      <w:r w:rsidR="00990B7E">
        <w:t xml:space="preserve"> reduc</w:t>
      </w:r>
      <w:r>
        <w:t>e</w:t>
      </w:r>
      <w:r w:rsidR="00990B7E">
        <w:t xml:space="preserve"> the </w:t>
      </w:r>
      <w:r w:rsidR="00990B7E" w:rsidRPr="00C074A9">
        <w:t>time</w:t>
      </w:r>
      <w:r w:rsidRPr="00C074A9">
        <w:t xml:space="preserve"> </w:t>
      </w:r>
      <w:r w:rsidR="00C074A9" w:rsidRPr="000C5623">
        <w:t xml:space="preserve">needed </w:t>
      </w:r>
      <w:r w:rsidR="00990B7E" w:rsidRPr="00C074A9">
        <w:t>for HTA p</w:t>
      </w:r>
      <w:r w:rsidRPr="00C074A9">
        <w:t xml:space="preserve">rocesses </w:t>
      </w:r>
      <w:r w:rsidR="00C074A9" w:rsidRPr="000C5623">
        <w:t>be</w:t>
      </w:r>
      <w:r w:rsidR="00990B7E" w:rsidRPr="00C074A9">
        <w:t>for</w:t>
      </w:r>
      <w:r w:rsidR="00C074A9" w:rsidRPr="000C5623">
        <w:t>e</w:t>
      </w:r>
      <w:r w:rsidR="00990B7E" w:rsidRPr="00C074A9">
        <w:t xml:space="preserve"> vaccines </w:t>
      </w:r>
      <w:r w:rsidR="00C074A9" w:rsidRPr="000C5623">
        <w:t>can be</w:t>
      </w:r>
      <w:r w:rsidRPr="00C074A9">
        <w:t xml:space="preserve"> </w:t>
      </w:r>
      <w:r w:rsidR="00990B7E" w:rsidRPr="00C074A9">
        <w:t>enter</w:t>
      </w:r>
      <w:r w:rsidR="00C074A9" w:rsidRPr="000C5623">
        <w:t>ed in</w:t>
      </w:r>
      <w:r w:rsidR="00990B7E" w:rsidRPr="00C074A9">
        <w:t xml:space="preserve"> the NIP</w:t>
      </w:r>
      <w:r w:rsidR="00990B7E">
        <w:t xml:space="preserve">. The option proposed streamlining the </w:t>
      </w:r>
      <w:r w:rsidR="00C074A9">
        <w:t xml:space="preserve">HTA </w:t>
      </w:r>
      <w:r w:rsidR="00990B7E">
        <w:t xml:space="preserve">pathway by allowing </w:t>
      </w:r>
      <w:r w:rsidR="00C074A9">
        <w:t xml:space="preserve">the </w:t>
      </w:r>
      <w:r w:rsidR="00990B7E">
        <w:t>sponsor</w:t>
      </w:r>
      <w:r w:rsidR="00C074A9">
        <w:t>s</w:t>
      </w:r>
      <w:r w:rsidR="00990B7E">
        <w:t xml:space="preserve"> of vaccine</w:t>
      </w:r>
      <w:r w:rsidR="00C074A9">
        <w:t>s</w:t>
      </w:r>
      <w:r w:rsidR="00990B7E">
        <w:t xml:space="preserve"> to apply to the PBAC </w:t>
      </w:r>
      <w:r w:rsidR="00C074A9">
        <w:t>to list</w:t>
      </w:r>
      <w:r w:rsidR="00990B7E">
        <w:t xml:space="preserve"> </w:t>
      </w:r>
      <w:r w:rsidR="00C074A9">
        <w:t xml:space="preserve">a </w:t>
      </w:r>
      <w:r w:rsidR="00990B7E">
        <w:t xml:space="preserve">vaccine on the NIP without first applying to ATAGI. The submission would be evaluated and the PBAC ESC would be supplemented </w:t>
      </w:r>
      <w:r w:rsidR="00C074A9">
        <w:t>with</w:t>
      </w:r>
      <w:r w:rsidR="009F6387">
        <w:t xml:space="preserve"> </w:t>
      </w:r>
      <w:r w:rsidR="00990B7E">
        <w:t xml:space="preserve">appropriate representatives from ATAGI to provide joint ATAGI and </w:t>
      </w:r>
      <w:r w:rsidR="00C074A9">
        <w:t xml:space="preserve">PBAC </w:t>
      </w:r>
      <w:r w:rsidR="00990B7E">
        <w:t xml:space="preserve">ESC advice </w:t>
      </w:r>
      <w:r w:rsidR="00C074A9">
        <w:t>to</w:t>
      </w:r>
      <w:r w:rsidR="00990B7E">
        <w:t xml:space="preserve"> the PBAC. Additionally, </w:t>
      </w:r>
      <w:r w:rsidR="00C074A9">
        <w:t>it</w:t>
      </w:r>
      <w:r w:rsidR="00990B7E">
        <w:t xml:space="preserve"> was proposed to support this process by bolstering </w:t>
      </w:r>
      <w:r w:rsidR="00C074A9">
        <w:t xml:space="preserve">ATAGI’s </w:t>
      </w:r>
      <w:r w:rsidR="00990B7E">
        <w:t xml:space="preserve">horizon scanning and allowing a more proactive approach to submissions. </w:t>
      </w:r>
    </w:p>
    <w:p w14:paraId="2D2B8892" w14:textId="56A464CD" w:rsidR="00990B7E" w:rsidRDefault="00990B7E" w:rsidP="00990B7E">
      <w:r w:rsidRPr="00E76438">
        <w:t xml:space="preserve">Industry stakeholders </w:t>
      </w:r>
      <w:r w:rsidR="00C074A9">
        <w:t xml:space="preserve">were </w:t>
      </w:r>
      <w:r w:rsidRPr="00E76438">
        <w:t>generally positive</w:t>
      </w:r>
      <w:r w:rsidR="00C074A9">
        <w:t xml:space="preserve"> about</w:t>
      </w:r>
      <w:r w:rsidRPr="00E76438">
        <w:t xml:space="preserve"> the </w:t>
      </w:r>
      <w:r w:rsidR="00BA6909">
        <w:t xml:space="preserve">proposed </w:t>
      </w:r>
      <w:r w:rsidR="00C074A9">
        <w:t>reform</w:t>
      </w:r>
      <w:r>
        <w:t>,</w:t>
      </w:r>
      <w:r w:rsidRPr="00E76438">
        <w:t xml:space="preserve"> as long as ATAGI remained accessible and flexible</w:t>
      </w:r>
      <w:r>
        <w:t xml:space="preserve">. </w:t>
      </w:r>
      <w:r w:rsidRPr="004719F1">
        <w:t xml:space="preserve">Clinical and scientific stakeholders were optimistic that </w:t>
      </w:r>
      <w:r w:rsidR="00BA6909">
        <w:t>it</w:t>
      </w:r>
      <w:r w:rsidRPr="004719F1">
        <w:t xml:space="preserve"> could reduce </w:t>
      </w:r>
      <w:r w:rsidR="00BA6909">
        <w:t xml:space="preserve">the </w:t>
      </w:r>
      <w:r w:rsidRPr="004719F1">
        <w:t xml:space="preserve">time </w:t>
      </w:r>
      <w:r w:rsidR="00BA6909">
        <w:t xml:space="preserve">needed </w:t>
      </w:r>
      <w:r w:rsidRPr="004719F1">
        <w:t>to</w:t>
      </w:r>
      <w:r w:rsidR="00BA6909">
        <w:t xml:space="preserve"> get vaccines on the NIP</w:t>
      </w:r>
      <w:r w:rsidRPr="004719F1">
        <w:t xml:space="preserve">, </w:t>
      </w:r>
      <w:proofErr w:type="gramStart"/>
      <w:r w:rsidRPr="004719F1">
        <w:t>as long as</w:t>
      </w:r>
      <w:proofErr w:type="gramEnd"/>
      <w:r w:rsidRPr="004719F1">
        <w:t xml:space="preserve"> the same evaluator group was used for </w:t>
      </w:r>
      <w:r w:rsidR="00BA6909">
        <w:t xml:space="preserve">the </w:t>
      </w:r>
      <w:r w:rsidRPr="004719F1">
        <w:t>PBAC and ATAGI</w:t>
      </w:r>
      <w:r>
        <w:t xml:space="preserve">. </w:t>
      </w:r>
      <w:r w:rsidR="00BA6909">
        <w:t>ATAGI’s f</w:t>
      </w:r>
      <w:r>
        <w:t xml:space="preserve">eedback </w:t>
      </w:r>
      <w:r w:rsidR="00BA6909">
        <w:t>on</w:t>
      </w:r>
      <w:r w:rsidRPr="00BF394C">
        <w:t xml:space="preserve"> mechanisms </w:t>
      </w:r>
      <w:r w:rsidR="00C144AA">
        <w:t>having</w:t>
      </w:r>
      <w:r w:rsidR="00BA6909">
        <w:t xml:space="preserve"> a more </w:t>
      </w:r>
      <w:r w:rsidRPr="00BF394C">
        <w:t>proactiv</w:t>
      </w:r>
      <w:r w:rsidR="00BA6909">
        <w:t>e</w:t>
      </w:r>
      <w:r w:rsidRPr="00BF394C">
        <w:t xml:space="preserve"> and proportionate </w:t>
      </w:r>
      <w:r w:rsidR="00BA6909">
        <w:t xml:space="preserve">response to </w:t>
      </w:r>
      <w:r w:rsidRPr="00BF394C">
        <w:t>submissions</w:t>
      </w:r>
      <w:r w:rsidR="00BA6909">
        <w:t xml:space="preserve"> was </w:t>
      </w:r>
      <w:r w:rsidR="00BA6909" w:rsidRPr="00BF394C">
        <w:t>positive</w:t>
      </w:r>
      <w:r w:rsidR="00BA6909">
        <w:t>;</w:t>
      </w:r>
      <w:r>
        <w:t xml:space="preserve"> however</w:t>
      </w:r>
      <w:r w:rsidR="00BA6909">
        <w:t>, it</w:t>
      </w:r>
      <w:r>
        <w:t xml:space="preserve"> </w:t>
      </w:r>
      <w:r w:rsidRPr="00BF394C">
        <w:t xml:space="preserve">expressed concern </w:t>
      </w:r>
      <w:r w:rsidR="00BA6909">
        <w:t>about</w:t>
      </w:r>
      <w:r w:rsidRPr="00BF394C">
        <w:t xml:space="preserve"> the </w:t>
      </w:r>
      <w:r w:rsidR="00BA6909">
        <w:t xml:space="preserve">potential </w:t>
      </w:r>
      <w:r w:rsidRPr="00BF394C">
        <w:t xml:space="preserve">requirement </w:t>
      </w:r>
      <w:r w:rsidR="00BA6909">
        <w:t xml:space="preserve">to remove </w:t>
      </w:r>
      <w:r w:rsidRPr="00BF394C">
        <w:t>full committee advice t</w:t>
      </w:r>
      <w:r w:rsidR="00BA6909">
        <w:t>o the</w:t>
      </w:r>
      <w:r w:rsidRPr="00BF394C">
        <w:t xml:space="preserve"> PBAC </w:t>
      </w:r>
      <w:r w:rsidR="00BA6909">
        <w:t>in relation to</w:t>
      </w:r>
      <w:r w:rsidR="00BA6909" w:rsidRPr="00BF394C">
        <w:t xml:space="preserve"> </w:t>
      </w:r>
      <w:r w:rsidRPr="00BF394C">
        <w:t>the NIP</w:t>
      </w:r>
      <w:r>
        <w:t>.</w:t>
      </w:r>
      <w:r w:rsidR="00453069">
        <w:t xml:space="preserve"> </w:t>
      </w:r>
    </w:p>
    <w:p w14:paraId="7A231FCE" w14:textId="7BBBF299" w:rsidR="00990B7E" w:rsidRDefault="00990B7E" w:rsidP="00990B7E">
      <w:r w:rsidRPr="00C80744">
        <w:t>ATAGI has 15 voting members with expertise in a range of areas, including infectious diseases, epidemiology, disease modelling, population health, general practice, paediatrics, maternal health, immunocompromising conditions, program implementation</w:t>
      </w:r>
      <w:r w:rsidR="00C144AA">
        <w:t xml:space="preserve"> and</w:t>
      </w:r>
      <w:r w:rsidRPr="00C80744">
        <w:t xml:space="preserve"> nurse practitioners</w:t>
      </w:r>
      <w:r w:rsidR="00C144AA">
        <w:t>, as well as</w:t>
      </w:r>
      <w:r w:rsidRPr="00C80744">
        <w:t xml:space="preserve"> consumer representatives.</w:t>
      </w:r>
      <w:r>
        <w:t xml:space="preserve"> </w:t>
      </w:r>
      <w:r w:rsidRPr="003C0E83">
        <w:t>Unlike other medicines, vaccines on the NIP are administered as a program at a population level to people who are predominantly well</w:t>
      </w:r>
      <w:r w:rsidR="00C144AA">
        <w:t>. This</w:t>
      </w:r>
      <w:r w:rsidRPr="003C0E83">
        <w:t xml:space="preserve"> requires additional considerations</w:t>
      </w:r>
      <w:r w:rsidR="00C144AA">
        <w:t>,</w:t>
      </w:r>
      <w:r w:rsidRPr="003C0E83">
        <w:t xml:space="preserve"> including the population-level effects of vaccines within a complex ecological system.</w:t>
      </w:r>
    </w:p>
    <w:p w14:paraId="72B0E7F5" w14:textId="7456C786" w:rsidR="00DA534C" w:rsidRDefault="00190850" w:rsidP="00652BF4">
      <w:r w:rsidRPr="00E024B4">
        <w:t xml:space="preserve">Further </w:t>
      </w:r>
      <w:r w:rsidR="00033175" w:rsidRPr="00E024B4">
        <w:t>system a</w:t>
      </w:r>
      <w:r w:rsidR="008A7D2E" w:rsidRPr="00E024B4">
        <w:t xml:space="preserve">nalysis </w:t>
      </w:r>
      <w:r w:rsidR="008722E1" w:rsidRPr="00E024B4">
        <w:t xml:space="preserve">and </w:t>
      </w:r>
      <w:r w:rsidR="002A044D" w:rsidRPr="00E024B4">
        <w:t>stakeholder consultation</w:t>
      </w:r>
      <w:r w:rsidR="00C144AA">
        <w:t>s</w:t>
      </w:r>
      <w:r w:rsidR="002A044D" w:rsidRPr="00E024B4">
        <w:t xml:space="preserve"> </w:t>
      </w:r>
      <w:r w:rsidR="000E051E" w:rsidRPr="00E024B4">
        <w:t xml:space="preserve">identified </w:t>
      </w:r>
      <w:r w:rsidR="00101094" w:rsidRPr="00E024B4">
        <w:t>opportunities to streamline the vaccine pathway</w:t>
      </w:r>
      <w:r w:rsidR="00A848B7" w:rsidRPr="00E024B4">
        <w:t>,</w:t>
      </w:r>
      <w:r w:rsidR="00101094" w:rsidRPr="00E024B4">
        <w:t xml:space="preserve"> while </w:t>
      </w:r>
      <w:r w:rsidR="00DF700E" w:rsidRPr="00E024B4">
        <w:t xml:space="preserve">retaining </w:t>
      </w:r>
      <w:r w:rsidR="00101094" w:rsidRPr="00E024B4">
        <w:t>full ATAGI consideration</w:t>
      </w:r>
      <w:r w:rsidR="00DF700E" w:rsidRPr="00E024B4">
        <w:t>, as</w:t>
      </w:r>
      <w:r w:rsidR="00101094" w:rsidRPr="00E024B4">
        <w:t xml:space="preserve"> required</w:t>
      </w:r>
      <w:r w:rsidR="00101094">
        <w:t>.</w:t>
      </w:r>
      <w:r w:rsidR="00954B59">
        <w:t xml:space="preserve"> </w:t>
      </w:r>
      <w:r w:rsidR="00195EDB">
        <w:lastRenderedPageBreak/>
        <w:t>Th</w:t>
      </w:r>
      <w:r w:rsidR="00C144AA">
        <w:t>ese</w:t>
      </w:r>
      <w:r w:rsidR="00195EDB">
        <w:t xml:space="preserve"> include a range of measures to better integrate and harmonise the PBAC and ATAGI processes inside the Department and during evaluation. </w:t>
      </w:r>
      <w:r w:rsidR="00862C6E">
        <w:t xml:space="preserve">Improving </w:t>
      </w:r>
      <w:r w:rsidR="00FF673B">
        <w:t xml:space="preserve">alignment </w:t>
      </w:r>
      <w:r w:rsidR="00862C6E">
        <w:t xml:space="preserve">between the two processes </w:t>
      </w:r>
      <w:r w:rsidR="00FF673B">
        <w:t>w</w:t>
      </w:r>
      <w:r w:rsidR="00C144AA">
        <w:t>ould</w:t>
      </w:r>
      <w:r w:rsidR="00FF673B">
        <w:t xml:space="preserve"> require additional resourcing </w:t>
      </w:r>
      <w:r w:rsidR="00C144AA">
        <w:t>to enable</w:t>
      </w:r>
      <w:r w:rsidR="00FF673B">
        <w:t xml:space="preserve"> the ATAGI Secretariat to hire technical experts, </w:t>
      </w:r>
      <w:proofErr w:type="gramStart"/>
      <w:r w:rsidR="00C144AA">
        <w:t>similar to</w:t>
      </w:r>
      <w:proofErr w:type="gramEnd"/>
      <w:r w:rsidR="00FF673B">
        <w:t xml:space="preserve"> the PBAC Secretariat</w:t>
      </w:r>
      <w:r w:rsidR="00534C4B">
        <w:t xml:space="preserve">. </w:t>
      </w:r>
      <w:r w:rsidR="0069389B">
        <w:t>Improved internal alignment c</w:t>
      </w:r>
      <w:r w:rsidR="006C783D">
        <w:t>ombined</w:t>
      </w:r>
      <w:r w:rsidR="00595C16">
        <w:t xml:space="preserve"> with </w:t>
      </w:r>
      <w:r w:rsidR="00284FFD">
        <w:t xml:space="preserve">expanding the </w:t>
      </w:r>
      <w:r w:rsidR="008A4ECC">
        <w:t>evaluator</w:t>
      </w:r>
      <w:r w:rsidR="009F2ACA">
        <w:t xml:space="preserve"> groups</w:t>
      </w:r>
      <w:r w:rsidR="008A4ECC">
        <w:t xml:space="preserve"> </w:t>
      </w:r>
      <w:r w:rsidR="009735C5">
        <w:t xml:space="preserve">for </w:t>
      </w:r>
      <w:r w:rsidR="008A4ECC">
        <w:t xml:space="preserve">PBAC submissions </w:t>
      </w:r>
      <w:r w:rsidR="00284FFD">
        <w:t>to include vaccine</w:t>
      </w:r>
      <w:r w:rsidR="006C783D">
        <w:t xml:space="preserve"> evaluation experts</w:t>
      </w:r>
      <w:r w:rsidR="00D46356">
        <w:t xml:space="preserve">, </w:t>
      </w:r>
      <w:r w:rsidR="00C769C7">
        <w:t>w</w:t>
      </w:r>
      <w:r w:rsidR="00A655AC">
        <w:t>ould</w:t>
      </w:r>
      <w:r w:rsidR="00C769C7">
        <w:t xml:space="preserve"> </w:t>
      </w:r>
      <w:r w:rsidR="00A655AC">
        <w:t>condens</w:t>
      </w:r>
      <w:r w:rsidR="00CD465F">
        <w:t xml:space="preserve">e </w:t>
      </w:r>
      <w:r w:rsidR="00EE05B3">
        <w:t xml:space="preserve">the </w:t>
      </w:r>
      <w:proofErr w:type="gramStart"/>
      <w:r w:rsidR="00FE198C">
        <w:t>time</w:t>
      </w:r>
      <w:r w:rsidR="00764E63">
        <w:t xml:space="preserve"> period</w:t>
      </w:r>
      <w:proofErr w:type="gramEnd"/>
      <w:r w:rsidR="00764E63">
        <w:t xml:space="preserve"> </w:t>
      </w:r>
      <w:r w:rsidR="00A01533">
        <w:t>leading up to ATAGI consideration</w:t>
      </w:r>
      <w:r w:rsidR="00C45F3D">
        <w:t>.</w:t>
      </w:r>
      <w:r w:rsidR="00B924E7">
        <w:t xml:space="preserve"> </w:t>
      </w:r>
      <w:r w:rsidR="0025795D">
        <w:t xml:space="preserve">Additionally, it was identified that </w:t>
      </w:r>
      <w:r w:rsidR="000D476D">
        <w:t xml:space="preserve">as </w:t>
      </w:r>
      <w:r w:rsidR="0052114E">
        <w:t xml:space="preserve">ATAGI consideration </w:t>
      </w:r>
      <w:r w:rsidR="00A655AC">
        <w:t>takes place</w:t>
      </w:r>
      <w:r w:rsidR="006D1E27">
        <w:t xml:space="preserve"> </w:t>
      </w:r>
      <w:r w:rsidR="00BA0DBE">
        <w:t xml:space="preserve">considerably earlier than PBAC consideration, </w:t>
      </w:r>
      <w:r w:rsidR="001F0020">
        <w:t xml:space="preserve">updated data </w:t>
      </w:r>
      <w:r w:rsidR="00A655AC">
        <w:t xml:space="preserve">is often available </w:t>
      </w:r>
      <w:r w:rsidR="001F0020">
        <w:t xml:space="preserve">by the time </w:t>
      </w:r>
      <w:r w:rsidR="00A655AC">
        <w:t xml:space="preserve">the </w:t>
      </w:r>
      <w:r w:rsidR="001F0020">
        <w:t>PBAC considers the vaccine</w:t>
      </w:r>
      <w:r w:rsidR="00A53912">
        <w:t xml:space="preserve">. This can cause </w:t>
      </w:r>
      <w:r w:rsidR="00C573FB">
        <w:t>process issues and sometimes delays</w:t>
      </w:r>
      <w:r w:rsidR="00A655AC">
        <w:t>. B</w:t>
      </w:r>
      <w:r w:rsidR="00C573FB">
        <w:t xml:space="preserve">ringing the ATAGI consideration of the </w:t>
      </w:r>
      <w:r w:rsidR="002132E2">
        <w:t>vaccine closer to the PBAC consideration w</w:t>
      </w:r>
      <w:r w:rsidR="00A655AC">
        <w:t>ould</w:t>
      </w:r>
      <w:r w:rsidR="002132E2">
        <w:t xml:space="preserve"> </w:t>
      </w:r>
      <w:r w:rsidR="00B932DA">
        <w:t xml:space="preserve">mitigate this issue. </w:t>
      </w:r>
    </w:p>
    <w:p w14:paraId="4F25CB61" w14:textId="069B9735" w:rsidR="006E08F6" w:rsidRDefault="00990B7E" w:rsidP="00990B7E">
      <w:r>
        <w:t xml:space="preserve">Additionally, </w:t>
      </w:r>
      <w:r w:rsidR="00E770ED">
        <w:t>more</w:t>
      </w:r>
      <w:r w:rsidR="00155F2F">
        <w:t xml:space="preserve"> opportunities </w:t>
      </w:r>
      <w:r w:rsidR="00362071">
        <w:t>for process improvements and timeliness</w:t>
      </w:r>
      <w:r w:rsidR="00E770ED">
        <w:t xml:space="preserve"> are available. These include a</w:t>
      </w:r>
      <w:r>
        <w:t>llow</w:t>
      </w:r>
      <w:r w:rsidR="005652F5">
        <w:t>ing</w:t>
      </w:r>
      <w:r>
        <w:t xml:space="preserve"> ATAGI to (further) differentiate </w:t>
      </w:r>
      <w:r w:rsidR="002B0278">
        <w:t>its</w:t>
      </w:r>
      <w:r>
        <w:t xml:space="preserve"> submissions and align the time and effort spent on </w:t>
      </w:r>
      <w:r w:rsidR="00E770ED">
        <w:t>each submission with the</w:t>
      </w:r>
      <w:r>
        <w:t xml:space="preserve"> </w:t>
      </w:r>
      <w:r w:rsidR="00C441D6">
        <w:t xml:space="preserve">degree </w:t>
      </w:r>
      <w:r>
        <w:t xml:space="preserve">of complexity and risk. </w:t>
      </w:r>
      <w:r w:rsidR="005652F5">
        <w:t>This w</w:t>
      </w:r>
      <w:r w:rsidR="00E770ED">
        <w:t>ould</w:t>
      </w:r>
      <w:r w:rsidR="005652F5">
        <w:t xml:space="preserve"> </w:t>
      </w:r>
      <w:r w:rsidR="00327C08">
        <w:t>increase</w:t>
      </w:r>
      <w:r w:rsidR="00BB3487">
        <w:t xml:space="preserve"> the time available for ATAGI</w:t>
      </w:r>
      <w:r w:rsidR="005652F5">
        <w:t xml:space="preserve"> </w:t>
      </w:r>
      <w:r w:rsidR="008A77A0">
        <w:t xml:space="preserve">and evaluators to consider more complex submissions </w:t>
      </w:r>
      <w:r w:rsidR="0048598F">
        <w:t xml:space="preserve">and reduce timelines. </w:t>
      </w:r>
    </w:p>
    <w:p w14:paraId="308808B7" w14:textId="403147E8" w:rsidR="00990B7E" w:rsidRDefault="006E55EA" w:rsidP="00990B7E">
      <w:r>
        <w:t>R</w:t>
      </w:r>
      <w:r w:rsidR="00FD1FC4">
        <w:t xml:space="preserve">esearch </w:t>
      </w:r>
      <w:r w:rsidR="00B74FAF">
        <w:t xml:space="preserve">indicated that </w:t>
      </w:r>
      <w:r w:rsidR="008707D8">
        <w:t>u</w:t>
      </w:r>
      <w:r w:rsidR="008707D8" w:rsidRPr="008707D8">
        <w:t xml:space="preserve">nlike many other countries, ATAGI </w:t>
      </w:r>
      <w:r w:rsidR="00FA7F7A">
        <w:t>and</w:t>
      </w:r>
      <w:r w:rsidR="00FA7F7A" w:rsidRPr="008707D8">
        <w:t xml:space="preserve"> </w:t>
      </w:r>
      <w:r w:rsidR="00E770ED">
        <w:t xml:space="preserve">the </w:t>
      </w:r>
      <w:r w:rsidR="008707D8" w:rsidRPr="008707D8">
        <w:t>PBAC rely on the economic model provided by the sponsor to inform their decisions about vaccines</w:t>
      </w:r>
      <w:r w:rsidR="008707D8">
        <w:t xml:space="preserve">. </w:t>
      </w:r>
      <w:r w:rsidR="00F5769D">
        <w:t xml:space="preserve">Internationally, </w:t>
      </w:r>
      <w:r w:rsidR="00157A29" w:rsidRPr="00157A29">
        <w:t xml:space="preserve">significant benefits </w:t>
      </w:r>
      <w:r w:rsidR="00CD465F">
        <w:t xml:space="preserve">are </w:t>
      </w:r>
      <w:r w:rsidR="002875CF">
        <w:t xml:space="preserve">reported </w:t>
      </w:r>
      <w:r w:rsidR="00CD465F">
        <w:t>from</w:t>
      </w:r>
      <w:r w:rsidR="00157A29" w:rsidRPr="00157A29">
        <w:t xml:space="preserve"> </w:t>
      </w:r>
      <w:r w:rsidR="00E770ED">
        <w:t>using</w:t>
      </w:r>
      <w:r w:rsidR="00157A29" w:rsidRPr="00157A29">
        <w:t xml:space="preserve"> a more proactive approach</w:t>
      </w:r>
      <w:r w:rsidR="006C1944">
        <w:t>,</w:t>
      </w:r>
      <w:r w:rsidR="00157A29" w:rsidRPr="00157A29">
        <w:t xml:space="preserve"> such as </w:t>
      </w:r>
      <w:r w:rsidR="00E770ED">
        <w:t>considering</w:t>
      </w:r>
      <w:r w:rsidR="00157A29" w:rsidRPr="00157A29">
        <w:t xml:space="preserve"> how new products or potential </w:t>
      </w:r>
      <w:r w:rsidR="00E770ED">
        <w:t xml:space="preserve">changes to </w:t>
      </w:r>
      <w:r w:rsidR="00157A29" w:rsidRPr="00157A29">
        <w:t>vaccine program</w:t>
      </w:r>
      <w:r w:rsidR="00E770ED">
        <w:t>s</w:t>
      </w:r>
      <w:r w:rsidR="00157A29" w:rsidRPr="00157A29">
        <w:t xml:space="preserve"> would affect disease burden, </w:t>
      </w:r>
      <w:r w:rsidR="00D66AAA">
        <w:t>followed by</w:t>
      </w:r>
      <w:r w:rsidR="00157A29" w:rsidRPr="00157A29">
        <w:t xml:space="preserve"> </w:t>
      </w:r>
      <w:r w:rsidR="00E770ED">
        <w:t xml:space="preserve">issuing </w:t>
      </w:r>
      <w:r w:rsidR="00157A29" w:rsidRPr="00157A29">
        <w:t>invit</w:t>
      </w:r>
      <w:r w:rsidR="00D66AAA">
        <w:t>ation</w:t>
      </w:r>
      <w:r w:rsidR="00E770ED">
        <w:t>s</w:t>
      </w:r>
      <w:r w:rsidR="00D66AAA">
        <w:t xml:space="preserve"> for</w:t>
      </w:r>
      <w:r w:rsidR="00157A29" w:rsidRPr="00157A29">
        <w:t xml:space="preserve"> submissions or tenders from relevant sponsors. ATAGI</w:t>
      </w:r>
      <w:r w:rsidR="00F267B1" w:rsidRPr="00157A29">
        <w:t xml:space="preserve"> </w:t>
      </w:r>
      <w:r w:rsidR="00157A29" w:rsidRPr="00157A29">
        <w:t xml:space="preserve">noted </w:t>
      </w:r>
      <w:r w:rsidR="00E770ED">
        <w:t xml:space="preserve">during consultations </w:t>
      </w:r>
      <w:r w:rsidR="00157A29" w:rsidRPr="00157A29">
        <w:t xml:space="preserve">that </w:t>
      </w:r>
      <w:r w:rsidR="00E770ED" w:rsidRPr="00157A29">
        <w:t>sponsors</w:t>
      </w:r>
      <w:r w:rsidR="00E770ED">
        <w:t>’</w:t>
      </w:r>
      <w:r w:rsidR="00E770ED" w:rsidRPr="00157A29">
        <w:t xml:space="preserve"> </w:t>
      </w:r>
      <w:r w:rsidR="00157A29" w:rsidRPr="00157A29">
        <w:t xml:space="preserve">early provision </w:t>
      </w:r>
      <w:r w:rsidR="00E770ED" w:rsidRPr="00157A29">
        <w:t>(in confidence)</w:t>
      </w:r>
      <w:r w:rsidR="00B86378" w:rsidRPr="00B86378">
        <w:t xml:space="preserve"> </w:t>
      </w:r>
      <w:r w:rsidR="00B86378" w:rsidRPr="00157A29">
        <w:t>of data</w:t>
      </w:r>
      <w:r w:rsidR="00157A29" w:rsidRPr="00157A29">
        <w:t xml:space="preserve">, including updated or new data provided to the PBAC after ATAGI’s pre-submission advice, is helpful </w:t>
      </w:r>
      <w:r w:rsidR="00D26297">
        <w:t xml:space="preserve">as it enabled </w:t>
      </w:r>
      <w:r w:rsidR="00157A29" w:rsidRPr="00157A29">
        <w:t xml:space="preserve">ATAGI to prepare high-quality advice. </w:t>
      </w:r>
    </w:p>
    <w:p w14:paraId="3FF65F6B" w14:textId="41A5CA91" w:rsidR="008E2347" w:rsidRDefault="008E2347" w:rsidP="00A94640">
      <w:pPr>
        <w:pStyle w:val="Heading3"/>
      </w:pPr>
      <w:bookmarkStart w:id="171" w:name="_Toc164781642"/>
      <w:r>
        <w:t xml:space="preserve">Conclusion </w:t>
      </w:r>
    </w:p>
    <w:p w14:paraId="78E29700" w14:textId="3DA05C3C" w:rsidR="00BD0C3D" w:rsidRPr="00BD0C3D" w:rsidRDefault="00BD0C3D" w:rsidP="00BD0C3D">
      <w:proofErr w:type="gramStart"/>
      <w:r w:rsidRPr="00BD0C3D">
        <w:t>ATAGI</w:t>
      </w:r>
      <w:r w:rsidR="006D5605">
        <w:t>‘</w:t>
      </w:r>
      <w:proofErr w:type="gramEnd"/>
      <w:r w:rsidR="006D5605">
        <w:t xml:space="preserve">s </w:t>
      </w:r>
      <w:r w:rsidRPr="00BD0C3D">
        <w:t>processes add approximately 31 weeks to the PBAC HTA pathway (the 17</w:t>
      </w:r>
      <w:r w:rsidR="00311A93">
        <w:noBreakHyphen/>
      </w:r>
      <w:r w:rsidRPr="00BD0C3D">
        <w:t>week cycle)</w:t>
      </w:r>
      <w:r w:rsidR="006D5605">
        <w:t>,</w:t>
      </w:r>
      <w:r w:rsidRPr="00BD0C3D">
        <w:t xml:space="preserve"> resulting in </w:t>
      </w:r>
      <w:r w:rsidR="0014376A">
        <w:t>approximately a</w:t>
      </w:r>
      <w:r w:rsidRPr="00BD0C3D">
        <w:t xml:space="preserve"> 48-week HTA pathway for vaccines for NIP listing. By improving alignment between the PBAC and ATAGI pathways, processes and secretariat functions</w:t>
      </w:r>
      <w:r w:rsidR="002F0A5F">
        <w:t>,</w:t>
      </w:r>
      <w:r w:rsidRPr="00BD0C3D">
        <w:t xml:space="preserve"> and </w:t>
      </w:r>
      <w:r w:rsidR="00600019">
        <w:t>u</w:t>
      </w:r>
      <w:r w:rsidR="006D5605">
        <w:t>sing</w:t>
      </w:r>
      <w:r w:rsidR="00600019">
        <w:t xml:space="preserve"> </w:t>
      </w:r>
      <w:r w:rsidRPr="00BD0C3D">
        <w:t>the same evaluator group for both, the time to HTA recommendation w</w:t>
      </w:r>
      <w:r w:rsidR="006D5605">
        <w:t>ould</w:t>
      </w:r>
      <w:r w:rsidRPr="00BD0C3D">
        <w:t xml:space="preserve"> be reduced by</w:t>
      </w:r>
      <w:r w:rsidR="006D5605">
        <w:t xml:space="preserve"> </w:t>
      </w:r>
      <w:r w:rsidRPr="00BD0C3D">
        <w:t>18</w:t>
      </w:r>
      <w:r w:rsidR="006D5605">
        <w:t>–</w:t>
      </w:r>
      <w:r w:rsidRPr="00BD0C3D">
        <w:t xml:space="preserve">22 weeks, or around 40%. </w:t>
      </w:r>
    </w:p>
    <w:p w14:paraId="27C7CB52" w14:textId="7637F14F" w:rsidR="00BD0C3D" w:rsidRPr="00BD0C3D" w:rsidRDefault="00BD0C3D" w:rsidP="00BD0C3D">
      <w:r w:rsidRPr="00BD0C3D">
        <w:t xml:space="preserve">This </w:t>
      </w:r>
      <w:r w:rsidR="006D5605">
        <w:t>could</w:t>
      </w:r>
      <w:r w:rsidRPr="00BD0C3D">
        <w:t xml:space="preserve"> be supported by proactive and proportional restructuring to </w:t>
      </w:r>
      <w:r w:rsidR="00B03D7B" w:rsidRPr="00BD0C3D">
        <w:t>maximise the chances of a positive HTA recommendation in the first submission</w:t>
      </w:r>
      <w:r w:rsidR="00B03D7B">
        <w:t>, and</w:t>
      </w:r>
      <w:r w:rsidR="00B03D7B" w:rsidRPr="00BD0C3D">
        <w:t xml:space="preserve"> </w:t>
      </w:r>
      <w:r w:rsidRPr="00BD0C3D">
        <w:t>further expedite</w:t>
      </w:r>
      <w:r w:rsidR="006D5605">
        <w:t xml:space="preserve"> </w:t>
      </w:r>
      <w:r w:rsidR="006D5605" w:rsidRPr="00BD0C3D">
        <w:t>access</w:t>
      </w:r>
      <w:r w:rsidR="006D5605">
        <w:t xml:space="preserve"> to</w:t>
      </w:r>
      <w:r w:rsidRPr="00BD0C3D">
        <w:t xml:space="preserve"> crucial medicines </w:t>
      </w:r>
      <w:r w:rsidR="00A96119">
        <w:t>for</w:t>
      </w:r>
      <w:r w:rsidR="00A96119" w:rsidRPr="00BD0C3D">
        <w:t xml:space="preserve"> </w:t>
      </w:r>
      <w:r w:rsidRPr="00BD0C3D">
        <w:t xml:space="preserve">Australians. </w:t>
      </w:r>
    </w:p>
    <w:p w14:paraId="27A5A68B" w14:textId="34294E93" w:rsidR="00A94640" w:rsidRDefault="00A94640" w:rsidP="00A94640">
      <w:pPr>
        <w:pStyle w:val="Heading3"/>
      </w:pPr>
      <w:r>
        <w:t xml:space="preserve">Objectives of </w:t>
      </w:r>
      <w:r w:rsidR="006D5605">
        <w:t>r</w:t>
      </w:r>
      <w:r w:rsidRPr="002724B9">
        <w:t>ecommendations</w:t>
      </w:r>
    </w:p>
    <w:p w14:paraId="115CF048" w14:textId="4A798831" w:rsidR="008E2347" w:rsidRDefault="00D2627C" w:rsidP="008E2347">
      <w:r>
        <w:t xml:space="preserve">The </w:t>
      </w:r>
      <w:r w:rsidR="001170A6">
        <w:t>r</w:t>
      </w:r>
      <w:r>
        <w:t xml:space="preserve">ecommendations in this chapter </w:t>
      </w:r>
      <w:r w:rsidR="006D5605">
        <w:t>aim</w:t>
      </w:r>
      <w:r w:rsidR="001170A6">
        <w:t xml:space="preserve"> to: </w:t>
      </w:r>
    </w:p>
    <w:p w14:paraId="33CF4E6B" w14:textId="14237FAF" w:rsidR="00365C5F" w:rsidRPr="00365C5F" w:rsidRDefault="006D5605" w:rsidP="00281153">
      <w:pPr>
        <w:pStyle w:val="ListBullet"/>
        <w:numPr>
          <w:ilvl w:val="0"/>
          <w:numId w:val="65"/>
        </w:numPr>
      </w:pPr>
      <w:r>
        <w:t>m</w:t>
      </w:r>
      <w:r w:rsidR="0062470A">
        <w:t>ake</w:t>
      </w:r>
      <w:r w:rsidR="0062470A" w:rsidRPr="00365C5F">
        <w:t xml:space="preserve"> </w:t>
      </w:r>
      <w:r>
        <w:t>h</w:t>
      </w:r>
      <w:r w:rsidR="00365C5F" w:rsidRPr="00365C5F">
        <w:t xml:space="preserve">ealth </w:t>
      </w:r>
      <w:r>
        <w:t>t</w:t>
      </w:r>
      <w:r w:rsidR="00365C5F" w:rsidRPr="00365C5F">
        <w:t xml:space="preserve">echnology </w:t>
      </w:r>
      <w:r>
        <w:t>f</w:t>
      </w:r>
      <w:r w:rsidR="00365C5F" w:rsidRPr="00365C5F">
        <w:t xml:space="preserve">unding and </w:t>
      </w:r>
      <w:r>
        <w:t>a</w:t>
      </w:r>
      <w:r w:rsidR="00365C5F" w:rsidRPr="00365C5F">
        <w:t>ssessment methods</w:t>
      </w:r>
      <w:r w:rsidR="00453069">
        <w:t xml:space="preserve"> </w:t>
      </w:r>
      <w:r w:rsidR="00365C5F" w:rsidRPr="00365C5F">
        <w:t xml:space="preserve">proportionate to the level of risk and potential benefit of </w:t>
      </w:r>
      <w:r w:rsidR="001C2F0A">
        <w:t xml:space="preserve">each </w:t>
      </w:r>
      <w:r w:rsidR="00365C5F" w:rsidRPr="00365C5F">
        <w:t>therapy, ensuring time and effort</w:t>
      </w:r>
      <w:r>
        <w:t xml:space="preserve"> in</w:t>
      </w:r>
      <w:r w:rsidR="00365C5F" w:rsidRPr="00365C5F">
        <w:t xml:space="preserve"> the HTA system goes where it is most beneficial</w:t>
      </w:r>
    </w:p>
    <w:p w14:paraId="33003FD4" w14:textId="1834D406" w:rsidR="00365C5F" w:rsidRPr="00365C5F" w:rsidRDefault="001C2F0A" w:rsidP="00281153">
      <w:pPr>
        <w:pStyle w:val="ListBullet"/>
        <w:numPr>
          <w:ilvl w:val="0"/>
          <w:numId w:val="65"/>
        </w:numPr>
      </w:pPr>
      <w:r>
        <w:lastRenderedPageBreak/>
        <w:t>i</w:t>
      </w:r>
      <w:r w:rsidR="00365C5F" w:rsidRPr="00365C5F">
        <w:t xml:space="preserve">mprove time to access for new vaccines in areas of </w:t>
      </w:r>
      <w:r w:rsidR="00365C5F" w:rsidRPr="004D3A7F">
        <w:t>unmet clinical need</w:t>
      </w:r>
    </w:p>
    <w:p w14:paraId="278653FA" w14:textId="1CF50A04" w:rsidR="00365C5F" w:rsidRDefault="001C2F0A" w:rsidP="00281153">
      <w:pPr>
        <w:pStyle w:val="ListBullet"/>
        <w:numPr>
          <w:ilvl w:val="0"/>
          <w:numId w:val="65"/>
        </w:numPr>
      </w:pPr>
      <w:r>
        <w:t>s</w:t>
      </w:r>
      <w:r w:rsidR="00365C5F">
        <w:t>upport ATAGI to i</w:t>
      </w:r>
      <w:r w:rsidR="00365C5F" w:rsidRPr="00365C5F">
        <w:t>mprove Australia</w:t>
      </w:r>
      <w:r>
        <w:t>’</w:t>
      </w:r>
      <w:r w:rsidR="00365C5F" w:rsidRPr="00365C5F">
        <w:t>s health security</w:t>
      </w:r>
      <w:r>
        <w:t>,</w:t>
      </w:r>
      <w:r w:rsidR="00365C5F" w:rsidRPr="00365C5F">
        <w:t xml:space="preserve"> with a proactive, agile and forward-looking system.</w:t>
      </w:r>
    </w:p>
    <w:p w14:paraId="6DC31717" w14:textId="2683C0C0" w:rsidR="00990B7E" w:rsidRPr="002724B9" w:rsidRDefault="00990B7E" w:rsidP="00C957F0">
      <w:pPr>
        <w:pStyle w:val="Heading3"/>
        <w:rPr>
          <w:rFonts w:cs="Segoe UI Light"/>
        </w:rPr>
      </w:pPr>
      <w:r w:rsidRPr="002724B9">
        <w:t>Recommendations</w:t>
      </w:r>
      <w:bookmarkEnd w:id="171"/>
    </w:p>
    <w:p w14:paraId="7059B98D" w14:textId="620EFBC0" w:rsidR="00990B7E" w:rsidRPr="002724B9" w:rsidRDefault="00990B7E" w:rsidP="00645D5E">
      <w:pPr>
        <w:pStyle w:val="Recommendation1"/>
      </w:pPr>
      <w:bookmarkStart w:id="172" w:name="_Hlk167301286"/>
      <w:r w:rsidRPr="002724B9">
        <w:t xml:space="preserve">Proportionate appraisal pathways to align </w:t>
      </w:r>
      <w:r w:rsidR="00A432B4">
        <w:t xml:space="preserve">the </w:t>
      </w:r>
      <w:r w:rsidRPr="002724B9">
        <w:t>A</w:t>
      </w:r>
      <w:r w:rsidR="00C12695">
        <w:t xml:space="preserve">ustralian </w:t>
      </w:r>
      <w:r w:rsidRPr="002724B9">
        <w:t>T</w:t>
      </w:r>
      <w:r w:rsidR="00C12695">
        <w:t xml:space="preserve">echnical </w:t>
      </w:r>
      <w:r w:rsidRPr="002724B9">
        <w:t>A</w:t>
      </w:r>
      <w:r w:rsidR="00C12695">
        <w:t xml:space="preserve">dvisory </w:t>
      </w:r>
      <w:r w:rsidRPr="002724B9">
        <w:t>G</w:t>
      </w:r>
      <w:r w:rsidR="00C12695">
        <w:t xml:space="preserve">roup on </w:t>
      </w:r>
      <w:r w:rsidRPr="002724B9">
        <w:t>I</w:t>
      </w:r>
      <w:r w:rsidR="00C12695">
        <w:t>mmunisation</w:t>
      </w:r>
      <w:r w:rsidRPr="002724B9">
        <w:t xml:space="preserve"> assessments </w:t>
      </w:r>
      <w:r w:rsidR="00372D0F">
        <w:t>with</w:t>
      </w:r>
      <w:r w:rsidR="00372D0F" w:rsidRPr="002724B9">
        <w:t xml:space="preserve"> </w:t>
      </w:r>
      <w:r w:rsidRPr="002724B9">
        <w:t>the level of risk and complexity of the product</w:t>
      </w:r>
    </w:p>
    <w:bookmarkEnd w:id="172"/>
    <w:p w14:paraId="3D303B27" w14:textId="116BC46E" w:rsidR="00990B7E" w:rsidRPr="00B324DD" w:rsidRDefault="00990B7E" w:rsidP="00553BCC">
      <w:pPr>
        <w:spacing w:before="240"/>
      </w:pPr>
      <w:r>
        <w:t>The Review recommends</w:t>
      </w:r>
      <w:r w:rsidR="0055344C">
        <w:t xml:space="preserve"> </w:t>
      </w:r>
      <w:r w:rsidR="00940CE0">
        <w:t xml:space="preserve">that </w:t>
      </w:r>
      <w:r>
        <w:t>the Australian Government:</w:t>
      </w:r>
    </w:p>
    <w:p w14:paraId="7E5A146A" w14:textId="163ADAF9" w:rsidR="00990B7E" w:rsidRPr="00F42661" w:rsidRDefault="00940CE0" w:rsidP="00281153">
      <w:pPr>
        <w:numPr>
          <w:ilvl w:val="0"/>
          <w:numId w:val="17"/>
        </w:numPr>
        <w:spacing w:before="120" w:after="120"/>
        <w:contextualSpacing/>
        <w:rPr>
          <w:rFonts w:cs="Segoe UI"/>
        </w:rPr>
      </w:pPr>
      <w:r>
        <w:rPr>
          <w:rFonts w:cs="Segoe UI"/>
        </w:rPr>
        <w:t>s</w:t>
      </w:r>
      <w:r w:rsidR="00990B7E" w:rsidRPr="00F42661">
        <w:rPr>
          <w:rFonts w:cs="Segoe UI"/>
        </w:rPr>
        <w:t>upport and resource the development of a framework to assess</w:t>
      </w:r>
      <w:r w:rsidR="00990B7E" w:rsidRPr="00F42661" w:rsidDel="008F1706">
        <w:rPr>
          <w:rFonts w:cs="Segoe UI"/>
        </w:rPr>
        <w:t xml:space="preserve"> </w:t>
      </w:r>
      <w:r w:rsidR="00990B7E" w:rsidRPr="00F42661">
        <w:rPr>
          <w:rFonts w:cs="Segoe UI"/>
        </w:rPr>
        <w:t>vaccine submission</w:t>
      </w:r>
      <w:r w:rsidR="008F1706">
        <w:rPr>
          <w:rFonts w:cs="Segoe UI"/>
        </w:rPr>
        <w:t>s</w:t>
      </w:r>
      <w:r w:rsidR="00990B7E" w:rsidRPr="00F42661">
        <w:rPr>
          <w:rFonts w:cs="Segoe UI"/>
        </w:rPr>
        <w:t xml:space="preserve"> for the level of risk and complexity of advice required</w:t>
      </w:r>
      <w:r w:rsidR="007C74DB">
        <w:rPr>
          <w:rFonts w:cs="Segoe UI"/>
        </w:rPr>
        <w:t xml:space="preserve">, building on </w:t>
      </w:r>
      <w:r w:rsidR="00990B7E" w:rsidRPr="00F42661">
        <w:rPr>
          <w:rFonts w:cs="Segoe UI"/>
        </w:rPr>
        <w:t>the advice provided for sponsors through the</w:t>
      </w:r>
      <w:hyperlink r:id="rId22" w:tgtFrame="_blank" w:history="1">
        <w:r w:rsidR="00A6244E" w:rsidRPr="00A6244E">
          <w:t xml:space="preserve"> </w:t>
        </w:r>
        <w:r w:rsidR="00A6244E" w:rsidRPr="00A6244E">
          <w:rPr>
            <w:rFonts w:cs="Segoe UI"/>
          </w:rPr>
          <w:t>Australian Technical Advisory Group on Immunisation (ATAGI)</w:t>
        </w:r>
        <w:r w:rsidR="00A6244E">
          <w:rPr>
            <w:rFonts w:cs="Segoe UI"/>
          </w:rPr>
          <w:t xml:space="preserve"> </w:t>
        </w:r>
        <w:r w:rsidR="00BB67DA">
          <w:rPr>
            <w:rFonts w:cs="Segoe UI"/>
          </w:rPr>
          <w:t>G</w:t>
        </w:r>
        <w:r w:rsidR="00990B7E" w:rsidRPr="00F42661">
          <w:rPr>
            <w:rFonts w:cs="Segoe UI"/>
          </w:rPr>
          <w:t>uidelines</w:t>
        </w:r>
      </w:hyperlink>
      <w:r w:rsidR="00990B7E" w:rsidRPr="00F42661">
        <w:rPr>
          <w:rFonts w:cs="Segoe UI"/>
        </w:rPr>
        <w:t xml:space="preserve">. This </w:t>
      </w:r>
      <w:r>
        <w:rPr>
          <w:rFonts w:cs="Segoe UI"/>
        </w:rPr>
        <w:t xml:space="preserve">framework </w:t>
      </w:r>
      <w:r w:rsidR="00990B7E" w:rsidRPr="00F42661">
        <w:rPr>
          <w:rFonts w:cs="Segoe UI"/>
        </w:rPr>
        <w:t>should be developed in consultation with stakeholders</w:t>
      </w:r>
      <w:r>
        <w:rPr>
          <w:rFonts w:cs="Segoe UI"/>
        </w:rPr>
        <w:t>,</w:t>
      </w:r>
      <w:r w:rsidR="00990B7E" w:rsidRPr="00F42661">
        <w:rPr>
          <w:rFonts w:cs="Segoe UI"/>
        </w:rPr>
        <w:t xml:space="preserve"> including ATAGI, </w:t>
      </w:r>
      <w:r>
        <w:rPr>
          <w:rFonts w:cs="Segoe UI"/>
        </w:rPr>
        <w:t xml:space="preserve">the </w:t>
      </w:r>
      <w:r w:rsidR="00A6244E" w:rsidRPr="00A6244E">
        <w:rPr>
          <w:rFonts w:cs="Segoe UI"/>
        </w:rPr>
        <w:t>Pharmaceutical Benefits Advisory Committee (PBAC)</w:t>
      </w:r>
      <w:r w:rsidR="00990B7E" w:rsidRPr="00F42661">
        <w:rPr>
          <w:rFonts w:cs="Segoe UI"/>
        </w:rPr>
        <w:t>, and academi</w:t>
      </w:r>
      <w:r w:rsidR="00A11F05">
        <w:rPr>
          <w:rFonts w:cs="Segoe UI"/>
        </w:rPr>
        <w:t>c experts and</w:t>
      </w:r>
      <w:r w:rsidR="00990B7E" w:rsidRPr="00F42661" w:rsidDel="00A11F05">
        <w:rPr>
          <w:rFonts w:cs="Segoe UI"/>
        </w:rPr>
        <w:t xml:space="preserve"> </w:t>
      </w:r>
      <w:r w:rsidR="00990B7E" w:rsidRPr="00F42661">
        <w:rPr>
          <w:rFonts w:cs="Segoe UI"/>
        </w:rPr>
        <w:t>evaluators</w:t>
      </w:r>
    </w:p>
    <w:p w14:paraId="60CE3120" w14:textId="37EA7509" w:rsidR="00990B7E" w:rsidRPr="00F42661" w:rsidRDefault="00940CE0" w:rsidP="00281153">
      <w:pPr>
        <w:numPr>
          <w:ilvl w:val="0"/>
          <w:numId w:val="17"/>
        </w:numPr>
        <w:spacing w:before="120" w:after="120"/>
        <w:contextualSpacing/>
        <w:rPr>
          <w:rFonts w:cs="Segoe UI"/>
        </w:rPr>
      </w:pPr>
      <w:r>
        <w:rPr>
          <w:rFonts w:cs="Segoe UI"/>
        </w:rPr>
        <w:t>d</w:t>
      </w:r>
      <w:r w:rsidR="00990B7E" w:rsidRPr="00F42661">
        <w:rPr>
          <w:rFonts w:cs="Segoe UI"/>
        </w:rPr>
        <w:t xml:space="preserve">evelop a proportionate appraisal mechanism and pathway for vaccine submissions in consultation with ATAGI, </w:t>
      </w:r>
      <w:r>
        <w:rPr>
          <w:rFonts w:cs="Segoe UI"/>
        </w:rPr>
        <w:t xml:space="preserve">the </w:t>
      </w:r>
      <w:r w:rsidR="00A6244E" w:rsidRPr="00A6244E">
        <w:rPr>
          <w:rFonts w:cs="Segoe UI"/>
        </w:rPr>
        <w:t>Therapeutic Goods Administration (TGA)</w:t>
      </w:r>
      <w:r w:rsidR="00A6244E">
        <w:rPr>
          <w:rFonts w:cs="Segoe UI"/>
        </w:rPr>
        <w:t xml:space="preserve">, </w:t>
      </w:r>
      <w:r w:rsidR="00990B7E" w:rsidRPr="00F42661">
        <w:rPr>
          <w:rFonts w:cs="Segoe UI"/>
        </w:rPr>
        <w:t>the PBAC</w:t>
      </w:r>
      <w:r w:rsidR="00990B7E">
        <w:rPr>
          <w:rFonts w:cs="Segoe UI"/>
        </w:rPr>
        <w:t xml:space="preserve"> and industry</w:t>
      </w:r>
      <w:r w:rsidR="00990B7E" w:rsidRPr="00F42661">
        <w:rPr>
          <w:rFonts w:cs="Segoe UI"/>
        </w:rPr>
        <w:t xml:space="preserve"> that:​</w:t>
      </w:r>
    </w:p>
    <w:p w14:paraId="613F73F6" w14:textId="23479C55" w:rsidR="00990B7E" w:rsidRPr="00824739" w:rsidRDefault="00640F8F" w:rsidP="00281153">
      <w:pPr>
        <w:numPr>
          <w:ilvl w:val="1"/>
          <w:numId w:val="17"/>
        </w:numPr>
        <w:spacing w:before="120" w:after="120"/>
        <w:contextualSpacing/>
        <w:rPr>
          <w:rFonts w:eastAsia="Calibri" w:cs="Segoe UI"/>
        </w:rPr>
      </w:pPr>
      <w:r>
        <w:rPr>
          <w:rFonts w:eastAsia="Calibri" w:cs="Segoe UI"/>
        </w:rPr>
        <w:t xml:space="preserve">has </w:t>
      </w:r>
      <w:r w:rsidR="00A11F05">
        <w:rPr>
          <w:rFonts w:eastAsia="Calibri" w:cs="Segoe UI"/>
        </w:rPr>
        <w:t>a</w:t>
      </w:r>
      <w:r w:rsidR="00990B7E" w:rsidRPr="00824739">
        <w:rPr>
          <w:rFonts w:eastAsia="Calibri" w:cs="Segoe UI"/>
        </w:rPr>
        <w:t xml:space="preserve"> single front door mechanism for </w:t>
      </w:r>
      <w:r w:rsidR="00940CE0">
        <w:rPr>
          <w:rFonts w:eastAsia="Calibri" w:cs="Segoe UI"/>
        </w:rPr>
        <w:t xml:space="preserve">vaccine </w:t>
      </w:r>
      <w:r w:rsidR="00990B7E" w:rsidRPr="00824739">
        <w:rPr>
          <w:rFonts w:eastAsia="Calibri" w:cs="Segoe UI"/>
        </w:rPr>
        <w:t>sponsors to make submission</w:t>
      </w:r>
      <w:r w:rsidR="00940CE0">
        <w:rPr>
          <w:rFonts w:eastAsia="Calibri" w:cs="Segoe UI"/>
        </w:rPr>
        <w:t>s</w:t>
      </w:r>
      <w:r w:rsidR="00990B7E" w:rsidRPr="00824739">
        <w:rPr>
          <w:rFonts w:eastAsia="Calibri" w:cs="Segoe UI"/>
        </w:rPr>
        <w:t xml:space="preserve"> for the </w:t>
      </w:r>
      <w:r w:rsidR="00C01971" w:rsidRPr="00C01971">
        <w:rPr>
          <w:rFonts w:eastAsia="Calibri" w:cs="Segoe UI"/>
        </w:rPr>
        <w:t>National Immunisation Program (NIP)</w:t>
      </w:r>
      <w:r w:rsidR="00C01971">
        <w:rPr>
          <w:rFonts w:eastAsia="Calibri" w:cs="Segoe UI"/>
        </w:rPr>
        <w:t xml:space="preserve"> </w:t>
      </w:r>
      <w:r w:rsidR="00990B7E" w:rsidRPr="00824739">
        <w:rPr>
          <w:rFonts w:eastAsia="Calibri" w:cs="Segoe UI"/>
        </w:rPr>
        <w:t>to the TGA, ATAGI</w:t>
      </w:r>
      <w:r w:rsidR="00940CE0">
        <w:rPr>
          <w:rFonts w:eastAsia="Calibri" w:cs="Segoe UI"/>
        </w:rPr>
        <w:t xml:space="preserve"> </w:t>
      </w:r>
      <w:r w:rsidR="00990B7E" w:rsidRPr="00824739">
        <w:rPr>
          <w:rFonts w:eastAsia="Calibri" w:cs="Segoe UI"/>
        </w:rPr>
        <w:t xml:space="preserve">and </w:t>
      </w:r>
      <w:r w:rsidR="00940CE0">
        <w:rPr>
          <w:rFonts w:eastAsia="Calibri" w:cs="Segoe UI"/>
        </w:rPr>
        <w:t xml:space="preserve">the </w:t>
      </w:r>
      <w:r w:rsidR="00990B7E" w:rsidRPr="00824739">
        <w:rPr>
          <w:rFonts w:eastAsia="Calibri" w:cs="Segoe UI"/>
        </w:rPr>
        <w:t>PBAC</w:t>
      </w:r>
    </w:p>
    <w:p w14:paraId="5A508E51" w14:textId="76442100" w:rsidR="00990B7E" w:rsidRPr="00824739" w:rsidRDefault="00640F8F" w:rsidP="00281153">
      <w:pPr>
        <w:numPr>
          <w:ilvl w:val="1"/>
          <w:numId w:val="17"/>
        </w:numPr>
        <w:spacing w:before="120" w:after="120"/>
        <w:contextualSpacing/>
        <w:rPr>
          <w:rFonts w:eastAsia="Calibri" w:cs="Segoe UI"/>
        </w:rPr>
      </w:pPr>
      <w:r>
        <w:rPr>
          <w:rFonts w:eastAsia="Calibri" w:cs="Segoe UI"/>
        </w:rPr>
        <w:t xml:space="preserve">includes </w:t>
      </w:r>
      <w:r w:rsidR="00A11F05">
        <w:rPr>
          <w:rFonts w:eastAsia="Calibri" w:cs="Segoe UI"/>
        </w:rPr>
        <w:t>r</w:t>
      </w:r>
      <w:r w:rsidR="00990B7E">
        <w:rPr>
          <w:rFonts w:eastAsia="Calibri" w:cs="Segoe UI"/>
        </w:rPr>
        <w:t>esourcing to enable e</w:t>
      </w:r>
      <w:r w:rsidR="00990B7E" w:rsidRPr="00824739">
        <w:rPr>
          <w:rFonts w:eastAsia="Calibri" w:cs="Segoe UI"/>
        </w:rPr>
        <w:t>arly triaging and preliminary evaluation of vaccine submission</w:t>
      </w:r>
      <w:r w:rsidR="00940CE0">
        <w:rPr>
          <w:rFonts w:eastAsia="Calibri" w:cs="Segoe UI"/>
        </w:rPr>
        <w:t>s</w:t>
      </w:r>
      <w:r w:rsidR="00990B7E" w:rsidRPr="00824739">
        <w:rPr>
          <w:rFonts w:eastAsia="Calibri" w:cs="Segoe UI"/>
        </w:rPr>
        <w:t xml:space="preserve"> to determine the complexity and risk of </w:t>
      </w:r>
      <w:r w:rsidR="00940CE0">
        <w:rPr>
          <w:rFonts w:eastAsia="Calibri" w:cs="Segoe UI"/>
        </w:rPr>
        <w:t>each</w:t>
      </w:r>
      <w:r w:rsidR="00990B7E" w:rsidRPr="00824739">
        <w:rPr>
          <w:rFonts w:eastAsia="Calibri" w:cs="Segoe UI"/>
        </w:rPr>
        <w:t xml:space="preserve"> vaccine submi</w:t>
      </w:r>
      <w:r w:rsidR="00940CE0">
        <w:rPr>
          <w:rFonts w:eastAsia="Calibri" w:cs="Segoe UI"/>
        </w:rPr>
        <w:t>tted</w:t>
      </w:r>
      <w:r w:rsidR="00990B7E" w:rsidRPr="00824739">
        <w:rPr>
          <w:rFonts w:eastAsia="Calibri" w:cs="Segoe UI"/>
        </w:rPr>
        <w:t xml:space="preserve"> (</w:t>
      </w:r>
      <w:r w:rsidR="00990B7E">
        <w:rPr>
          <w:rFonts w:eastAsia="Calibri" w:cs="Segoe UI"/>
        </w:rPr>
        <w:t>based o</w:t>
      </w:r>
      <w:r w:rsidR="00940CE0">
        <w:rPr>
          <w:rFonts w:eastAsia="Calibri" w:cs="Segoe UI"/>
        </w:rPr>
        <w:t xml:space="preserve">n the </w:t>
      </w:r>
      <w:r w:rsidR="00990B7E">
        <w:rPr>
          <w:rFonts w:eastAsia="Calibri" w:cs="Segoe UI"/>
        </w:rPr>
        <w:t>sponsor</w:t>
      </w:r>
      <w:r w:rsidR="00940CE0">
        <w:rPr>
          <w:rFonts w:eastAsia="Calibri" w:cs="Segoe UI"/>
        </w:rPr>
        <w:t>’</w:t>
      </w:r>
      <w:r w:rsidR="00990B7E">
        <w:rPr>
          <w:rFonts w:eastAsia="Calibri" w:cs="Segoe UI"/>
        </w:rPr>
        <w:t>s self-nomination</w:t>
      </w:r>
      <w:r w:rsidR="00990B7E" w:rsidRPr="00824739">
        <w:rPr>
          <w:rFonts w:eastAsia="Calibri" w:cs="Segoe UI"/>
        </w:rPr>
        <w:t>)</w:t>
      </w:r>
    </w:p>
    <w:p w14:paraId="5F708D1E" w14:textId="2EB2FB41" w:rsidR="00990B7E" w:rsidRPr="00824739" w:rsidRDefault="0012642A" w:rsidP="00281153">
      <w:pPr>
        <w:numPr>
          <w:ilvl w:val="1"/>
          <w:numId w:val="17"/>
        </w:numPr>
        <w:spacing w:before="120" w:after="120"/>
        <w:contextualSpacing/>
        <w:rPr>
          <w:rFonts w:eastAsia="Calibri" w:cs="Segoe UI"/>
        </w:rPr>
      </w:pPr>
      <w:r>
        <w:rPr>
          <w:rFonts w:eastAsia="Calibri" w:cs="Segoe UI"/>
        </w:rPr>
        <w:t xml:space="preserve">ensures </w:t>
      </w:r>
      <w:r w:rsidR="00940CE0">
        <w:rPr>
          <w:rFonts w:eastAsia="Calibri" w:cs="Segoe UI"/>
        </w:rPr>
        <w:t xml:space="preserve">the </w:t>
      </w:r>
      <w:r w:rsidR="00F53DB3">
        <w:rPr>
          <w:rFonts w:eastAsia="Calibri" w:cs="Segoe UI"/>
        </w:rPr>
        <w:t xml:space="preserve">level of </w:t>
      </w:r>
      <w:r w:rsidR="00990B7E">
        <w:rPr>
          <w:rFonts w:eastAsia="Calibri" w:cs="Segoe UI"/>
        </w:rPr>
        <w:t>assessment</w:t>
      </w:r>
      <w:r w:rsidR="00990B7E" w:rsidRPr="00824739">
        <w:rPr>
          <w:rFonts w:eastAsia="Calibri" w:cs="Segoe UI"/>
        </w:rPr>
        <w:t xml:space="preserve"> effort </w:t>
      </w:r>
      <w:r w:rsidR="00F735A6">
        <w:rPr>
          <w:rFonts w:eastAsia="Calibri" w:cs="Segoe UI"/>
        </w:rPr>
        <w:t>is</w:t>
      </w:r>
      <w:r w:rsidR="00990B7E">
        <w:rPr>
          <w:rFonts w:eastAsia="Calibri" w:cs="Segoe UI"/>
        </w:rPr>
        <w:t xml:space="preserve"> </w:t>
      </w:r>
      <w:r w:rsidR="00990B7E" w:rsidRPr="00824739">
        <w:rPr>
          <w:rFonts w:eastAsia="Calibri" w:cs="Segoe UI"/>
        </w:rPr>
        <w:t xml:space="preserve">proportionate to the </w:t>
      </w:r>
      <w:r w:rsidR="00990B7E">
        <w:rPr>
          <w:rFonts w:eastAsia="Calibri" w:cs="Segoe UI"/>
        </w:rPr>
        <w:t>level of</w:t>
      </w:r>
      <w:r w:rsidR="00990B7E" w:rsidRPr="00824739">
        <w:rPr>
          <w:rFonts w:eastAsia="Calibri" w:cs="Segoe UI"/>
        </w:rPr>
        <w:t xml:space="preserve"> risk and complexity </w:t>
      </w:r>
      <w:r w:rsidR="00F53DB3">
        <w:rPr>
          <w:rFonts w:eastAsia="Calibri" w:cs="Segoe UI"/>
        </w:rPr>
        <w:t>of</w:t>
      </w:r>
      <w:r w:rsidR="00990B7E">
        <w:rPr>
          <w:rFonts w:eastAsia="Calibri" w:cs="Segoe UI"/>
        </w:rPr>
        <w:t xml:space="preserve"> the submission</w:t>
      </w:r>
    </w:p>
    <w:p w14:paraId="7BE2B3FA" w14:textId="3BCB62C3" w:rsidR="00990B7E" w:rsidRPr="00824739" w:rsidRDefault="008346E4" w:rsidP="00281153">
      <w:pPr>
        <w:numPr>
          <w:ilvl w:val="1"/>
          <w:numId w:val="17"/>
        </w:numPr>
        <w:spacing w:before="120" w:after="120"/>
        <w:contextualSpacing/>
        <w:rPr>
          <w:rFonts w:eastAsia="Calibri" w:cs="Segoe UI"/>
        </w:rPr>
      </w:pPr>
      <w:r>
        <w:rPr>
          <w:rFonts w:eastAsia="Calibri" w:cs="Segoe UI"/>
        </w:rPr>
        <w:t xml:space="preserve">is supported by </w:t>
      </w:r>
      <w:r w:rsidR="00940CE0">
        <w:rPr>
          <w:rFonts w:eastAsia="Calibri" w:cs="Segoe UI"/>
        </w:rPr>
        <w:t xml:space="preserve">the </w:t>
      </w:r>
      <w:r>
        <w:rPr>
          <w:rFonts w:eastAsia="Calibri" w:cs="Segoe UI"/>
        </w:rPr>
        <w:t>expansion of t</w:t>
      </w:r>
      <w:r w:rsidR="00990B7E" w:rsidRPr="00824739">
        <w:rPr>
          <w:rFonts w:eastAsia="Calibri" w:cs="Segoe UI"/>
        </w:rPr>
        <w:t>he evaluator</w:t>
      </w:r>
      <w:r w:rsidR="00990B7E">
        <w:rPr>
          <w:rFonts w:eastAsia="Calibri" w:cs="Segoe UI"/>
        </w:rPr>
        <w:t xml:space="preserve"> groups</w:t>
      </w:r>
      <w:r w:rsidR="00990B7E" w:rsidRPr="00824739">
        <w:rPr>
          <w:rFonts w:eastAsia="Calibri" w:cs="Segoe UI"/>
        </w:rPr>
        <w:t xml:space="preserve"> </w:t>
      </w:r>
      <w:r w:rsidR="00990B7E">
        <w:rPr>
          <w:rFonts w:eastAsia="Calibri" w:cs="Segoe UI"/>
        </w:rPr>
        <w:t xml:space="preserve">used for the </w:t>
      </w:r>
      <w:r w:rsidR="00990B7E" w:rsidRPr="00824739">
        <w:rPr>
          <w:rFonts w:eastAsia="Calibri" w:cs="Segoe UI"/>
        </w:rPr>
        <w:t xml:space="preserve">PBAC </w:t>
      </w:r>
      <w:r w:rsidR="00990B7E">
        <w:rPr>
          <w:rFonts w:eastAsia="Calibri" w:cs="Segoe UI"/>
        </w:rPr>
        <w:t xml:space="preserve">submissions </w:t>
      </w:r>
      <w:r w:rsidR="00990B7E" w:rsidRPr="00824739" w:rsidDel="008346E4">
        <w:rPr>
          <w:rFonts w:eastAsia="Calibri" w:cs="Segoe UI"/>
        </w:rPr>
        <w:t xml:space="preserve">to </w:t>
      </w:r>
      <w:r w:rsidR="00990B7E" w:rsidRPr="00824739">
        <w:rPr>
          <w:rFonts w:eastAsia="Calibri" w:cs="Segoe UI"/>
        </w:rPr>
        <w:t xml:space="preserve">include vaccine evaluation experts to </w:t>
      </w:r>
      <w:r w:rsidR="00940CE0">
        <w:rPr>
          <w:rFonts w:eastAsia="Calibri" w:cs="Segoe UI"/>
        </w:rPr>
        <w:t>assess</w:t>
      </w:r>
      <w:r w:rsidR="00990B7E" w:rsidRPr="00824739">
        <w:rPr>
          <w:rFonts w:eastAsia="Calibri" w:cs="Segoe UI"/>
        </w:rPr>
        <w:t xml:space="preserve"> </w:t>
      </w:r>
      <w:r w:rsidR="00940CE0">
        <w:rPr>
          <w:rFonts w:eastAsia="Calibri" w:cs="Segoe UI"/>
        </w:rPr>
        <w:t xml:space="preserve">each </w:t>
      </w:r>
      <w:r w:rsidR="00990B7E" w:rsidRPr="00824739">
        <w:rPr>
          <w:rFonts w:eastAsia="Calibri" w:cs="Segoe UI"/>
        </w:rPr>
        <w:t>sponsor</w:t>
      </w:r>
      <w:r w:rsidR="00940CE0">
        <w:rPr>
          <w:rFonts w:eastAsia="Calibri" w:cs="Segoe UI"/>
        </w:rPr>
        <w:t>’</w:t>
      </w:r>
      <w:r w:rsidR="00990B7E" w:rsidRPr="00824739">
        <w:rPr>
          <w:rFonts w:eastAsia="Calibri" w:cs="Segoe UI"/>
        </w:rPr>
        <w:t xml:space="preserve">s submission and produce a single comprehensive assessment report (reducing the time </w:t>
      </w:r>
      <w:r w:rsidR="00CD465F">
        <w:rPr>
          <w:rFonts w:eastAsia="Calibri" w:cs="Segoe UI"/>
        </w:rPr>
        <w:t xml:space="preserve">needed </w:t>
      </w:r>
      <w:r w:rsidR="00990B7E" w:rsidRPr="00824739">
        <w:rPr>
          <w:rFonts w:eastAsia="Calibri" w:cs="Segoe UI"/>
        </w:rPr>
        <w:t>and duplication</w:t>
      </w:r>
      <w:r w:rsidR="00940CE0">
        <w:rPr>
          <w:rFonts w:eastAsia="Calibri" w:cs="Segoe UI"/>
        </w:rPr>
        <w:t>,</w:t>
      </w:r>
      <w:r w:rsidR="00990B7E" w:rsidRPr="00824739">
        <w:rPr>
          <w:rFonts w:eastAsia="Calibri" w:cs="Segoe UI"/>
        </w:rPr>
        <w:t xml:space="preserve"> and adding consistency</w:t>
      </w:r>
      <w:r w:rsidR="00940CE0">
        <w:rPr>
          <w:rFonts w:eastAsia="Calibri" w:cs="Segoe UI"/>
        </w:rPr>
        <w:t xml:space="preserve"> and</w:t>
      </w:r>
      <w:r w:rsidR="00990B7E" w:rsidRPr="00824739">
        <w:rPr>
          <w:rFonts w:eastAsia="Calibri" w:cs="Segoe UI"/>
        </w:rPr>
        <w:t xml:space="preserve"> continuity)</w:t>
      </w:r>
    </w:p>
    <w:p w14:paraId="431F763B" w14:textId="0D4522A7" w:rsidR="00990B7E" w:rsidRPr="00824739" w:rsidRDefault="00111C1B" w:rsidP="00281153">
      <w:pPr>
        <w:numPr>
          <w:ilvl w:val="1"/>
          <w:numId w:val="17"/>
        </w:numPr>
        <w:spacing w:before="120" w:after="120"/>
        <w:contextualSpacing/>
        <w:rPr>
          <w:rFonts w:eastAsia="Calibri" w:cs="Segoe UI"/>
        </w:rPr>
      </w:pPr>
      <w:r>
        <w:rPr>
          <w:rFonts w:eastAsia="Calibri" w:cs="Segoe UI"/>
        </w:rPr>
        <w:t>aligns</w:t>
      </w:r>
      <w:r w:rsidR="00990B7E" w:rsidRPr="00824739">
        <w:rPr>
          <w:rFonts w:eastAsia="Calibri" w:cs="Segoe UI"/>
        </w:rPr>
        <w:t xml:space="preserve"> ATAGI and PBAC </w:t>
      </w:r>
      <w:r w:rsidR="002641E8">
        <w:rPr>
          <w:rFonts w:eastAsia="Calibri" w:cs="Segoe UI"/>
        </w:rPr>
        <w:t>S</w:t>
      </w:r>
      <w:r w:rsidR="00990B7E" w:rsidRPr="00824739">
        <w:rPr>
          <w:rFonts w:eastAsia="Calibri" w:cs="Segoe UI"/>
        </w:rPr>
        <w:t>ecretariat processes and functions</w:t>
      </w:r>
    </w:p>
    <w:p w14:paraId="528EE9DA" w14:textId="4A8EE5F9" w:rsidR="00990B7E" w:rsidRPr="00824739" w:rsidRDefault="00111C1B" w:rsidP="00281153">
      <w:pPr>
        <w:numPr>
          <w:ilvl w:val="1"/>
          <w:numId w:val="17"/>
        </w:numPr>
        <w:spacing w:after="0"/>
        <w:contextualSpacing/>
        <w:rPr>
          <w:rFonts w:eastAsia="Calibri" w:cs="Segoe UI"/>
        </w:rPr>
      </w:pPr>
      <w:r>
        <w:rPr>
          <w:rFonts w:eastAsia="Calibri" w:cs="Segoe UI"/>
        </w:rPr>
        <w:t>includes a</w:t>
      </w:r>
      <w:r w:rsidR="00990B7E">
        <w:rPr>
          <w:rFonts w:eastAsia="Calibri" w:cs="Segoe UI"/>
        </w:rPr>
        <w:t xml:space="preserve"> process that allows for the </w:t>
      </w:r>
      <w:r w:rsidR="00990B7E" w:rsidRPr="00824739">
        <w:rPr>
          <w:rFonts w:eastAsia="Calibri" w:cs="Segoe UI"/>
        </w:rPr>
        <w:t xml:space="preserve">ATAGI meeting </w:t>
      </w:r>
      <w:r w:rsidR="00990B7E">
        <w:rPr>
          <w:rFonts w:eastAsia="Calibri" w:cs="Segoe UI"/>
        </w:rPr>
        <w:t xml:space="preserve">to </w:t>
      </w:r>
      <w:r w:rsidR="00990B7E" w:rsidRPr="00824739">
        <w:rPr>
          <w:rFonts w:eastAsia="Calibri" w:cs="Segoe UI"/>
        </w:rPr>
        <w:t xml:space="preserve">occur </w:t>
      </w:r>
      <w:r w:rsidR="00940CE0">
        <w:rPr>
          <w:rFonts w:eastAsia="Calibri" w:cs="Segoe UI"/>
        </w:rPr>
        <w:t>before</w:t>
      </w:r>
      <w:r w:rsidR="00990B7E" w:rsidRPr="00824739">
        <w:rPr>
          <w:rFonts w:eastAsia="Calibri" w:cs="Segoe UI"/>
        </w:rPr>
        <w:t xml:space="preserve"> the </w:t>
      </w:r>
      <w:r w:rsidR="00C01971" w:rsidRPr="00C01971">
        <w:rPr>
          <w:rFonts w:eastAsia="Calibri" w:cs="Segoe UI"/>
        </w:rPr>
        <w:t>PBAC Economic Sub-Committee (</w:t>
      </w:r>
      <w:r w:rsidR="00C074A9">
        <w:rPr>
          <w:rFonts w:eastAsia="Calibri" w:cs="Segoe UI"/>
        </w:rPr>
        <w:t xml:space="preserve">PBAC </w:t>
      </w:r>
      <w:r w:rsidR="00C01971" w:rsidRPr="00C01971">
        <w:rPr>
          <w:rFonts w:eastAsia="Calibri" w:cs="Segoe UI"/>
        </w:rPr>
        <w:t>ESC)</w:t>
      </w:r>
      <w:r w:rsidR="00C01971">
        <w:rPr>
          <w:rFonts w:eastAsia="Calibri" w:cs="Segoe UI"/>
        </w:rPr>
        <w:t xml:space="preserve"> </w:t>
      </w:r>
      <w:r w:rsidR="00990B7E" w:rsidRPr="00824739">
        <w:rPr>
          <w:rFonts w:eastAsia="Calibri" w:cs="Segoe UI"/>
        </w:rPr>
        <w:t xml:space="preserve">meeting to enable </w:t>
      </w:r>
      <w:r w:rsidR="00940CE0">
        <w:rPr>
          <w:rFonts w:eastAsia="Calibri" w:cs="Segoe UI"/>
        </w:rPr>
        <w:t>the PBAC </w:t>
      </w:r>
      <w:r w:rsidR="00990B7E" w:rsidRPr="00824739">
        <w:rPr>
          <w:rFonts w:eastAsia="Calibri" w:cs="Segoe UI"/>
        </w:rPr>
        <w:t>ESC to consider ATAGI advice</w:t>
      </w:r>
      <w:r w:rsidR="00C33654">
        <w:rPr>
          <w:rFonts w:eastAsia="Calibri" w:cs="Segoe UI"/>
        </w:rPr>
        <w:t>.</w:t>
      </w:r>
    </w:p>
    <w:p w14:paraId="3ECD58BD" w14:textId="6506BE23" w:rsidR="00392841" w:rsidRPr="002B668B" w:rsidRDefault="00940CE0" w:rsidP="00281153">
      <w:pPr>
        <w:pStyle w:val="ListParagraph"/>
        <w:numPr>
          <w:ilvl w:val="0"/>
          <w:numId w:val="17"/>
        </w:numPr>
        <w:spacing w:after="120"/>
        <w:rPr>
          <w:rFonts w:eastAsia="Calibri" w:cs="Segoe UI"/>
        </w:rPr>
      </w:pPr>
      <w:r>
        <w:rPr>
          <w:rFonts w:eastAsia="Calibri" w:cs="Segoe UI"/>
        </w:rPr>
        <w:t>e</w:t>
      </w:r>
      <w:r w:rsidR="00CF7B26">
        <w:rPr>
          <w:rFonts w:eastAsia="Calibri" w:cs="Segoe UI"/>
        </w:rPr>
        <w:t xml:space="preserve">xamine the opportunity to delegate to ATAGI the authority to recommend a new vaccine for a </w:t>
      </w:r>
      <w:r w:rsidR="00CF7B26" w:rsidRPr="00405FD7">
        <w:rPr>
          <w:rFonts w:cs="Segoe UI"/>
        </w:rPr>
        <w:t>disease</w:t>
      </w:r>
      <w:r w:rsidR="00CF7B26">
        <w:rPr>
          <w:rFonts w:eastAsia="Calibri" w:cs="Segoe UI"/>
        </w:rPr>
        <w:t xml:space="preserve"> </w:t>
      </w:r>
      <w:r w:rsidR="004B2C97">
        <w:rPr>
          <w:rFonts w:eastAsia="Calibri" w:cs="Segoe UI"/>
        </w:rPr>
        <w:t xml:space="preserve">if </w:t>
      </w:r>
      <w:r w:rsidR="00CF7B26">
        <w:rPr>
          <w:rFonts w:eastAsia="Calibri" w:cs="Segoe UI"/>
        </w:rPr>
        <w:t xml:space="preserve">the vaccine is being cost-minimised to an existing PBAC-recommended vaccine. </w:t>
      </w:r>
    </w:p>
    <w:p w14:paraId="217AC8D4" w14:textId="0F01F39E" w:rsidR="00990B7E" w:rsidRPr="002724B9" w:rsidRDefault="00990B7E" w:rsidP="00645D5E">
      <w:pPr>
        <w:pStyle w:val="Recommendation1"/>
      </w:pPr>
      <w:bookmarkStart w:id="173" w:name="_Hlk167301866"/>
      <w:r w:rsidRPr="002724B9">
        <w:lastRenderedPageBreak/>
        <w:t xml:space="preserve">Proactive vaccine </w:t>
      </w:r>
      <w:r w:rsidR="0090057C">
        <w:t>assessment</w:t>
      </w:r>
      <w:r w:rsidRPr="002724B9">
        <w:t xml:space="preserve"> pathway</w:t>
      </w:r>
    </w:p>
    <w:bookmarkEnd w:id="173"/>
    <w:p w14:paraId="41F0957C" w14:textId="3898AE6A" w:rsidR="006E273E" w:rsidRDefault="00990B7E" w:rsidP="00553BCC">
      <w:pPr>
        <w:spacing w:after="0"/>
        <w:rPr>
          <w:rFonts w:eastAsia="Calibri" w:cs="Segoe UI"/>
        </w:rPr>
      </w:pPr>
      <w:r>
        <w:t>The Review recommends</w:t>
      </w:r>
      <w:r w:rsidR="009335CC">
        <w:t xml:space="preserve"> that</w:t>
      </w:r>
      <w:r>
        <w:t xml:space="preserve"> the Australian Government </w:t>
      </w:r>
      <w:r w:rsidR="00D73C32">
        <w:rPr>
          <w:rFonts w:eastAsia="Calibri" w:cs="Segoe UI"/>
        </w:rPr>
        <w:t>d</w:t>
      </w:r>
      <w:r w:rsidRPr="005C48C5">
        <w:rPr>
          <w:rFonts w:eastAsia="Calibri" w:cs="Segoe UI"/>
        </w:rPr>
        <w:t xml:space="preserve">evelop a process </w:t>
      </w:r>
      <w:r w:rsidR="0033723F">
        <w:rPr>
          <w:rFonts w:eastAsia="Calibri" w:cs="Segoe UI"/>
        </w:rPr>
        <w:t>for</w:t>
      </w:r>
      <w:r w:rsidRPr="005C48C5">
        <w:rPr>
          <w:rFonts w:eastAsia="Calibri" w:cs="Segoe UI"/>
        </w:rPr>
        <w:t xml:space="preserve"> proactive</w:t>
      </w:r>
      <w:r w:rsidR="00BA5318">
        <w:rPr>
          <w:rFonts w:eastAsia="Calibri" w:cs="Segoe UI"/>
        </w:rPr>
        <w:t xml:space="preserve"> </w:t>
      </w:r>
      <w:r w:rsidR="00963342">
        <w:rPr>
          <w:rFonts w:eastAsia="Calibri" w:cs="Segoe UI"/>
        </w:rPr>
        <w:t>modelling and</w:t>
      </w:r>
      <w:r w:rsidRPr="005C48C5">
        <w:rPr>
          <w:rFonts w:eastAsia="Calibri" w:cs="Segoe UI"/>
        </w:rPr>
        <w:t xml:space="preserve"> consider</w:t>
      </w:r>
      <w:r w:rsidR="009335CC">
        <w:rPr>
          <w:rFonts w:eastAsia="Calibri" w:cs="Segoe UI"/>
        </w:rPr>
        <w:t>ing</w:t>
      </w:r>
      <w:r w:rsidRPr="005C48C5">
        <w:rPr>
          <w:rFonts w:eastAsia="Calibri" w:cs="Segoe UI"/>
        </w:rPr>
        <w:t xml:space="preserve"> how new products or potential </w:t>
      </w:r>
      <w:r w:rsidR="009335CC">
        <w:rPr>
          <w:rFonts w:eastAsia="Calibri" w:cs="Segoe UI"/>
        </w:rPr>
        <w:t xml:space="preserve">changes to the </w:t>
      </w:r>
      <w:r w:rsidRPr="005C48C5">
        <w:rPr>
          <w:rFonts w:eastAsia="Calibri" w:cs="Segoe UI"/>
        </w:rPr>
        <w:t>vaccine program could impact disease burden and inform</w:t>
      </w:r>
      <w:r w:rsidR="00C07351">
        <w:rPr>
          <w:rFonts w:eastAsia="Calibri" w:cs="Segoe UI"/>
        </w:rPr>
        <w:t xml:space="preserve"> which </w:t>
      </w:r>
      <w:r w:rsidR="00F56204">
        <w:rPr>
          <w:rFonts w:eastAsia="Calibri" w:cs="Segoe UI"/>
        </w:rPr>
        <w:t>vaccines</w:t>
      </w:r>
      <w:r w:rsidR="00664EED">
        <w:rPr>
          <w:rFonts w:eastAsia="Calibri" w:cs="Segoe UI"/>
        </w:rPr>
        <w:t>,</w:t>
      </w:r>
      <w:r w:rsidR="00F56204">
        <w:rPr>
          <w:rFonts w:eastAsia="Calibri" w:cs="Segoe UI"/>
        </w:rPr>
        <w:t xml:space="preserve"> </w:t>
      </w:r>
      <w:r w:rsidR="009335CC">
        <w:rPr>
          <w:rFonts w:eastAsia="Calibri" w:cs="Segoe UI"/>
        </w:rPr>
        <w:t>invitations</w:t>
      </w:r>
      <w:r w:rsidRPr="005C48C5">
        <w:rPr>
          <w:rFonts w:eastAsia="Calibri" w:cs="Segoe UI"/>
        </w:rPr>
        <w:t xml:space="preserve"> for submissions or tender</w:t>
      </w:r>
      <w:r w:rsidR="009335CC">
        <w:rPr>
          <w:rFonts w:eastAsia="Calibri" w:cs="Segoe UI"/>
        </w:rPr>
        <w:t>s</w:t>
      </w:r>
      <w:r w:rsidR="001632BB">
        <w:rPr>
          <w:rFonts w:eastAsia="Calibri" w:cs="Segoe UI"/>
        </w:rPr>
        <w:t xml:space="preserve"> are made for</w:t>
      </w:r>
      <w:r w:rsidRPr="005C48C5">
        <w:rPr>
          <w:rFonts w:eastAsia="Calibri" w:cs="Segoe UI"/>
        </w:rPr>
        <w:t>. This process should</w:t>
      </w:r>
      <w:r w:rsidR="006E273E">
        <w:rPr>
          <w:rFonts w:eastAsia="Calibri" w:cs="Segoe UI"/>
        </w:rPr>
        <w:t>:</w:t>
      </w:r>
    </w:p>
    <w:p w14:paraId="414472AD" w14:textId="5467F1AC" w:rsidR="007D73F8" w:rsidRDefault="00990B7E" w:rsidP="00281153">
      <w:pPr>
        <w:numPr>
          <w:ilvl w:val="0"/>
          <w:numId w:val="133"/>
        </w:numPr>
        <w:spacing w:before="120" w:after="120"/>
        <w:contextualSpacing/>
        <w:rPr>
          <w:rFonts w:eastAsia="Calibri" w:cs="Segoe UI"/>
        </w:rPr>
      </w:pPr>
      <w:r w:rsidRPr="005C48C5">
        <w:rPr>
          <w:rFonts w:eastAsia="Calibri" w:cs="Segoe UI"/>
        </w:rPr>
        <w:t xml:space="preserve">be developed in </w:t>
      </w:r>
      <w:r w:rsidRPr="007D73F8">
        <w:rPr>
          <w:rFonts w:cs="Segoe UI"/>
        </w:rPr>
        <w:t>collaboration</w:t>
      </w:r>
      <w:r w:rsidRPr="005C48C5">
        <w:rPr>
          <w:rFonts w:eastAsia="Calibri" w:cs="Segoe UI"/>
        </w:rPr>
        <w:t xml:space="preserve"> with </w:t>
      </w:r>
      <w:r w:rsidR="009335CC">
        <w:rPr>
          <w:rFonts w:eastAsia="Calibri" w:cs="Segoe UI"/>
        </w:rPr>
        <w:t xml:space="preserve">the </w:t>
      </w:r>
      <w:r w:rsidR="00AC0E45" w:rsidRPr="00AC0E45">
        <w:rPr>
          <w:rFonts w:eastAsia="Calibri" w:cs="Segoe UI"/>
        </w:rPr>
        <w:t>Australian Technical Advisory Group on Immunisation (ATAGI)</w:t>
      </w:r>
      <w:r w:rsidR="00AC0E45">
        <w:rPr>
          <w:rFonts w:eastAsia="Calibri" w:cs="Segoe UI"/>
        </w:rPr>
        <w:t xml:space="preserve"> </w:t>
      </w:r>
      <w:r w:rsidRPr="005C48C5">
        <w:rPr>
          <w:rFonts w:eastAsia="Calibri" w:cs="Segoe UI"/>
        </w:rPr>
        <w:t>and other relevant stakeholders</w:t>
      </w:r>
    </w:p>
    <w:p w14:paraId="44C73A6B" w14:textId="40B2CA1B" w:rsidR="00D26549" w:rsidRDefault="00990B7E" w:rsidP="00281153">
      <w:pPr>
        <w:numPr>
          <w:ilvl w:val="0"/>
          <w:numId w:val="133"/>
        </w:numPr>
        <w:spacing w:before="120" w:after="120"/>
        <w:contextualSpacing/>
        <w:rPr>
          <w:rFonts w:eastAsia="Calibri" w:cs="Segoe UI"/>
        </w:rPr>
      </w:pPr>
      <w:r w:rsidRPr="005C48C5">
        <w:rPr>
          <w:rFonts w:eastAsia="Calibri" w:cs="Segoe UI"/>
        </w:rPr>
        <w:t xml:space="preserve">include </w:t>
      </w:r>
      <w:r w:rsidR="009335CC">
        <w:rPr>
          <w:rFonts w:eastAsia="Calibri" w:cs="Segoe UI"/>
        </w:rPr>
        <w:t xml:space="preserve">the </w:t>
      </w:r>
      <w:r w:rsidR="00B313D3">
        <w:rPr>
          <w:rFonts w:eastAsia="Calibri" w:cs="Segoe UI"/>
        </w:rPr>
        <w:t xml:space="preserve">ability </w:t>
      </w:r>
      <w:r w:rsidR="009335CC">
        <w:rPr>
          <w:rFonts w:eastAsia="Calibri" w:cs="Segoe UI"/>
        </w:rPr>
        <w:t xml:space="preserve">to undertake </w:t>
      </w:r>
      <w:r w:rsidRPr="005C48C5">
        <w:rPr>
          <w:rFonts w:eastAsia="Calibri" w:cs="Segoe UI"/>
        </w:rPr>
        <w:t xml:space="preserve">independent </w:t>
      </w:r>
      <w:r w:rsidR="00462718">
        <w:rPr>
          <w:rFonts w:eastAsia="Calibri" w:cs="Segoe UI"/>
        </w:rPr>
        <w:t xml:space="preserve">modelling as </w:t>
      </w:r>
      <w:r w:rsidR="00DB5E5E">
        <w:rPr>
          <w:rFonts w:eastAsia="Calibri" w:cs="Segoe UI"/>
        </w:rPr>
        <w:t>recommended</w:t>
      </w:r>
      <w:r w:rsidR="00462718">
        <w:rPr>
          <w:rFonts w:eastAsia="Calibri" w:cs="Segoe UI"/>
        </w:rPr>
        <w:t xml:space="preserve"> by ATAGI</w:t>
      </w:r>
      <w:r w:rsidR="00270797">
        <w:rPr>
          <w:rFonts w:eastAsia="Calibri" w:cs="Segoe UI"/>
        </w:rPr>
        <w:t xml:space="preserve"> </w:t>
      </w:r>
    </w:p>
    <w:p w14:paraId="02AA00D4" w14:textId="7CE2ECCA" w:rsidR="00F96D4B" w:rsidRDefault="00990B7E" w:rsidP="00281153">
      <w:pPr>
        <w:numPr>
          <w:ilvl w:val="0"/>
          <w:numId w:val="133"/>
        </w:numPr>
        <w:spacing w:before="120" w:after="120"/>
        <w:contextualSpacing/>
        <w:rPr>
          <w:rFonts w:eastAsia="Calibri" w:cs="Segoe UI"/>
        </w:rPr>
      </w:pPr>
      <w:r w:rsidRPr="005C48C5">
        <w:rPr>
          <w:rFonts w:eastAsia="Calibri" w:cs="Segoe UI"/>
        </w:rPr>
        <w:t xml:space="preserve">be supported by the development of a coordinated horizon scanning process including ATAGI, </w:t>
      </w:r>
      <w:r w:rsidR="009335CC">
        <w:rPr>
          <w:rFonts w:eastAsia="Calibri" w:cs="Segoe UI"/>
        </w:rPr>
        <w:t xml:space="preserve">the </w:t>
      </w:r>
      <w:r w:rsidR="00AC0E45" w:rsidRPr="00AC0E45">
        <w:rPr>
          <w:rFonts w:eastAsia="Calibri" w:cs="Segoe UI"/>
        </w:rPr>
        <w:t>Therapeutic Goods Administration</w:t>
      </w:r>
      <w:r w:rsidR="00F93958">
        <w:rPr>
          <w:rFonts w:eastAsia="Calibri" w:cs="Segoe UI"/>
        </w:rPr>
        <w:t xml:space="preserve"> (TGA)</w:t>
      </w:r>
      <w:r w:rsidRPr="005C48C5">
        <w:rPr>
          <w:rFonts w:eastAsia="Calibri" w:cs="Segoe UI"/>
        </w:rPr>
        <w:t xml:space="preserve">, </w:t>
      </w:r>
      <w:r w:rsidR="00CD465F">
        <w:rPr>
          <w:rFonts w:eastAsia="Calibri" w:cs="Segoe UI"/>
        </w:rPr>
        <w:t xml:space="preserve">the </w:t>
      </w:r>
      <w:r w:rsidR="00AC0E45" w:rsidRPr="00AC0E45">
        <w:rPr>
          <w:rFonts w:eastAsia="Calibri" w:cs="Segoe UI"/>
        </w:rPr>
        <w:t>Pharmaceutical Benefits Advisory Committee</w:t>
      </w:r>
      <w:r w:rsidR="00AD05E5">
        <w:rPr>
          <w:rFonts w:eastAsia="Calibri" w:cs="Segoe UI"/>
        </w:rPr>
        <w:t xml:space="preserve"> (PBAC)</w:t>
      </w:r>
      <w:r w:rsidRPr="005C48C5">
        <w:rPr>
          <w:rFonts w:eastAsia="Calibri" w:cs="Segoe UI"/>
        </w:rPr>
        <w:t>, the Department</w:t>
      </w:r>
      <w:r w:rsidR="001B43AE">
        <w:rPr>
          <w:rFonts w:eastAsia="Calibri" w:cs="Segoe UI"/>
        </w:rPr>
        <w:t xml:space="preserve"> </w:t>
      </w:r>
      <w:r w:rsidR="001B43AE">
        <w:rPr>
          <w:rFonts w:cs="Segoe UI"/>
        </w:rPr>
        <w:t>of Health and Aged Care</w:t>
      </w:r>
      <w:r w:rsidRPr="005C48C5">
        <w:rPr>
          <w:rFonts w:eastAsia="Calibri" w:cs="Segoe UI"/>
        </w:rPr>
        <w:t xml:space="preserve"> and the </w:t>
      </w:r>
      <w:r w:rsidR="00D33DCA" w:rsidRPr="0073146B">
        <w:rPr>
          <w:rFonts w:eastAsia="Times New Roman" w:cs="Segoe UI"/>
          <w:color w:val="000000"/>
          <w:lang w:eastAsia="en-AU"/>
        </w:rPr>
        <w:t>Australian Centre for Disease Control</w:t>
      </w:r>
    </w:p>
    <w:p w14:paraId="4E867D94" w14:textId="064AD0BE" w:rsidR="003A749D" w:rsidRDefault="00846AA2" w:rsidP="00281153">
      <w:pPr>
        <w:numPr>
          <w:ilvl w:val="0"/>
          <w:numId w:val="133"/>
        </w:numPr>
        <w:spacing w:before="120" w:after="120"/>
        <w:contextualSpacing/>
        <w:rPr>
          <w:rFonts w:eastAsia="Calibri" w:cs="Segoe UI"/>
        </w:rPr>
      </w:pPr>
      <w:r>
        <w:rPr>
          <w:rFonts w:eastAsia="Calibri" w:cs="Segoe UI"/>
        </w:rPr>
        <w:t xml:space="preserve">include a process for early alignment of </w:t>
      </w:r>
      <w:r w:rsidR="00AE3491">
        <w:rPr>
          <w:rFonts w:eastAsia="Calibri" w:cs="Segoe UI"/>
        </w:rPr>
        <w:t xml:space="preserve">the </w:t>
      </w:r>
      <w:r w:rsidR="00CD465F" w:rsidRPr="008C6DAF">
        <w:rPr>
          <w:rFonts w:cs="Segoe UI"/>
        </w:rPr>
        <w:t xml:space="preserve">Population, Intervention, Comparator, and Outcome </w:t>
      </w:r>
      <w:r w:rsidR="00CD465F">
        <w:rPr>
          <w:rFonts w:cs="Segoe UI"/>
        </w:rPr>
        <w:t xml:space="preserve">– or </w:t>
      </w:r>
      <w:r w:rsidR="00CD465F">
        <w:rPr>
          <w:rFonts w:eastAsia="Calibri" w:cs="Segoe UI"/>
        </w:rPr>
        <w:t>PICO – scoping</w:t>
      </w:r>
      <w:r w:rsidR="00CD465F" w:rsidDel="00CD465F">
        <w:rPr>
          <w:rFonts w:eastAsia="Calibri" w:cs="Segoe UI"/>
        </w:rPr>
        <w:t xml:space="preserve"> </w:t>
      </w:r>
      <w:r w:rsidR="00E3300C">
        <w:rPr>
          <w:rFonts w:eastAsia="Calibri" w:cs="Segoe UI"/>
        </w:rPr>
        <w:t xml:space="preserve">criteria </w:t>
      </w:r>
    </w:p>
    <w:p w14:paraId="181765BF" w14:textId="2BCC6BE5" w:rsidR="003F5A65" w:rsidRPr="003F5A65" w:rsidRDefault="006D252B" w:rsidP="00A54BBC">
      <w:pPr>
        <w:numPr>
          <w:ilvl w:val="0"/>
          <w:numId w:val="133"/>
        </w:numPr>
        <w:spacing w:before="120" w:after="480"/>
        <w:contextualSpacing/>
        <w:rPr>
          <w:rFonts w:eastAsia="Calibri" w:cs="Segoe UI"/>
        </w:rPr>
      </w:pPr>
      <w:r>
        <w:rPr>
          <w:rFonts w:eastAsia="Calibri" w:cs="Segoe UI"/>
        </w:rPr>
        <w:t>include</w:t>
      </w:r>
      <w:r w:rsidR="00990B7E" w:rsidRPr="005C48C5">
        <w:rPr>
          <w:rFonts w:eastAsia="Calibri" w:cs="Segoe UI"/>
        </w:rPr>
        <w:t xml:space="preserve"> requesting that sponsors engage early to discuss their vaccine proposals and provide relevant data to ATAGI as it becomes available, to ensure that ATAGI can prepare to provide advice.​</w:t>
      </w:r>
      <w:r w:rsidR="003F5A65" w:rsidRPr="003F5A65">
        <w:rPr>
          <w:noProof/>
        </w:rPr>
        <w:t xml:space="preserve"> </w:t>
      </w:r>
    </w:p>
    <w:p w14:paraId="71B0C5F8" w14:textId="0091A9BB" w:rsidR="001B19C2" w:rsidRPr="001B19C2" w:rsidRDefault="0038035C" w:rsidP="002B25F3">
      <w:pPr>
        <w:pStyle w:val="Heading2"/>
      </w:pPr>
      <w:bookmarkStart w:id="174" w:name="_Toc164781643"/>
      <w:bookmarkStart w:id="175" w:name="_Toc171935874"/>
      <w:r>
        <w:t xml:space="preserve">Chapter </w:t>
      </w:r>
      <w:r w:rsidR="00E74923">
        <w:t>4</w:t>
      </w:r>
      <w:r>
        <w:t xml:space="preserve">.4: </w:t>
      </w:r>
      <w:r w:rsidR="001B19C2" w:rsidRPr="001B19C2">
        <w:t xml:space="preserve">Pathways for </w:t>
      </w:r>
      <w:r w:rsidR="007F02AF">
        <w:t>h</w:t>
      </w:r>
      <w:r w:rsidR="001B19C2" w:rsidRPr="001B19C2">
        <w:t xml:space="preserve">ighly </w:t>
      </w:r>
      <w:r w:rsidR="007F02AF">
        <w:t>s</w:t>
      </w:r>
      <w:r w:rsidR="001B19C2" w:rsidRPr="001B19C2">
        <w:t xml:space="preserve">pecialised </w:t>
      </w:r>
      <w:r w:rsidR="007F02AF">
        <w:t>t</w:t>
      </w:r>
      <w:r w:rsidR="001B19C2" w:rsidRPr="001B19C2">
        <w:t xml:space="preserve">herapies and other therapies co-funded between the </w:t>
      </w:r>
      <w:r w:rsidR="00CD465F">
        <w:t xml:space="preserve">Australian </w:t>
      </w:r>
      <w:r w:rsidR="001B19C2" w:rsidRPr="001B19C2">
        <w:t>and state and territory governments</w:t>
      </w:r>
      <w:bookmarkEnd w:id="174"/>
      <w:bookmarkEnd w:id="175"/>
    </w:p>
    <w:p w14:paraId="4ED483FC" w14:textId="6C6A1983" w:rsidR="00CD7580" w:rsidRPr="00CD7580" w:rsidRDefault="00CD7580" w:rsidP="00A318F7">
      <w:pPr>
        <w:pStyle w:val="Heading3"/>
      </w:pPr>
      <w:r w:rsidRPr="00CD7580">
        <w:t>Introduction and context</w:t>
      </w:r>
    </w:p>
    <w:p w14:paraId="25A79EFA" w14:textId="6F2928D2" w:rsidR="001B19C2" w:rsidRPr="001B19C2" w:rsidRDefault="00581B9F" w:rsidP="001B19C2">
      <w:pPr>
        <w:ind w:right="278"/>
        <w:suppressOverlap/>
        <w:rPr>
          <w:rFonts w:eastAsia="Arial" w:cs="Arial"/>
          <w:color w:val="000000" w:themeColor="text1"/>
        </w:rPr>
      </w:pPr>
      <w:r>
        <w:rPr>
          <w:rFonts w:eastAsia="Arial" w:cs="Arial"/>
          <w:color w:val="000000" w:themeColor="text1"/>
        </w:rPr>
        <w:t>M</w:t>
      </w:r>
      <w:r w:rsidR="001B19C2" w:rsidRPr="001B19C2">
        <w:rPr>
          <w:rFonts w:eastAsia="Arial" w:cs="Arial"/>
          <w:color w:val="000000" w:themeColor="text1"/>
        </w:rPr>
        <w:t xml:space="preserve">any terms </w:t>
      </w:r>
      <w:r>
        <w:rPr>
          <w:rFonts w:eastAsia="Arial" w:cs="Arial"/>
          <w:color w:val="000000" w:themeColor="text1"/>
        </w:rPr>
        <w:t xml:space="preserve">are </w:t>
      </w:r>
      <w:r w:rsidR="001B19C2" w:rsidRPr="001B19C2">
        <w:rPr>
          <w:rFonts w:eastAsia="Arial" w:cs="Arial"/>
          <w:color w:val="000000" w:themeColor="text1"/>
        </w:rPr>
        <w:t xml:space="preserve">used to describe therapies such as (gene-modified) cell and gene therapies. Internationally, the term </w:t>
      </w:r>
      <w:r>
        <w:rPr>
          <w:rFonts w:eastAsia="Arial" w:cs="Arial"/>
          <w:color w:val="000000" w:themeColor="text1"/>
        </w:rPr>
        <w:t>‘a</w:t>
      </w:r>
      <w:r w:rsidR="001B19C2" w:rsidRPr="000C5623">
        <w:rPr>
          <w:rFonts w:eastAsia="Arial" w:cs="Arial"/>
          <w:iCs/>
          <w:color w:val="000000" w:themeColor="text1"/>
        </w:rPr>
        <w:t>dvanced therapy medicinal products (ATMPs)</w:t>
      </w:r>
      <w:r>
        <w:rPr>
          <w:rFonts w:eastAsia="Arial" w:cs="Arial"/>
          <w:iCs/>
          <w:color w:val="000000" w:themeColor="text1"/>
        </w:rPr>
        <w:t>’</w:t>
      </w:r>
      <w:r w:rsidR="001B19C2" w:rsidRPr="001B19C2">
        <w:rPr>
          <w:rFonts w:eastAsia="Arial" w:cs="Arial"/>
          <w:color w:val="000000" w:themeColor="text1"/>
        </w:rPr>
        <w:t xml:space="preserve"> </w:t>
      </w:r>
      <w:bookmarkStart w:id="176" w:name="_Int_oxpd3ckf"/>
      <w:r w:rsidR="001B19C2" w:rsidRPr="001B19C2">
        <w:rPr>
          <w:rFonts w:eastAsia="Arial" w:cs="Arial"/>
          <w:color w:val="000000" w:themeColor="text1"/>
        </w:rPr>
        <w:t>is</w:t>
      </w:r>
      <w:bookmarkEnd w:id="176"/>
      <w:r w:rsidR="001B19C2" w:rsidRPr="001B19C2">
        <w:rPr>
          <w:rFonts w:eastAsia="Arial" w:cs="Arial"/>
          <w:color w:val="000000" w:themeColor="text1"/>
        </w:rPr>
        <w:t xml:space="preserve"> used to describe medicines based on genes, tissues or cells that</w:t>
      </w:r>
      <w:r>
        <w:rPr>
          <w:rFonts w:eastAsia="Arial" w:cs="Arial"/>
          <w:color w:val="000000" w:themeColor="text1"/>
        </w:rPr>
        <w:t xml:space="preserve"> are used to</w:t>
      </w:r>
      <w:r w:rsidR="001B19C2" w:rsidRPr="001B19C2">
        <w:rPr>
          <w:rFonts w:eastAsia="Arial" w:cs="Arial"/>
          <w:color w:val="000000" w:themeColor="text1"/>
        </w:rPr>
        <w:t xml:space="preserve"> treat often very rare and severe disease or conditions in many countries. </w:t>
      </w:r>
    </w:p>
    <w:p w14:paraId="2A8A953E" w14:textId="16237CBC" w:rsidR="001B19C2" w:rsidRPr="001B19C2" w:rsidRDefault="00CA6150" w:rsidP="001B19C2">
      <w:pPr>
        <w:ind w:right="278"/>
        <w:suppressOverlap/>
        <w:rPr>
          <w:rFonts w:eastAsia="Arial" w:cs="Arial"/>
          <w:color w:val="000000" w:themeColor="text1"/>
        </w:rPr>
      </w:pPr>
      <w:r>
        <w:rPr>
          <w:rFonts w:eastAsia="Arial" w:cs="Arial"/>
          <w:color w:val="000000" w:themeColor="text1"/>
        </w:rPr>
        <w:t>I</w:t>
      </w:r>
      <w:r w:rsidR="001B19C2" w:rsidRPr="001B19C2">
        <w:rPr>
          <w:rFonts w:eastAsia="Arial" w:cs="Arial"/>
          <w:color w:val="000000" w:themeColor="text1"/>
        </w:rPr>
        <w:t xml:space="preserve">n Australia, the TGA uses the term </w:t>
      </w:r>
      <w:r w:rsidR="00581B9F">
        <w:rPr>
          <w:rFonts w:eastAsia="Arial" w:cs="Arial"/>
          <w:color w:val="000000" w:themeColor="text1"/>
        </w:rPr>
        <w:t>‘a</w:t>
      </w:r>
      <w:r w:rsidR="001B19C2" w:rsidRPr="000C5623">
        <w:rPr>
          <w:rFonts w:eastAsia="Arial" w:cs="Arial"/>
          <w:iCs/>
          <w:color w:val="000000" w:themeColor="text1"/>
        </w:rPr>
        <w:t xml:space="preserve">dvanced </w:t>
      </w:r>
      <w:r w:rsidR="00581B9F">
        <w:rPr>
          <w:rFonts w:eastAsia="Arial" w:cs="Arial"/>
          <w:iCs/>
          <w:color w:val="000000" w:themeColor="text1"/>
        </w:rPr>
        <w:t>t</w:t>
      </w:r>
      <w:r w:rsidR="001B19C2" w:rsidRPr="000C5623">
        <w:rPr>
          <w:rFonts w:eastAsia="Arial" w:cs="Arial"/>
          <w:iCs/>
          <w:color w:val="000000" w:themeColor="text1"/>
        </w:rPr>
        <w:t>herapies</w:t>
      </w:r>
      <w:r w:rsidR="00581B9F">
        <w:rPr>
          <w:rFonts w:eastAsia="Arial" w:cs="Arial"/>
          <w:iCs/>
          <w:color w:val="000000" w:themeColor="text1"/>
        </w:rPr>
        <w:t>’</w:t>
      </w:r>
      <w:r w:rsidR="001B19C2" w:rsidRPr="001B19C2">
        <w:rPr>
          <w:rFonts w:eastAsia="Arial" w:cs="Arial"/>
          <w:color w:val="000000" w:themeColor="text1"/>
        </w:rPr>
        <w:t xml:space="preserve"> to refer to innovative therapies</w:t>
      </w:r>
      <w:r w:rsidR="00B47ED5">
        <w:rPr>
          <w:rFonts w:eastAsia="Arial" w:cs="Arial"/>
          <w:color w:val="000000" w:themeColor="text1"/>
        </w:rPr>
        <w:t>,</w:t>
      </w:r>
      <w:r w:rsidR="001B19C2" w:rsidRPr="001B19C2">
        <w:rPr>
          <w:rFonts w:eastAsia="Arial" w:cs="Arial"/>
          <w:color w:val="000000" w:themeColor="text1"/>
        </w:rPr>
        <w:t xml:space="preserve"> including cell and gene therapies</w:t>
      </w:r>
      <w:r w:rsidR="00B47ED5">
        <w:rPr>
          <w:rFonts w:eastAsia="Arial" w:cs="Arial"/>
          <w:color w:val="000000" w:themeColor="text1"/>
        </w:rPr>
        <w:t>,</w:t>
      </w:r>
      <w:r w:rsidR="001B19C2" w:rsidRPr="001B19C2">
        <w:rPr>
          <w:rFonts w:eastAsia="Arial" w:cs="Arial"/>
          <w:color w:val="000000" w:themeColor="text1"/>
        </w:rPr>
        <w:t xml:space="preserve"> meeting certain criteria. Some countries and academics also use the term </w:t>
      </w:r>
      <w:r w:rsidR="00B47ED5">
        <w:rPr>
          <w:rFonts w:eastAsia="Arial" w:cs="Arial"/>
          <w:color w:val="000000" w:themeColor="text1"/>
        </w:rPr>
        <w:t>‘</w:t>
      </w:r>
      <w:r w:rsidR="00ED1096" w:rsidRPr="000C5623">
        <w:rPr>
          <w:rFonts w:eastAsia="Arial" w:cs="Arial"/>
          <w:iCs/>
          <w:color w:val="000000" w:themeColor="text1"/>
        </w:rPr>
        <w:t>h</w:t>
      </w:r>
      <w:r w:rsidR="001B19C2" w:rsidRPr="000C5623">
        <w:rPr>
          <w:rFonts w:eastAsia="Arial" w:cs="Arial"/>
          <w:iCs/>
          <w:color w:val="000000" w:themeColor="text1"/>
        </w:rPr>
        <w:t xml:space="preserve">ighly </w:t>
      </w:r>
      <w:r w:rsidR="00ED1096" w:rsidRPr="000C5623">
        <w:rPr>
          <w:rFonts w:eastAsia="Arial" w:cs="Arial"/>
          <w:iCs/>
          <w:color w:val="000000" w:themeColor="text1"/>
        </w:rPr>
        <w:t>s</w:t>
      </w:r>
      <w:r w:rsidR="001B19C2" w:rsidRPr="000C5623">
        <w:rPr>
          <w:rFonts w:eastAsia="Arial" w:cs="Arial"/>
          <w:iCs/>
          <w:color w:val="000000" w:themeColor="text1"/>
        </w:rPr>
        <w:t xml:space="preserve">pecialised </w:t>
      </w:r>
      <w:r w:rsidR="00ED1096" w:rsidRPr="000C5623">
        <w:rPr>
          <w:rFonts w:eastAsia="Arial" w:cs="Arial"/>
          <w:iCs/>
          <w:color w:val="000000" w:themeColor="text1"/>
        </w:rPr>
        <w:t>t</w:t>
      </w:r>
      <w:r w:rsidR="001B19C2" w:rsidRPr="000C5623">
        <w:rPr>
          <w:rFonts w:eastAsia="Arial" w:cs="Arial"/>
          <w:iCs/>
          <w:color w:val="000000" w:themeColor="text1"/>
        </w:rPr>
        <w:t>echnologies</w:t>
      </w:r>
      <w:r w:rsidR="00B47ED5">
        <w:rPr>
          <w:rFonts w:eastAsia="Arial" w:cs="Arial"/>
          <w:iCs/>
          <w:color w:val="000000" w:themeColor="text1"/>
        </w:rPr>
        <w:t>’</w:t>
      </w:r>
      <w:r w:rsidR="00313095" w:rsidRPr="000C5623">
        <w:rPr>
          <w:rStyle w:val="FootnoteReference"/>
          <w:rFonts w:eastAsia="Arial" w:cs="Arial"/>
          <w:iCs/>
          <w:color w:val="000000" w:themeColor="text1"/>
        </w:rPr>
        <w:footnoteReference w:id="49"/>
      </w:r>
      <w:r w:rsidR="001B19C2" w:rsidRPr="001B19C2">
        <w:rPr>
          <w:rFonts w:eastAsia="Arial" w:cs="Arial"/>
          <w:color w:val="000000" w:themeColor="text1"/>
        </w:rPr>
        <w:t xml:space="preserve"> (including </w:t>
      </w:r>
      <w:r w:rsidR="00B47ED5">
        <w:rPr>
          <w:rFonts w:eastAsia="Arial" w:cs="Arial"/>
          <w:color w:val="000000" w:themeColor="text1"/>
        </w:rPr>
        <w:t xml:space="preserve">in </w:t>
      </w:r>
      <w:r w:rsidR="001B19C2" w:rsidRPr="001B19C2">
        <w:rPr>
          <w:rFonts w:eastAsia="Arial" w:cs="Arial"/>
          <w:color w:val="000000" w:themeColor="text1"/>
        </w:rPr>
        <w:t xml:space="preserve">some of the research papers commissioned for the Review) to refer to these </w:t>
      </w:r>
      <w:r w:rsidR="001B19C2" w:rsidRPr="001B19C2">
        <w:rPr>
          <w:rFonts w:eastAsia="Arial" w:cs="Arial"/>
          <w:color w:val="000000" w:themeColor="text1"/>
        </w:rPr>
        <w:lastRenderedPageBreak/>
        <w:t>therapies. Throughout this document</w:t>
      </w:r>
      <w:r w:rsidR="000315F2">
        <w:rPr>
          <w:rFonts w:eastAsia="Arial" w:cs="Arial"/>
          <w:color w:val="000000" w:themeColor="text1"/>
        </w:rPr>
        <w:t>,</w:t>
      </w:r>
      <w:r w:rsidR="001B19C2" w:rsidRPr="001B19C2">
        <w:rPr>
          <w:rFonts w:eastAsia="Arial" w:cs="Arial"/>
          <w:color w:val="000000" w:themeColor="text1"/>
        </w:rPr>
        <w:t xml:space="preserve"> these therapies will be referred to as </w:t>
      </w:r>
      <w:r w:rsidR="000315F2">
        <w:rPr>
          <w:rFonts w:eastAsia="Arial" w:cs="Arial"/>
          <w:color w:val="000000" w:themeColor="text1"/>
        </w:rPr>
        <w:t>‘a</w:t>
      </w:r>
      <w:r w:rsidR="001B19C2" w:rsidRPr="000C5623">
        <w:rPr>
          <w:iCs/>
          <w:color w:val="000000" w:themeColor="text1"/>
        </w:rPr>
        <w:t xml:space="preserve">dvanced </w:t>
      </w:r>
      <w:r w:rsidR="000315F2">
        <w:rPr>
          <w:iCs/>
          <w:color w:val="000000" w:themeColor="text1"/>
        </w:rPr>
        <w:t>t</w:t>
      </w:r>
      <w:r w:rsidR="001B19C2" w:rsidRPr="000C5623">
        <w:rPr>
          <w:iCs/>
          <w:color w:val="000000" w:themeColor="text1"/>
        </w:rPr>
        <w:t>herapies</w:t>
      </w:r>
      <w:r w:rsidR="001B19C2" w:rsidRPr="001B19C2">
        <w:rPr>
          <w:i/>
          <w:color w:val="000000" w:themeColor="text1"/>
        </w:rPr>
        <w:t xml:space="preserve"> </w:t>
      </w:r>
      <w:r w:rsidR="001B19C2" w:rsidRPr="000C5623">
        <w:rPr>
          <w:iCs/>
          <w:color w:val="000000" w:themeColor="text1"/>
        </w:rPr>
        <w:t>(ATs</w:t>
      </w:r>
      <w:r w:rsidR="001B19C2" w:rsidRPr="000C5623">
        <w:rPr>
          <w:rFonts w:eastAsia="Arial" w:cs="Arial"/>
          <w:iCs/>
          <w:color w:val="000000" w:themeColor="text1"/>
        </w:rPr>
        <w:t>)</w:t>
      </w:r>
      <w:r w:rsidR="000315F2">
        <w:rPr>
          <w:rFonts w:eastAsia="Arial" w:cs="Arial"/>
          <w:color w:val="000000" w:themeColor="text1"/>
        </w:rPr>
        <w:t>’,</w:t>
      </w:r>
      <w:r w:rsidR="001B19C2" w:rsidRPr="001B19C2">
        <w:rPr>
          <w:rFonts w:eastAsia="Arial" w:cs="Arial"/>
          <w:color w:val="000000" w:themeColor="text1"/>
        </w:rPr>
        <w:t xml:space="preserve"> unless context requires the use of other terms.</w:t>
      </w:r>
      <w:r w:rsidR="00453069">
        <w:rPr>
          <w:rFonts w:eastAsia="Arial" w:cs="Arial"/>
          <w:color w:val="000000" w:themeColor="text1"/>
        </w:rPr>
        <w:t xml:space="preserve"> </w:t>
      </w:r>
    </w:p>
    <w:p w14:paraId="218C3CBF" w14:textId="194F2C99" w:rsidR="001B19C2" w:rsidRPr="001B19C2" w:rsidRDefault="001B19C2" w:rsidP="00E8687C">
      <w:pPr>
        <w:rPr>
          <w:rFonts w:eastAsia="Arial" w:cs="Arial"/>
          <w:color w:val="000000" w:themeColor="text1"/>
        </w:rPr>
      </w:pPr>
      <w:r w:rsidRPr="001B19C2">
        <w:rPr>
          <w:rFonts w:eastAsia="Arial" w:cs="Arial"/>
          <w:color w:val="000000" w:themeColor="text1"/>
        </w:rPr>
        <w:t xml:space="preserve">The term </w:t>
      </w:r>
      <w:r w:rsidR="000E285A" w:rsidRPr="00B61FDC">
        <w:rPr>
          <w:rFonts w:eastAsia="Arial" w:cs="Arial"/>
          <w:color w:val="000000" w:themeColor="text1"/>
        </w:rPr>
        <w:t>‘</w:t>
      </w:r>
      <w:r w:rsidRPr="00B61FDC">
        <w:rPr>
          <w:rFonts w:eastAsia="Arial" w:cs="Arial"/>
          <w:color w:val="000000" w:themeColor="text1"/>
        </w:rPr>
        <w:t>High</w:t>
      </w:r>
      <w:r w:rsidR="00C01833" w:rsidRPr="00B61FDC">
        <w:rPr>
          <w:rFonts w:eastAsia="Arial" w:cs="Arial"/>
          <w:color w:val="000000" w:themeColor="text1"/>
        </w:rPr>
        <w:t>-</w:t>
      </w:r>
      <w:r w:rsidRPr="00B61FDC">
        <w:rPr>
          <w:rFonts w:eastAsia="Arial" w:cs="Arial"/>
          <w:color w:val="000000" w:themeColor="text1"/>
        </w:rPr>
        <w:t>Cost</w:t>
      </w:r>
      <w:r w:rsidR="00C01833" w:rsidRPr="00B61FDC">
        <w:rPr>
          <w:rFonts w:eastAsia="Arial" w:cs="Arial"/>
          <w:color w:val="000000" w:themeColor="text1"/>
        </w:rPr>
        <w:t xml:space="preserve"> Highly </w:t>
      </w:r>
      <w:r w:rsidR="0069608D" w:rsidRPr="00B61FDC">
        <w:rPr>
          <w:rFonts w:eastAsia="Arial" w:cs="Arial"/>
          <w:color w:val="000000" w:themeColor="text1"/>
        </w:rPr>
        <w:t>S</w:t>
      </w:r>
      <w:r w:rsidR="00C01833" w:rsidRPr="00B61FDC">
        <w:rPr>
          <w:rFonts w:eastAsia="Arial" w:cs="Arial"/>
          <w:color w:val="000000" w:themeColor="text1"/>
        </w:rPr>
        <w:t>pecialised Technologies</w:t>
      </w:r>
      <w:r w:rsidR="000E285A" w:rsidRPr="00B61FDC">
        <w:rPr>
          <w:rFonts w:eastAsia="Arial" w:cs="Arial"/>
          <w:color w:val="000000" w:themeColor="text1"/>
        </w:rPr>
        <w:t>’</w:t>
      </w:r>
      <w:r w:rsidR="00C01833" w:rsidRPr="00B61FDC">
        <w:rPr>
          <w:rFonts w:eastAsia="Arial" w:cs="Arial"/>
          <w:color w:val="000000" w:themeColor="text1"/>
        </w:rPr>
        <w:t xml:space="preserve"> (</w:t>
      </w:r>
      <w:r w:rsidR="00A83DF2" w:rsidRPr="00B61FDC">
        <w:rPr>
          <w:rFonts w:eastAsia="Arial" w:cs="Arial"/>
          <w:color w:val="000000" w:themeColor="text1"/>
        </w:rPr>
        <w:t>HSTs</w:t>
      </w:r>
      <w:r w:rsidR="00C01833" w:rsidRPr="00B61FDC">
        <w:rPr>
          <w:rFonts w:eastAsia="Arial" w:cs="Arial"/>
          <w:color w:val="000000" w:themeColor="text1"/>
        </w:rPr>
        <w:t>)</w:t>
      </w:r>
      <w:r w:rsidRPr="001B19C2">
        <w:rPr>
          <w:rFonts w:eastAsia="Arial" w:cs="Arial"/>
          <w:color w:val="000000" w:themeColor="text1"/>
        </w:rPr>
        <w:t xml:space="preserve"> is defined in the </w:t>
      </w:r>
      <w:r w:rsidR="001F42CC" w:rsidRPr="00565513">
        <w:rPr>
          <w:rFonts w:eastAsia="Arial" w:cs="Arial"/>
          <w:color w:val="000000" w:themeColor="text1"/>
        </w:rPr>
        <w:t xml:space="preserve">2020–25 </w:t>
      </w:r>
      <w:r w:rsidR="000E285A" w:rsidRPr="00565513">
        <w:rPr>
          <w:rFonts w:eastAsia="Arial" w:cs="Arial"/>
          <w:color w:val="000000" w:themeColor="text1"/>
        </w:rPr>
        <w:t>Addendum</w:t>
      </w:r>
      <w:r w:rsidR="000E285A" w:rsidRPr="001B19C2">
        <w:rPr>
          <w:rFonts w:eastAsia="Arial" w:cs="Arial"/>
          <w:color w:val="000000" w:themeColor="text1"/>
        </w:rPr>
        <w:t xml:space="preserve"> </w:t>
      </w:r>
      <w:r w:rsidR="000E285A">
        <w:rPr>
          <w:rFonts w:eastAsia="Arial" w:cs="Arial"/>
          <w:color w:val="000000" w:themeColor="text1"/>
        </w:rPr>
        <w:t xml:space="preserve">to the </w:t>
      </w:r>
      <w:r w:rsidR="00B17F96" w:rsidRPr="000C5623">
        <w:rPr>
          <w:rFonts w:eastAsia="Arial" w:cs="Arial"/>
          <w:color w:val="000000" w:themeColor="text1"/>
        </w:rPr>
        <w:t xml:space="preserve">National Health Reform </w:t>
      </w:r>
      <w:r w:rsidR="007C0D96" w:rsidRPr="000C5623">
        <w:rPr>
          <w:rFonts w:eastAsia="Arial" w:cs="Arial"/>
          <w:color w:val="000000" w:themeColor="text1"/>
        </w:rPr>
        <w:t xml:space="preserve">Agreement </w:t>
      </w:r>
      <w:r w:rsidR="00B17F96" w:rsidRPr="000C5623">
        <w:rPr>
          <w:rFonts w:eastAsia="Arial" w:cs="Arial"/>
          <w:color w:val="000000" w:themeColor="text1"/>
        </w:rPr>
        <w:t>(</w:t>
      </w:r>
      <w:r w:rsidRPr="000C5623">
        <w:rPr>
          <w:rFonts w:eastAsia="Arial" w:cs="Arial"/>
          <w:color w:val="000000" w:themeColor="text1"/>
        </w:rPr>
        <w:t>NHRA</w:t>
      </w:r>
      <w:r w:rsidR="00B17F96" w:rsidRPr="000C5623">
        <w:rPr>
          <w:rFonts w:eastAsia="Arial" w:cs="Arial"/>
          <w:color w:val="000000" w:themeColor="text1"/>
        </w:rPr>
        <w:t>)</w:t>
      </w:r>
      <w:r w:rsidR="00B133D5" w:rsidRPr="000C5623">
        <w:rPr>
          <w:rFonts w:eastAsia="Arial" w:cs="Arial"/>
          <w:color w:val="000000" w:themeColor="text1"/>
        </w:rPr>
        <w:t xml:space="preserve"> </w:t>
      </w:r>
      <w:r w:rsidRPr="001B19C2">
        <w:rPr>
          <w:rFonts w:eastAsia="Arial" w:cs="Arial"/>
          <w:color w:val="000000" w:themeColor="text1"/>
        </w:rPr>
        <w:t xml:space="preserve">(specifically for interpretation of the NHRA) as: </w:t>
      </w:r>
    </w:p>
    <w:p w14:paraId="1C034155" w14:textId="333AAFE8" w:rsidR="001B19C2" w:rsidRPr="001B19C2" w:rsidRDefault="001B19C2" w:rsidP="001B19C2">
      <w:pPr>
        <w:tabs>
          <w:tab w:val="left" w:pos="7548"/>
        </w:tabs>
        <w:ind w:left="603" w:right="845"/>
        <w:rPr>
          <w:rFonts w:eastAsia="Arial" w:cs="Arial"/>
          <w:color w:val="000000" w:themeColor="text1"/>
        </w:rPr>
      </w:pPr>
      <w:r w:rsidRPr="000C5623">
        <w:rPr>
          <w:rFonts w:eastAsia="Arial" w:cs="Arial"/>
          <w:iCs/>
          <w:color w:val="000000" w:themeColor="text1"/>
        </w:rPr>
        <w:t xml:space="preserve">TGA approved medicines and biologicals delivered in public hospitals where the therapy and its conditions of use are recommended by MSAC or PBAC; and the average annual treatment cost at the commencement of funding exceeds $200,000 per patient (including ancillary services) as determined by the MSAC or </w:t>
      </w:r>
      <w:r w:rsidR="000C3CE1">
        <w:rPr>
          <w:rFonts w:eastAsia="Arial" w:cs="Arial"/>
          <w:iCs/>
          <w:color w:val="000000" w:themeColor="text1"/>
        </w:rPr>
        <w:t xml:space="preserve">the </w:t>
      </w:r>
      <w:r w:rsidRPr="000C5623">
        <w:rPr>
          <w:rFonts w:eastAsia="Arial" w:cs="Arial"/>
          <w:iCs/>
          <w:color w:val="000000" w:themeColor="text1"/>
        </w:rPr>
        <w:t>PBAC</w:t>
      </w:r>
      <w:r w:rsidR="000C3CE1">
        <w:rPr>
          <w:rFonts w:eastAsia="Arial" w:cs="Arial"/>
          <w:iCs/>
          <w:color w:val="000000" w:themeColor="text1"/>
        </w:rPr>
        <w:t>,</w:t>
      </w:r>
      <w:r w:rsidRPr="000C5623">
        <w:rPr>
          <w:rFonts w:eastAsia="Arial" w:cs="Arial"/>
          <w:iCs/>
          <w:color w:val="000000" w:themeColor="text1"/>
        </w:rPr>
        <w:t xml:space="preserve"> with input from the Independent Hospital Pricing Authority; and where the therapy is not otherwise funded through a Commonwealth program or the costs of the therapy would be appropriately funded through a component of an existing pricing classification.</w:t>
      </w:r>
      <w:r w:rsidR="000315F2" w:rsidRPr="000C5623">
        <w:rPr>
          <w:rStyle w:val="FootnoteReference"/>
          <w:rFonts w:eastAsia="Arial" w:cs="Arial"/>
          <w:iCs/>
          <w:color w:val="000000" w:themeColor="text1"/>
        </w:rPr>
        <w:footnoteReference w:id="50"/>
      </w:r>
      <w:r w:rsidRPr="000315F2">
        <w:rPr>
          <w:rFonts w:eastAsia="Arial" w:cs="Arial"/>
          <w:iCs/>
          <w:color w:val="000000" w:themeColor="text1"/>
        </w:rPr>
        <w:t xml:space="preserve"> </w:t>
      </w:r>
    </w:p>
    <w:p w14:paraId="43EE1A78" w14:textId="152757E6" w:rsidR="001B19C2" w:rsidRPr="001B19C2" w:rsidRDefault="001B19C2" w:rsidP="00E8687C">
      <w:pPr>
        <w:rPr>
          <w:rFonts w:eastAsia="Arial" w:cs="Arial"/>
          <w:color w:val="000000" w:themeColor="text1"/>
        </w:rPr>
      </w:pPr>
      <w:r w:rsidRPr="001B19C2">
        <w:rPr>
          <w:rFonts w:eastAsia="Arial" w:cs="Arial"/>
          <w:color w:val="000000" w:themeColor="text1"/>
        </w:rPr>
        <w:t xml:space="preserve">While the term HSTs used in the </w:t>
      </w:r>
      <w:r w:rsidR="003F5D91">
        <w:rPr>
          <w:rFonts w:eastAsia="Arial" w:cs="Arial"/>
          <w:color w:val="000000" w:themeColor="text1"/>
        </w:rPr>
        <w:t>2020</w:t>
      </w:r>
      <w:r w:rsidR="00920692">
        <w:rPr>
          <w:rFonts w:eastAsia="Arial" w:cs="Arial"/>
          <w:color w:val="000000" w:themeColor="text1"/>
        </w:rPr>
        <w:t>–</w:t>
      </w:r>
      <w:r w:rsidR="003F5D91">
        <w:rPr>
          <w:rFonts w:eastAsia="Arial" w:cs="Arial"/>
          <w:color w:val="000000" w:themeColor="text1"/>
        </w:rPr>
        <w:t xml:space="preserve">25 </w:t>
      </w:r>
      <w:r w:rsidRPr="00B778C2">
        <w:rPr>
          <w:rFonts w:eastAsia="Arial" w:cs="Arial"/>
          <w:color w:val="000000" w:themeColor="text1"/>
        </w:rPr>
        <w:t>Addendum</w:t>
      </w:r>
      <w:r w:rsidR="001F42CC">
        <w:rPr>
          <w:rFonts w:eastAsia="Arial" w:cs="Arial"/>
          <w:color w:val="000000" w:themeColor="text1"/>
        </w:rPr>
        <w:t xml:space="preserve"> to the </w:t>
      </w:r>
      <w:r w:rsidR="001F42CC" w:rsidRPr="001B19C2">
        <w:rPr>
          <w:rFonts w:eastAsia="Arial" w:cs="Arial"/>
          <w:color w:val="000000" w:themeColor="text1"/>
        </w:rPr>
        <w:t>NHRA</w:t>
      </w:r>
      <w:r w:rsidR="000315F2">
        <w:rPr>
          <w:rStyle w:val="FootnoteReference"/>
          <w:rFonts w:eastAsia="Arial" w:cs="Arial"/>
          <w:color w:val="000000" w:themeColor="text1"/>
        </w:rPr>
        <w:footnoteReference w:id="51"/>
      </w:r>
      <w:r w:rsidRPr="001B19C2">
        <w:rPr>
          <w:rFonts w:eastAsia="Arial" w:cs="Arial"/>
          <w:color w:val="000000" w:themeColor="text1"/>
        </w:rPr>
        <w:t xml:space="preserve"> predominately includes </w:t>
      </w:r>
      <w:r w:rsidR="00A163B4">
        <w:rPr>
          <w:rFonts w:eastAsia="Arial" w:cs="Arial"/>
          <w:color w:val="000000" w:themeColor="text1"/>
        </w:rPr>
        <w:t>ATs</w:t>
      </w:r>
      <w:r w:rsidRPr="001B19C2">
        <w:rPr>
          <w:rFonts w:eastAsia="Arial" w:cs="Arial"/>
          <w:color w:val="000000" w:themeColor="text1"/>
        </w:rPr>
        <w:t>, it can also include high-cost pharmaceuticals delivered to public hospital inpatients.</w:t>
      </w:r>
    </w:p>
    <w:p w14:paraId="0BA09B31" w14:textId="23B96EC4" w:rsidR="001B19C2" w:rsidRPr="003F5D91" w:rsidRDefault="001B19C2" w:rsidP="00E8687C">
      <w:pPr>
        <w:rPr>
          <w:rFonts w:eastAsia="Arial" w:cs="Arial"/>
        </w:rPr>
      </w:pPr>
      <w:r w:rsidRPr="001B19C2">
        <w:rPr>
          <w:rFonts w:eastAsia="Arial" w:cs="Arial"/>
          <w:color w:val="000000" w:themeColor="text1"/>
        </w:rPr>
        <w:t xml:space="preserve">The approach to submission, evaluation and funding of advanced therapies has been an increasingly important matter raised by stakeholders in recent years. </w:t>
      </w:r>
      <w:proofErr w:type="gramStart"/>
      <w:r w:rsidR="00311A93">
        <w:rPr>
          <w:rFonts w:eastAsia="Arial" w:cs="Arial"/>
          <w:color w:val="000000" w:themeColor="text1"/>
        </w:rPr>
        <w:t>T</w:t>
      </w:r>
      <w:r w:rsidRPr="001B19C2">
        <w:rPr>
          <w:rFonts w:eastAsia="Arial" w:cs="Arial"/>
          <w:color w:val="000000" w:themeColor="text1"/>
        </w:rPr>
        <w:t>he majority of</w:t>
      </w:r>
      <w:proofErr w:type="gramEnd"/>
      <w:r w:rsidRPr="001B19C2">
        <w:rPr>
          <w:rFonts w:eastAsia="Arial" w:cs="Arial"/>
          <w:color w:val="000000" w:themeColor="text1"/>
        </w:rPr>
        <w:t xml:space="preserve"> advanced therapies that are delivered in a public hospital setting are funded through a </w:t>
      </w:r>
      <w:r w:rsidRPr="001B19C2">
        <w:rPr>
          <w:rFonts w:eastAsiaTheme="minorEastAsia" w:cs="Arial"/>
          <w:color w:val="000000" w:themeColor="text1"/>
        </w:rPr>
        <w:t xml:space="preserve">shared funding arrangement between the </w:t>
      </w:r>
      <w:r w:rsidR="00CD465F">
        <w:rPr>
          <w:rFonts w:eastAsiaTheme="minorEastAsia" w:cs="Arial"/>
          <w:color w:val="000000" w:themeColor="text1"/>
        </w:rPr>
        <w:t>Australian</w:t>
      </w:r>
      <w:r w:rsidR="00CD465F" w:rsidRPr="001B19C2">
        <w:rPr>
          <w:rFonts w:eastAsiaTheme="minorEastAsia" w:cs="Arial"/>
          <w:color w:val="000000" w:themeColor="text1"/>
        </w:rPr>
        <w:t xml:space="preserve"> </w:t>
      </w:r>
      <w:r w:rsidRPr="001B19C2">
        <w:rPr>
          <w:rFonts w:eastAsiaTheme="minorEastAsia" w:cs="Arial"/>
          <w:color w:val="000000" w:themeColor="text1"/>
        </w:rPr>
        <w:t xml:space="preserve">and state and territory governments, as set out in the relevant clauses and schedules in the </w:t>
      </w:r>
      <w:r w:rsidR="00EB46C2">
        <w:rPr>
          <w:rFonts w:eastAsiaTheme="minorEastAsia" w:cs="Arial"/>
          <w:color w:val="000000" w:themeColor="text1"/>
        </w:rPr>
        <w:t xml:space="preserve">2020–25 </w:t>
      </w:r>
      <w:r w:rsidR="003F5D91" w:rsidRPr="003F5D91">
        <w:rPr>
          <w:rFonts w:eastAsia="Arial" w:cs="Arial"/>
        </w:rPr>
        <w:t>NHRA Addendum</w:t>
      </w:r>
      <w:r w:rsidR="000E285A">
        <w:rPr>
          <w:rFonts w:eastAsia="Arial" w:cs="Arial"/>
        </w:rPr>
        <w:t>.</w:t>
      </w:r>
      <w:r w:rsidR="000315F2">
        <w:rPr>
          <w:rStyle w:val="FootnoteReference"/>
          <w:rFonts w:eastAsia="Arial" w:cs="Arial"/>
        </w:rPr>
        <w:footnoteReference w:id="52"/>
      </w:r>
      <w:r w:rsidRPr="003F5D91">
        <w:rPr>
          <w:rFonts w:eastAsia="Arial" w:cs="Arial"/>
        </w:rPr>
        <w:t xml:space="preserve"> </w:t>
      </w:r>
    </w:p>
    <w:p w14:paraId="2B6E69DD" w14:textId="1BDB1BA3" w:rsidR="001B19C2" w:rsidRPr="001B19C2" w:rsidRDefault="001B19C2" w:rsidP="00E8687C">
      <w:pPr>
        <w:rPr>
          <w:rFonts w:eastAsia="Arial" w:cs="Arial"/>
          <w:color w:val="000000" w:themeColor="text1"/>
        </w:rPr>
      </w:pPr>
      <w:r w:rsidRPr="001B19C2">
        <w:rPr>
          <w:rFonts w:eastAsia="Arial" w:cs="Arial"/>
          <w:color w:val="000000" w:themeColor="text1"/>
        </w:rPr>
        <w:t>Relevant to the</w:t>
      </w:r>
      <w:r w:rsidR="000315F2">
        <w:rPr>
          <w:rFonts w:eastAsia="Arial" w:cs="Arial"/>
          <w:color w:val="000000" w:themeColor="text1"/>
        </w:rPr>
        <w:t xml:space="preserve"> Review’s</w:t>
      </w:r>
      <w:r w:rsidRPr="001B19C2">
        <w:rPr>
          <w:rFonts w:eastAsia="Arial" w:cs="Arial"/>
          <w:color w:val="000000" w:themeColor="text1"/>
        </w:rPr>
        <w:t xml:space="preserve"> </w:t>
      </w:r>
      <w:r w:rsidR="00E07096">
        <w:rPr>
          <w:rFonts w:eastAsia="Arial" w:cs="Arial"/>
          <w:color w:val="000000" w:themeColor="text1"/>
        </w:rPr>
        <w:fldChar w:fldCharType="begin" w:fldLock="1"/>
      </w:r>
      <w:r w:rsidR="00E07096">
        <w:rPr>
          <w:rFonts w:eastAsia="Arial" w:cs="Arial"/>
          <w:color w:val="000000" w:themeColor="text1"/>
        </w:rPr>
        <w:instrText xml:space="preserve"> REF _Ref166771647 \h </w:instrText>
      </w:r>
      <w:r w:rsidR="00E07096">
        <w:rPr>
          <w:rFonts w:eastAsia="Arial" w:cs="Arial"/>
          <w:color w:val="000000" w:themeColor="text1"/>
        </w:rPr>
      </w:r>
      <w:r w:rsidR="00E07096">
        <w:rPr>
          <w:rFonts w:eastAsia="Arial" w:cs="Arial"/>
          <w:color w:val="000000" w:themeColor="text1"/>
        </w:rPr>
        <w:fldChar w:fldCharType="separate"/>
      </w:r>
      <w:r w:rsidR="00E07096">
        <w:t>Terms of Reference</w:t>
      </w:r>
      <w:r w:rsidR="00E07096">
        <w:rPr>
          <w:rFonts w:eastAsia="Arial" w:cs="Arial"/>
          <w:color w:val="000000" w:themeColor="text1"/>
        </w:rPr>
        <w:fldChar w:fldCharType="end"/>
      </w:r>
      <w:r w:rsidRPr="001B19C2">
        <w:rPr>
          <w:rFonts w:eastAsia="Arial" w:cs="Arial"/>
          <w:color w:val="000000" w:themeColor="text1"/>
        </w:rPr>
        <w:t xml:space="preserve"> are examination</w:t>
      </w:r>
      <w:r w:rsidR="009F6387">
        <w:rPr>
          <w:rFonts w:eastAsia="Arial" w:cs="Arial"/>
          <w:color w:val="000000" w:themeColor="text1"/>
        </w:rPr>
        <w:t>s</w:t>
      </w:r>
      <w:r w:rsidRPr="001B19C2">
        <w:rPr>
          <w:rFonts w:eastAsia="Arial" w:cs="Arial"/>
          <w:color w:val="000000" w:themeColor="text1"/>
        </w:rPr>
        <w:t xml:space="preserve"> of the governance and triaging processes that support submission, evaluation and funding of eligible advanced therapies</w:t>
      </w:r>
      <w:r w:rsidR="000315F2">
        <w:rPr>
          <w:rFonts w:eastAsia="Arial" w:cs="Arial"/>
          <w:color w:val="000000" w:themeColor="text1"/>
        </w:rPr>
        <w:t>. These are</w:t>
      </w:r>
      <w:r w:rsidRPr="001B19C2">
        <w:rPr>
          <w:rFonts w:eastAsia="Arial" w:cs="Arial"/>
          <w:color w:val="000000" w:themeColor="text1"/>
        </w:rPr>
        <w:t xml:space="preserve"> detailed in Appendix B of the</w:t>
      </w:r>
      <w:r w:rsidR="00B133D5">
        <w:rPr>
          <w:rFonts w:eastAsia="Arial" w:cs="Arial"/>
          <w:color w:val="000000" w:themeColor="text1"/>
        </w:rPr>
        <w:t xml:space="preserve"> </w:t>
      </w:r>
      <w:r w:rsidR="00EB46C2">
        <w:rPr>
          <w:rFonts w:eastAsia="Arial" w:cs="Arial"/>
          <w:color w:val="000000" w:themeColor="text1"/>
        </w:rPr>
        <w:t xml:space="preserve">2020–25 </w:t>
      </w:r>
      <w:r w:rsidRPr="001B19C2">
        <w:rPr>
          <w:rFonts w:eastAsia="Arial" w:cs="Arial"/>
          <w:color w:val="000000" w:themeColor="text1"/>
        </w:rPr>
        <w:t xml:space="preserve">NHRA </w:t>
      </w:r>
      <w:r w:rsidRPr="00640264">
        <w:rPr>
          <w:rFonts w:eastAsia="Arial" w:cs="Arial"/>
          <w:color w:val="000000" w:themeColor="text1"/>
        </w:rPr>
        <w:t>Addendum.</w:t>
      </w:r>
      <w:r w:rsidR="000315F2">
        <w:rPr>
          <w:rStyle w:val="FootnoteReference"/>
          <w:rFonts w:eastAsia="Arial" w:cs="Arial"/>
          <w:color w:val="000000" w:themeColor="text1"/>
        </w:rPr>
        <w:footnoteReference w:id="53"/>
      </w:r>
      <w:r w:rsidRPr="001B19C2">
        <w:rPr>
          <w:rFonts w:eastAsia="Arial" w:cs="Arial"/>
          <w:color w:val="000000" w:themeColor="text1"/>
        </w:rPr>
        <w:t xml:space="preserve"> In</w:t>
      </w:r>
      <w:r w:rsidR="000315F2">
        <w:rPr>
          <w:rFonts w:eastAsia="Arial" w:cs="Arial"/>
          <w:color w:val="000000" w:themeColor="text1"/>
        </w:rPr>
        <w:t> </w:t>
      </w:r>
      <w:r w:rsidRPr="001B19C2">
        <w:rPr>
          <w:rFonts w:eastAsia="Arial" w:cs="Arial"/>
          <w:color w:val="000000" w:themeColor="text1"/>
        </w:rPr>
        <w:t>brief:</w:t>
      </w:r>
    </w:p>
    <w:p w14:paraId="45E00C91" w14:textId="3FC00C2A" w:rsidR="001B19C2" w:rsidRPr="001B19C2" w:rsidRDefault="00D24608" w:rsidP="00281153">
      <w:pPr>
        <w:pStyle w:val="ListBullet"/>
        <w:numPr>
          <w:ilvl w:val="0"/>
          <w:numId w:val="66"/>
        </w:numPr>
      </w:pPr>
      <w:r w:rsidRPr="004D3A7F">
        <w:t>S</w:t>
      </w:r>
      <w:r w:rsidR="001B19C2" w:rsidRPr="004D3A7F">
        <w:t xml:space="preserve">ponsors </w:t>
      </w:r>
      <w:r w:rsidR="000315F2" w:rsidRPr="004D3A7F">
        <w:t>that</w:t>
      </w:r>
      <w:r w:rsidR="001B19C2" w:rsidRPr="004D3A7F">
        <w:t xml:space="preserve"> consider their therapy meets the definition of a</w:t>
      </w:r>
      <w:r w:rsidR="00E40465">
        <w:t>n</w:t>
      </w:r>
      <w:r w:rsidR="001B19C2" w:rsidRPr="004D3A7F">
        <w:t xml:space="preserve"> HST</w:t>
      </w:r>
      <w:r w:rsidRPr="004D3A7F">
        <w:t>,</w:t>
      </w:r>
      <w:r w:rsidR="001B19C2" w:rsidRPr="004D3A7F">
        <w:t xml:space="preserve"> as specified in the 2020</w:t>
      </w:r>
      <w:r w:rsidR="000315F2" w:rsidRPr="004D3A7F">
        <w:t>–</w:t>
      </w:r>
      <w:r w:rsidR="00A01D79" w:rsidRPr="004D3A7F">
        <w:t>2</w:t>
      </w:r>
      <w:r w:rsidR="001B19C2" w:rsidRPr="004D3A7F">
        <w:t>5 NHRA Addendum</w:t>
      </w:r>
      <w:r w:rsidR="000E285A" w:rsidRPr="004D3A7F">
        <w:t>,</w:t>
      </w:r>
      <w:r w:rsidR="001B19C2" w:rsidRPr="004D3A7F">
        <w:rPr>
          <w:vertAlign w:val="superscript"/>
        </w:rPr>
        <w:footnoteReference w:id="54"/>
      </w:r>
      <w:r w:rsidR="001B19C2" w:rsidRPr="004D3A7F">
        <w:t xml:space="preserve"> usually contact the Department to discuss the process for potential HSTs</w:t>
      </w:r>
      <w:r w:rsidRPr="004D3A7F">
        <w:t>.</w:t>
      </w:r>
    </w:p>
    <w:p w14:paraId="3F4EE2E1" w14:textId="459F79D4" w:rsidR="001B19C2" w:rsidRPr="001B19C2" w:rsidRDefault="001B19C2" w:rsidP="00281153">
      <w:pPr>
        <w:pStyle w:val="ListBullet"/>
        <w:numPr>
          <w:ilvl w:val="0"/>
          <w:numId w:val="66"/>
        </w:numPr>
      </w:pPr>
      <w:r w:rsidRPr="001B19C2">
        <w:lastRenderedPageBreak/>
        <w:t xml:space="preserve">Where the </w:t>
      </w:r>
      <w:r w:rsidR="009B5347">
        <w:t>D</w:t>
      </w:r>
      <w:r w:rsidRPr="001B19C2">
        <w:t>epartment agrees that the therapy appears to meet the definition of a</w:t>
      </w:r>
      <w:r w:rsidR="00CD465F">
        <w:t>n</w:t>
      </w:r>
      <w:r w:rsidRPr="001B19C2">
        <w:t xml:space="preserve"> HST as outlined in the 2020</w:t>
      </w:r>
      <w:r w:rsidR="00D24608">
        <w:t>–</w:t>
      </w:r>
      <w:r w:rsidR="00A01D79">
        <w:t>2</w:t>
      </w:r>
      <w:r w:rsidRPr="001B19C2">
        <w:t>5 NHRA Addendum, the sponsor is required to provide a briefing to the jurisdictions on the therapy as a means of informing the jurisdictional representative on the Joint Chairs’ Committee (</w:t>
      </w:r>
      <w:r w:rsidR="00CD465F">
        <w:t xml:space="preserve">including the </w:t>
      </w:r>
      <w:r w:rsidRPr="001B19C2">
        <w:rPr>
          <w:rFonts w:eastAsiaTheme="minorEastAsia"/>
        </w:rPr>
        <w:t>MSAC Chair,</w:t>
      </w:r>
      <w:r w:rsidR="00CD465F">
        <w:rPr>
          <w:rFonts w:eastAsiaTheme="minorEastAsia"/>
        </w:rPr>
        <w:t xml:space="preserve"> the</w:t>
      </w:r>
      <w:r w:rsidRPr="001B19C2">
        <w:rPr>
          <w:rFonts w:eastAsiaTheme="minorEastAsia"/>
        </w:rPr>
        <w:t xml:space="preserve"> PBAC Chair and a nominated representative of the jurisdictions).</w:t>
      </w:r>
    </w:p>
    <w:p w14:paraId="5062A129" w14:textId="3D24AD49" w:rsidR="001B19C2" w:rsidRPr="001B19C2" w:rsidRDefault="001B19C2" w:rsidP="00281153">
      <w:pPr>
        <w:pStyle w:val="ListBullet"/>
        <w:numPr>
          <w:ilvl w:val="0"/>
          <w:numId w:val="66"/>
        </w:numPr>
      </w:pPr>
      <w:r w:rsidRPr="001B19C2">
        <w:t>The sponsor then lodge</w:t>
      </w:r>
      <w:r w:rsidR="00D24608">
        <w:t>s</w:t>
      </w:r>
      <w:r w:rsidRPr="001B19C2">
        <w:t xml:space="preserve"> an MSAC application, facilitating consideration of the therapy by the Joint Chairs’ Committee. </w:t>
      </w:r>
    </w:p>
    <w:p w14:paraId="72CD9069" w14:textId="1E303636" w:rsidR="001B19C2" w:rsidRPr="001B19C2" w:rsidRDefault="00D24608" w:rsidP="00281153">
      <w:pPr>
        <w:pStyle w:val="ListBullet"/>
        <w:numPr>
          <w:ilvl w:val="0"/>
          <w:numId w:val="66"/>
        </w:numPr>
      </w:pPr>
      <w:r>
        <w:t>If</w:t>
      </w:r>
      <w:r w:rsidR="001B19C2" w:rsidRPr="001B19C2">
        <w:t xml:space="preserve"> </w:t>
      </w:r>
      <w:r w:rsidRPr="001B19C2">
        <w:t xml:space="preserve">the Joint Chairs’ Committee </w:t>
      </w:r>
      <w:r w:rsidR="001B19C2" w:rsidRPr="001B19C2">
        <w:t>consider</w:t>
      </w:r>
      <w:r>
        <w:t xml:space="preserve">s </w:t>
      </w:r>
      <w:r w:rsidR="001B19C2" w:rsidRPr="001B19C2">
        <w:t>that:</w:t>
      </w:r>
    </w:p>
    <w:p w14:paraId="532A0946" w14:textId="1FEE1312" w:rsidR="001B19C2" w:rsidRPr="001B19C2" w:rsidRDefault="00D24608" w:rsidP="00281153">
      <w:pPr>
        <w:pStyle w:val="ListBullet"/>
        <w:numPr>
          <w:ilvl w:val="1"/>
          <w:numId w:val="8"/>
        </w:numPr>
      </w:pPr>
      <w:r>
        <w:t>t</w:t>
      </w:r>
      <w:r w:rsidR="001B19C2" w:rsidRPr="001B19C2">
        <w:t>he PBS is the most relevant funding program, the sponsor is informed of this and may proceed to submitting a PBAC application as per standard PBAC processes</w:t>
      </w:r>
    </w:p>
    <w:p w14:paraId="0EB2A976" w14:textId="21300B4A" w:rsidR="001B19C2" w:rsidRPr="001B19C2" w:rsidRDefault="00D24608" w:rsidP="00281153">
      <w:pPr>
        <w:pStyle w:val="ListBullet"/>
        <w:numPr>
          <w:ilvl w:val="1"/>
          <w:numId w:val="8"/>
        </w:numPr>
      </w:pPr>
      <w:r>
        <w:t>t</w:t>
      </w:r>
      <w:r w:rsidR="001B19C2" w:rsidRPr="001B19C2">
        <w:t>he therapy is most appropriately funded under the 2020</w:t>
      </w:r>
      <w:r>
        <w:t>–</w:t>
      </w:r>
      <w:r w:rsidR="00F736FC">
        <w:t>2</w:t>
      </w:r>
      <w:r w:rsidR="001B19C2" w:rsidRPr="001B19C2">
        <w:t>5</w:t>
      </w:r>
      <w:r w:rsidR="00F736FC">
        <w:t xml:space="preserve"> </w:t>
      </w:r>
      <w:r w:rsidR="001B19C2" w:rsidRPr="001B19C2">
        <w:t>NHRA Addendum</w:t>
      </w:r>
      <w:r>
        <w:t>,</w:t>
      </w:r>
      <w:r w:rsidR="001B19C2" w:rsidRPr="001B19C2">
        <w:rPr>
          <w:vertAlign w:val="superscript"/>
        </w:rPr>
        <w:footnoteReference w:id="55"/>
      </w:r>
      <w:r w:rsidR="001B19C2" w:rsidRPr="001B19C2">
        <w:t xml:space="preserve"> the application proceeds to </w:t>
      </w:r>
      <w:r>
        <w:t xml:space="preserve">the </w:t>
      </w:r>
      <w:r w:rsidR="001B19C2" w:rsidRPr="001B19C2">
        <w:t>MSAC for consideration</w:t>
      </w:r>
      <w:r>
        <w:t>,</w:t>
      </w:r>
      <w:r w:rsidR="001B19C2" w:rsidRPr="001B19C2">
        <w:t xml:space="preserve"> as per standard MSAC processes. </w:t>
      </w:r>
    </w:p>
    <w:p w14:paraId="771BBDF9" w14:textId="0FA3DAD4" w:rsidR="001B19C2" w:rsidRPr="001B19C2" w:rsidRDefault="00D16D80" w:rsidP="00C957F0">
      <w:pPr>
        <w:pStyle w:val="Heading3"/>
        <w:rPr>
          <w:rFonts w:cs="Segoe UI Light"/>
        </w:rPr>
      </w:pPr>
      <w:r>
        <w:t>Findings</w:t>
      </w:r>
    </w:p>
    <w:p w14:paraId="7E53FCCE" w14:textId="7945BD79" w:rsidR="001B19C2" w:rsidRPr="00E63766" w:rsidRDefault="00750575" w:rsidP="00E63766">
      <w:pPr>
        <w:pStyle w:val="Heading4"/>
      </w:pPr>
      <w:r>
        <w:t>Availability of p</w:t>
      </w:r>
      <w:r w:rsidR="001B19C2" w:rsidRPr="6F1E3AB4">
        <w:t xml:space="preserve">rocedural </w:t>
      </w:r>
      <w:r w:rsidR="0055690E">
        <w:t>i</w:t>
      </w:r>
      <w:r w:rsidR="001B19C2" w:rsidRPr="00E63766">
        <w:t xml:space="preserve">nformation </w:t>
      </w:r>
    </w:p>
    <w:p w14:paraId="771654B5" w14:textId="12119A4D" w:rsidR="001B19C2" w:rsidRPr="001B19C2" w:rsidRDefault="00EF72AD" w:rsidP="00E8687C">
      <w:pPr>
        <w:rPr>
          <w:rFonts w:eastAsiaTheme="minorEastAsia"/>
          <w:color w:val="000000" w:themeColor="text1"/>
        </w:rPr>
      </w:pPr>
      <w:r>
        <w:rPr>
          <w:rFonts w:eastAsiaTheme="minorEastAsia"/>
          <w:color w:val="000000" w:themeColor="text1"/>
        </w:rPr>
        <w:t>I</w:t>
      </w:r>
      <w:r w:rsidR="00401C0D">
        <w:rPr>
          <w:rFonts w:eastAsiaTheme="minorEastAsia"/>
          <w:color w:val="000000" w:themeColor="text1"/>
        </w:rPr>
        <w:t xml:space="preserve">t is crucial that </w:t>
      </w:r>
      <w:r w:rsidR="001B19C2" w:rsidRPr="6F1E3AB4">
        <w:rPr>
          <w:rFonts w:eastAsiaTheme="minorEastAsia"/>
          <w:color w:val="000000" w:themeColor="text1"/>
        </w:rPr>
        <w:t xml:space="preserve">key information </w:t>
      </w:r>
      <w:r w:rsidR="008C08C7">
        <w:rPr>
          <w:rFonts w:eastAsiaTheme="minorEastAsia"/>
          <w:color w:val="000000" w:themeColor="text1"/>
        </w:rPr>
        <w:t>on</w:t>
      </w:r>
      <w:r w:rsidR="001B19C2" w:rsidRPr="6F1E3AB4">
        <w:rPr>
          <w:rFonts w:eastAsiaTheme="minorEastAsia"/>
          <w:color w:val="000000" w:themeColor="text1"/>
        </w:rPr>
        <w:t xml:space="preserve"> the submission, evaluation and provisioning steps for HSTs is </w:t>
      </w:r>
      <w:r w:rsidR="00401C0D" w:rsidRPr="6F1E3AB4">
        <w:rPr>
          <w:rFonts w:eastAsiaTheme="minorEastAsia"/>
          <w:color w:val="000000" w:themeColor="text1"/>
        </w:rPr>
        <w:t>availab</w:t>
      </w:r>
      <w:r w:rsidR="00401C0D">
        <w:rPr>
          <w:rFonts w:eastAsiaTheme="minorEastAsia"/>
          <w:color w:val="000000" w:themeColor="text1"/>
        </w:rPr>
        <w:t>le</w:t>
      </w:r>
      <w:r w:rsidR="00401C0D" w:rsidRPr="6F1E3AB4">
        <w:rPr>
          <w:rFonts w:eastAsiaTheme="minorEastAsia"/>
          <w:color w:val="000000" w:themeColor="text1"/>
        </w:rPr>
        <w:t xml:space="preserve"> and visibl</w:t>
      </w:r>
      <w:r w:rsidR="00401C0D">
        <w:rPr>
          <w:rFonts w:eastAsiaTheme="minorEastAsia"/>
          <w:color w:val="000000" w:themeColor="text1"/>
        </w:rPr>
        <w:t>e</w:t>
      </w:r>
      <w:r w:rsidR="008C08C7">
        <w:rPr>
          <w:rFonts w:eastAsiaTheme="minorEastAsia"/>
          <w:color w:val="000000" w:themeColor="text1"/>
        </w:rPr>
        <w:t>,</w:t>
      </w:r>
      <w:r w:rsidR="001B19C2" w:rsidRPr="6F1E3AB4">
        <w:rPr>
          <w:rFonts w:eastAsiaTheme="minorEastAsia"/>
          <w:color w:val="000000" w:themeColor="text1"/>
        </w:rPr>
        <w:t xml:space="preserve"> to </w:t>
      </w:r>
      <w:r w:rsidR="00401C0D">
        <w:rPr>
          <w:rFonts w:eastAsiaTheme="minorEastAsia"/>
          <w:color w:val="000000" w:themeColor="text1"/>
        </w:rPr>
        <w:t>give</w:t>
      </w:r>
      <w:r w:rsidR="00401C0D" w:rsidRPr="6F1E3AB4">
        <w:rPr>
          <w:rFonts w:eastAsiaTheme="minorEastAsia"/>
          <w:color w:val="000000" w:themeColor="text1"/>
        </w:rPr>
        <w:t xml:space="preserve"> </w:t>
      </w:r>
      <w:r w:rsidR="001B19C2" w:rsidRPr="6F1E3AB4">
        <w:rPr>
          <w:rFonts w:eastAsiaTheme="minorEastAsia"/>
          <w:color w:val="000000" w:themeColor="text1"/>
        </w:rPr>
        <w:t xml:space="preserve">stakeholders appropriate levels of certainty and transparency. </w:t>
      </w:r>
    </w:p>
    <w:p w14:paraId="2EBC96EC" w14:textId="22D6E56C" w:rsidR="001B19C2" w:rsidRPr="001B19C2" w:rsidRDefault="000727C6" w:rsidP="00E8687C">
      <w:pPr>
        <w:rPr>
          <w:color w:val="000000" w:themeColor="text1"/>
        </w:rPr>
      </w:pPr>
      <w:r>
        <w:rPr>
          <w:color w:val="000000" w:themeColor="text1"/>
        </w:rPr>
        <w:t>G</w:t>
      </w:r>
      <w:r w:rsidR="001B19C2" w:rsidRPr="6F1E3AB4">
        <w:rPr>
          <w:color w:val="000000" w:themeColor="text1"/>
        </w:rPr>
        <w:t>uidance available to sponsors in relation to whether the HST process outlined in the 2020</w:t>
      </w:r>
      <w:r w:rsidR="000E285A">
        <w:rPr>
          <w:color w:val="000000" w:themeColor="text1"/>
        </w:rPr>
        <w:t>–</w:t>
      </w:r>
      <w:r w:rsidR="00E90AC2">
        <w:rPr>
          <w:color w:val="000000" w:themeColor="text1"/>
        </w:rPr>
        <w:t>2</w:t>
      </w:r>
      <w:r w:rsidR="001B19C2" w:rsidRPr="6F1E3AB4">
        <w:rPr>
          <w:color w:val="000000" w:themeColor="text1"/>
        </w:rPr>
        <w:t xml:space="preserve">5 </w:t>
      </w:r>
      <w:r w:rsidR="001B19C2" w:rsidRPr="00C2194F">
        <w:rPr>
          <w:color w:val="000000" w:themeColor="text1"/>
        </w:rPr>
        <w:t>Addendum</w:t>
      </w:r>
      <w:r w:rsidR="001F42CC">
        <w:rPr>
          <w:color w:val="000000" w:themeColor="text1"/>
        </w:rPr>
        <w:t xml:space="preserve"> to the </w:t>
      </w:r>
      <w:r w:rsidR="001F42CC" w:rsidRPr="6F1E3AB4">
        <w:rPr>
          <w:color w:val="000000" w:themeColor="text1"/>
        </w:rPr>
        <w:t>NHRA</w:t>
      </w:r>
      <w:r w:rsidR="008C08C7">
        <w:rPr>
          <w:rStyle w:val="FootnoteReference"/>
          <w:color w:val="000000" w:themeColor="text1"/>
        </w:rPr>
        <w:footnoteReference w:id="56"/>
      </w:r>
      <w:r w:rsidR="001B19C2" w:rsidRPr="6F1E3AB4">
        <w:rPr>
          <w:color w:val="000000" w:themeColor="text1"/>
        </w:rPr>
        <w:t xml:space="preserve"> applies to their </w:t>
      </w:r>
      <w:r w:rsidR="008C17C0">
        <w:rPr>
          <w:color w:val="000000" w:themeColor="text1"/>
        </w:rPr>
        <w:t>advanced therapy (</w:t>
      </w:r>
      <w:r w:rsidR="001B19C2" w:rsidRPr="6F1E3AB4">
        <w:rPr>
          <w:color w:val="000000" w:themeColor="text1"/>
        </w:rPr>
        <w:t>AT</w:t>
      </w:r>
      <w:r w:rsidR="008C17C0">
        <w:rPr>
          <w:color w:val="000000" w:themeColor="text1"/>
        </w:rPr>
        <w:t>)</w:t>
      </w:r>
      <w:r w:rsidR="001B19C2" w:rsidRPr="6F1E3AB4">
        <w:rPr>
          <w:color w:val="000000" w:themeColor="text1"/>
        </w:rPr>
        <w:t xml:space="preserve"> products is lacking</w:t>
      </w:r>
      <w:r w:rsidR="008C08C7">
        <w:rPr>
          <w:color w:val="000000" w:themeColor="text1"/>
        </w:rPr>
        <w:t>. This</w:t>
      </w:r>
      <w:r w:rsidR="001B19C2" w:rsidRPr="6F1E3AB4">
        <w:rPr>
          <w:color w:val="000000" w:themeColor="text1"/>
        </w:rPr>
        <w:t xml:space="preserve"> echo</w:t>
      </w:r>
      <w:r w:rsidR="00D52609">
        <w:rPr>
          <w:color w:val="000000" w:themeColor="text1"/>
        </w:rPr>
        <w:t>es</w:t>
      </w:r>
      <w:r w:rsidR="001B19C2" w:rsidRPr="6F1E3AB4">
        <w:rPr>
          <w:color w:val="000000" w:themeColor="text1"/>
        </w:rPr>
        <w:t xml:space="preserve"> observations in </w:t>
      </w:r>
      <w:r w:rsidR="573FA33C" w:rsidRPr="6CC68A72">
        <w:rPr>
          <w:color w:val="000000" w:themeColor="text1"/>
        </w:rPr>
        <w:t>stakeholders</w:t>
      </w:r>
      <w:r w:rsidR="001F42CC">
        <w:rPr>
          <w:color w:val="000000" w:themeColor="text1"/>
        </w:rPr>
        <w:t>’</w:t>
      </w:r>
      <w:r w:rsidR="001B19C2" w:rsidRPr="6F1E3AB4">
        <w:rPr>
          <w:color w:val="000000" w:themeColor="text1"/>
        </w:rPr>
        <w:t xml:space="preserve"> submissions to </w:t>
      </w:r>
      <w:r w:rsidR="001B19C2" w:rsidRPr="000C5623">
        <w:rPr>
          <w:iCs/>
          <w:color w:val="000000" w:themeColor="text1"/>
        </w:rPr>
        <w:t>The New Frontier</w:t>
      </w:r>
      <w:r w:rsidR="001B19C2" w:rsidRPr="00B969DD">
        <w:rPr>
          <w:i/>
          <w:color w:val="000000" w:themeColor="text1"/>
        </w:rPr>
        <w:t xml:space="preserve"> </w:t>
      </w:r>
      <w:r w:rsidR="00E33E7E">
        <w:rPr>
          <w:color w:val="000000" w:themeColor="text1"/>
        </w:rPr>
        <w:t>i</w:t>
      </w:r>
      <w:r w:rsidR="001B19C2" w:rsidRPr="00B969DD">
        <w:rPr>
          <w:color w:val="000000" w:themeColor="text1"/>
        </w:rPr>
        <w:t>nquiry</w:t>
      </w:r>
      <w:r w:rsidR="00F33A9E">
        <w:rPr>
          <w:rStyle w:val="FootnoteReference"/>
          <w:color w:val="000000" w:themeColor="text1"/>
        </w:rPr>
        <w:footnoteReference w:id="57"/>
      </w:r>
      <w:r w:rsidR="001B19C2" w:rsidRPr="6F1E3AB4">
        <w:rPr>
          <w:color w:val="000000" w:themeColor="text1"/>
        </w:rPr>
        <w:t xml:space="preserve"> and th</w:t>
      </w:r>
      <w:r w:rsidR="00D52609">
        <w:rPr>
          <w:color w:val="000000" w:themeColor="text1"/>
        </w:rPr>
        <w:t>e</w:t>
      </w:r>
      <w:r w:rsidR="001B19C2" w:rsidRPr="6F1E3AB4">
        <w:rPr>
          <w:color w:val="000000" w:themeColor="text1"/>
        </w:rPr>
        <w:t xml:space="preserve"> Review. Apart from the Addendum itself, no publicly available guidance outlin</w:t>
      </w:r>
      <w:r w:rsidR="00D52609">
        <w:rPr>
          <w:color w:val="000000" w:themeColor="text1"/>
        </w:rPr>
        <w:t>es</w:t>
      </w:r>
      <w:r w:rsidR="001B19C2" w:rsidRPr="6F1E3AB4">
        <w:rPr>
          <w:color w:val="000000" w:themeColor="text1"/>
        </w:rPr>
        <w:t xml:space="preserve"> the process. </w:t>
      </w:r>
    </w:p>
    <w:p w14:paraId="13F69642" w14:textId="292C2851" w:rsidR="001B19C2" w:rsidRPr="001B19C2" w:rsidRDefault="001B19C2" w:rsidP="00E8687C">
      <w:pPr>
        <w:rPr>
          <w:rFonts w:eastAsiaTheme="minorEastAsia"/>
          <w:color w:val="000000" w:themeColor="text1"/>
        </w:rPr>
      </w:pPr>
      <w:r w:rsidRPr="6F1E3AB4">
        <w:rPr>
          <w:color w:val="000000" w:themeColor="text1"/>
        </w:rPr>
        <w:t xml:space="preserve">Through consultation with the states and territories, </w:t>
      </w:r>
      <w:r w:rsidR="007F02AF">
        <w:rPr>
          <w:color w:val="000000" w:themeColor="text1"/>
        </w:rPr>
        <w:t>t</w:t>
      </w:r>
      <w:r w:rsidRPr="6F1E3AB4">
        <w:rPr>
          <w:color w:val="000000" w:themeColor="text1"/>
        </w:rPr>
        <w:t xml:space="preserve">he Review noted that the Health Technology and Genomics Collaboration is developing </w:t>
      </w:r>
      <w:r w:rsidR="00D52609">
        <w:rPr>
          <w:color w:val="000000" w:themeColor="text1"/>
        </w:rPr>
        <w:t>the</w:t>
      </w:r>
      <w:r w:rsidRPr="6F1E3AB4">
        <w:rPr>
          <w:color w:val="000000" w:themeColor="text1"/>
        </w:rPr>
        <w:t xml:space="preserve"> </w:t>
      </w:r>
      <w:r w:rsidRPr="6F1E3AB4">
        <w:rPr>
          <w:rFonts w:eastAsiaTheme="minorEastAsia"/>
          <w:i/>
          <w:iCs/>
          <w:color w:val="000000" w:themeColor="text1"/>
        </w:rPr>
        <w:t>Framework for the assessment, funding and implementation of high cost, highly specialised therapies and services</w:t>
      </w:r>
      <w:r w:rsidR="00D52609">
        <w:rPr>
          <w:rFonts w:eastAsiaTheme="minorEastAsia"/>
          <w:color w:val="000000" w:themeColor="text1"/>
        </w:rPr>
        <w:t>. This</w:t>
      </w:r>
      <w:r w:rsidRPr="6F1E3AB4">
        <w:rPr>
          <w:rFonts w:eastAsiaTheme="minorEastAsia"/>
          <w:color w:val="000000" w:themeColor="text1"/>
        </w:rPr>
        <w:t xml:space="preserve"> will </w:t>
      </w:r>
      <w:r w:rsidR="00D52609">
        <w:rPr>
          <w:rFonts w:eastAsiaTheme="minorEastAsia"/>
          <w:color w:val="000000" w:themeColor="text1"/>
        </w:rPr>
        <w:t>give</w:t>
      </w:r>
      <w:r w:rsidR="00D52609" w:rsidRPr="6F1E3AB4">
        <w:rPr>
          <w:rFonts w:eastAsiaTheme="minorEastAsia"/>
          <w:color w:val="000000" w:themeColor="text1"/>
        </w:rPr>
        <w:t xml:space="preserve"> </w:t>
      </w:r>
      <w:r w:rsidRPr="6F1E3AB4">
        <w:rPr>
          <w:rFonts w:eastAsiaTheme="minorEastAsia"/>
          <w:color w:val="000000" w:themeColor="text1"/>
        </w:rPr>
        <w:t>stakeholders some additional visibility and clarity about the HTA</w:t>
      </w:r>
      <w:r w:rsidR="00D52609">
        <w:rPr>
          <w:rFonts w:eastAsiaTheme="minorEastAsia"/>
          <w:color w:val="000000" w:themeColor="text1"/>
        </w:rPr>
        <w:t xml:space="preserve"> processes</w:t>
      </w:r>
      <w:r w:rsidRPr="6F1E3AB4">
        <w:rPr>
          <w:rFonts w:eastAsiaTheme="minorEastAsia"/>
          <w:color w:val="000000" w:themeColor="text1"/>
        </w:rPr>
        <w:t xml:space="preserve"> for eligible ATs. </w:t>
      </w:r>
    </w:p>
    <w:p w14:paraId="75EF1021" w14:textId="1E137B3A" w:rsidR="001B19C2" w:rsidRPr="001B19C2" w:rsidRDefault="001B19C2" w:rsidP="00A304C8">
      <w:r w:rsidRPr="6F1E3AB4">
        <w:t xml:space="preserve">The Review also noted that the basis on which the Joint Chair’s Committee determines the most appropriate funding mechanism for an HST is not well understood. Industry </w:t>
      </w:r>
      <w:proofErr w:type="gramStart"/>
      <w:r w:rsidRPr="6F1E3AB4">
        <w:t>stakeholders in particular</w:t>
      </w:r>
      <w:r w:rsidR="00896243">
        <w:t>,</w:t>
      </w:r>
      <w:r w:rsidRPr="6F1E3AB4">
        <w:t xml:space="preserve"> queried</w:t>
      </w:r>
      <w:proofErr w:type="gramEnd"/>
      <w:r w:rsidRPr="6F1E3AB4">
        <w:t xml:space="preserve"> whether the appropriate funding mechanism is </w:t>
      </w:r>
      <w:r w:rsidRPr="6F1E3AB4">
        <w:lastRenderedPageBreak/>
        <w:t xml:space="preserve">primarily determined by defining the optimal patient care pathway, as opposed to whether a treatment could technically be funded on the PBS. </w:t>
      </w:r>
    </w:p>
    <w:p w14:paraId="2167AACB" w14:textId="6C6B24B4" w:rsidR="001B19C2" w:rsidRPr="001B19C2" w:rsidRDefault="001B19C2" w:rsidP="00A304C8">
      <w:r w:rsidRPr="6F1E3AB4">
        <w:t>Once a</w:t>
      </w:r>
      <w:r w:rsidR="00AE3328">
        <w:t>n</w:t>
      </w:r>
      <w:r w:rsidRPr="6F1E3AB4">
        <w:t xml:space="preserve"> HST is supported for funding by the MSAC, there is also a lack of publicly available information in relation to where and when access to HSTs funded via the </w:t>
      </w:r>
      <w:r w:rsidR="00EB46C2">
        <w:t xml:space="preserve">2020–25 </w:t>
      </w:r>
      <w:r w:rsidRPr="6F1E3AB4">
        <w:t>NHRA</w:t>
      </w:r>
      <w:r w:rsidR="005F361E">
        <w:t xml:space="preserve"> Addendum</w:t>
      </w:r>
      <w:r w:rsidRPr="6F1E3AB4">
        <w:t xml:space="preserve"> arrangements </w:t>
      </w:r>
      <w:proofErr w:type="gramStart"/>
      <w:r w:rsidRPr="6F1E3AB4">
        <w:t>becomes</w:t>
      </w:r>
      <w:proofErr w:type="gramEnd"/>
      <w:r w:rsidRPr="6F1E3AB4">
        <w:t xml:space="preserve"> available. Additionally, information about patient referral pathways, eligibility criteria for access to HSTs</w:t>
      </w:r>
      <w:r w:rsidR="009F6387">
        <w:t>,</w:t>
      </w:r>
      <w:r w:rsidRPr="6F1E3AB4">
        <w:t xml:space="preserve"> and associated processes relevant to the patient journey are unavailable. </w:t>
      </w:r>
    </w:p>
    <w:p w14:paraId="7A540CF6" w14:textId="77777777" w:rsidR="001B19C2" w:rsidRPr="001B19C2" w:rsidRDefault="001B19C2" w:rsidP="001119E8">
      <w:pPr>
        <w:pStyle w:val="Heading4"/>
        <w:rPr>
          <w:rFonts w:eastAsiaTheme="minorEastAsia"/>
          <w:i/>
          <w:color w:val="000000" w:themeColor="text1"/>
          <w:u w:val="single"/>
        </w:rPr>
      </w:pPr>
      <w:r w:rsidRPr="001B19C2">
        <w:t xml:space="preserve">Provisioning and implementation </w:t>
      </w:r>
      <w:r w:rsidRPr="00E63766">
        <w:t>architecture</w:t>
      </w:r>
      <w:r w:rsidRPr="6F1E3AB4">
        <w:rPr>
          <w:rFonts w:eastAsiaTheme="minorEastAsia"/>
          <w:i/>
          <w:iCs w:val="0"/>
          <w:color w:val="000000" w:themeColor="text1"/>
          <w:u w:val="single"/>
        </w:rPr>
        <w:t xml:space="preserve"> </w:t>
      </w:r>
    </w:p>
    <w:p w14:paraId="19DCC088" w14:textId="33004D8C" w:rsidR="001B19C2" w:rsidRPr="001B19C2" w:rsidRDefault="001B19C2" w:rsidP="001A6860">
      <w:pPr>
        <w:rPr>
          <w:rFonts w:eastAsiaTheme="minorEastAsia"/>
          <w:color w:val="000000" w:themeColor="text1"/>
        </w:rPr>
      </w:pPr>
      <w:r w:rsidRPr="6F1E3AB4">
        <w:rPr>
          <w:rFonts w:eastAsiaTheme="minorEastAsia"/>
          <w:color w:val="000000" w:themeColor="text1"/>
        </w:rPr>
        <w:t xml:space="preserve">The recent experiences of evaluating, funding and provisioning </w:t>
      </w:r>
      <w:r w:rsidR="007451B4">
        <w:rPr>
          <w:rFonts w:eastAsiaTheme="minorEastAsia"/>
          <w:color w:val="000000" w:themeColor="text1"/>
        </w:rPr>
        <w:t>c</w:t>
      </w:r>
      <w:r w:rsidR="007451B4" w:rsidRPr="007451B4">
        <w:rPr>
          <w:rFonts w:eastAsiaTheme="minorEastAsia"/>
          <w:color w:val="000000" w:themeColor="text1"/>
        </w:rPr>
        <w:t>himeric antigen receptor T (</w:t>
      </w:r>
      <w:r w:rsidRPr="6F1E3AB4">
        <w:rPr>
          <w:rFonts w:eastAsiaTheme="minorEastAsia"/>
          <w:color w:val="000000" w:themeColor="text1"/>
        </w:rPr>
        <w:t>CAR-T</w:t>
      </w:r>
      <w:r w:rsidR="007451B4" w:rsidRPr="007451B4">
        <w:rPr>
          <w:rFonts w:eastAsiaTheme="minorEastAsia"/>
          <w:color w:val="000000" w:themeColor="text1"/>
        </w:rPr>
        <w:t>)</w:t>
      </w:r>
      <w:r w:rsidRPr="6F1E3AB4">
        <w:rPr>
          <w:rFonts w:eastAsiaTheme="minorEastAsia"/>
          <w:color w:val="000000" w:themeColor="text1"/>
        </w:rPr>
        <w:t xml:space="preserve"> cell therapies </w:t>
      </w:r>
      <w:r w:rsidR="0008692A">
        <w:rPr>
          <w:rFonts w:eastAsiaTheme="minorEastAsia"/>
          <w:color w:val="000000" w:themeColor="text1"/>
        </w:rPr>
        <w:t xml:space="preserve">for cancer </w:t>
      </w:r>
      <w:r w:rsidRPr="6F1E3AB4">
        <w:rPr>
          <w:rFonts w:eastAsiaTheme="minorEastAsia"/>
          <w:color w:val="000000" w:themeColor="text1"/>
        </w:rPr>
        <w:t>provide a useful case example</w:t>
      </w:r>
      <w:r w:rsidR="0008692A">
        <w:rPr>
          <w:rFonts w:eastAsiaTheme="minorEastAsia"/>
          <w:color w:val="000000" w:themeColor="text1"/>
        </w:rPr>
        <w:t>,</w:t>
      </w:r>
      <w:r w:rsidRPr="6F1E3AB4">
        <w:rPr>
          <w:rFonts w:eastAsiaTheme="minorEastAsia"/>
          <w:color w:val="000000" w:themeColor="text1"/>
        </w:rPr>
        <w:t xml:space="preserve"> setting out some matters identified by stakeholders, and </w:t>
      </w:r>
      <w:r w:rsidR="0008692A">
        <w:rPr>
          <w:rFonts w:eastAsiaTheme="minorEastAsia"/>
          <w:color w:val="000000" w:themeColor="text1"/>
        </w:rPr>
        <w:t xml:space="preserve">showing </w:t>
      </w:r>
      <w:r w:rsidRPr="6F1E3AB4">
        <w:rPr>
          <w:rFonts w:eastAsiaTheme="minorEastAsia"/>
          <w:color w:val="000000" w:themeColor="text1"/>
        </w:rPr>
        <w:t xml:space="preserve">where potential reforms may be of most benefit. </w:t>
      </w:r>
    </w:p>
    <w:p w14:paraId="670FB5D7" w14:textId="708F2962" w:rsidR="001B19C2" w:rsidRPr="001B19C2" w:rsidRDefault="001B19C2" w:rsidP="001A6860">
      <w:pPr>
        <w:rPr>
          <w:rFonts w:eastAsiaTheme="minorEastAsia"/>
          <w:color w:val="000000" w:themeColor="text1"/>
        </w:rPr>
      </w:pPr>
      <w:r w:rsidRPr="6F1E3AB4">
        <w:rPr>
          <w:rFonts w:eastAsiaTheme="minorEastAsia"/>
          <w:color w:val="000000" w:themeColor="text1"/>
        </w:rPr>
        <w:t>Australian implementation experiences with CAR-T ATs revealed that when a novel therapy is introduced, appropriate time is required to enable health services to respond to the implementation requirements (</w:t>
      </w:r>
      <w:r w:rsidR="0008692A">
        <w:rPr>
          <w:rFonts w:eastAsiaTheme="minorEastAsia"/>
          <w:color w:val="000000" w:themeColor="text1"/>
        </w:rPr>
        <w:t xml:space="preserve">including </w:t>
      </w:r>
      <w:r w:rsidRPr="6F1E3AB4">
        <w:rPr>
          <w:rFonts w:eastAsiaTheme="minorEastAsia"/>
          <w:color w:val="000000" w:themeColor="text1"/>
        </w:rPr>
        <w:t>centre accreditation</w:t>
      </w:r>
      <w:r w:rsidR="0008692A">
        <w:rPr>
          <w:rFonts w:eastAsiaTheme="minorEastAsia"/>
          <w:color w:val="000000" w:themeColor="text1"/>
        </w:rPr>
        <w:t xml:space="preserve"> and</w:t>
      </w:r>
      <w:r w:rsidRPr="6F1E3AB4">
        <w:rPr>
          <w:rFonts w:eastAsiaTheme="minorEastAsia"/>
          <w:color w:val="000000" w:themeColor="text1"/>
        </w:rPr>
        <w:t xml:space="preserve"> service capacity). This is </w:t>
      </w:r>
      <w:proofErr w:type="gramStart"/>
      <w:r w:rsidRPr="6F1E3AB4">
        <w:rPr>
          <w:rFonts w:eastAsiaTheme="minorEastAsia"/>
          <w:color w:val="000000" w:themeColor="text1"/>
        </w:rPr>
        <w:t>similar to</w:t>
      </w:r>
      <w:proofErr w:type="gramEnd"/>
      <w:r w:rsidRPr="6F1E3AB4">
        <w:rPr>
          <w:rFonts w:eastAsiaTheme="minorEastAsia"/>
          <w:color w:val="000000" w:themeColor="text1"/>
        </w:rPr>
        <w:t xml:space="preserve"> implementation and site provisioning experiences internationally</w:t>
      </w:r>
      <w:r w:rsidR="0008692A">
        <w:rPr>
          <w:rFonts w:eastAsiaTheme="minorEastAsia"/>
          <w:color w:val="000000" w:themeColor="text1"/>
        </w:rPr>
        <w:t>. T</w:t>
      </w:r>
      <w:r w:rsidRPr="6F1E3AB4">
        <w:rPr>
          <w:rFonts w:eastAsiaTheme="minorEastAsia"/>
          <w:color w:val="000000" w:themeColor="text1"/>
        </w:rPr>
        <w:t xml:space="preserve">he same ATs have required extended lead times to support capacity building and capability rollout in the health system. </w:t>
      </w:r>
    </w:p>
    <w:p w14:paraId="60BFEE11" w14:textId="656BF5EA" w:rsidR="001B19C2" w:rsidRPr="001B19C2" w:rsidRDefault="001B19C2" w:rsidP="001A6860">
      <w:pPr>
        <w:rPr>
          <w:rFonts w:eastAsiaTheme="minorEastAsia"/>
          <w:color w:val="000000" w:themeColor="text1"/>
        </w:rPr>
      </w:pPr>
      <w:r w:rsidRPr="6F1E3AB4">
        <w:rPr>
          <w:rFonts w:eastAsiaTheme="minorEastAsia"/>
          <w:color w:val="000000" w:themeColor="text1"/>
        </w:rPr>
        <w:t xml:space="preserve">However, participating </w:t>
      </w:r>
      <w:r w:rsidR="0091195E">
        <w:rPr>
          <w:rFonts w:eastAsiaTheme="minorEastAsia"/>
          <w:color w:val="000000" w:themeColor="text1"/>
        </w:rPr>
        <w:t>Australian</w:t>
      </w:r>
      <w:r w:rsidRPr="6F1E3AB4">
        <w:rPr>
          <w:rFonts w:eastAsiaTheme="minorEastAsia"/>
          <w:color w:val="000000" w:themeColor="text1"/>
        </w:rPr>
        <w:t xml:space="preserve"> jurisdictions have advised that once treatment sites are equipped and have developed processes for delivering a particular type of AT, the time to implementing subsequent ATs that rely on the same services is significantly reduced. In these circumstances, the main factor impacting time to patient access becomes the time it takes for the sponsor to negotiate its </w:t>
      </w:r>
      <w:r w:rsidR="006E0405">
        <w:rPr>
          <w:rFonts w:eastAsiaTheme="minorEastAsia"/>
          <w:color w:val="000000" w:themeColor="text1"/>
        </w:rPr>
        <w:t>D</w:t>
      </w:r>
      <w:r w:rsidRPr="6F1E3AB4">
        <w:rPr>
          <w:rFonts w:eastAsiaTheme="minorEastAsia"/>
          <w:color w:val="000000" w:themeColor="text1"/>
        </w:rPr>
        <w:t xml:space="preserve">eed of </w:t>
      </w:r>
      <w:r w:rsidR="006E0405">
        <w:rPr>
          <w:rFonts w:eastAsiaTheme="minorEastAsia"/>
          <w:color w:val="000000" w:themeColor="text1"/>
        </w:rPr>
        <w:t>A</w:t>
      </w:r>
      <w:r w:rsidRPr="6F1E3AB4">
        <w:rPr>
          <w:rFonts w:eastAsiaTheme="minorEastAsia"/>
          <w:color w:val="000000" w:themeColor="text1"/>
        </w:rPr>
        <w:t>greement for funding with the Commonwealth and supply arrangements with the jurisdictions.</w:t>
      </w:r>
      <w:r w:rsidR="00453069">
        <w:rPr>
          <w:rFonts w:eastAsiaTheme="minorEastAsia"/>
          <w:color w:val="000000" w:themeColor="text1"/>
        </w:rPr>
        <w:t xml:space="preserve"> </w:t>
      </w:r>
    </w:p>
    <w:p w14:paraId="774D934C" w14:textId="79C5FAD4" w:rsidR="001B19C2" w:rsidRPr="001B19C2" w:rsidRDefault="001B19C2" w:rsidP="00E8687C">
      <w:pPr>
        <w:rPr>
          <w:rFonts w:eastAsiaTheme="minorEastAsia"/>
          <w:color w:val="000000" w:themeColor="text1"/>
        </w:rPr>
      </w:pPr>
      <w:r w:rsidRPr="6F1E3AB4">
        <w:rPr>
          <w:rFonts w:eastAsiaTheme="minorEastAsia"/>
          <w:color w:val="000000" w:themeColor="text1"/>
        </w:rPr>
        <w:t>The implementation experiences for CAR-T ATs have also highlighted the importance of high</w:t>
      </w:r>
      <w:r w:rsidR="0008692A">
        <w:rPr>
          <w:rFonts w:eastAsiaTheme="minorEastAsia"/>
          <w:color w:val="000000" w:themeColor="text1"/>
        </w:rPr>
        <w:t>-</w:t>
      </w:r>
      <w:r w:rsidRPr="6F1E3AB4">
        <w:rPr>
          <w:rFonts w:eastAsiaTheme="minorEastAsia"/>
          <w:color w:val="000000" w:themeColor="text1"/>
        </w:rPr>
        <w:t xml:space="preserve">quality post-HTA data collection and reassessment processes in the HTA context. </w:t>
      </w:r>
      <w:r w:rsidR="0008692A">
        <w:rPr>
          <w:rFonts w:eastAsiaTheme="minorEastAsia"/>
          <w:color w:val="000000" w:themeColor="text1"/>
        </w:rPr>
        <w:t>To date, m</w:t>
      </w:r>
      <w:r w:rsidRPr="6F1E3AB4">
        <w:rPr>
          <w:rFonts w:eastAsiaTheme="minorEastAsia"/>
          <w:color w:val="000000" w:themeColor="text1"/>
        </w:rPr>
        <w:t>ost applications considered for HSTs have been for subsid</w:t>
      </w:r>
      <w:r w:rsidR="00CD465F">
        <w:rPr>
          <w:rFonts w:eastAsiaTheme="minorEastAsia"/>
          <w:color w:val="000000" w:themeColor="text1"/>
        </w:rPr>
        <w:t>ising</w:t>
      </w:r>
      <w:r w:rsidRPr="6F1E3AB4">
        <w:rPr>
          <w:rFonts w:eastAsiaTheme="minorEastAsia"/>
          <w:color w:val="000000" w:themeColor="text1"/>
        </w:rPr>
        <w:t xml:space="preserve"> ATs used in relatively small populations. These applications were usually supported by small single</w:t>
      </w:r>
      <w:r w:rsidR="0008692A">
        <w:rPr>
          <w:rFonts w:eastAsiaTheme="minorEastAsia"/>
          <w:color w:val="000000" w:themeColor="text1"/>
        </w:rPr>
        <w:t>-</w:t>
      </w:r>
      <w:r w:rsidRPr="6F1E3AB4">
        <w:rPr>
          <w:rFonts w:eastAsiaTheme="minorEastAsia"/>
          <w:color w:val="000000" w:themeColor="text1"/>
        </w:rPr>
        <w:t xml:space="preserve">arm trials, with a lack of long-term follow-up. Therefore, the magnitude of treatment effect and durability of response was uncertain at the time an initial application for public funding </w:t>
      </w:r>
      <w:r w:rsidR="0008692A">
        <w:rPr>
          <w:rFonts w:eastAsiaTheme="minorEastAsia"/>
          <w:color w:val="000000" w:themeColor="text1"/>
        </w:rPr>
        <w:t>wa</w:t>
      </w:r>
      <w:r w:rsidRPr="6F1E3AB4">
        <w:rPr>
          <w:rFonts w:eastAsiaTheme="minorEastAsia"/>
          <w:color w:val="000000" w:themeColor="text1"/>
        </w:rPr>
        <w:t xml:space="preserve">s considered, despite CAR-T ATs being referred to as a ‘cure’ for patients with significant long-term benefits. </w:t>
      </w:r>
    </w:p>
    <w:p w14:paraId="427B99CA" w14:textId="786CA13B" w:rsidR="001B19C2" w:rsidRDefault="0008692A" w:rsidP="00840D9F">
      <w:pPr>
        <w:rPr>
          <w:rFonts w:eastAsiaTheme="minorEastAsia"/>
          <w:color w:val="000000" w:themeColor="text1"/>
        </w:rPr>
      </w:pPr>
      <w:r>
        <w:rPr>
          <w:rFonts w:eastAsiaTheme="minorEastAsia"/>
          <w:color w:val="000000" w:themeColor="text1"/>
        </w:rPr>
        <w:t xml:space="preserve">The </w:t>
      </w:r>
      <w:r w:rsidR="001B19C2" w:rsidRPr="6F1E3AB4">
        <w:rPr>
          <w:rFonts w:eastAsiaTheme="minorEastAsia"/>
          <w:color w:val="000000" w:themeColor="text1"/>
        </w:rPr>
        <w:t xml:space="preserve">MSAC’s subsequent review of </w:t>
      </w:r>
      <w:proofErr w:type="spellStart"/>
      <w:r w:rsidR="000002D3" w:rsidRPr="00BD34D3">
        <w:rPr>
          <w:rFonts w:eastAsiaTheme="minorEastAsia"/>
          <w:color w:val="000000" w:themeColor="text1"/>
        </w:rPr>
        <w:t>tisagenlecleucel</w:t>
      </w:r>
      <w:proofErr w:type="spellEnd"/>
      <w:r w:rsidR="00A7089F" w:rsidRPr="00BD34D3">
        <w:rPr>
          <w:rFonts w:eastAsiaTheme="minorEastAsia"/>
          <w:color w:val="000000" w:themeColor="text1"/>
        </w:rPr>
        <w:t xml:space="preserve"> (</w:t>
      </w:r>
      <w:r w:rsidR="001B19C2" w:rsidRPr="6F1E3AB4">
        <w:rPr>
          <w:rFonts w:eastAsiaTheme="minorEastAsia"/>
          <w:color w:val="000000" w:themeColor="text1"/>
        </w:rPr>
        <w:t>Kymriah</w:t>
      </w:r>
      <w:r w:rsidR="00B93F86" w:rsidRPr="000002D3">
        <w:rPr>
          <w:rFonts w:eastAsiaTheme="minorEastAsia"/>
          <w:color w:val="000000" w:themeColor="text1"/>
        </w:rPr>
        <w:t>)</w:t>
      </w:r>
      <w:r w:rsidR="001B19C2" w:rsidRPr="6F1E3AB4">
        <w:rPr>
          <w:rFonts w:eastAsiaTheme="minorEastAsia"/>
          <w:color w:val="000000" w:themeColor="text1"/>
        </w:rPr>
        <w:t xml:space="preserve"> for treat</w:t>
      </w:r>
      <w:r>
        <w:rPr>
          <w:rFonts w:eastAsiaTheme="minorEastAsia"/>
          <w:color w:val="000000" w:themeColor="text1"/>
        </w:rPr>
        <w:t>ing</w:t>
      </w:r>
      <w:r w:rsidR="001B19C2" w:rsidRPr="6F1E3AB4">
        <w:rPr>
          <w:rFonts w:eastAsiaTheme="minorEastAsia"/>
          <w:color w:val="000000" w:themeColor="text1"/>
        </w:rPr>
        <w:t xml:space="preserve"> children and young adults with acute lymphoblastic leukaemia </w:t>
      </w:r>
      <w:r w:rsidR="008905F9">
        <w:rPr>
          <w:rFonts w:eastAsiaTheme="minorEastAsia"/>
          <w:color w:val="000000" w:themeColor="text1"/>
        </w:rPr>
        <w:t xml:space="preserve">(ALL) </w:t>
      </w:r>
      <w:r w:rsidR="001B19C2" w:rsidRPr="6F1E3AB4">
        <w:rPr>
          <w:rFonts w:eastAsiaTheme="minorEastAsia"/>
          <w:color w:val="000000" w:themeColor="text1"/>
        </w:rPr>
        <w:t xml:space="preserve">in July 2023 </w:t>
      </w:r>
      <w:r w:rsidR="00204D6A">
        <w:rPr>
          <w:rFonts w:eastAsiaTheme="minorEastAsia"/>
          <w:color w:val="000000" w:themeColor="text1"/>
        </w:rPr>
        <w:t>showed</w:t>
      </w:r>
      <w:r w:rsidR="00204D6A" w:rsidRPr="6F1E3AB4">
        <w:rPr>
          <w:rFonts w:eastAsiaTheme="minorEastAsia"/>
          <w:color w:val="000000" w:themeColor="text1"/>
        </w:rPr>
        <w:t xml:space="preserve"> </w:t>
      </w:r>
      <w:r w:rsidR="001B19C2" w:rsidRPr="6F1E3AB4">
        <w:rPr>
          <w:rFonts w:eastAsiaTheme="minorEastAsia"/>
          <w:color w:val="000000" w:themeColor="text1"/>
        </w:rPr>
        <w:t>that the treatment has been adopted in Australian practice as a bridge to transplant for a substantial number of patients</w:t>
      </w:r>
      <w:r w:rsidR="00204D6A">
        <w:rPr>
          <w:rFonts w:eastAsiaTheme="minorEastAsia"/>
          <w:color w:val="000000" w:themeColor="text1"/>
        </w:rPr>
        <w:t>. Additionally</w:t>
      </w:r>
      <w:r w:rsidR="000720B9">
        <w:rPr>
          <w:rFonts w:eastAsiaTheme="minorEastAsia"/>
          <w:color w:val="000000" w:themeColor="text1"/>
        </w:rPr>
        <w:t>,</w:t>
      </w:r>
      <w:r w:rsidR="00204D6A">
        <w:rPr>
          <w:rFonts w:eastAsiaTheme="minorEastAsia"/>
          <w:color w:val="000000" w:themeColor="text1"/>
        </w:rPr>
        <w:t xml:space="preserve"> </w:t>
      </w:r>
      <w:r w:rsidR="001B19C2" w:rsidRPr="6F1E3AB4">
        <w:rPr>
          <w:rFonts w:eastAsiaTheme="minorEastAsia"/>
          <w:color w:val="000000" w:themeColor="text1"/>
        </w:rPr>
        <w:t xml:space="preserve">a substantial number of patients continue to </w:t>
      </w:r>
      <w:r w:rsidR="009807F2">
        <w:rPr>
          <w:rFonts w:eastAsiaTheme="minorEastAsia"/>
          <w:color w:val="000000" w:themeColor="text1"/>
        </w:rPr>
        <w:t xml:space="preserve">have </w:t>
      </w:r>
      <w:r w:rsidR="001B19C2" w:rsidRPr="6F1E3AB4">
        <w:rPr>
          <w:rFonts w:eastAsiaTheme="minorEastAsia"/>
          <w:color w:val="000000" w:themeColor="text1"/>
        </w:rPr>
        <w:t>progress</w:t>
      </w:r>
      <w:r w:rsidR="009807F2">
        <w:rPr>
          <w:rFonts w:eastAsiaTheme="minorEastAsia"/>
          <w:color w:val="000000" w:themeColor="text1"/>
        </w:rPr>
        <w:t>ion of disease</w:t>
      </w:r>
      <w:r w:rsidR="001B19C2" w:rsidRPr="6F1E3AB4">
        <w:rPr>
          <w:rFonts w:eastAsiaTheme="minorEastAsia"/>
          <w:color w:val="000000" w:themeColor="text1"/>
        </w:rPr>
        <w:t xml:space="preserve"> following treatment with the therapy (i.e. </w:t>
      </w:r>
      <w:proofErr w:type="gramStart"/>
      <w:r w:rsidR="001B19C2" w:rsidRPr="6F1E3AB4">
        <w:rPr>
          <w:rFonts w:eastAsiaTheme="minorEastAsia"/>
          <w:color w:val="000000" w:themeColor="text1"/>
        </w:rPr>
        <w:t xml:space="preserve">the majority </w:t>
      </w:r>
      <w:r w:rsidR="001B19C2" w:rsidRPr="6F1E3AB4">
        <w:rPr>
          <w:rFonts w:eastAsiaTheme="minorEastAsia"/>
          <w:color w:val="000000" w:themeColor="text1"/>
        </w:rPr>
        <w:lastRenderedPageBreak/>
        <w:t>of</w:t>
      </w:r>
      <w:proofErr w:type="gramEnd"/>
      <w:r w:rsidR="001B19C2" w:rsidRPr="6F1E3AB4">
        <w:rPr>
          <w:rFonts w:eastAsiaTheme="minorEastAsia"/>
          <w:color w:val="000000" w:themeColor="text1"/>
        </w:rPr>
        <w:t xml:space="preserve"> patients have not reported the claimed long-term health outcomes)</w:t>
      </w:r>
      <w:r w:rsidR="00204D6A">
        <w:rPr>
          <w:rFonts w:eastAsiaTheme="minorEastAsia"/>
          <w:color w:val="000000" w:themeColor="text1"/>
        </w:rPr>
        <w:t>.</w:t>
      </w:r>
      <w:r w:rsidR="00555E7E">
        <w:rPr>
          <w:rStyle w:val="FootnoteReference"/>
          <w:rFonts w:eastAsiaTheme="minorEastAsia"/>
          <w:color w:val="000000" w:themeColor="text1"/>
        </w:rPr>
        <w:footnoteReference w:id="58"/>
      </w:r>
      <w:r w:rsidR="001B19C2" w:rsidRPr="6F1E3AB4">
        <w:rPr>
          <w:rFonts w:eastAsiaTheme="minorEastAsia"/>
          <w:color w:val="000000" w:themeColor="text1"/>
        </w:rPr>
        <w:t xml:space="preserve"> While some patients remain disease-free, it remains unclear why some patients respond better to therapy than others (i.e. clinical uncertainties still exist). This disparity of health outcomes highlights the need for ongoing review of novel therapies, underpinned by complete and high-quality </w:t>
      </w:r>
      <w:r w:rsidR="00B97B71">
        <w:rPr>
          <w:rFonts w:eastAsiaTheme="minorEastAsia"/>
          <w:color w:val="000000" w:themeColor="text1"/>
        </w:rPr>
        <w:t xml:space="preserve">outcomes </w:t>
      </w:r>
      <w:r w:rsidR="001B19C2" w:rsidRPr="6F1E3AB4">
        <w:rPr>
          <w:rFonts w:eastAsiaTheme="minorEastAsia"/>
          <w:color w:val="000000" w:themeColor="text1"/>
        </w:rPr>
        <w:t xml:space="preserve">data </w:t>
      </w:r>
      <w:r w:rsidR="00B97B71">
        <w:rPr>
          <w:rFonts w:eastAsiaTheme="minorEastAsia"/>
          <w:color w:val="000000" w:themeColor="text1"/>
        </w:rPr>
        <w:t xml:space="preserve">(e.g. via a clinical </w:t>
      </w:r>
      <w:r w:rsidR="00B97B71" w:rsidRPr="6F1E3AB4">
        <w:rPr>
          <w:rFonts w:eastAsiaTheme="minorEastAsia"/>
          <w:color w:val="000000" w:themeColor="text1"/>
        </w:rPr>
        <w:t>registry</w:t>
      </w:r>
      <w:r w:rsidR="00B97B71">
        <w:rPr>
          <w:rFonts w:eastAsiaTheme="minorEastAsia"/>
          <w:color w:val="000000" w:themeColor="text1"/>
        </w:rPr>
        <w:t>)</w:t>
      </w:r>
      <w:r w:rsidR="00B97B71" w:rsidRPr="6F1E3AB4">
        <w:rPr>
          <w:rFonts w:eastAsiaTheme="minorEastAsia"/>
          <w:color w:val="000000" w:themeColor="text1"/>
        </w:rPr>
        <w:t xml:space="preserve"> </w:t>
      </w:r>
      <w:r w:rsidR="001B19C2" w:rsidRPr="6F1E3AB4">
        <w:rPr>
          <w:rFonts w:eastAsiaTheme="minorEastAsia"/>
          <w:color w:val="000000" w:themeColor="text1"/>
        </w:rPr>
        <w:t xml:space="preserve">to allow the appropriate comparative analysis to be done. </w:t>
      </w:r>
    </w:p>
    <w:p w14:paraId="036E9921" w14:textId="1243868E" w:rsidR="008C570F" w:rsidRDefault="008C570F" w:rsidP="008C570F">
      <w:pPr>
        <w:pStyle w:val="Heading3"/>
      </w:pPr>
      <w:r>
        <w:t>Conclusion</w:t>
      </w:r>
    </w:p>
    <w:p w14:paraId="550B2422" w14:textId="6C43A988" w:rsidR="008C570F" w:rsidRPr="008C570F" w:rsidRDefault="00241BE0" w:rsidP="008C570F">
      <w:r>
        <w:t xml:space="preserve">Funding pathways for </w:t>
      </w:r>
      <w:r w:rsidR="007F02AF">
        <w:t>HSTs</w:t>
      </w:r>
      <w:r>
        <w:t xml:space="preserve"> </w:t>
      </w:r>
      <w:r w:rsidR="00AA3278">
        <w:t>require further development</w:t>
      </w:r>
      <w:r w:rsidR="00D04F8B">
        <w:t xml:space="preserve"> in </w:t>
      </w:r>
      <w:proofErr w:type="gramStart"/>
      <w:r w:rsidR="00D04F8B">
        <w:t>a number of</w:t>
      </w:r>
      <w:proofErr w:type="gramEnd"/>
      <w:r w:rsidR="00D04F8B">
        <w:t xml:space="preserve"> areas</w:t>
      </w:r>
      <w:r w:rsidR="00AA3278">
        <w:t>.</w:t>
      </w:r>
      <w:r w:rsidR="000D27F4">
        <w:t xml:space="preserve"> </w:t>
      </w:r>
      <w:r w:rsidR="00D13DD6">
        <w:t xml:space="preserve">Australian and </w:t>
      </w:r>
      <w:r w:rsidR="00204D6A">
        <w:t>s</w:t>
      </w:r>
      <w:r w:rsidR="00D13DD6">
        <w:t xml:space="preserve">tate and </w:t>
      </w:r>
      <w:r w:rsidR="00204D6A">
        <w:t>t</w:t>
      </w:r>
      <w:r w:rsidR="00D13DD6">
        <w:t xml:space="preserve">erritory </w:t>
      </w:r>
      <w:r w:rsidR="00204D6A">
        <w:t>g</w:t>
      </w:r>
      <w:r w:rsidR="00D13DD6">
        <w:t>overnments could be better prepared to</w:t>
      </w:r>
      <w:r w:rsidR="00774532">
        <w:t xml:space="preserve"> provide access to these technologies through more coordinated horizon scanning</w:t>
      </w:r>
      <w:r w:rsidR="005171BF">
        <w:t xml:space="preserve">. </w:t>
      </w:r>
      <w:r w:rsidR="001028F8">
        <w:t xml:space="preserve">Implementation </w:t>
      </w:r>
      <w:r w:rsidR="009E0E2E">
        <w:t>steps are</w:t>
      </w:r>
      <w:r w:rsidR="002B58BC">
        <w:t xml:space="preserve"> not </w:t>
      </w:r>
      <w:proofErr w:type="gramStart"/>
      <w:r w:rsidR="002B58BC">
        <w:t>transparen</w:t>
      </w:r>
      <w:r w:rsidR="000455B0">
        <w:t>t</w:t>
      </w:r>
      <w:proofErr w:type="gramEnd"/>
      <w:r w:rsidR="00033C4D">
        <w:t xml:space="preserve"> a</w:t>
      </w:r>
      <w:r w:rsidR="009F50FB">
        <w:t>nd</w:t>
      </w:r>
      <w:r w:rsidR="002D53E6">
        <w:t xml:space="preserve"> </w:t>
      </w:r>
      <w:r w:rsidR="009F50FB">
        <w:t>a</w:t>
      </w:r>
      <w:r w:rsidR="001D3FA9">
        <w:t>rrangements set up to manage</w:t>
      </w:r>
      <w:r w:rsidR="008342D9">
        <w:t xml:space="preserve"> the higher</w:t>
      </w:r>
      <w:r w:rsidR="00883A63">
        <w:t xml:space="preserve"> uncertainty associated with</w:t>
      </w:r>
      <w:r w:rsidR="008342D9">
        <w:t xml:space="preserve"> the safety, effectiveness</w:t>
      </w:r>
      <w:r w:rsidR="00347BEB">
        <w:t>, use</w:t>
      </w:r>
      <w:r w:rsidR="008342D9">
        <w:t xml:space="preserve"> and cost of</w:t>
      </w:r>
      <w:r w:rsidR="00883A63">
        <w:t xml:space="preserve"> these therapies </w:t>
      </w:r>
      <w:r w:rsidR="00E921FD">
        <w:t>have not been effective.</w:t>
      </w:r>
      <w:r w:rsidR="00453069">
        <w:t xml:space="preserve"> </w:t>
      </w:r>
    </w:p>
    <w:p w14:paraId="4C51CBC3" w14:textId="3FE330D5" w:rsidR="008C570F" w:rsidRPr="00840D9F" w:rsidRDefault="008C570F" w:rsidP="008C570F">
      <w:pPr>
        <w:pStyle w:val="Heading3"/>
        <w:rPr>
          <w:rFonts w:cs="Segoe UI Light"/>
        </w:rPr>
      </w:pPr>
      <w:r>
        <w:t>Objectives of r</w:t>
      </w:r>
      <w:r w:rsidRPr="00840D9F">
        <w:t>ecommendations</w:t>
      </w:r>
    </w:p>
    <w:p w14:paraId="5E555741" w14:textId="7ACBC721" w:rsidR="008C570F" w:rsidRPr="002724B9" w:rsidRDefault="00204D6A" w:rsidP="00840D9F">
      <w:pPr>
        <w:rPr>
          <w:rFonts w:eastAsia="Calibri" w:cs="Segoe UI"/>
          <w:color w:val="000000" w:themeColor="text1"/>
        </w:rPr>
      </w:pPr>
      <w:r>
        <w:rPr>
          <w:rFonts w:eastAsia="Calibri" w:cs="Segoe UI"/>
          <w:color w:val="000000" w:themeColor="text1"/>
        </w:rPr>
        <w:t>The recommendations in this chapter aim to i</w:t>
      </w:r>
      <w:r w:rsidR="005367A3" w:rsidRPr="005367A3">
        <w:rPr>
          <w:rFonts w:eastAsia="Calibri" w:cs="Segoe UI"/>
          <w:color w:val="000000" w:themeColor="text1"/>
        </w:rPr>
        <w:t xml:space="preserve">mprove processes, accountability and timeliness for </w:t>
      </w:r>
      <w:r w:rsidR="007F02AF">
        <w:rPr>
          <w:rFonts w:eastAsia="Calibri" w:cs="Segoe UI"/>
          <w:color w:val="000000" w:themeColor="text1"/>
        </w:rPr>
        <w:t>HSTs</w:t>
      </w:r>
      <w:r w:rsidR="005367A3" w:rsidRPr="005367A3">
        <w:rPr>
          <w:rFonts w:eastAsia="Calibri" w:cs="Segoe UI"/>
          <w:color w:val="000000" w:themeColor="text1"/>
        </w:rPr>
        <w:t xml:space="preserve"> and other therapies co</w:t>
      </w:r>
      <w:r w:rsidR="007F02AF">
        <w:rPr>
          <w:rFonts w:eastAsia="Calibri" w:cs="Segoe UI"/>
          <w:color w:val="000000" w:themeColor="text1"/>
        </w:rPr>
        <w:noBreakHyphen/>
      </w:r>
      <w:r w:rsidR="005367A3" w:rsidRPr="005367A3">
        <w:rPr>
          <w:rFonts w:eastAsia="Calibri" w:cs="Segoe UI"/>
          <w:color w:val="000000" w:themeColor="text1"/>
        </w:rPr>
        <w:t xml:space="preserve">funded between the </w:t>
      </w:r>
      <w:r w:rsidR="00CD465F">
        <w:rPr>
          <w:rFonts w:eastAsia="Calibri" w:cs="Segoe UI"/>
          <w:color w:val="000000" w:themeColor="text1"/>
        </w:rPr>
        <w:t>Australian</w:t>
      </w:r>
      <w:r w:rsidR="00CD465F" w:rsidRPr="005367A3">
        <w:rPr>
          <w:rFonts w:eastAsia="Calibri" w:cs="Segoe UI"/>
          <w:color w:val="000000" w:themeColor="text1"/>
        </w:rPr>
        <w:t xml:space="preserve"> </w:t>
      </w:r>
      <w:r w:rsidR="005367A3" w:rsidRPr="005367A3">
        <w:rPr>
          <w:rFonts w:eastAsia="Calibri" w:cs="Segoe UI"/>
          <w:color w:val="000000" w:themeColor="text1"/>
        </w:rPr>
        <w:t>and state and territory governments</w:t>
      </w:r>
      <w:r w:rsidR="00831FCC">
        <w:rPr>
          <w:rFonts w:eastAsia="Calibri" w:cs="Segoe UI"/>
          <w:color w:val="000000" w:themeColor="text1"/>
        </w:rPr>
        <w:t>.</w:t>
      </w:r>
    </w:p>
    <w:p w14:paraId="45CC09EA" w14:textId="77777777" w:rsidR="00840D9F" w:rsidRPr="00840D9F" w:rsidRDefault="00840D9F" w:rsidP="00C957F0">
      <w:pPr>
        <w:pStyle w:val="Heading3"/>
        <w:rPr>
          <w:rFonts w:cs="Segoe UI Light"/>
        </w:rPr>
      </w:pPr>
      <w:bookmarkStart w:id="178" w:name="_Toc164781645"/>
      <w:r w:rsidRPr="00840D9F">
        <w:t>Recommendations</w:t>
      </w:r>
      <w:bookmarkEnd w:id="178"/>
    </w:p>
    <w:p w14:paraId="3B4D1D50" w14:textId="6FCB4E68" w:rsidR="008F01C6" w:rsidRPr="008F01C6" w:rsidRDefault="4CECC158" w:rsidP="00645D5E">
      <w:pPr>
        <w:pStyle w:val="Recommendation1"/>
      </w:pPr>
      <w:bookmarkStart w:id="179" w:name="_Ref166788898"/>
      <w:bookmarkStart w:id="180" w:name="_Hlk167301883"/>
      <w:r>
        <w:t>Improved</w:t>
      </w:r>
      <w:r w:rsidR="00BD105A" w:rsidRPr="00BD105A">
        <w:t xml:space="preserve"> processes, accountability and timeliness for </w:t>
      </w:r>
      <w:r w:rsidR="007F02AF">
        <w:t>h</w:t>
      </w:r>
      <w:r w:rsidR="00BD105A" w:rsidRPr="00BD105A">
        <w:t xml:space="preserve">ighly </w:t>
      </w:r>
      <w:proofErr w:type="spellStart"/>
      <w:r w:rsidR="007F02AF">
        <w:t>s</w:t>
      </w:r>
      <w:r w:rsidR="00BD105A" w:rsidRPr="00BD105A">
        <w:t>pecialised</w:t>
      </w:r>
      <w:proofErr w:type="spellEnd"/>
      <w:r w:rsidR="00BD105A" w:rsidRPr="00BD105A">
        <w:t xml:space="preserve"> </w:t>
      </w:r>
      <w:r w:rsidR="007F02AF">
        <w:t>t</w:t>
      </w:r>
      <w:r w:rsidR="00BD105A" w:rsidRPr="00BD105A">
        <w:t xml:space="preserve">herapies and other therapies co-funded between the </w:t>
      </w:r>
      <w:r w:rsidR="00CD465F">
        <w:t>Australian</w:t>
      </w:r>
      <w:r w:rsidR="00CD465F" w:rsidRPr="00BD105A">
        <w:t xml:space="preserve"> </w:t>
      </w:r>
      <w:r w:rsidR="00BD105A" w:rsidRPr="00BD105A">
        <w:t>and state and territory governments</w:t>
      </w:r>
      <w:bookmarkEnd w:id="179"/>
    </w:p>
    <w:bookmarkEnd w:id="180"/>
    <w:p w14:paraId="747D9CBB" w14:textId="32184828" w:rsidR="00840D9F" w:rsidRDefault="00550C89" w:rsidP="0033714C">
      <w:r>
        <w:t>The Review recommends</w:t>
      </w:r>
      <w:r w:rsidR="00204D6A">
        <w:t xml:space="preserve"> that</w:t>
      </w:r>
      <w:r w:rsidR="00031CA0">
        <w:t xml:space="preserve"> the Australian </w:t>
      </w:r>
      <w:r w:rsidR="001011B7">
        <w:t>G</w:t>
      </w:r>
      <w:r w:rsidR="00031CA0">
        <w:t>overnment</w:t>
      </w:r>
      <w:r>
        <w:t>:</w:t>
      </w:r>
    </w:p>
    <w:p w14:paraId="4062BB68" w14:textId="09144541" w:rsidR="00840D9F" w:rsidRDefault="00204D6A" w:rsidP="00281153">
      <w:pPr>
        <w:pStyle w:val="ListParagraph"/>
        <w:numPr>
          <w:ilvl w:val="0"/>
          <w:numId w:val="22"/>
        </w:numPr>
        <w:rPr>
          <w:rFonts w:eastAsia="Calibri" w:cs="Segoe UI"/>
        </w:rPr>
      </w:pPr>
      <w:r>
        <w:rPr>
          <w:rFonts w:eastAsia="Calibri" w:cs="Segoe UI"/>
        </w:rPr>
        <w:t>e</w:t>
      </w:r>
      <w:r w:rsidR="001011B7" w:rsidRPr="00031CA0">
        <w:rPr>
          <w:rFonts w:eastAsia="Calibri" w:cs="Segoe UI"/>
        </w:rPr>
        <w:t xml:space="preserve">ncourage and provide support </w:t>
      </w:r>
      <w:r w:rsidR="00E511F3">
        <w:rPr>
          <w:rFonts w:eastAsia="Calibri" w:cs="Segoe UI"/>
        </w:rPr>
        <w:t xml:space="preserve">for </w:t>
      </w:r>
      <w:r w:rsidR="00010391" w:rsidRPr="00010391">
        <w:rPr>
          <w:rFonts w:eastAsia="Calibri" w:cs="Segoe UI"/>
        </w:rPr>
        <w:t>expediting</w:t>
      </w:r>
      <w:r w:rsidR="00840D9F" w:rsidRPr="00786ED0">
        <w:rPr>
          <w:rFonts w:eastAsia="Calibri" w:cs="Segoe UI"/>
        </w:rPr>
        <w:t xml:space="preserve"> the development and implementation of </w:t>
      </w:r>
      <w:r w:rsidR="00CD465F">
        <w:rPr>
          <w:rFonts w:eastAsia="Calibri" w:cs="Segoe UI"/>
        </w:rPr>
        <w:t>a</w:t>
      </w:r>
      <w:r w:rsidR="00840D9F" w:rsidRPr="00786ED0">
        <w:rPr>
          <w:rFonts w:eastAsia="Calibri" w:cs="Segoe UI"/>
        </w:rPr>
        <w:t xml:space="preserve"> nationally cohesive approach to </w:t>
      </w:r>
      <w:r w:rsidR="006423D4" w:rsidRPr="006423D4">
        <w:rPr>
          <w:rFonts w:eastAsia="Calibri" w:cs="Segoe UI"/>
        </w:rPr>
        <w:t>HTA</w:t>
      </w:r>
      <w:r w:rsidR="00A72F2E">
        <w:rPr>
          <w:rFonts w:eastAsia="Calibri" w:cs="Segoe UI"/>
        </w:rPr>
        <w:t>s</w:t>
      </w:r>
      <w:r w:rsidR="006423D4">
        <w:rPr>
          <w:rFonts w:eastAsia="Calibri" w:cs="Segoe UI"/>
        </w:rPr>
        <w:t xml:space="preserve"> </w:t>
      </w:r>
      <w:r w:rsidR="00840D9F" w:rsidRPr="00786ED0">
        <w:rPr>
          <w:rFonts w:eastAsia="Calibri" w:cs="Segoe UI"/>
        </w:rPr>
        <w:t xml:space="preserve">as outlined in </w:t>
      </w:r>
      <w:r w:rsidR="00840D9F" w:rsidRPr="00DD10A4">
        <w:rPr>
          <w:rFonts w:eastAsia="Calibri" w:cs="Segoe UI"/>
        </w:rPr>
        <w:t>Schedule C of the</w:t>
      </w:r>
      <w:r w:rsidR="000E285A">
        <w:rPr>
          <w:rFonts w:eastAsia="Calibri" w:cs="Segoe UI"/>
        </w:rPr>
        <w:t xml:space="preserve"> </w:t>
      </w:r>
      <w:r w:rsidR="001F42CC" w:rsidRPr="00DD10A4">
        <w:rPr>
          <w:rFonts w:eastAsia="Calibri" w:cs="Segoe UI"/>
        </w:rPr>
        <w:t>2020</w:t>
      </w:r>
      <w:r w:rsidR="001F42CC">
        <w:rPr>
          <w:rFonts w:eastAsia="Calibri" w:cs="Segoe UI"/>
        </w:rPr>
        <w:t>–</w:t>
      </w:r>
      <w:r w:rsidR="001F42CC">
        <w:rPr>
          <w:rFonts w:eastAsia="Calibri" w:cs="Segoe UI"/>
          <w:iCs/>
        </w:rPr>
        <w:t>2</w:t>
      </w:r>
      <w:r w:rsidR="001F42CC" w:rsidRPr="00DD10A4">
        <w:rPr>
          <w:rFonts w:eastAsia="Calibri" w:cs="Segoe UI"/>
          <w:iCs/>
        </w:rPr>
        <w:t>5</w:t>
      </w:r>
      <w:r w:rsidR="001F42CC" w:rsidRPr="00DD10A4">
        <w:rPr>
          <w:rFonts w:eastAsia="Calibri" w:cs="Segoe UI"/>
        </w:rPr>
        <w:t xml:space="preserve"> </w:t>
      </w:r>
      <w:r w:rsidR="000E285A" w:rsidRPr="00DD10A4">
        <w:rPr>
          <w:rFonts w:eastAsia="Calibri" w:cs="Segoe UI"/>
        </w:rPr>
        <w:t>Addendum</w:t>
      </w:r>
      <w:r w:rsidR="000E285A">
        <w:rPr>
          <w:rFonts w:eastAsia="Calibri" w:cs="Segoe UI"/>
        </w:rPr>
        <w:t xml:space="preserve"> to the</w:t>
      </w:r>
      <w:r w:rsidR="00840D9F" w:rsidRPr="00DD10A4">
        <w:rPr>
          <w:rFonts w:eastAsia="Calibri" w:cs="Segoe UI"/>
        </w:rPr>
        <w:t xml:space="preserve"> National Health Reform Agreement (NHRA)</w:t>
      </w:r>
    </w:p>
    <w:p w14:paraId="26BC6956" w14:textId="2D91262A" w:rsidR="00840D9F" w:rsidRPr="00B61FDC" w:rsidRDefault="00204D6A" w:rsidP="00281153">
      <w:pPr>
        <w:pStyle w:val="ListParagraph"/>
        <w:numPr>
          <w:ilvl w:val="0"/>
          <w:numId w:val="22"/>
        </w:numPr>
        <w:rPr>
          <w:rFonts w:eastAsia="Calibri" w:cs="Segoe UI"/>
          <w:iCs/>
        </w:rPr>
      </w:pPr>
      <w:r>
        <w:rPr>
          <w:rFonts w:eastAsia="Calibri" w:cs="Segoe UI"/>
        </w:rPr>
        <w:t>d</w:t>
      </w:r>
      <w:r w:rsidR="00840D9F" w:rsidRPr="00FA0FC9">
        <w:rPr>
          <w:rFonts w:eastAsia="Calibri" w:cs="Segoe UI"/>
        </w:rPr>
        <w:t>evelop a national HTA framework</w:t>
      </w:r>
      <w:r>
        <w:rPr>
          <w:rFonts w:eastAsia="Calibri" w:cs="Segoe UI"/>
        </w:rPr>
        <w:t>,</w:t>
      </w:r>
      <w:r w:rsidR="00840D9F" w:rsidRPr="00FA0FC9">
        <w:rPr>
          <w:rFonts w:eastAsia="Calibri" w:cs="Segoe UI"/>
        </w:rPr>
        <w:t xml:space="preserve"> including processes for HTA</w:t>
      </w:r>
      <w:r>
        <w:rPr>
          <w:rFonts w:eastAsia="Calibri" w:cs="Segoe UI"/>
        </w:rPr>
        <w:t>s</w:t>
      </w:r>
      <w:r w:rsidR="00840D9F" w:rsidRPr="00FA0FC9">
        <w:rPr>
          <w:rFonts w:eastAsia="Calibri" w:cs="Segoe UI"/>
        </w:rPr>
        <w:t xml:space="preserve"> to inform advice on implementation, investment and disinvestment opportunities at </w:t>
      </w:r>
      <w:r w:rsidR="00CD465F">
        <w:rPr>
          <w:rFonts w:eastAsia="Calibri" w:cs="Segoe UI"/>
        </w:rPr>
        <w:t>national</w:t>
      </w:r>
      <w:r w:rsidR="00CD465F" w:rsidRPr="00FA0FC9">
        <w:rPr>
          <w:rFonts w:eastAsia="Calibri" w:cs="Segoe UI"/>
        </w:rPr>
        <w:t xml:space="preserve"> </w:t>
      </w:r>
      <w:r w:rsidR="00840D9F" w:rsidRPr="00FA0FC9">
        <w:rPr>
          <w:rFonts w:eastAsia="Calibri" w:cs="Segoe UI"/>
        </w:rPr>
        <w:t xml:space="preserve">and </w:t>
      </w:r>
      <w:r>
        <w:rPr>
          <w:rFonts w:eastAsia="Calibri" w:cs="Segoe UI"/>
        </w:rPr>
        <w:t>s</w:t>
      </w:r>
      <w:r w:rsidR="00840D9F" w:rsidRPr="00FA0FC9">
        <w:rPr>
          <w:rFonts w:eastAsia="Calibri" w:cs="Segoe UI"/>
        </w:rPr>
        <w:t xml:space="preserve">tate levels. This work should leverage work already underway through the Health Technology and Genomics Collaboration </w:t>
      </w:r>
      <w:r w:rsidR="00050561">
        <w:rPr>
          <w:rFonts w:eastAsia="Calibri" w:cs="Segoe UI"/>
        </w:rPr>
        <w:t xml:space="preserve">and </w:t>
      </w:r>
      <w:r>
        <w:rPr>
          <w:rFonts w:eastAsia="Calibri" w:cs="Segoe UI"/>
        </w:rPr>
        <w:t xml:space="preserve">align </w:t>
      </w:r>
      <w:r w:rsidR="00050561">
        <w:rPr>
          <w:rFonts w:eastAsia="Calibri" w:cs="Segoe UI"/>
        </w:rPr>
        <w:t>with the unified pathway (</w:t>
      </w:r>
      <w:r w:rsidR="003909EC">
        <w:rPr>
          <w:rFonts w:eastAsia="Calibri" w:cs="Segoe UI"/>
        </w:rPr>
        <w:t xml:space="preserve">see </w:t>
      </w:r>
      <w:r w:rsidR="00CB47E7">
        <w:rPr>
          <w:rFonts w:eastAsia="Calibri" w:cs="Segoe UI"/>
        </w:rPr>
        <w:t>‘</w:t>
      </w:r>
      <w:r w:rsidR="00BB0912" w:rsidRPr="00B61FDC">
        <w:rPr>
          <w:rFonts w:eastAsia="Calibri" w:cs="Segoe UI"/>
        </w:rPr>
        <w:fldChar w:fldCharType="begin" w:fldLock="1"/>
      </w:r>
      <w:r w:rsidR="00BB0912" w:rsidRPr="00B61FDC">
        <w:rPr>
          <w:rFonts w:eastAsia="Calibri" w:cs="Segoe UI"/>
        </w:rPr>
        <w:instrText xml:space="preserve"> REF _Ref166785329 \r \h </w:instrText>
      </w:r>
      <w:r w:rsidRPr="00B61FDC">
        <w:rPr>
          <w:rFonts w:eastAsia="Calibri" w:cs="Segoe UI"/>
        </w:rPr>
        <w:instrText xml:space="preserve"> \* MERGEFORMAT </w:instrText>
      </w:r>
      <w:r w:rsidR="00BB0912" w:rsidRPr="00B61FDC">
        <w:rPr>
          <w:rFonts w:eastAsia="Calibri" w:cs="Segoe UI"/>
        </w:rPr>
      </w:r>
      <w:r w:rsidR="00BB0912" w:rsidRPr="00B61FDC">
        <w:rPr>
          <w:rFonts w:eastAsia="Calibri" w:cs="Segoe UI"/>
        </w:rPr>
        <w:fldChar w:fldCharType="separate"/>
      </w:r>
      <w:r w:rsidR="00BB0912" w:rsidRPr="00B61FDC">
        <w:rPr>
          <w:rFonts w:eastAsia="Calibri" w:cs="Segoe UI"/>
        </w:rPr>
        <w:t>Recommendation 4</w:t>
      </w:r>
      <w:r w:rsidR="00BB0912" w:rsidRPr="00B61FDC">
        <w:rPr>
          <w:rFonts w:eastAsia="Calibri" w:cs="Segoe UI"/>
        </w:rPr>
        <w:fldChar w:fldCharType="end"/>
      </w:r>
      <w:r w:rsidR="00CB47E7">
        <w:rPr>
          <w:rFonts w:eastAsia="Calibri" w:cs="Segoe UI"/>
        </w:rPr>
        <w:t xml:space="preserve">. </w:t>
      </w:r>
      <w:r w:rsidR="00CB47E7" w:rsidRPr="00CB47E7">
        <w:rPr>
          <w:rFonts w:eastAsia="Calibri" w:cs="Segoe UI"/>
          <w:iCs/>
        </w:rPr>
        <w:t>Unified HTA pathway and committee approach for all Australian government funding of health technologies</w:t>
      </w:r>
      <w:r w:rsidR="00CB47E7">
        <w:rPr>
          <w:rFonts w:eastAsia="Calibri" w:cs="Segoe UI"/>
          <w:iCs/>
        </w:rPr>
        <w:t>’</w:t>
      </w:r>
      <w:r w:rsidR="00050561" w:rsidRPr="00B61FDC">
        <w:rPr>
          <w:rFonts w:eastAsia="Calibri" w:cs="Segoe UI"/>
        </w:rPr>
        <w:t xml:space="preserve">) </w:t>
      </w:r>
      <w:r w:rsidR="00840D9F" w:rsidRPr="00B61FDC">
        <w:rPr>
          <w:rFonts w:eastAsia="Calibri" w:cs="Segoe UI"/>
        </w:rPr>
        <w:t xml:space="preserve">where appropriate. </w:t>
      </w:r>
      <w:r w:rsidR="00362018" w:rsidRPr="00B61FDC">
        <w:rPr>
          <w:rFonts w:eastAsia="Calibri" w:cs="Segoe UI"/>
        </w:rPr>
        <w:t>The Australian Government should:</w:t>
      </w:r>
    </w:p>
    <w:p w14:paraId="13C02F8D" w14:textId="6DACB18B" w:rsidR="00B85995" w:rsidRPr="00824739" w:rsidRDefault="00B85995" w:rsidP="00281153">
      <w:pPr>
        <w:pStyle w:val="ListParagraph"/>
        <w:numPr>
          <w:ilvl w:val="1"/>
          <w:numId w:val="11"/>
        </w:numPr>
        <w:rPr>
          <w:rFonts w:eastAsia="Calibri" w:cs="Segoe UI"/>
        </w:rPr>
      </w:pPr>
      <w:r>
        <w:rPr>
          <w:rFonts w:eastAsia="Calibri" w:cs="Segoe UI"/>
        </w:rPr>
        <w:lastRenderedPageBreak/>
        <w:t>d</w:t>
      </w:r>
      <w:r w:rsidRPr="00824739">
        <w:rPr>
          <w:rFonts w:eastAsia="Calibri" w:cs="Segoe UI"/>
        </w:rPr>
        <w:t>evelop and implement a methodology, in consultation with stakeholders, to consider the cumulative impact of high-cost</w:t>
      </w:r>
      <w:r w:rsidR="00842568">
        <w:rPr>
          <w:rFonts w:eastAsia="Calibri" w:cs="Segoe UI"/>
        </w:rPr>
        <w:t>,</w:t>
      </w:r>
      <w:r w:rsidRPr="00824739">
        <w:rPr>
          <w:rFonts w:eastAsia="Calibri" w:cs="Segoe UI"/>
        </w:rPr>
        <w:t xml:space="preserve"> </w:t>
      </w:r>
      <w:r w:rsidR="00096F4A">
        <w:rPr>
          <w:rFonts w:eastAsia="Calibri" w:cs="Segoe UI"/>
        </w:rPr>
        <w:t>highly specialised therapies (</w:t>
      </w:r>
      <w:r w:rsidRPr="00824739">
        <w:rPr>
          <w:rFonts w:eastAsia="Calibri" w:cs="Segoe UI"/>
        </w:rPr>
        <w:t>HSTs</w:t>
      </w:r>
      <w:r w:rsidR="00096F4A">
        <w:rPr>
          <w:rFonts w:eastAsia="Calibri" w:cs="Segoe UI"/>
        </w:rPr>
        <w:t>)</w:t>
      </w:r>
      <w:r w:rsidRPr="00824739">
        <w:rPr>
          <w:rFonts w:eastAsia="Calibri" w:cs="Segoe UI"/>
        </w:rPr>
        <w:t xml:space="preserve"> on the health system, at a national level. This should be used to inform the HTA decision </w:t>
      </w:r>
      <w:r w:rsidR="003909EC">
        <w:rPr>
          <w:rFonts w:eastAsia="Calibri" w:cs="Segoe UI"/>
        </w:rPr>
        <w:t>and</w:t>
      </w:r>
      <w:r w:rsidRPr="00824739">
        <w:rPr>
          <w:rFonts w:eastAsia="Calibri" w:cs="Segoe UI"/>
        </w:rPr>
        <w:t xml:space="preserve"> reviews of subsidised therapies that ensure the publicly funded therapies being delivered to patients represent the most appropriate treatment pathway for patients</w:t>
      </w:r>
    </w:p>
    <w:p w14:paraId="4EECF735" w14:textId="7C90326D" w:rsidR="00B85995" w:rsidRDefault="00B85995" w:rsidP="00281153">
      <w:pPr>
        <w:pStyle w:val="ListParagraph"/>
        <w:numPr>
          <w:ilvl w:val="1"/>
          <w:numId w:val="11"/>
        </w:numPr>
        <w:rPr>
          <w:rFonts w:eastAsia="Calibri" w:cs="Segoe UI"/>
        </w:rPr>
      </w:pPr>
      <w:r>
        <w:rPr>
          <w:rFonts w:eastAsia="Calibri" w:cs="Segoe UI"/>
        </w:rPr>
        <w:t>d</w:t>
      </w:r>
      <w:r w:rsidRPr="00824739">
        <w:rPr>
          <w:rFonts w:eastAsia="Calibri" w:cs="Segoe UI"/>
        </w:rPr>
        <w:t>evelop, in consultation with relevant stakeholders, criteria to ensure a nationally consistent process for patient selection and allocation for HSTs</w:t>
      </w:r>
      <w:r w:rsidR="00FF5D8C">
        <w:rPr>
          <w:rFonts w:eastAsia="Calibri" w:cs="Segoe UI"/>
        </w:rPr>
        <w:t>.</w:t>
      </w:r>
    </w:p>
    <w:p w14:paraId="1E8C6115" w14:textId="32AFD434" w:rsidR="00840D9F" w:rsidRPr="00B61FDC" w:rsidRDefault="003909EC" w:rsidP="00281153">
      <w:pPr>
        <w:pStyle w:val="ListParagraph"/>
        <w:numPr>
          <w:ilvl w:val="0"/>
          <w:numId w:val="22"/>
        </w:numPr>
        <w:rPr>
          <w:rFonts w:eastAsia="Calibri" w:cs="Segoe UI"/>
          <w:iCs/>
        </w:rPr>
      </w:pPr>
      <w:r>
        <w:t>e</w:t>
      </w:r>
      <w:r w:rsidR="00840D9F">
        <w:t>stablish time</w:t>
      </w:r>
      <w:r w:rsidR="004574C7">
        <w:t xml:space="preserve"> </w:t>
      </w:r>
      <w:r w:rsidR="00840D9F">
        <w:t xml:space="preserve">frames for implementing </w:t>
      </w:r>
      <w:r w:rsidR="006423D4" w:rsidRPr="006423D4">
        <w:t>HSTs</w:t>
      </w:r>
      <w:r w:rsidR="00840D9F">
        <w:t xml:space="preserve">, funded through the </w:t>
      </w:r>
      <w:r>
        <w:t xml:space="preserve">2020–25 </w:t>
      </w:r>
      <w:r w:rsidR="009600D9">
        <w:t>Addendum</w:t>
      </w:r>
      <w:r>
        <w:t xml:space="preserve"> to the NHRA</w:t>
      </w:r>
      <w:r w:rsidR="00840D9F">
        <w:t xml:space="preserve">, where </w:t>
      </w:r>
      <w:r w:rsidR="00840D9F" w:rsidRPr="00824739">
        <w:rPr>
          <w:rFonts w:eastAsia="Calibri" w:cs="Segoe UI"/>
        </w:rPr>
        <w:t xml:space="preserve">the therapy has a positive HTA recommendation. This should be modelled on </w:t>
      </w:r>
      <w:r w:rsidR="003B6F13">
        <w:rPr>
          <w:rFonts w:eastAsia="Calibri" w:cs="Segoe UI"/>
        </w:rPr>
        <w:t xml:space="preserve">targets agreed </w:t>
      </w:r>
      <w:r w:rsidR="00840D9F" w:rsidRPr="00824739">
        <w:rPr>
          <w:rFonts w:eastAsia="Calibri" w:cs="Segoe UI"/>
        </w:rPr>
        <w:t>with respect to the time</w:t>
      </w:r>
      <w:r w:rsidR="004574C7">
        <w:rPr>
          <w:rFonts w:eastAsia="Calibri" w:cs="Segoe UI"/>
        </w:rPr>
        <w:t xml:space="preserve"> </w:t>
      </w:r>
      <w:r w:rsidR="00840D9F" w:rsidRPr="00824739">
        <w:rPr>
          <w:rFonts w:eastAsia="Calibri" w:cs="Segoe UI"/>
        </w:rPr>
        <w:t xml:space="preserve">frames for listing medicines on the </w:t>
      </w:r>
      <w:r w:rsidR="00325A0E" w:rsidRPr="00325A0E">
        <w:rPr>
          <w:rFonts w:eastAsia="Calibri" w:cs="Segoe UI"/>
        </w:rPr>
        <w:t>Pharmaceutical Benefits Scheme (PBS</w:t>
      </w:r>
      <w:r w:rsidR="00325A0E" w:rsidRPr="00F84883">
        <w:rPr>
          <w:rFonts w:eastAsia="Calibri" w:cs="Segoe UI"/>
        </w:rPr>
        <w:t>)</w:t>
      </w:r>
      <w:r w:rsidR="00F84883" w:rsidRPr="00F84883">
        <w:rPr>
          <w:rFonts w:eastAsia="Calibri" w:cs="Segoe UI"/>
        </w:rPr>
        <w:t xml:space="preserve"> (see </w:t>
      </w:r>
      <w:r w:rsidR="00CB47E7">
        <w:rPr>
          <w:rFonts w:eastAsia="Calibri" w:cs="Segoe UI"/>
        </w:rPr>
        <w:t>‘</w:t>
      </w:r>
      <w:r w:rsidRPr="00B61FDC">
        <w:rPr>
          <w:rFonts w:eastAsia="Calibri" w:cs="Segoe UI"/>
        </w:rPr>
        <w:t>R</w:t>
      </w:r>
      <w:r w:rsidR="00F84883" w:rsidRPr="00B61FDC">
        <w:rPr>
          <w:rFonts w:eastAsia="Calibri" w:cs="Segoe UI"/>
        </w:rPr>
        <w:t>ecommendation 1</w:t>
      </w:r>
      <w:r w:rsidR="00BB2177">
        <w:rPr>
          <w:rFonts w:eastAsia="Calibri" w:cs="Segoe UI"/>
        </w:rPr>
        <w:t>5</w:t>
      </w:r>
      <w:r w:rsidR="00CB47E7">
        <w:rPr>
          <w:rFonts w:eastAsia="Calibri" w:cs="Segoe UI"/>
        </w:rPr>
        <w:t xml:space="preserve">. </w:t>
      </w:r>
      <w:r w:rsidR="00BB2177">
        <w:rPr>
          <w:rFonts w:eastAsia="Calibri" w:cs="Segoe UI"/>
        </w:rPr>
        <w:t>Jointly owned performance targets</w:t>
      </w:r>
      <w:r w:rsidR="00F84883" w:rsidRPr="00B61FDC">
        <w:rPr>
          <w:rFonts w:eastAsia="Calibri" w:cs="Segoe UI"/>
        </w:rPr>
        <w:t>)</w:t>
      </w:r>
      <w:r w:rsidR="00840D9F" w:rsidRPr="00B61FDC">
        <w:rPr>
          <w:rFonts w:eastAsia="Calibri" w:cs="Segoe UI"/>
        </w:rPr>
        <w:t>.</w:t>
      </w:r>
      <w:r w:rsidR="00F84883" w:rsidRPr="00B61FDC">
        <w:rPr>
          <w:rFonts w:eastAsia="Calibri" w:cs="Segoe UI"/>
        </w:rPr>
        <w:t xml:space="preserve"> </w:t>
      </w:r>
      <w:r w:rsidR="00840D9F" w:rsidRPr="00B61FDC">
        <w:rPr>
          <w:rFonts w:eastAsia="Calibri" w:cs="Segoe UI"/>
        </w:rPr>
        <w:t>This process should include:</w:t>
      </w:r>
    </w:p>
    <w:p w14:paraId="0A7519B4" w14:textId="22CF4893" w:rsidR="00840D9F" w:rsidRPr="00824739" w:rsidRDefault="003909EC" w:rsidP="00281153">
      <w:pPr>
        <w:pStyle w:val="ListParagraph"/>
        <w:numPr>
          <w:ilvl w:val="1"/>
          <w:numId w:val="101"/>
        </w:numPr>
        <w:rPr>
          <w:rFonts w:eastAsia="Calibri" w:cs="Segoe UI"/>
        </w:rPr>
      </w:pPr>
      <w:r>
        <w:rPr>
          <w:rFonts w:eastAsia="Calibri" w:cs="Segoe UI"/>
        </w:rPr>
        <w:t>w</w:t>
      </w:r>
      <w:r w:rsidR="00840D9F" w:rsidRPr="00824739">
        <w:rPr>
          <w:rFonts w:eastAsia="Calibri" w:cs="Segoe UI"/>
        </w:rPr>
        <w:t xml:space="preserve">ithin </w:t>
      </w:r>
      <w:r>
        <w:rPr>
          <w:rFonts w:eastAsia="Calibri" w:cs="Segoe UI"/>
        </w:rPr>
        <w:t>3</w:t>
      </w:r>
      <w:r w:rsidR="00840D9F" w:rsidRPr="00824739">
        <w:rPr>
          <w:rFonts w:eastAsia="Calibri" w:cs="Segoe UI"/>
        </w:rPr>
        <w:t xml:space="preserve"> months of </w:t>
      </w:r>
      <w:r>
        <w:rPr>
          <w:rFonts w:eastAsia="Calibri" w:cs="Segoe UI"/>
        </w:rPr>
        <w:t xml:space="preserve">reaching </w:t>
      </w:r>
      <w:r w:rsidR="00840D9F" w:rsidRPr="00824739">
        <w:rPr>
          <w:rFonts w:eastAsia="Calibri" w:cs="Segoe UI"/>
        </w:rPr>
        <w:t>the in-</w:t>
      </w:r>
      <w:bookmarkStart w:id="181" w:name="_Int_NRAI2mMX"/>
      <w:proofErr w:type="gramStart"/>
      <w:r w:rsidR="00840D9F" w:rsidRPr="00824739">
        <w:rPr>
          <w:rFonts w:eastAsia="Calibri" w:cs="Segoe UI"/>
        </w:rPr>
        <w:t>principle</w:t>
      </w:r>
      <w:bookmarkEnd w:id="181"/>
      <w:proofErr w:type="gramEnd"/>
      <w:r w:rsidR="00840D9F" w:rsidRPr="00824739">
        <w:rPr>
          <w:rFonts w:eastAsia="Calibri" w:cs="Segoe UI"/>
        </w:rPr>
        <w:t xml:space="preserve"> pricing agreement, a national-level implementation plan be</w:t>
      </w:r>
      <w:r w:rsidR="00CD465F">
        <w:rPr>
          <w:rFonts w:eastAsia="Calibri" w:cs="Segoe UI"/>
        </w:rPr>
        <w:t>ing</w:t>
      </w:r>
      <w:r w:rsidR="00840D9F" w:rsidRPr="00824739">
        <w:rPr>
          <w:rFonts w:eastAsia="Calibri" w:cs="Segoe UI"/>
        </w:rPr>
        <w:t xml:space="preserve"> published in collaboration with state and territory governments.</w:t>
      </w:r>
      <w:r w:rsidR="00840D9F">
        <w:rPr>
          <w:rFonts w:eastAsia="Calibri" w:cs="Segoe UI"/>
        </w:rPr>
        <w:t xml:space="preserve"> Th</w:t>
      </w:r>
      <w:r w:rsidR="00CD465F">
        <w:rPr>
          <w:rFonts w:eastAsia="Calibri" w:cs="Segoe UI"/>
        </w:rPr>
        <w:t>e plan</w:t>
      </w:r>
      <w:r w:rsidR="00840D9F">
        <w:rPr>
          <w:rFonts w:eastAsia="Calibri" w:cs="Segoe UI"/>
        </w:rPr>
        <w:t xml:space="preserve"> should </w:t>
      </w:r>
      <w:r w:rsidR="26637B81" w:rsidRPr="6CC68A72">
        <w:rPr>
          <w:rFonts w:eastAsia="Calibri" w:cs="Segoe UI"/>
        </w:rPr>
        <w:t>include</w:t>
      </w:r>
      <w:r w:rsidR="00840D9F">
        <w:rPr>
          <w:rFonts w:eastAsia="Calibri" w:cs="Segoe UI"/>
        </w:rPr>
        <w:t xml:space="preserve"> t</w:t>
      </w:r>
      <w:r w:rsidR="00840D9F" w:rsidRPr="00824739">
        <w:rPr>
          <w:rFonts w:eastAsia="Calibri" w:cs="Segoe UI"/>
        </w:rPr>
        <w:t>imeline</w:t>
      </w:r>
      <w:r w:rsidR="00840D9F">
        <w:rPr>
          <w:rFonts w:eastAsia="Calibri" w:cs="Segoe UI"/>
        </w:rPr>
        <w:t>s</w:t>
      </w:r>
      <w:r w:rsidR="00840D9F" w:rsidRPr="00824739">
        <w:rPr>
          <w:rFonts w:eastAsia="Calibri" w:cs="Segoe UI"/>
        </w:rPr>
        <w:t xml:space="preserve"> for implementation in the different jurisdictions</w:t>
      </w:r>
      <w:r w:rsidR="00840D9F">
        <w:rPr>
          <w:rFonts w:eastAsia="Calibri" w:cs="Segoe UI"/>
        </w:rPr>
        <w:t>,</w:t>
      </w:r>
      <w:r w:rsidR="00840D9F" w:rsidRPr="00824739">
        <w:rPr>
          <w:rFonts w:eastAsia="Calibri" w:cs="Segoe UI"/>
        </w:rPr>
        <w:t xml:space="preserve"> and details of how the state and territory governments will ensure their populations (consistent with the HTA recommendation) can access the treatment within </w:t>
      </w:r>
      <w:r>
        <w:rPr>
          <w:rFonts w:eastAsia="Calibri" w:cs="Segoe UI"/>
        </w:rPr>
        <w:t>6</w:t>
      </w:r>
      <w:r w:rsidRPr="00824739">
        <w:rPr>
          <w:rFonts w:eastAsia="Calibri" w:cs="Segoe UI"/>
        </w:rPr>
        <w:t xml:space="preserve"> </w:t>
      </w:r>
      <w:r w:rsidR="00840D9F" w:rsidRPr="00824739">
        <w:rPr>
          <w:rFonts w:eastAsia="Calibri" w:cs="Segoe UI"/>
        </w:rPr>
        <w:t>months</w:t>
      </w:r>
      <w:r w:rsidR="2550BD22" w:rsidRPr="760B44C9">
        <w:rPr>
          <w:rFonts w:eastAsia="Calibri" w:cs="Segoe UI"/>
        </w:rPr>
        <w:t xml:space="preserve"> of </w:t>
      </w:r>
      <w:r>
        <w:rPr>
          <w:rFonts w:eastAsia="Calibri" w:cs="Segoe UI"/>
        </w:rPr>
        <w:t xml:space="preserve">the </w:t>
      </w:r>
      <w:r w:rsidR="2550BD22" w:rsidRPr="760B44C9">
        <w:rPr>
          <w:rFonts w:eastAsia="Calibri" w:cs="Segoe UI"/>
        </w:rPr>
        <w:t>in-</w:t>
      </w:r>
      <w:proofErr w:type="gramStart"/>
      <w:r w:rsidR="2550BD22" w:rsidRPr="760B44C9">
        <w:rPr>
          <w:rFonts w:eastAsia="Calibri" w:cs="Segoe UI"/>
        </w:rPr>
        <w:t>principle</w:t>
      </w:r>
      <w:proofErr w:type="gramEnd"/>
      <w:r w:rsidR="2550BD22" w:rsidRPr="760B44C9">
        <w:rPr>
          <w:rFonts w:eastAsia="Calibri" w:cs="Segoe UI"/>
        </w:rPr>
        <w:t xml:space="preserve"> pricing agreement</w:t>
      </w:r>
    </w:p>
    <w:p w14:paraId="4967D546" w14:textId="52846FB1" w:rsidR="00840D9F" w:rsidRPr="00B61FDC" w:rsidRDefault="003909EC" w:rsidP="00281153">
      <w:pPr>
        <w:pStyle w:val="ListParagraph"/>
        <w:numPr>
          <w:ilvl w:val="1"/>
          <w:numId w:val="101"/>
        </w:numPr>
        <w:rPr>
          <w:rFonts w:eastAsia="Calibri" w:cs="Segoe UI"/>
          <w:iCs/>
        </w:rPr>
      </w:pPr>
      <w:r>
        <w:rPr>
          <w:rFonts w:eastAsia="Calibri" w:cs="Segoe UI"/>
        </w:rPr>
        <w:t>a</w:t>
      </w:r>
      <w:r w:rsidR="00840D9F">
        <w:rPr>
          <w:rFonts w:eastAsia="Calibri" w:cs="Segoe UI"/>
        </w:rPr>
        <w:t>n overarching stakeholder e</w:t>
      </w:r>
      <w:r w:rsidR="00840D9F" w:rsidRPr="00824739">
        <w:rPr>
          <w:rFonts w:eastAsia="Calibri" w:cs="Segoe UI"/>
        </w:rPr>
        <w:t>xplan</w:t>
      </w:r>
      <w:r w:rsidR="00840D9F">
        <w:rPr>
          <w:rFonts w:eastAsia="Calibri" w:cs="Segoe UI"/>
        </w:rPr>
        <w:t>ation</w:t>
      </w:r>
      <w:r w:rsidR="00840D9F" w:rsidRPr="00824739">
        <w:rPr>
          <w:rFonts w:eastAsia="Calibri" w:cs="Segoe UI"/>
        </w:rPr>
        <w:t xml:space="preserve"> </w:t>
      </w:r>
      <w:r w:rsidR="00840D9F">
        <w:rPr>
          <w:rFonts w:eastAsia="Calibri" w:cs="Segoe UI"/>
        </w:rPr>
        <w:t>of</w:t>
      </w:r>
      <w:r w:rsidR="00840D9F" w:rsidRPr="00824739">
        <w:rPr>
          <w:rFonts w:eastAsia="Calibri" w:cs="Segoe UI"/>
        </w:rPr>
        <w:t xml:space="preserve"> the process following an HTA </w:t>
      </w:r>
      <w:r>
        <w:rPr>
          <w:rFonts w:eastAsia="Calibri" w:cs="Segoe UI"/>
        </w:rPr>
        <w:t>r</w:t>
      </w:r>
      <w:r w:rsidR="00840D9F" w:rsidRPr="00824739">
        <w:rPr>
          <w:rFonts w:eastAsia="Calibri" w:cs="Segoe UI"/>
        </w:rPr>
        <w:t>ecommendation, including the reasonable time</w:t>
      </w:r>
      <w:r w:rsidR="004574C7">
        <w:rPr>
          <w:rFonts w:eastAsia="Calibri" w:cs="Segoe UI"/>
        </w:rPr>
        <w:t xml:space="preserve"> </w:t>
      </w:r>
      <w:r w:rsidR="00840D9F" w:rsidRPr="00824739">
        <w:rPr>
          <w:rFonts w:eastAsia="Calibri" w:cs="Segoe UI"/>
        </w:rPr>
        <w:t xml:space="preserve">frames and responsible party </w:t>
      </w:r>
      <w:r w:rsidR="00840D9F">
        <w:rPr>
          <w:rFonts w:eastAsia="Calibri" w:cs="Segoe UI"/>
        </w:rPr>
        <w:t>for</w:t>
      </w:r>
      <w:r w:rsidR="00840D9F" w:rsidRPr="00824739">
        <w:rPr>
          <w:rFonts w:eastAsia="Calibri" w:cs="Segoe UI"/>
        </w:rPr>
        <w:t xml:space="preserve"> each step (in line with </w:t>
      </w:r>
      <w:r w:rsidR="00CB47E7">
        <w:rPr>
          <w:rFonts w:eastAsia="Calibri" w:cs="Segoe UI"/>
        </w:rPr>
        <w:t>‘</w:t>
      </w:r>
      <w:r w:rsidRPr="00B61FDC">
        <w:rPr>
          <w:rFonts w:eastAsia="Calibri" w:cs="Segoe UI"/>
        </w:rPr>
        <w:t>R</w:t>
      </w:r>
      <w:r w:rsidR="00840D9F" w:rsidRPr="00B61FDC">
        <w:rPr>
          <w:rFonts w:eastAsia="Calibri" w:cs="Segoe UI"/>
        </w:rPr>
        <w:t>ecommendation</w:t>
      </w:r>
      <w:r w:rsidR="00AD63EC" w:rsidRPr="00B61FDC">
        <w:rPr>
          <w:rFonts w:eastAsia="Calibri" w:cs="Segoe UI"/>
        </w:rPr>
        <w:t xml:space="preserve"> </w:t>
      </w:r>
      <w:r w:rsidR="00120BD9" w:rsidRPr="00B61FDC">
        <w:rPr>
          <w:rFonts w:eastAsia="Calibri" w:cs="Segoe UI"/>
        </w:rPr>
        <w:t>3</w:t>
      </w:r>
      <w:r w:rsidR="00CB47E7">
        <w:rPr>
          <w:rFonts w:eastAsia="Calibri" w:cs="Segoe UI"/>
        </w:rPr>
        <w:t xml:space="preserve">. </w:t>
      </w:r>
      <w:r w:rsidR="00CB47E7" w:rsidRPr="00CB47E7">
        <w:rPr>
          <w:rFonts w:eastAsia="Calibri" w:cs="Segoe UI"/>
          <w:iCs/>
        </w:rPr>
        <w:t xml:space="preserve">Overarching recommendations for all health technology assessment funding and assessment pathways and </w:t>
      </w:r>
      <w:proofErr w:type="gramStart"/>
      <w:r w:rsidR="00CB47E7" w:rsidRPr="00CB47E7">
        <w:rPr>
          <w:rFonts w:eastAsia="Calibri" w:cs="Segoe UI"/>
          <w:iCs/>
        </w:rPr>
        <w:t>processes</w:t>
      </w:r>
      <w:r w:rsidR="00CB47E7">
        <w:rPr>
          <w:rFonts w:eastAsia="Calibri" w:cs="Segoe UI"/>
          <w:iCs/>
        </w:rPr>
        <w:t>’</w:t>
      </w:r>
      <w:proofErr w:type="gramEnd"/>
      <w:r w:rsidR="00840D9F" w:rsidRPr="00B61FDC">
        <w:rPr>
          <w:rFonts w:eastAsia="Calibri" w:cs="Segoe UI"/>
        </w:rPr>
        <w:t>. This information should be developed in consultation with stakeholders</w:t>
      </w:r>
      <w:r w:rsidR="00453069" w:rsidRPr="00B61FDC">
        <w:rPr>
          <w:rFonts w:eastAsia="Calibri" w:cs="Segoe UI"/>
        </w:rPr>
        <w:t xml:space="preserve"> </w:t>
      </w:r>
    </w:p>
    <w:p w14:paraId="2F6DB1D4" w14:textId="35972928" w:rsidR="00840D9F" w:rsidRPr="00824739" w:rsidRDefault="00E8448D" w:rsidP="00281153">
      <w:pPr>
        <w:pStyle w:val="ListParagraph"/>
        <w:numPr>
          <w:ilvl w:val="1"/>
          <w:numId w:val="101"/>
        </w:numPr>
        <w:rPr>
          <w:rFonts w:eastAsia="Calibri" w:cs="Segoe UI"/>
        </w:rPr>
      </w:pPr>
      <w:r>
        <w:rPr>
          <w:rFonts w:eastAsia="Calibri" w:cs="Segoe UI"/>
        </w:rPr>
        <w:t>p</w:t>
      </w:r>
      <w:r w:rsidR="00840D9F" w:rsidRPr="00824739">
        <w:rPr>
          <w:rFonts w:eastAsia="Calibri" w:cs="Segoe UI"/>
        </w:rPr>
        <w:t xml:space="preserve">ublishing implementation </w:t>
      </w:r>
      <w:r w:rsidR="00840D9F">
        <w:rPr>
          <w:rFonts w:eastAsia="Calibri" w:cs="Segoe UI"/>
        </w:rPr>
        <w:t>progress</w:t>
      </w:r>
      <w:r w:rsidR="00840D9F" w:rsidRPr="00824739">
        <w:rPr>
          <w:rFonts w:eastAsia="Calibri" w:cs="Segoe UI"/>
        </w:rPr>
        <w:t xml:space="preserve"> </w:t>
      </w:r>
      <w:r w:rsidR="00840D9F">
        <w:rPr>
          <w:rFonts w:eastAsia="Calibri" w:cs="Segoe UI"/>
        </w:rPr>
        <w:t xml:space="preserve">information </w:t>
      </w:r>
      <w:r w:rsidR="00840D9F" w:rsidRPr="00824739">
        <w:rPr>
          <w:rFonts w:eastAsia="Calibri" w:cs="Segoe UI"/>
        </w:rPr>
        <w:t>to improve transparency and accountability for all responsible parties (</w:t>
      </w:r>
      <w:r w:rsidR="00CD465F">
        <w:rPr>
          <w:rFonts w:eastAsia="Calibri" w:cs="Segoe UI"/>
        </w:rPr>
        <w:t>the Australian Government</w:t>
      </w:r>
      <w:r w:rsidR="00840D9F" w:rsidRPr="00824739">
        <w:rPr>
          <w:rFonts w:eastAsia="Calibri" w:cs="Segoe UI"/>
        </w:rPr>
        <w:t xml:space="preserve">, </w:t>
      </w:r>
      <w:r>
        <w:rPr>
          <w:rFonts w:eastAsia="Calibri" w:cs="Segoe UI"/>
        </w:rPr>
        <w:t xml:space="preserve">the </w:t>
      </w:r>
      <w:r w:rsidR="00840D9F" w:rsidRPr="00824739">
        <w:rPr>
          <w:rFonts w:eastAsia="Calibri" w:cs="Segoe UI"/>
        </w:rPr>
        <w:t>sponsor, and state and territory governments)</w:t>
      </w:r>
      <w:r>
        <w:rPr>
          <w:rFonts w:eastAsia="Calibri" w:cs="Segoe UI"/>
        </w:rPr>
        <w:t>,</w:t>
      </w:r>
      <w:r w:rsidR="00840D9F">
        <w:rPr>
          <w:rFonts w:eastAsia="Calibri" w:cs="Segoe UI"/>
        </w:rPr>
        <w:t xml:space="preserve"> including </w:t>
      </w:r>
      <w:r w:rsidR="00840D9F" w:rsidRPr="00824739">
        <w:rPr>
          <w:rFonts w:eastAsia="Calibri" w:cs="Segoe UI"/>
        </w:rPr>
        <w:t xml:space="preserve">clearly highlighting causes of delays relative to the developed </w:t>
      </w:r>
      <w:r>
        <w:rPr>
          <w:rFonts w:eastAsia="Calibri" w:cs="Segoe UI"/>
        </w:rPr>
        <w:t>‘</w:t>
      </w:r>
      <w:r w:rsidR="00840D9F" w:rsidRPr="00824739">
        <w:rPr>
          <w:rFonts w:eastAsia="Calibri" w:cs="Segoe UI"/>
        </w:rPr>
        <w:t>reasonable time</w:t>
      </w:r>
      <w:r w:rsidR="004574C7">
        <w:rPr>
          <w:rFonts w:eastAsia="Calibri" w:cs="Segoe UI"/>
        </w:rPr>
        <w:t xml:space="preserve"> </w:t>
      </w:r>
      <w:r w:rsidR="00840D9F" w:rsidRPr="00824739">
        <w:rPr>
          <w:rFonts w:eastAsia="Calibri" w:cs="Segoe UI"/>
        </w:rPr>
        <w:t>frame</w:t>
      </w:r>
      <w:r>
        <w:rPr>
          <w:rFonts w:eastAsia="Calibri" w:cs="Segoe UI"/>
        </w:rPr>
        <w:t>’</w:t>
      </w:r>
      <w:r w:rsidR="00840D9F" w:rsidRPr="00824739">
        <w:rPr>
          <w:rFonts w:eastAsia="Calibri" w:cs="Segoe UI"/>
        </w:rPr>
        <w:t xml:space="preserve"> for any steps</w:t>
      </w:r>
    </w:p>
    <w:p w14:paraId="591A95B4" w14:textId="6EED11FF" w:rsidR="003B3B35" w:rsidRPr="00293569" w:rsidRDefault="00E8448D" w:rsidP="00281153">
      <w:pPr>
        <w:pStyle w:val="ListParagraph"/>
        <w:numPr>
          <w:ilvl w:val="1"/>
          <w:numId w:val="101"/>
        </w:numPr>
        <w:spacing w:before="240"/>
        <w:rPr>
          <w:rFonts w:eastAsia="Calibri" w:cs="Segoe UI"/>
        </w:rPr>
      </w:pPr>
      <w:r>
        <w:rPr>
          <w:rFonts w:eastAsia="Calibri" w:cs="Segoe UI"/>
        </w:rPr>
        <w:t>t</w:t>
      </w:r>
      <w:r w:rsidR="00840D9F" w:rsidRPr="00824739">
        <w:rPr>
          <w:rFonts w:eastAsia="Calibri" w:cs="Segoe UI"/>
        </w:rPr>
        <w:t xml:space="preserve">he original </w:t>
      </w:r>
      <w:r>
        <w:rPr>
          <w:rFonts w:eastAsia="Calibri" w:cs="Segoe UI"/>
        </w:rPr>
        <w:t>D</w:t>
      </w:r>
      <w:r w:rsidR="00840D9F" w:rsidRPr="00824739">
        <w:rPr>
          <w:rFonts w:eastAsia="Calibri" w:cs="Segoe UI"/>
        </w:rPr>
        <w:t xml:space="preserve">eed of </w:t>
      </w:r>
      <w:r>
        <w:rPr>
          <w:rFonts w:eastAsia="Calibri" w:cs="Segoe UI"/>
        </w:rPr>
        <w:t>A</w:t>
      </w:r>
      <w:r w:rsidR="00840D9F" w:rsidRPr="00824739">
        <w:rPr>
          <w:rFonts w:eastAsia="Calibri" w:cs="Segoe UI"/>
        </w:rPr>
        <w:t xml:space="preserve">greement to incorporate the requirement for the technology to be reviewed for clinical </w:t>
      </w:r>
      <w:r>
        <w:rPr>
          <w:rFonts w:eastAsia="Calibri" w:cs="Segoe UI"/>
        </w:rPr>
        <w:t xml:space="preserve">effectiveness </w:t>
      </w:r>
      <w:r w:rsidR="00840D9F" w:rsidRPr="00824739">
        <w:rPr>
          <w:rFonts w:eastAsia="Calibri" w:cs="Segoe UI"/>
        </w:rPr>
        <w:t>and cost</w:t>
      </w:r>
      <w:r>
        <w:rPr>
          <w:rFonts w:eastAsia="Calibri" w:cs="Segoe UI"/>
        </w:rPr>
        <w:t>-</w:t>
      </w:r>
      <w:r w:rsidR="00840D9F" w:rsidRPr="00824739">
        <w:rPr>
          <w:rFonts w:eastAsia="Calibri" w:cs="Segoe UI"/>
        </w:rPr>
        <w:t>effectiveness at an agreed period (this will assist with timeliness as it reduces the initial risk</w:t>
      </w:r>
      <w:r>
        <w:rPr>
          <w:rFonts w:eastAsia="Calibri" w:cs="Segoe UI"/>
        </w:rPr>
        <w:t>,</w:t>
      </w:r>
      <w:r w:rsidR="00840D9F" w:rsidRPr="00824739">
        <w:rPr>
          <w:rFonts w:eastAsia="Calibri" w:cs="Segoe UI"/>
        </w:rPr>
        <w:t xml:space="preserve"> allow</w:t>
      </w:r>
      <w:r>
        <w:rPr>
          <w:rFonts w:eastAsia="Calibri" w:cs="Segoe UI"/>
        </w:rPr>
        <w:t>ing</w:t>
      </w:r>
      <w:r w:rsidR="00840D9F" w:rsidRPr="00824739">
        <w:rPr>
          <w:rFonts w:eastAsia="Calibri" w:cs="Segoe UI"/>
        </w:rPr>
        <w:t xml:space="preserve"> more flexibility)</w:t>
      </w:r>
      <w:r w:rsidR="00FF5D8C">
        <w:rPr>
          <w:rFonts w:eastAsia="Calibri" w:cs="Segoe UI"/>
        </w:rPr>
        <w:t>.</w:t>
      </w:r>
    </w:p>
    <w:p w14:paraId="5CD89973" w14:textId="45836050" w:rsidR="00840D9F" w:rsidRPr="00824739" w:rsidRDefault="00E8448D" w:rsidP="00281153">
      <w:pPr>
        <w:pStyle w:val="ListParagraph"/>
        <w:numPr>
          <w:ilvl w:val="0"/>
          <w:numId w:val="102"/>
        </w:numPr>
        <w:rPr>
          <w:rFonts w:eastAsia="Calibri" w:cs="Segoe UI"/>
        </w:rPr>
      </w:pPr>
      <w:r>
        <w:rPr>
          <w:rFonts w:eastAsia="Calibri" w:cs="Segoe UI"/>
        </w:rPr>
        <w:t>work with s</w:t>
      </w:r>
      <w:r w:rsidR="00840D9F">
        <w:rPr>
          <w:rFonts w:eastAsia="Calibri" w:cs="Segoe UI"/>
        </w:rPr>
        <w:t xml:space="preserve">tate and </w:t>
      </w:r>
      <w:r>
        <w:rPr>
          <w:rFonts w:eastAsia="Calibri" w:cs="Segoe UI"/>
        </w:rPr>
        <w:t>t</w:t>
      </w:r>
      <w:r w:rsidR="00840D9F">
        <w:rPr>
          <w:rFonts w:eastAsia="Calibri" w:cs="Segoe UI"/>
        </w:rPr>
        <w:t xml:space="preserve">erritory </w:t>
      </w:r>
      <w:r>
        <w:rPr>
          <w:rFonts w:eastAsia="Calibri" w:cs="Segoe UI"/>
        </w:rPr>
        <w:t>g</w:t>
      </w:r>
      <w:r w:rsidR="00840D9F">
        <w:rPr>
          <w:rFonts w:eastAsia="Calibri" w:cs="Segoe UI"/>
        </w:rPr>
        <w:t>overnments and industry to e</w:t>
      </w:r>
      <w:r w:rsidR="00840D9F" w:rsidRPr="00824739">
        <w:rPr>
          <w:rFonts w:eastAsia="Calibri" w:cs="Segoe UI"/>
        </w:rPr>
        <w:t xml:space="preserve">stablish (or participate in </w:t>
      </w:r>
      <w:r>
        <w:rPr>
          <w:rFonts w:eastAsia="Calibri" w:cs="Segoe UI"/>
        </w:rPr>
        <w:t xml:space="preserve">an </w:t>
      </w:r>
      <w:r w:rsidR="00840D9F" w:rsidRPr="00824739">
        <w:rPr>
          <w:rFonts w:eastAsia="Calibri" w:cs="Segoe UI"/>
        </w:rPr>
        <w:t>existing international collaboration</w:t>
      </w:r>
      <w:r w:rsidR="00840D9F" w:rsidRPr="00CA2A43">
        <w:rPr>
          <w:rFonts w:eastAsia="Calibri" w:cs="Segoe UI"/>
        </w:rPr>
        <w:t>)</w:t>
      </w:r>
      <w:r w:rsidR="00840D9F" w:rsidRPr="00824739">
        <w:rPr>
          <w:rFonts w:eastAsia="Calibri" w:cs="Segoe UI"/>
        </w:rPr>
        <w:t xml:space="preserve"> a </w:t>
      </w:r>
      <w:r>
        <w:rPr>
          <w:rFonts w:eastAsia="Calibri" w:cs="Segoe UI"/>
        </w:rPr>
        <w:t>h</w:t>
      </w:r>
      <w:r w:rsidR="00840D9F" w:rsidRPr="00824739">
        <w:rPr>
          <w:rFonts w:eastAsia="Calibri" w:cs="Segoe UI"/>
        </w:rPr>
        <w:t xml:space="preserve">orizon </w:t>
      </w:r>
      <w:r>
        <w:rPr>
          <w:rFonts w:eastAsia="Calibri" w:cs="Segoe UI"/>
        </w:rPr>
        <w:t>s</w:t>
      </w:r>
      <w:r w:rsidR="00840D9F" w:rsidRPr="00824739">
        <w:rPr>
          <w:rFonts w:eastAsia="Calibri" w:cs="Segoe UI"/>
        </w:rPr>
        <w:t xml:space="preserve">canning process </w:t>
      </w:r>
      <w:r w:rsidR="00521185">
        <w:rPr>
          <w:rFonts w:eastAsia="Calibri" w:cs="Segoe UI"/>
        </w:rPr>
        <w:t xml:space="preserve">(consistent with the principles for horizon scanning in </w:t>
      </w:r>
      <w:r w:rsidR="00521185" w:rsidRPr="00ED20B1">
        <w:rPr>
          <w:rFonts w:eastAsia="Calibri" w:cs="Segoe UI"/>
        </w:rPr>
        <w:t>Chapter 9.2</w:t>
      </w:r>
      <w:r w:rsidR="00521185">
        <w:rPr>
          <w:rFonts w:eastAsia="Calibri" w:cs="Segoe UI"/>
        </w:rPr>
        <w:t xml:space="preserve">) </w:t>
      </w:r>
      <w:r w:rsidR="00B35E04">
        <w:rPr>
          <w:rFonts w:eastAsia="Calibri" w:cs="Segoe UI"/>
        </w:rPr>
        <w:t>to identify, prioritise, assess and monitor</w:t>
      </w:r>
      <w:r w:rsidR="00840D9F" w:rsidRPr="00824739">
        <w:rPr>
          <w:rFonts w:eastAsia="Calibri" w:cs="Segoe UI"/>
        </w:rPr>
        <w:t xml:space="preserve"> high</w:t>
      </w:r>
      <w:r>
        <w:rPr>
          <w:rFonts w:eastAsia="Calibri" w:cs="Segoe UI"/>
        </w:rPr>
        <w:t>-</w:t>
      </w:r>
      <w:r w:rsidR="00840D9F" w:rsidRPr="00824739">
        <w:rPr>
          <w:rFonts w:eastAsia="Calibri" w:cs="Segoe UI"/>
        </w:rPr>
        <w:t xml:space="preserve">cost </w:t>
      </w:r>
      <w:r w:rsidR="00840D9F" w:rsidRPr="00CA2A43">
        <w:rPr>
          <w:rFonts w:eastAsia="Calibri" w:cs="Segoe UI"/>
        </w:rPr>
        <w:t>HSTs</w:t>
      </w:r>
      <w:r w:rsidR="00840D9F" w:rsidRPr="00824739">
        <w:rPr>
          <w:rFonts w:eastAsia="Calibri" w:cs="Segoe UI"/>
        </w:rPr>
        <w:t xml:space="preserve"> funded through the </w:t>
      </w:r>
      <w:r w:rsidR="00EB46C2">
        <w:rPr>
          <w:rFonts w:eastAsia="Calibri" w:cs="Segoe UI"/>
        </w:rPr>
        <w:t xml:space="preserve">2020–25 </w:t>
      </w:r>
      <w:r w:rsidR="00840D9F" w:rsidRPr="00B61FDC">
        <w:rPr>
          <w:rFonts w:eastAsia="Calibri" w:cs="Segoe UI"/>
        </w:rPr>
        <w:t>NHRA</w:t>
      </w:r>
      <w:r w:rsidR="004D4D01" w:rsidRPr="00B61FDC">
        <w:rPr>
          <w:rFonts w:eastAsia="Calibri" w:cs="Segoe UI"/>
        </w:rPr>
        <w:t xml:space="preserve"> Addendum</w:t>
      </w:r>
      <w:r w:rsidR="00840D9F">
        <w:rPr>
          <w:rFonts w:eastAsia="Calibri" w:cs="Segoe UI"/>
        </w:rPr>
        <w:t>.</w:t>
      </w:r>
      <w:r w:rsidR="00840D9F" w:rsidRPr="00824739">
        <w:rPr>
          <w:rFonts w:eastAsia="Calibri" w:cs="Segoe UI"/>
        </w:rPr>
        <w:t xml:space="preserve"> </w:t>
      </w:r>
      <w:r w:rsidR="00840D9F">
        <w:rPr>
          <w:rFonts w:eastAsia="Calibri" w:cs="Segoe UI"/>
        </w:rPr>
        <w:t>This process will</w:t>
      </w:r>
      <w:r w:rsidR="00840D9F" w:rsidRPr="00824739">
        <w:rPr>
          <w:rFonts w:eastAsia="Calibri" w:cs="Segoe UI"/>
        </w:rPr>
        <w:t xml:space="preserve"> ensure jurisdictions can begin early implementation planning </w:t>
      </w:r>
      <w:r w:rsidR="008D730D">
        <w:rPr>
          <w:rFonts w:eastAsia="Calibri" w:cs="Segoe UI"/>
        </w:rPr>
        <w:t>for</w:t>
      </w:r>
      <w:r w:rsidR="00840D9F" w:rsidRPr="00824739">
        <w:rPr>
          <w:rFonts w:eastAsia="Calibri" w:cs="Segoe UI"/>
        </w:rPr>
        <w:t xml:space="preserve"> HSTs.</w:t>
      </w:r>
      <w:r w:rsidR="00362018">
        <w:rPr>
          <w:rFonts w:eastAsia="Calibri" w:cs="Segoe UI"/>
        </w:rPr>
        <w:t xml:space="preserve"> Additionally:</w:t>
      </w:r>
    </w:p>
    <w:p w14:paraId="7C83CB82" w14:textId="530B6417" w:rsidR="00840D9F" w:rsidRPr="00824739" w:rsidRDefault="00840D9F" w:rsidP="00281153">
      <w:pPr>
        <w:pStyle w:val="ListParagraph"/>
        <w:numPr>
          <w:ilvl w:val="1"/>
          <w:numId w:val="102"/>
        </w:numPr>
        <w:spacing w:before="120" w:after="120"/>
        <w:rPr>
          <w:rFonts w:eastAsia="Calibri" w:cs="Segoe UI"/>
        </w:rPr>
      </w:pPr>
      <w:r w:rsidRPr="00824739">
        <w:rPr>
          <w:rFonts w:eastAsia="Calibri" w:cs="Segoe UI"/>
        </w:rPr>
        <w:lastRenderedPageBreak/>
        <w:t xml:space="preserve">The horizon scanning should include input from a broad range of stakeholders including patients or patient organisations, industry, academia and </w:t>
      </w:r>
      <w:r w:rsidR="00CD465F">
        <w:rPr>
          <w:rFonts w:eastAsia="Calibri" w:cs="Segoe UI"/>
        </w:rPr>
        <w:t xml:space="preserve">the </w:t>
      </w:r>
      <w:r w:rsidRPr="00824739">
        <w:rPr>
          <w:rFonts w:eastAsia="Calibri" w:cs="Segoe UI"/>
        </w:rPr>
        <w:t xml:space="preserve">research sector, and </w:t>
      </w:r>
      <w:r w:rsidR="00362018">
        <w:rPr>
          <w:rFonts w:eastAsia="Calibri" w:cs="Segoe UI"/>
        </w:rPr>
        <w:t>s</w:t>
      </w:r>
      <w:r w:rsidRPr="00824739">
        <w:rPr>
          <w:rFonts w:eastAsia="Calibri" w:cs="Segoe UI"/>
        </w:rPr>
        <w:t xml:space="preserve">tate and </w:t>
      </w:r>
      <w:r w:rsidR="00362018">
        <w:rPr>
          <w:rFonts w:eastAsia="Calibri" w:cs="Segoe UI"/>
        </w:rPr>
        <w:t>t</w:t>
      </w:r>
      <w:r w:rsidRPr="00824739">
        <w:rPr>
          <w:rFonts w:eastAsia="Calibri" w:cs="Segoe UI"/>
        </w:rPr>
        <w:t xml:space="preserve">erritory governments </w:t>
      </w:r>
    </w:p>
    <w:p w14:paraId="6723284B" w14:textId="770BBA44" w:rsidR="00840D9F" w:rsidRDefault="00840D9F" w:rsidP="00281153">
      <w:pPr>
        <w:pStyle w:val="ListParagraph"/>
        <w:numPr>
          <w:ilvl w:val="1"/>
          <w:numId w:val="102"/>
        </w:numPr>
        <w:spacing w:before="120" w:after="120"/>
        <w:rPr>
          <w:rFonts w:eastAsia="Calibri" w:cs="Segoe UI"/>
        </w:rPr>
      </w:pPr>
      <w:r w:rsidRPr="00824739">
        <w:rPr>
          <w:rFonts w:eastAsia="Calibri" w:cs="Segoe UI"/>
        </w:rPr>
        <w:t>The horizon scanning should have performance measures to ensure it is efficient and effective for its purpose</w:t>
      </w:r>
      <w:r w:rsidR="00362018">
        <w:rPr>
          <w:rFonts w:eastAsia="Calibri" w:cs="Segoe UI"/>
        </w:rPr>
        <w:t>,</w:t>
      </w:r>
      <w:r w:rsidRPr="00824739">
        <w:rPr>
          <w:rFonts w:eastAsia="Calibri" w:cs="Segoe UI"/>
        </w:rPr>
        <w:t xml:space="preserve"> and a mechanism </w:t>
      </w:r>
      <w:r w:rsidR="00362018">
        <w:rPr>
          <w:rFonts w:eastAsia="Calibri" w:cs="Segoe UI"/>
        </w:rPr>
        <w:t>for</w:t>
      </w:r>
      <w:r w:rsidR="00362018" w:rsidRPr="00824739">
        <w:rPr>
          <w:rFonts w:eastAsia="Calibri" w:cs="Segoe UI"/>
        </w:rPr>
        <w:t xml:space="preserve"> </w:t>
      </w:r>
      <w:r w:rsidRPr="00824739">
        <w:rPr>
          <w:rFonts w:eastAsia="Calibri" w:cs="Segoe UI"/>
        </w:rPr>
        <w:t xml:space="preserve">accountability </w:t>
      </w:r>
      <w:r w:rsidR="00362018">
        <w:rPr>
          <w:rFonts w:eastAsia="Calibri" w:cs="Segoe UI"/>
        </w:rPr>
        <w:t>of</w:t>
      </w:r>
      <w:r w:rsidR="00362018" w:rsidRPr="00824739">
        <w:rPr>
          <w:rFonts w:eastAsia="Calibri" w:cs="Segoe UI"/>
        </w:rPr>
        <w:t xml:space="preserve"> </w:t>
      </w:r>
      <w:r w:rsidRPr="00824739">
        <w:rPr>
          <w:rFonts w:eastAsia="Calibri" w:cs="Segoe UI"/>
        </w:rPr>
        <w:t xml:space="preserve">results to be actioned in preparation </w:t>
      </w:r>
      <w:r w:rsidR="00362018">
        <w:rPr>
          <w:rFonts w:eastAsia="Calibri" w:cs="Segoe UI"/>
        </w:rPr>
        <w:t xml:space="preserve">for </w:t>
      </w:r>
      <w:r w:rsidRPr="00824739">
        <w:rPr>
          <w:rFonts w:eastAsia="Calibri" w:cs="Segoe UI"/>
        </w:rPr>
        <w:t xml:space="preserve">and </w:t>
      </w:r>
      <w:r w:rsidR="00362018">
        <w:rPr>
          <w:rFonts w:eastAsia="Calibri" w:cs="Segoe UI"/>
        </w:rPr>
        <w:t xml:space="preserve">to </w:t>
      </w:r>
      <w:r w:rsidRPr="00824739">
        <w:rPr>
          <w:rFonts w:eastAsia="Calibri" w:cs="Segoe UI"/>
        </w:rPr>
        <w:t>inform implementation planning</w:t>
      </w:r>
    </w:p>
    <w:p w14:paraId="6E4D937F" w14:textId="26569187" w:rsidR="00840D9F" w:rsidRPr="00824739" w:rsidRDefault="008D730D" w:rsidP="00281153">
      <w:pPr>
        <w:pStyle w:val="ListParagraph"/>
        <w:numPr>
          <w:ilvl w:val="1"/>
          <w:numId w:val="102"/>
        </w:numPr>
        <w:spacing w:before="120" w:after="120"/>
        <w:rPr>
          <w:rFonts w:eastAsia="Calibri" w:cs="Segoe UI"/>
        </w:rPr>
      </w:pPr>
      <w:r>
        <w:rPr>
          <w:rFonts w:eastAsia="Calibri" w:cs="Segoe UI"/>
        </w:rPr>
        <w:t>J</w:t>
      </w:r>
      <w:r w:rsidR="00840D9F">
        <w:rPr>
          <w:rFonts w:eastAsia="Calibri" w:cs="Segoe UI"/>
        </w:rPr>
        <w:t>oint fund</w:t>
      </w:r>
      <w:r>
        <w:rPr>
          <w:rFonts w:eastAsia="Calibri" w:cs="Segoe UI"/>
        </w:rPr>
        <w:t>ing</w:t>
      </w:r>
      <w:r w:rsidR="00840D9F">
        <w:rPr>
          <w:rFonts w:eastAsia="Calibri" w:cs="Segoe UI"/>
        </w:rPr>
        <w:t xml:space="preserve"> by the Australian and </w:t>
      </w:r>
      <w:r w:rsidR="00362018">
        <w:rPr>
          <w:rFonts w:eastAsia="Calibri" w:cs="Segoe UI"/>
        </w:rPr>
        <w:t>s</w:t>
      </w:r>
      <w:r w:rsidR="00840D9F">
        <w:rPr>
          <w:rFonts w:eastAsia="Calibri" w:cs="Segoe UI"/>
        </w:rPr>
        <w:t xml:space="preserve">tate and </w:t>
      </w:r>
      <w:r w:rsidR="00362018">
        <w:rPr>
          <w:rFonts w:eastAsia="Calibri" w:cs="Segoe UI"/>
        </w:rPr>
        <w:t>t</w:t>
      </w:r>
      <w:r w:rsidR="00840D9F">
        <w:rPr>
          <w:rFonts w:eastAsia="Calibri" w:cs="Segoe UI"/>
        </w:rPr>
        <w:t xml:space="preserve">erritory </w:t>
      </w:r>
      <w:r w:rsidR="00362018">
        <w:rPr>
          <w:rFonts w:eastAsia="Calibri" w:cs="Segoe UI"/>
        </w:rPr>
        <w:t>g</w:t>
      </w:r>
      <w:r w:rsidR="00840D9F">
        <w:rPr>
          <w:rFonts w:eastAsia="Calibri" w:cs="Segoe UI"/>
        </w:rPr>
        <w:t>overnments and industry</w:t>
      </w:r>
      <w:r>
        <w:rPr>
          <w:rFonts w:eastAsia="Calibri" w:cs="Segoe UI"/>
        </w:rPr>
        <w:t xml:space="preserve"> should be explored</w:t>
      </w:r>
      <w:r w:rsidR="00FF5D8C">
        <w:rPr>
          <w:rFonts w:eastAsia="Calibri" w:cs="Segoe UI"/>
        </w:rPr>
        <w:t>.</w:t>
      </w:r>
      <w:r w:rsidR="00840D9F">
        <w:rPr>
          <w:rFonts w:eastAsia="Calibri" w:cs="Segoe UI"/>
        </w:rPr>
        <w:t xml:space="preserve"> </w:t>
      </w:r>
    </w:p>
    <w:p w14:paraId="08DE5A7A" w14:textId="61E2DDB8" w:rsidR="00647849" w:rsidRDefault="00362018" w:rsidP="00281153">
      <w:pPr>
        <w:pStyle w:val="ListParagraph"/>
        <w:numPr>
          <w:ilvl w:val="0"/>
          <w:numId w:val="102"/>
        </w:numPr>
        <w:spacing w:after="240"/>
        <w:rPr>
          <w:rFonts w:eastAsia="Calibri" w:cs="Segoe UI"/>
        </w:rPr>
      </w:pPr>
      <w:bookmarkStart w:id="182" w:name="_Toc164781649"/>
      <w:r>
        <w:rPr>
          <w:rFonts w:eastAsia="Calibri" w:cs="Segoe UI"/>
        </w:rPr>
        <w:t>d</w:t>
      </w:r>
      <w:r w:rsidR="00340FFD">
        <w:rPr>
          <w:rFonts w:eastAsia="Calibri" w:cs="Segoe UI"/>
        </w:rPr>
        <w:t xml:space="preserve">evelop a framework for </w:t>
      </w:r>
      <w:r w:rsidR="005E0212">
        <w:rPr>
          <w:rFonts w:eastAsia="Calibri" w:cs="Segoe UI"/>
        </w:rPr>
        <w:t>systematic input</w:t>
      </w:r>
      <w:r w:rsidR="00ED4ED2" w:rsidRPr="00ED4ED2">
        <w:rPr>
          <w:rFonts w:eastAsia="Calibri" w:cs="Segoe UI"/>
        </w:rPr>
        <w:t>, consultation and work sharing by state and territory governments across the health technology lifecycle to support efficient and effective implementation and use of health technologies</w:t>
      </w:r>
      <w:r>
        <w:rPr>
          <w:rFonts w:eastAsia="Calibri" w:cs="Segoe UI"/>
        </w:rPr>
        <w:t>. This</w:t>
      </w:r>
      <w:r w:rsidR="00ED4ED2" w:rsidRPr="00ED4ED2">
        <w:rPr>
          <w:rFonts w:eastAsia="Calibri" w:cs="Segoe UI"/>
        </w:rPr>
        <w:t xml:space="preserve"> includ</w:t>
      </w:r>
      <w:r>
        <w:rPr>
          <w:rFonts w:eastAsia="Calibri" w:cs="Segoe UI"/>
        </w:rPr>
        <w:t>es</w:t>
      </w:r>
      <w:r w:rsidR="00ED4ED2" w:rsidRPr="00ED4ED2">
        <w:rPr>
          <w:rFonts w:eastAsia="Calibri" w:cs="Segoe UI"/>
        </w:rPr>
        <w:t xml:space="preserve"> providing </w:t>
      </w:r>
      <w:r>
        <w:rPr>
          <w:rFonts w:eastAsia="Calibri" w:cs="Segoe UI"/>
        </w:rPr>
        <w:t>s</w:t>
      </w:r>
      <w:r w:rsidR="00ED4ED2" w:rsidRPr="00ED4ED2">
        <w:rPr>
          <w:rFonts w:eastAsia="Calibri" w:cs="Segoe UI"/>
        </w:rPr>
        <w:t xml:space="preserve">tate and </w:t>
      </w:r>
      <w:r>
        <w:rPr>
          <w:rFonts w:eastAsia="Calibri" w:cs="Segoe UI"/>
        </w:rPr>
        <w:t>t</w:t>
      </w:r>
      <w:r w:rsidR="00ED4ED2" w:rsidRPr="00ED4ED2">
        <w:rPr>
          <w:rFonts w:eastAsia="Calibri" w:cs="Segoe UI"/>
        </w:rPr>
        <w:t xml:space="preserve">erritory health departments </w:t>
      </w:r>
      <w:r>
        <w:rPr>
          <w:rFonts w:eastAsia="Calibri" w:cs="Segoe UI"/>
        </w:rPr>
        <w:t xml:space="preserve">with </w:t>
      </w:r>
      <w:r w:rsidR="00ED4ED2" w:rsidRPr="00ED4ED2">
        <w:rPr>
          <w:rFonts w:eastAsia="Calibri" w:cs="Segoe UI"/>
        </w:rPr>
        <w:t xml:space="preserve">opportunities for consultation and collaboration on HTA decisions that will have a significant financial or operational impact on them (see </w:t>
      </w:r>
      <w:r w:rsidR="00586E08">
        <w:rPr>
          <w:rFonts w:eastAsia="Calibri" w:cs="Segoe UI"/>
        </w:rPr>
        <w:t>Chapter 9.4</w:t>
      </w:r>
      <w:r w:rsidR="00ED4ED2" w:rsidRPr="00ED4ED2">
        <w:rPr>
          <w:rFonts w:eastAsia="Calibri" w:cs="Segoe UI"/>
        </w:rPr>
        <w:t>)</w:t>
      </w:r>
      <w:r w:rsidR="006908DE">
        <w:rPr>
          <w:rFonts w:eastAsia="Calibri" w:cs="Segoe UI"/>
        </w:rPr>
        <w:t>.</w:t>
      </w:r>
    </w:p>
    <w:p w14:paraId="03E30066" w14:textId="2D8F319E" w:rsidR="006E12DF" w:rsidRPr="006E12DF" w:rsidRDefault="0038035C" w:rsidP="00F51C08">
      <w:pPr>
        <w:pStyle w:val="Heading2"/>
        <w:rPr>
          <w:rFonts w:cs="Segoe UI Light"/>
          <w:color w:val="00869B" w:themeColor="accent6" w:themeShade="BF"/>
          <w:kern w:val="28"/>
        </w:rPr>
      </w:pPr>
      <w:bookmarkStart w:id="183" w:name="_Toc171935875"/>
      <w:r>
        <w:t xml:space="preserve">Chapter </w:t>
      </w:r>
      <w:r w:rsidR="00E74923">
        <w:t>4</w:t>
      </w:r>
      <w:r>
        <w:t>.</w:t>
      </w:r>
      <w:r w:rsidR="00A543D8">
        <w:t>5</w:t>
      </w:r>
      <w:r>
        <w:t xml:space="preserve">: </w:t>
      </w:r>
      <w:r w:rsidR="00E55E02">
        <w:t>L</w:t>
      </w:r>
      <w:r w:rsidR="006E12DF" w:rsidRPr="39D602E1">
        <w:t>ife-saving drugs for patients with ultra-rare diseases (Life Saving Drugs Program</w:t>
      </w:r>
      <w:bookmarkEnd w:id="182"/>
      <w:r w:rsidR="006E12DF" w:rsidRPr="39D602E1">
        <w:t>)</w:t>
      </w:r>
      <w:bookmarkEnd w:id="183"/>
    </w:p>
    <w:p w14:paraId="5F7CD43A" w14:textId="1C0EB2F6" w:rsidR="009251DD" w:rsidRDefault="009251DD" w:rsidP="009251DD">
      <w:pPr>
        <w:pStyle w:val="Heading3"/>
      </w:pPr>
      <w:r>
        <w:t>Introduction and context</w:t>
      </w:r>
    </w:p>
    <w:p w14:paraId="369300A7" w14:textId="517CF34E" w:rsidR="006E12DF" w:rsidRPr="0071421B" w:rsidRDefault="00994328" w:rsidP="0022480A">
      <w:r>
        <w:t xml:space="preserve">The </w:t>
      </w:r>
      <w:r w:rsidR="006E12DF" w:rsidRPr="0071421B">
        <w:t xml:space="preserve">Life Saving Drugs Program (LSDP) is a medicines funding program separate from the PBS that funds specific, </w:t>
      </w:r>
      <w:bookmarkStart w:id="184" w:name="_Hlk167368561"/>
      <w:r w:rsidR="512DBDC5" w:rsidRPr="0071421B">
        <w:t>life</w:t>
      </w:r>
      <w:r w:rsidR="00600DBC">
        <w:t>-</w:t>
      </w:r>
      <w:r w:rsidR="512DBDC5" w:rsidRPr="0071421B">
        <w:t>saving</w:t>
      </w:r>
      <w:r w:rsidR="006E12DF" w:rsidRPr="0071421B">
        <w:t xml:space="preserve"> </w:t>
      </w:r>
      <w:bookmarkEnd w:id="184"/>
      <w:r w:rsidR="006E12DF" w:rsidRPr="0071421B">
        <w:t>treatments for patients with ultra</w:t>
      </w:r>
      <w:r w:rsidR="00350D25">
        <w:t>-</w:t>
      </w:r>
      <w:r w:rsidR="006E12DF" w:rsidRPr="0071421B">
        <w:t xml:space="preserve">rare diseases. </w:t>
      </w:r>
      <w:r w:rsidR="002F11C3">
        <w:t>I</w:t>
      </w:r>
      <w:r w:rsidR="006E12DF" w:rsidRPr="0071421B">
        <w:t xml:space="preserve">n </w:t>
      </w:r>
      <w:r w:rsidR="002F11C3">
        <w:t>Australia, ultra-rare</w:t>
      </w:r>
      <w:r w:rsidR="006E12DF" w:rsidRPr="0071421B">
        <w:t xml:space="preserve"> is define</w:t>
      </w:r>
      <w:r w:rsidR="00350D25">
        <w:t>d</w:t>
      </w:r>
      <w:r w:rsidR="006E12DF" w:rsidRPr="0071421B">
        <w:t xml:space="preserve"> as </w:t>
      </w:r>
      <w:r w:rsidR="00506181" w:rsidRPr="00506181">
        <w:t xml:space="preserve">1 case per 50,000 people or fewer </w:t>
      </w:r>
      <w:r w:rsidR="002F11C3">
        <w:t>of</w:t>
      </w:r>
      <w:r w:rsidR="00506181" w:rsidRPr="00506181">
        <w:t xml:space="preserve"> the Australian population, or </w:t>
      </w:r>
      <w:r w:rsidR="005C5C8F">
        <w:t xml:space="preserve">fewer than </w:t>
      </w:r>
      <w:r w:rsidR="00506181" w:rsidRPr="00506181">
        <w:t>approximately 500 people</w:t>
      </w:r>
      <w:r w:rsidR="005C5C8F">
        <w:t xml:space="preserve"> in the Australian population</w:t>
      </w:r>
      <w:r w:rsidR="006E12DF" w:rsidRPr="0071421B">
        <w:t xml:space="preserve">. </w:t>
      </w:r>
    </w:p>
    <w:p w14:paraId="23517CD0" w14:textId="22E3D004" w:rsidR="006A6974" w:rsidRDefault="006E12DF" w:rsidP="0022480A">
      <w:pPr>
        <w:rPr>
          <w:rFonts w:cs="Segoe UI"/>
        </w:rPr>
      </w:pPr>
      <w:r>
        <w:t>For a medicine to be eligible for the LSDP,</w:t>
      </w:r>
      <w:r w:rsidR="00FF7C4C" w:rsidRPr="00FF7C4C">
        <w:rPr>
          <w:rFonts w:cs="Segoe UI"/>
        </w:rPr>
        <w:t xml:space="preserve"> </w:t>
      </w:r>
      <w:r w:rsidR="00CA6937">
        <w:rPr>
          <w:rFonts w:cs="Segoe UI"/>
        </w:rPr>
        <w:t>the PBAC</w:t>
      </w:r>
      <w:r w:rsidR="00FF7C4C" w:rsidRPr="00FF7C4C">
        <w:rPr>
          <w:rFonts w:cs="Segoe UI"/>
        </w:rPr>
        <w:t xml:space="preserve"> must have considere</w:t>
      </w:r>
      <w:r w:rsidR="003411CB">
        <w:rPr>
          <w:rFonts w:cs="Segoe UI"/>
        </w:rPr>
        <w:t>d it</w:t>
      </w:r>
      <w:r w:rsidR="00FF7C4C" w:rsidRPr="00FF7C4C">
        <w:rPr>
          <w:rFonts w:cs="Segoe UI"/>
        </w:rPr>
        <w:t xml:space="preserve"> to be clinically effective, but not sufficiently cost</w:t>
      </w:r>
      <w:r w:rsidR="00600DBC">
        <w:rPr>
          <w:rFonts w:cs="Segoe UI"/>
        </w:rPr>
        <w:t>-</w:t>
      </w:r>
      <w:r w:rsidR="00FF7C4C" w:rsidRPr="00FF7C4C">
        <w:rPr>
          <w:rFonts w:cs="Segoe UI"/>
        </w:rPr>
        <w:t xml:space="preserve">effective </w:t>
      </w:r>
      <w:r w:rsidR="00FF7C4C" w:rsidRPr="00464A71">
        <w:rPr>
          <w:rFonts w:cs="Segoe UI"/>
        </w:rPr>
        <w:t>to list on the PBS</w:t>
      </w:r>
      <w:r w:rsidR="00600DBC">
        <w:rPr>
          <w:rFonts w:cs="Segoe UI"/>
        </w:rPr>
        <w:t xml:space="preserve">. It must also </w:t>
      </w:r>
      <w:r w:rsidR="00464A71" w:rsidRPr="00464A71">
        <w:rPr>
          <w:rFonts w:cs="Segoe UI"/>
        </w:rPr>
        <w:t>meet LSDP eligibility criteria as assessed by the LSDP Expert</w:t>
      </w:r>
      <w:r w:rsidR="00421760">
        <w:rPr>
          <w:rFonts w:cs="Segoe UI"/>
        </w:rPr>
        <w:t xml:space="preserve"> Panel</w:t>
      </w:r>
      <w:r w:rsidR="00FF7C4C" w:rsidRPr="00464A71">
        <w:rPr>
          <w:rFonts w:cs="Segoe UI"/>
        </w:rPr>
        <w:t>.</w:t>
      </w:r>
    </w:p>
    <w:p w14:paraId="18B8A836" w14:textId="7BF8A40D" w:rsidR="00B929C0" w:rsidRPr="006E12DF" w:rsidRDefault="006E12DF" w:rsidP="00A213DA">
      <w:pPr>
        <w:spacing w:after="120"/>
      </w:pPr>
      <w:r>
        <w:lastRenderedPageBreak/>
        <w:t xml:space="preserve"> </w:t>
      </w:r>
      <w:r w:rsidR="00EE0692">
        <w:rPr>
          <w:noProof/>
        </w:rPr>
        <w:drawing>
          <wp:inline distT="0" distB="0" distL="0" distR="0" wp14:anchorId="6766B425" wp14:editId="255321CD">
            <wp:extent cx="5858510" cy="6882765"/>
            <wp:effectExtent l="0" t="0" r="0" b="0"/>
            <wp:docPr id="464790334" name="Picture 464790334" descr="Pathway showing current state for how treatments for ultra-rare conditions are listed on the Life Saving Drugs Program (LSD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790334" name="Picture 464790334" descr="Pathway showing current state for how treatments for ultra-rare conditions are listed on the Life Saving Drugs Program (LSD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58510" cy="6882765"/>
                    </a:xfrm>
                    <a:prstGeom prst="rect">
                      <a:avLst/>
                    </a:prstGeom>
                    <a:noFill/>
                  </pic:spPr>
                </pic:pic>
              </a:graphicData>
            </a:graphic>
          </wp:inline>
        </w:drawing>
      </w:r>
    </w:p>
    <w:p w14:paraId="3F840A20" w14:textId="18AFF429" w:rsidR="00C7353D" w:rsidRPr="006E12DF" w:rsidRDefault="00C7353D" w:rsidP="00C7353D">
      <w:pPr>
        <w:pStyle w:val="Caption"/>
      </w:pPr>
      <w:bookmarkStart w:id="185" w:name="_Toc171935090"/>
      <w:r>
        <w:t xml:space="preserve">Figure </w:t>
      </w:r>
      <w:r>
        <w:fldChar w:fldCharType="begin" w:fldLock="1"/>
      </w:r>
      <w:r>
        <w:instrText>SEQ Figure \* ARABIC</w:instrText>
      </w:r>
      <w:r>
        <w:fldChar w:fldCharType="separate"/>
      </w:r>
      <w:r w:rsidR="00FA396E" w:rsidRPr="00A318F7">
        <w:t>2</w:t>
      </w:r>
      <w:r>
        <w:fldChar w:fldCharType="end"/>
      </w:r>
      <w:r>
        <w:t xml:space="preserve">: </w:t>
      </w:r>
      <w:r w:rsidR="00311A93">
        <w:t>The</w:t>
      </w:r>
      <w:r w:rsidR="00323FBD">
        <w:t xml:space="preserve"> </w:t>
      </w:r>
      <w:r>
        <w:t xml:space="preserve">HTA pathway for </w:t>
      </w:r>
      <w:r w:rsidR="00323FBD">
        <w:t xml:space="preserve">health technologies seeking </w:t>
      </w:r>
      <w:r>
        <w:t>funding through</w:t>
      </w:r>
      <w:r w:rsidR="00600DBC">
        <w:t xml:space="preserve"> the</w:t>
      </w:r>
      <w:r>
        <w:t xml:space="preserve"> LSDP</w:t>
      </w:r>
      <w:bookmarkEnd w:id="185"/>
    </w:p>
    <w:p w14:paraId="7645FBA3" w14:textId="17DF710B" w:rsidR="006E12DF" w:rsidRPr="006E12DF" w:rsidRDefault="00D16D80" w:rsidP="00A318F7">
      <w:pPr>
        <w:pStyle w:val="Heading3"/>
        <w:rPr>
          <w:rFonts w:cs="Segoe UI"/>
          <w:sz w:val="32"/>
          <w:szCs w:val="32"/>
        </w:rPr>
      </w:pPr>
      <w:r>
        <w:t>Findings</w:t>
      </w:r>
    </w:p>
    <w:p w14:paraId="75D3A568" w14:textId="3136800B" w:rsidR="006E12DF" w:rsidRPr="00D207FD" w:rsidRDefault="006E12DF" w:rsidP="0022480A">
      <w:pPr>
        <w:rPr>
          <w:rFonts w:cs="Segoe UI"/>
        </w:rPr>
      </w:pPr>
      <w:r w:rsidRPr="00D207FD">
        <w:rPr>
          <w:rFonts w:cs="Segoe UI"/>
        </w:rPr>
        <w:t>During the review process, the Review agreed that it was important to examine the prior experiences and current operation of the LSDP, to ensure HTA policy, processes and methods are well adapted to, and capable of, assessing health technologies that are best suited</w:t>
      </w:r>
      <w:r w:rsidR="00CD465F">
        <w:rPr>
          <w:rFonts w:cs="Segoe UI"/>
        </w:rPr>
        <w:t xml:space="preserve"> to</w:t>
      </w:r>
      <w:r w:rsidRPr="00D207FD">
        <w:rPr>
          <w:rFonts w:cs="Segoe UI"/>
        </w:rPr>
        <w:t xml:space="preserve"> provisioning and access through the LSDP arrangements.</w:t>
      </w:r>
    </w:p>
    <w:p w14:paraId="537D7719" w14:textId="12DAF3DA" w:rsidR="006E12DF" w:rsidRPr="00D207FD" w:rsidRDefault="000727C6" w:rsidP="0022480A">
      <w:pPr>
        <w:rPr>
          <w:rFonts w:cs="Segoe UI"/>
        </w:rPr>
      </w:pPr>
      <w:r>
        <w:rPr>
          <w:rFonts w:cs="Segoe UI"/>
        </w:rPr>
        <w:lastRenderedPageBreak/>
        <w:t>S</w:t>
      </w:r>
      <w:r w:rsidR="006E12DF" w:rsidRPr="00D207FD">
        <w:rPr>
          <w:rFonts w:cs="Segoe UI"/>
        </w:rPr>
        <w:t xml:space="preserve">takeholder feedback from patients, industry, service delivery and healthcare payers </w:t>
      </w:r>
      <w:r w:rsidR="00933F06" w:rsidRPr="00F83813">
        <w:rPr>
          <w:rFonts w:cs="Segoe UI"/>
        </w:rPr>
        <w:t>(i.e. governments)</w:t>
      </w:r>
      <w:r w:rsidR="00933F06">
        <w:rPr>
          <w:rFonts w:cs="Segoe UI"/>
        </w:rPr>
        <w:t xml:space="preserve"> </w:t>
      </w:r>
      <w:r w:rsidR="006E12DF" w:rsidRPr="00D207FD">
        <w:rPr>
          <w:rFonts w:cs="Segoe UI"/>
        </w:rPr>
        <w:t xml:space="preserve">during consultations and as part of </w:t>
      </w:r>
      <w:r w:rsidR="006E12DF" w:rsidRPr="000C5623">
        <w:rPr>
          <w:rFonts w:cs="Segoe UI"/>
          <w:iCs/>
        </w:rPr>
        <w:t>The</w:t>
      </w:r>
      <w:r w:rsidR="006E12DF" w:rsidRPr="00E33E7E">
        <w:rPr>
          <w:rFonts w:cs="Segoe UI"/>
          <w:iCs/>
        </w:rPr>
        <w:t xml:space="preserve"> </w:t>
      </w:r>
      <w:r w:rsidR="006E12DF" w:rsidRPr="000C5623">
        <w:rPr>
          <w:rFonts w:cs="Segoe UI"/>
          <w:iCs/>
        </w:rPr>
        <w:t>New Frontier</w:t>
      </w:r>
      <w:r w:rsidR="006E12DF" w:rsidRPr="00D207FD">
        <w:rPr>
          <w:rFonts w:cs="Segoe UI"/>
          <w:i/>
        </w:rPr>
        <w:t xml:space="preserve"> </w:t>
      </w:r>
      <w:r w:rsidR="00E33E7E">
        <w:rPr>
          <w:rFonts w:cs="Segoe UI"/>
        </w:rPr>
        <w:t>i</w:t>
      </w:r>
      <w:r w:rsidR="006E12DF" w:rsidRPr="00D207FD">
        <w:rPr>
          <w:rFonts w:cs="Segoe UI"/>
        </w:rPr>
        <w:t>nquiry</w:t>
      </w:r>
      <w:r w:rsidR="00A1457D">
        <w:rPr>
          <w:rFonts w:cs="Segoe UI"/>
        </w:rPr>
        <w:fldChar w:fldCharType="begin" w:fldLock="1"/>
      </w:r>
      <w:r w:rsidR="00A1457D">
        <w:rPr>
          <w:rFonts w:cs="Segoe UI"/>
        </w:rPr>
        <w:instrText xml:space="preserve"> NOTEREF _Ref165577768 \f \h </w:instrText>
      </w:r>
      <w:r w:rsidR="00A1457D">
        <w:rPr>
          <w:rFonts w:cs="Segoe UI"/>
        </w:rPr>
      </w:r>
      <w:r w:rsidR="00A1457D">
        <w:rPr>
          <w:rFonts w:cs="Segoe UI"/>
        </w:rPr>
        <w:fldChar w:fldCharType="separate"/>
      </w:r>
      <w:r w:rsidR="00F33A9E">
        <w:rPr>
          <w:rStyle w:val="FootnoteReference"/>
          <w:rFonts w:cs="Segoe UI"/>
        </w:rPr>
        <w:footnoteReference w:id="59"/>
      </w:r>
      <w:r w:rsidR="00A1457D">
        <w:rPr>
          <w:rFonts w:cs="Segoe UI"/>
        </w:rPr>
        <w:fldChar w:fldCharType="end"/>
      </w:r>
      <w:r w:rsidR="006E12DF" w:rsidRPr="00D207FD">
        <w:rPr>
          <w:rFonts w:cs="Segoe UI"/>
        </w:rPr>
        <w:t xml:space="preserve"> </w:t>
      </w:r>
      <w:r>
        <w:rPr>
          <w:rFonts w:cs="Segoe UI"/>
        </w:rPr>
        <w:t xml:space="preserve">consistently </w:t>
      </w:r>
      <w:r w:rsidR="006E12DF" w:rsidRPr="00D207FD">
        <w:rPr>
          <w:rFonts w:cs="Segoe UI"/>
        </w:rPr>
        <w:t>emphasis</w:t>
      </w:r>
      <w:r>
        <w:rPr>
          <w:rFonts w:cs="Segoe UI"/>
        </w:rPr>
        <w:t>ed</w:t>
      </w:r>
      <w:r w:rsidR="006E12DF" w:rsidRPr="00D207FD">
        <w:rPr>
          <w:rFonts w:cs="Segoe UI"/>
        </w:rPr>
        <w:t xml:space="preserve"> the importance of the LSDP as:</w:t>
      </w:r>
    </w:p>
    <w:p w14:paraId="0F4EDEB7" w14:textId="599E76B7" w:rsidR="006E12DF" w:rsidRPr="00D207FD" w:rsidRDefault="009F2B5C" w:rsidP="00274AA9">
      <w:pPr>
        <w:pStyle w:val="ListBullet"/>
      </w:pPr>
      <w:r>
        <w:t>a</w:t>
      </w:r>
      <w:r w:rsidR="006E12DF" w:rsidRPr="00D207FD">
        <w:t xml:space="preserve">n individual health technology access program for individual patients </w:t>
      </w:r>
    </w:p>
    <w:p w14:paraId="5FC2C3C8" w14:textId="75503B63" w:rsidR="006E12DF" w:rsidRPr="00D207FD" w:rsidRDefault="006E12DF" w:rsidP="00274AA9">
      <w:pPr>
        <w:pStyle w:val="ListBullet"/>
      </w:pPr>
      <w:r w:rsidRPr="00D207FD">
        <w:t>a broader example of a health policy approach that seeks to address health equity for under-represented sub</w:t>
      </w:r>
      <w:r w:rsidR="00FD671B">
        <w:t>-</w:t>
      </w:r>
      <w:r w:rsidRPr="00D207FD">
        <w:t>populations with ultra-rare diseases.</w:t>
      </w:r>
    </w:p>
    <w:p w14:paraId="4DDDBD6D" w14:textId="734A8B50" w:rsidR="006E12DF" w:rsidRPr="00D207FD" w:rsidRDefault="006E12DF" w:rsidP="00D17B1B">
      <w:pPr>
        <w:spacing w:before="240"/>
        <w:rPr>
          <w:rFonts w:cs="Segoe UI"/>
        </w:rPr>
      </w:pPr>
      <w:r w:rsidRPr="00D207FD">
        <w:rPr>
          <w:rFonts w:cs="Segoe UI"/>
        </w:rPr>
        <w:t xml:space="preserve">Stakeholder responses to proposed options for process reforms </w:t>
      </w:r>
      <w:r w:rsidR="00421760">
        <w:rPr>
          <w:rFonts w:cs="Segoe UI"/>
        </w:rPr>
        <w:t xml:space="preserve">to </w:t>
      </w:r>
      <w:r w:rsidRPr="00D207FD">
        <w:rPr>
          <w:rFonts w:cs="Segoe UI"/>
        </w:rPr>
        <w:t>streamlin</w:t>
      </w:r>
      <w:r w:rsidR="00421760">
        <w:rPr>
          <w:rFonts w:cs="Segoe UI"/>
        </w:rPr>
        <w:t>e</w:t>
      </w:r>
      <w:r w:rsidRPr="00D207FD">
        <w:rPr>
          <w:rFonts w:cs="Segoe UI"/>
        </w:rPr>
        <w:t xml:space="preserve"> and align</w:t>
      </w:r>
      <w:r w:rsidR="00421760">
        <w:rPr>
          <w:rFonts w:cs="Segoe UI"/>
        </w:rPr>
        <w:t xml:space="preserve"> </w:t>
      </w:r>
      <w:r w:rsidRPr="00D207FD">
        <w:rPr>
          <w:rFonts w:cs="Segoe UI"/>
        </w:rPr>
        <w:t xml:space="preserve">HTA pathways and advisory committees (including prospective realignment of LSDP HTA evaluation under the PBAC) were cautiously supportive and positive in-principle. </w:t>
      </w:r>
    </w:p>
    <w:p w14:paraId="4EB8DC68" w14:textId="0DCF6EDB" w:rsidR="006E12DF" w:rsidRPr="006E12DF" w:rsidRDefault="006E12DF" w:rsidP="0022480A">
      <w:r w:rsidRPr="00D207FD">
        <w:rPr>
          <w:rFonts w:cs="Segoe UI"/>
        </w:rPr>
        <w:t xml:space="preserve">However, a subset of industry and expert stakeholders raised concerns regarding the possible consequences arising from </w:t>
      </w:r>
      <w:r w:rsidR="00421760">
        <w:rPr>
          <w:rFonts w:cs="Segoe UI"/>
        </w:rPr>
        <w:t xml:space="preserve">the </w:t>
      </w:r>
      <w:r w:rsidRPr="00D207FD">
        <w:rPr>
          <w:rFonts w:cs="Segoe UI"/>
        </w:rPr>
        <w:t>PBAC absorbing LSDP advisory functions under its program scope. These included possible changes in the way clinical and cost factors for health technologies would be considered as part of LSDP recommendations, and flow-on implications (positive and negative) for how LSDP recommendations would be translated into administrative processes that supported patient access to therapies</w:t>
      </w:r>
      <w:r w:rsidR="00421760">
        <w:rPr>
          <w:rFonts w:cs="Segoe UI"/>
        </w:rPr>
        <w:t xml:space="preserve">. </w:t>
      </w:r>
      <w:r w:rsidR="002A70CC">
        <w:rPr>
          <w:rFonts w:cs="Segoe UI"/>
        </w:rPr>
        <w:t>Both the option of c</w:t>
      </w:r>
      <w:r w:rsidRPr="00D207FD">
        <w:rPr>
          <w:rFonts w:cs="Segoe UI"/>
        </w:rPr>
        <w:t>ontinu</w:t>
      </w:r>
      <w:r w:rsidR="002A70CC">
        <w:rPr>
          <w:rFonts w:cs="Segoe UI"/>
        </w:rPr>
        <w:t>ation of</w:t>
      </w:r>
      <w:r w:rsidRPr="00D207FD">
        <w:rPr>
          <w:rFonts w:cs="Segoe UI"/>
        </w:rPr>
        <w:t xml:space="preserve"> stand-alone operations </w:t>
      </w:r>
      <w:r w:rsidR="002A70CC">
        <w:rPr>
          <w:rFonts w:cs="Segoe UI"/>
        </w:rPr>
        <w:t>and the option of</w:t>
      </w:r>
      <w:r w:rsidRPr="00D207FD">
        <w:rPr>
          <w:rFonts w:cs="Segoe UI"/>
        </w:rPr>
        <w:t xml:space="preserve"> redesign into a Section 100 PBS program-style structure for administrative and program management efficiency</w:t>
      </w:r>
      <w:r w:rsidRPr="00D207FD">
        <w:rPr>
          <w:rFonts w:cs="Segoe UI"/>
          <w:vertAlign w:val="superscript"/>
        </w:rPr>
        <w:footnoteReference w:id="60"/>
      </w:r>
      <w:r w:rsidR="00421760">
        <w:rPr>
          <w:rFonts w:cs="Segoe UI"/>
        </w:rPr>
        <w:t xml:space="preserve"> were both considered</w:t>
      </w:r>
      <w:r w:rsidRPr="00D207FD">
        <w:rPr>
          <w:rFonts w:cs="Segoe UI"/>
        </w:rPr>
        <w:t xml:space="preserve">. </w:t>
      </w:r>
    </w:p>
    <w:p w14:paraId="24EC6B82" w14:textId="4BFB47D6" w:rsidR="006E12DF" w:rsidRPr="006E12DF" w:rsidRDefault="006E12DF" w:rsidP="0022480A">
      <w:pPr>
        <w:rPr>
          <w:rFonts w:cs="Segoe UI"/>
        </w:rPr>
      </w:pPr>
      <w:r w:rsidRPr="006E12DF">
        <w:t xml:space="preserve">The Review also </w:t>
      </w:r>
      <w:r w:rsidR="00A27198">
        <w:t>considered</w:t>
      </w:r>
      <w:r w:rsidRPr="006E12DF">
        <w:t xml:space="preserve"> the additional observations from the LSDP Expert Panel about the importance of </w:t>
      </w:r>
      <w:r w:rsidR="00BF7860">
        <w:t xml:space="preserve">having </w:t>
      </w:r>
      <w:r w:rsidRPr="006E12DF">
        <w:t xml:space="preserve">a clear statement of rationale for the LSDP, consistent with the </w:t>
      </w:r>
      <w:r w:rsidRPr="006E12DF">
        <w:rPr>
          <w:rFonts w:cs="Segoe UI"/>
        </w:rPr>
        <w:t xml:space="preserve">overarching recommendations of the LSDP </w:t>
      </w:r>
      <w:r w:rsidR="00BF7860">
        <w:rPr>
          <w:rFonts w:cs="Segoe UI"/>
        </w:rPr>
        <w:t>m</w:t>
      </w:r>
      <w:r w:rsidRPr="006E12DF">
        <w:rPr>
          <w:rFonts w:cs="Segoe UI"/>
        </w:rPr>
        <w:t xml:space="preserve">edicines </w:t>
      </w:r>
      <w:r w:rsidR="00BF7860">
        <w:rPr>
          <w:rFonts w:cs="Segoe UI"/>
        </w:rPr>
        <w:t>r</w:t>
      </w:r>
      <w:r w:rsidRPr="006E12DF">
        <w:rPr>
          <w:rFonts w:cs="Segoe UI"/>
        </w:rPr>
        <w:t>eviews in 2022</w:t>
      </w:r>
      <w:r w:rsidR="00BF7860">
        <w:rPr>
          <w:rFonts w:cs="Segoe UI"/>
        </w:rPr>
        <w:t>.</w:t>
      </w:r>
      <w:r w:rsidRPr="006E12DF">
        <w:rPr>
          <w:rFonts w:cs="Segoe UI"/>
          <w:vertAlign w:val="superscript"/>
        </w:rPr>
        <w:footnoteReference w:id="61"/>
      </w:r>
      <w:r w:rsidRPr="006E12DF">
        <w:rPr>
          <w:rFonts w:cs="Segoe UI"/>
        </w:rPr>
        <w:t xml:space="preserve"> In deliberating on this issue, the Review agreed that a clear statement of rationale would support transparency and stakeholder engagement by improving:</w:t>
      </w:r>
    </w:p>
    <w:p w14:paraId="1CE51905" w14:textId="01FFB4A3" w:rsidR="006E12DF" w:rsidRPr="00D207FD" w:rsidRDefault="00BF7860" w:rsidP="00281153">
      <w:pPr>
        <w:pStyle w:val="ListNumber"/>
        <w:numPr>
          <w:ilvl w:val="0"/>
          <w:numId w:val="118"/>
        </w:numPr>
      </w:pPr>
      <w:r>
        <w:t>c</w:t>
      </w:r>
      <w:r w:rsidR="006E12DF" w:rsidRPr="00D207FD">
        <w:t>larity about the principles underpinning the program, including the rationale for funding medicines for ultra</w:t>
      </w:r>
      <w:r>
        <w:t>-</w:t>
      </w:r>
      <w:r w:rsidR="006E12DF" w:rsidRPr="00D207FD">
        <w:t xml:space="preserve">rare conditions, such as (but not limited to) health equity considerations </w:t>
      </w:r>
    </w:p>
    <w:p w14:paraId="1BFD9089" w14:textId="49C1872A" w:rsidR="006E12DF" w:rsidRPr="00D207FD" w:rsidRDefault="00BF7860" w:rsidP="00281153">
      <w:pPr>
        <w:pStyle w:val="ListNumber"/>
        <w:numPr>
          <w:ilvl w:val="0"/>
          <w:numId w:val="118"/>
        </w:numPr>
      </w:pPr>
      <w:r>
        <w:t>u</w:t>
      </w:r>
      <w:r w:rsidR="006E12DF" w:rsidRPr="00D207FD">
        <w:t xml:space="preserve">nderstanding of the cost implications associated with LSDP therapies, including </w:t>
      </w:r>
      <w:r w:rsidR="00FE6C5D">
        <w:t>research and development</w:t>
      </w:r>
      <w:r w:rsidR="006E12DF" w:rsidRPr="00D207FD">
        <w:t xml:space="preserve"> </w:t>
      </w:r>
      <w:r w:rsidR="00D80389">
        <w:t xml:space="preserve">(R&amp;D) </w:t>
      </w:r>
      <w:r w:rsidR="006E12DF" w:rsidRPr="00D207FD">
        <w:t>for treatments, as well as costs to health</w:t>
      </w:r>
      <w:r w:rsidR="008722C8">
        <w:t>care</w:t>
      </w:r>
      <w:r w:rsidR="006E12DF" w:rsidRPr="00D207FD">
        <w:t xml:space="preserve"> payers</w:t>
      </w:r>
    </w:p>
    <w:p w14:paraId="699EA8B1" w14:textId="206B27B6" w:rsidR="006E12DF" w:rsidRPr="00A318F7" w:rsidRDefault="00BF7860" w:rsidP="00281153">
      <w:pPr>
        <w:pStyle w:val="ListNumber"/>
        <w:numPr>
          <w:ilvl w:val="0"/>
          <w:numId w:val="118"/>
        </w:numPr>
      </w:pPr>
      <w:r>
        <w:t>e</w:t>
      </w:r>
      <w:r w:rsidR="006E12DF" w:rsidRPr="00D207FD">
        <w:t xml:space="preserve">ngagement and dialogue about the interaction between eligibility and listing criteria, and broader medicines pricing and access policies (including clinical, cost and equity considerations), and the need to balance support for market </w:t>
      </w:r>
      <w:r w:rsidR="006E12DF" w:rsidRPr="00D207FD">
        <w:lastRenderedPageBreak/>
        <w:t>authorisation and subsidisation, patient access and overall program sustainability</w:t>
      </w:r>
      <w:r w:rsidR="006E12DF" w:rsidRPr="00A318F7">
        <w:t xml:space="preserve">. </w:t>
      </w:r>
    </w:p>
    <w:p w14:paraId="3936F35F" w14:textId="618A0392" w:rsidR="006E12DF" w:rsidRPr="006E12DF" w:rsidRDefault="006E12DF" w:rsidP="00A318F7">
      <w:pPr>
        <w:pStyle w:val="Heading3"/>
        <w:rPr>
          <w:rFonts w:cs="Segoe UI"/>
          <w:sz w:val="32"/>
          <w:szCs w:val="32"/>
        </w:rPr>
      </w:pPr>
      <w:bookmarkStart w:id="186" w:name="_Toc164781651"/>
      <w:r w:rsidRPr="39D602E1">
        <w:t>Conclusion</w:t>
      </w:r>
      <w:bookmarkEnd w:id="186"/>
    </w:p>
    <w:p w14:paraId="0C234B85" w14:textId="49DF263E" w:rsidR="006E12DF" w:rsidRPr="00D207FD" w:rsidRDefault="006E12DF" w:rsidP="0022480A">
      <w:pPr>
        <w:widowControl w:val="0"/>
        <w:spacing w:before="40" w:after="0"/>
        <w:rPr>
          <w:rFonts w:cs="Segoe UI"/>
        </w:rPr>
      </w:pPr>
      <w:r w:rsidRPr="004421F6">
        <w:rPr>
          <w:rFonts w:cs="Segoe UI"/>
        </w:rPr>
        <w:t>The Review reiterates that any redesign of HTA pathways and associated policy</w:t>
      </w:r>
      <w:r w:rsidR="004A6C9D">
        <w:rPr>
          <w:rFonts w:cs="Segoe UI"/>
        </w:rPr>
        <w:t xml:space="preserve"> and</w:t>
      </w:r>
      <w:r w:rsidRPr="004421F6">
        <w:rPr>
          <w:rFonts w:cs="Segoe UI"/>
        </w:rPr>
        <w:t>/</w:t>
      </w:r>
      <w:r w:rsidR="004A6C9D">
        <w:rPr>
          <w:rFonts w:cs="Segoe UI"/>
        </w:rPr>
        <w:t xml:space="preserve">or </w:t>
      </w:r>
      <w:r w:rsidRPr="004421F6">
        <w:rPr>
          <w:rFonts w:cs="Segoe UI"/>
        </w:rPr>
        <w:t>guidance for the LSDP needs to be sufficiently flexible and clear to stakeholders</w:t>
      </w:r>
      <w:r w:rsidR="008D2DB5">
        <w:rPr>
          <w:rFonts w:cs="Segoe UI"/>
        </w:rPr>
        <w:t xml:space="preserve">. </w:t>
      </w:r>
      <w:r w:rsidR="00ED6DF3">
        <w:rPr>
          <w:rFonts w:cs="Segoe UI"/>
        </w:rPr>
        <w:t>A</w:t>
      </w:r>
      <w:r w:rsidRPr="004421F6">
        <w:rPr>
          <w:rFonts w:cs="Segoe UI"/>
        </w:rPr>
        <w:t xml:space="preserve">ppropriate </w:t>
      </w:r>
      <w:r w:rsidR="007835C0">
        <w:rPr>
          <w:rFonts w:cs="Segoe UI"/>
        </w:rPr>
        <w:t xml:space="preserve">and </w:t>
      </w:r>
      <w:r w:rsidR="00ED6DF3">
        <w:rPr>
          <w:rFonts w:cs="Segoe UI"/>
        </w:rPr>
        <w:t>flexible</w:t>
      </w:r>
      <w:r w:rsidRPr="004421F6">
        <w:rPr>
          <w:rFonts w:cs="Segoe UI"/>
        </w:rPr>
        <w:t xml:space="preserve"> triag</w:t>
      </w:r>
      <w:r w:rsidR="00CD465F">
        <w:rPr>
          <w:rFonts w:cs="Segoe UI"/>
        </w:rPr>
        <w:t>ing</w:t>
      </w:r>
      <w:r w:rsidRPr="004421F6">
        <w:rPr>
          <w:rFonts w:cs="Segoe UI"/>
        </w:rPr>
        <w:t xml:space="preserve">, evaluation, recommendations and monitoring activities </w:t>
      </w:r>
      <w:r w:rsidR="00B810AE">
        <w:rPr>
          <w:rFonts w:cs="Segoe UI"/>
        </w:rPr>
        <w:t xml:space="preserve">are essential to maintain </w:t>
      </w:r>
      <w:r w:rsidRPr="004421F6">
        <w:rPr>
          <w:rFonts w:cs="Segoe UI"/>
        </w:rPr>
        <w:t>align</w:t>
      </w:r>
      <w:r w:rsidR="00B810AE">
        <w:rPr>
          <w:rFonts w:cs="Segoe UI"/>
        </w:rPr>
        <w:t>ment</w:t>
      </w:r>
      <w:r w:rsidR="00B40835">
        <w:rPr>
          <w:rFonts w:cs="Segoe UI"/>
        </w:rPr>
        <w:t xml:space="preserve"> of the </w:t>
      </w:r>
      <w:r w:rsidR="009333FE">
        <w:rPr>
          <w:rFonts w:cs="Segoe UI"/>
        </w:rPr>
        <w:t>LSDP</w:t>
      </w:r>
      <w:r w:rsidRPr="004421F6">
        <w:rPr>
          <w:rFonts w:cs="Segoe UI"/>
        </w:rPr>
        <w:t xml:space="preserve"> with</w:t>
      </w:r>
      <w:r w:rsidR="00806967">
        <w:rPr>
          <w:rFonts w:cs="Segoe UI"/>
        </w:rPr>
        <w:t xml:space="preserve"> the</w:t>
      </w:r>
      <w:r w:rsidRPr="004421F6">
        <w:rPr>
          <w:rFonts w:cs="Segoe UI"/>
        </w:rPr>
        <w:t xml:space="preserve"> </w:t>
      </w:r>
      <w:r w:rsidR="00507CC7" w:rsidRPr="004421F6">
        <w:rPr>
          <w:rFonts w:cs="Segoe UI"/>
        </w:rPr>
        <w:t>NMP</w:t>
      </w:r>
      <w:r w:rsidRPr="004421F6">
        <w:rPr>
          <w:rFonts w:cs="Segoe UI"/>
        </w:rPr>
        <w:t xml:space="preserve"> objectives </w:t>
      </w:r>
      <w:r w:rsidR="00833EA3">
        <w:rPr>
          <w:rFonts w:cs="Segoe UI"/>
        </w:rPr>
        <w:t>to</w:t>
      </w:r>
      <w:r w:rsidRPr="004421F6">
        <w:rPr>
          <w:rFonts w:cs="Segoe UI"/>
        </w:rPr>
        <w:t xml:space="preserve"> </w:t>
      </w:r>
      <w:r w:rsidR="004A6C9D">
        <w:rPr>
          <w:rFonts w:cs="Segoe UI"/>
        </w:rPr>
        <w:t>ensur</w:t>
      </w:r>
      <w:r w:rsidR="00833EA3">
        <w:rPr>
          <w:rFonts w:cs="Segoe UI"/>
        </w:rPr>
        <w:t>e</w:t>
      </w:r>
      <w:r w:rsidR="004A6C9D">
        <w:rPr>
          <w:rFonts w:cs="Segoe UI"/>
        </w:rPr>
        <w:t xml:space="preserve"> </w:t>
      </w:r>
      <w:r w:rsidRPr="004421F6">
        <w:rPr>
          <w:rFonts w:cs="Segoe UI"/>
        </w:rPr>
        <w:t>equitable, timely, safe and reliable access to medicines.</w:t>
      </w:r>
      <w:r w:rsidRPr="00D207FD">
        <w:rPr>
          <w:rFonts w:cs="Segoe UI"/>
        </w:rPr>
        <w:t xml:space="preserve"> </w:t>
      </w:r>
    </w:p>
    <w:p w14:paraId="4C07CE19" w14:textId="10CAEA0C" w:rsidR="006E12DF" w:rsidRDefault="006E12DF" w:rsidP="0022480A">
      <w:pPr>
        <w:widowControl w:val="0"/>
        <w:spacing w:before="40"/>
        <w:rPr>
          <w:rFonts w:cs="Segoe UI"/>
        </w:rPr>
      </w:pPr>
      <w:r w:rsidRPr="008D52AA">
        <w:t>The Review also reiterates that</w:t>
      </w:r>
      <w:r w:rsidRPr="39D602E1">
        <w:rPr>
          <w:b/>
          <w:bCs/>
        </w:rPr>
        <w:t xml:space="preserve"> </w:t>
      </w:r>
      <w:r w:rsidRPr="00D207FD">
        <w:rPr>
          <w:rFonts w:cs="Segoe UI"/>
        </w:rPr>
        <w:t xml:space="preserve">the broad framework </w:t>
      </w:r>
      <w:r w:rsidR="004A6C9D">
        <w:rPr>
          <w:rFonts w:cs="Segoe UI"/>
        </w:rPr>
        <w:t xml:space="preserve">for developing </w:t>
      </w:r>
      <w:r w:rsidRPr="00D207FD">
        <w:rPr>
          <w:rFonts w:cs="Segoe UI"/>
        </w:rPr>
        <w:t>advice</w:t>
      </w:r>
      <w:r w:rsidR="004A6C9D">
        <w:rPr>
          <w:rFonts w:cs="Segoe UI"/>
        </w:rPr>
        <w:t xml:space="preserve"> and for </w:t>
      </w:r>
      <w:r w:rsidRPr="00D207FD">
        <w:rPr>
          <w:rFonts w:cs="Segoe UI"/>
        </w:rPr>
        <w:t>decision-making to support listing of LSDP medicines remains sound</w:t>
      </w:r>
      <w:r w:rsidR="004A6C9D">
        <w:rPr>
          <w:rFonts w:cs="Segoe UI"/>
        </w:rPr>
        <w:t>. R</w:t>
      </w:r>
      <w:r w:rsidRPr="00D207FD">
        <w:rPr>
          <w:rFonts w:cs="Segoe UI"/>
        </w:rPr>
        <w:t xml:space="preserve">ecommended reforms continue to support the intended objectives of removing double-handling of submissions where possible, and supporting improved stakeholder understanding of the intent, purpose and operation of the LSDP (via a statement of rationale). </w:t>
      </w:r>
    </w:p>
    <w:p w14:paraId="627A815A" w14:textId="27D1CEE4" w:rsidR="006E12DF" w:rsidRPr="006E12DF" w:rsidRDefault="006E12DF" w:rsidP="00A318F7">
      <w:pPr>
        <w:pStyle w:val="Heading3"/>
        <w:rPr>
          <w:rFonts w:cs="Segoe UI"/>
          <w:sz w:val="32"/>
          <w:szCs w:val="32"/>
        </w:rPr>
      </w:pPr>
      <w:bookmarkStart w:id="187" w:name="_Toc164781652"/>
      <w:r w:rsidRPr="39D602E1">
        <w:t>Objectives</w:t>
      </w:r>
      <w:bookmarkEnd w:id="187"/>
      <w:r w:rsidRPr="39D602E1">
        <w:t xml:space="preserve"> </w:t>
      </w:r>
      <w:r w:rsidR="00C66349">
        <w:t xml:space="preserve">of recommendations </w:t>
      </w:r>
    </w:p>
    <w:p w14:paraId="10C14598" w14:textId="07D01B6B" w:rsidR="006E12DF" w:rsidRPr="00D207FD" w:rsidRDefault="006E12DF" w:rsidP="0022480A">
      <w:pPr>
        <w:widowControl w:val="0"/>
        <w:spacing w:before="40" w:after="0"/>
        <w:contextualSpacing/>
        <w:rPr>
          <w:rFonts w:cs="Segoe UI"/>
        </w:rPr>
      </w:pPr>
      <w:r w:rsidRPr="00D207FD">
        <w:rPr>
          <w:rFonts w:cs="Segoe UI"/>
        </w:rPr>
        <w:t>The proposed reforms discussed during deliberation are intended to provide:</w:t>
      </w:r>
    </w:p>
    <w:p w14:paraId="6197A146" w14:textId="538199D0" w:rsidR="006E12DF" w:rsidRPr="00D207FD" w:rsidRDefault="006E12DF" w:rsidP="00281153">
      <w:pPr>
        <w:pStyle w:val="ListBullet"/>
        <w:numPr>
          <w:ilvl w:val="0"/>
          <w:numId w:val="68"/>
        </w:numPr>
      </w:pPr>
      <w:r w:rsidRPr="00D207FD">
        <w:t>additional clarity and certainty on the essential purpose and intent of the program for participating stakeholders, including ensuring that appropriate eligibility criteria for the consideration and listing of therapies on the LSDP, and subsequent ongoing management arrangements, are clearly stated in relevant guidance and policy</w:t>
      </w:r>
    </w:p>
    <w:p w14:paraId="1112D818" w14:textId="7E9F7674" w:rsidR="006E12DF" w:rsidRPr="00D207FD" w:rsidRDefault="006E12DF" w:rsidP="00281153">
      <w:pPr>
        <w:pStyle w:val="ListBullet"/>
        <w:numPr>
          <w:ilvl w:val="0"/>
          <w:numId w:val="68"/>
        </w:numPr>
      </w:pPr>
      <w:r w:rsidRPr="00D207FD">
        <w:t xml:space="preserve">alignment with the broader observations </w:t>
      </w:r>
      <w:r w:rsidR="004A6C9D">
        <w:t xml:space="preserve">the </w:t>
      </w:r>
      <w:r w:rsidR="004A6C9D" w:rsidRPr="00D207FD">
        <w:t xml:space="preserve">Review </w:t>
      </w:r>
      <w:r w:rsidR="006E03C8">
        <w:t>heard</w:t>
      </w:r>
      <w:r w:rsidR="006E03C8" w:rsidRPr="00D207FD">
        <w:t xml:space="preserve"> </w:t>
      </w:r>
      <w:r w:rsidRPr="00D207FD">
        <w:t>that double-handling and other administrative barriers should be eliminated where possible to support more timely access to important therapies for patients.</w:t>
      </w:r>
    </w:p>
    <w:p w14:paraId="54D64079" w14:textId="25D02FDA" w:rsidR="006E12DF" w:rsidRDefault="006E12DF" w:rsidP="00A318F7">
      <w:pPr>
        <w:pStyle w:val="Heading3"/>
      </w:pPr>
      <w:bookmarkStart w:id="188" w:name="_Toc164781653"/>
      <w:r w:rsidRPr="39D602E1">
        <w:t>Recommendations</w:t>
      </w:r>
      <w:bookmarkEnd w:id="188"/>
    </w:p>
    <w:p w14:paraId="7408FD73" w14:textId="680CD8E8" w:rsidR="00A65F35" w:rsidRPr="00A65F35" w:rsidRDefault="00EC2550" w:rsidP="00645D5E">
      <w:pPr>
        <w:pStyle w:val="Recommendation1"/>
      </w:pPr>
      <w:bookmarkStart w:id="189" w:name="_Ref166784680"/>
      <w:bookmarkStart w:id="190" w:name="_Hlk167301901"/>
      <w:r>
        <w:t>Improving time to access</w:t>
      </w:r>
      <w:r w:rsidR="00DD3843" w:rsidRPr="00DD3843">
        <w:t xml:space="preserve"> life-saving drugs for patients with ultra-rare diseases (Life Saving Drugs Program)</w:t>
      </w:r>
      <w:bookmarkEnd w:id="189"/>
    </w:p>
    <w:bookmarkEnd w:id="190"/>
    <w:p w14:paraId="3A74434A" w14:textId="51CF890D" w:rsidR="006E12DF" w:rsidRPr="006E12DF" w:rsidRDefault="006E12DF" w:rsidP="003F5A65">
      <w:pPr>
        <w:spacing w:before="120" w:after="120"/>
        <w:rPr>
          <w:rFonts w:cs="Segoe UI"/>
        </w:rPr>
      </w:pPr>
      <w:r w:rsidRPr="008D52AA">
        <w:rPr>
          <w:rFonts w:cs="Segoe UI"/>
        </w:rPr>
        <w:t>The Review recommends</w:t>
      </w:r>
      <w:r w:rsidR="00A674D1">
        <w:rPr>
          <w:rFonts w:cs="Segoe UI"/>
        </w:rPr>
        <w:t xml:space="preserve"> that</w:t>
      </w:r>
      <w:r w:rsidRPr="008D52AA">
        <w:rPr>
          <w:rFonts w:cs="Segoe UI"/>
        </w:rPr>
        <w:t xml:space="preserve"> </w:t>
      </w:r>
      <w:r w:rsidR="00332D27">
        <w:rPr>
          <w:rFonts w:cs="Segoe UI"/>
        </w:rPr>
        <w:t>the</w:t>
      </w:r>
      <w:r w:rsidRPr="008D52AA">
        <w:rPr>
          <w:rFonts w:cs="Segoe UI"/>
        </w:rPr>
        <w:t xml:space="preserve"> </w:t>
      </w:r>
      <w:r w:rsidRPr="008D52AA">
        <w:rPr>
          <w:rFonts w:eastAsia="Calibri" w:cs="Segoe UI"/>
        </w:rPr>
        <w:t>Australian</w:t>
      </w:r>
      <w:r w:rsidRPr="008D52AA">
        <w:rPr>
          <w:rFonts w:cs="Segoe UI"/>
        </w:rPr>
        <w:t xml:space="preserve"> Government</w:t>
      </w:r>
      <w:r w:rsidRPr="39D602E1">
        <w:rPr>
          <w:rFonts w:cs="Segoe UI"/>
        </w:rPr>
        <w:t>:</w:t>
      </w:r>
    </w:p>
    <w:p w14:paraId="194645DA" w14:textId="7936FB97" w:rsidR="006E12DF" w:rsidRPr="006E12DF" w:rsidRDefault="00A674D1" w:rsidP="00281153">
      <w:pPr>
        <w:numPr>
          <w:ilvl w:val="0"/>
          <w:numId w:val="12"/>
        </w:numPr>
        <w:spacing w:before="120" w:after="120"/>
        <w:contextualSpacing/>
        <w:rPr>
          <w:rFonts w:cs="Segoe UI"/>
        </w:rPr>
      </w:pPr>
      <w:r>
        <w:rPr>
          <w:rFonts w:cs="Segoe UI"/>
        </w:rPr>
        <w:t>d</w:t>
      </w:r>
      <w:r w:rsidR="006E12DF" w:rsidRPr="39D602E1">
        <w:rPr>
          <w:rFonts w:cs="Segoe UI"/>
        </w:rPr>
        <w:t xml:space="preserve">evelop and publish a statement of rationale for the </w:t>
      </w:r>
      <w:r w:rsidR="00E53691" w:rsidRPr="00E53691">
        <w:rPr>
          <w:rFonts w:cs="Segoe UI"/>
        </w:rPr>
        <w:t>Life Saving Drugs Program (LS</w:t>
      </w:r>
      <w:r w:rsidR="008A2E5E">
        <w:rPr>
          <w:rFonts w:cs="Segoe UI"/>
        </w:rPr>
        <w:t>DP</w:t>
      </w:r>
      <w:r w:rsidR="00E53691" w:rsidRPr="00E53691">
        <w:rPr>
          <w:rFonts w:cs="Segoe UI"/>
        </w:rPr>
        <w:t>)</w:t>
      </w:r>
      <w:r w:rsidR="00E53691">
        <w:rPr>
          <w:rFonts w:cs="Segoe UI"/>
        </w:rPr>
        <w:t xml:space="preserve"> </w:t>
      </w:r>
      <w:r w:rsidR="00484FF4" w:rsidRPr="39D602E1">
        <w:rPr>
          <w:rFonts w:cs="Segoe UI"/>
        </w:rPr>
        <w:t>in consultation with stakeholders</w:t>
      </w:r>
      <w:r>
        <w:rPr>
          <w:rFonts w:cs="Segoe UI"/>
        </w:rPr>
        <w:t>,</w:t>
      </w:r>
      <w:r w:rsidR="00484FF4" w:rsidRPr="39D602E1">
        <w:rPr>
          <w:rFonts w:cs="Segoe UI"/>
        </w:rPr>
        <w:t xml:space="preserve"> including</w:t>
      </w:r>
      <w:r w:rsidR="00484FF4">
        <w:rPr>
          <w:rFonts w:cs="Segoe UI"/>
        </w:rPr>
        <w:t xml:space="preserve"> </w:t>
      </w:r>
      <w:r w:rsidR="00484FF4" w:rsidRPr="39D602E1">
        <w:rPr>
          <w:rFonts w:cs="Segoe UI"/>
        </w:rPr>
        <w:t>the LSDP Expert Panel</w:t>
      </w:r>
      <w:r w:rsidR="00366D3E">
        <w:rPr>
          <w:rFonts w:cs="Segoe UI"/>
        </w:rPr>
        <w:t>. The statement should</w:t>
      </w:r>
      <w:r w:rsidR="00484FF4" w:rsidRPr="39D602E1">
        <w:rPr>
          <w:rFonts w:cs="Segoe UI"/>
        </w:rPr>
        <w:t xml:space="preserve"> </w:t>
      </w:r>
      <w:r w:rsidR="006E12DF" w:rsidRPr="39D602E1">
        <w:rPr>
          <w:rFonts w:cs="Segoe UI"/>
        </w:rPr>
        <w:t>outlin</w:t>
      </w:r>
      <w:r w:rsidR="00366D3E">
        <w:rPr>
          <w:rFonts w:cs="Segoe UI"/>
        </w:rPr>
        <w:t>e</w:t>
      </w:r>
      <w:r w:rsidR="006E12DF" w:rsidRPr="39D602E1">
        <w:rPr>
          <w:rFonts w:cs="Segoe UI"/>
        </w:rPr>
        <w:t>:</w:t>
      </w:r>
    </w:p>
    <w:p w14:paraId="37F2791D" w14:textId="282C3444" w:rsidR="006E12DF" w:rsidRPr="006E12DF" w:rsidRDefault="006E12DF" w:rsidP="00281153">
      <w:pPr>
        <w:numPr>
          <w:ilvl w:val="1"/>
          <w:numId w:val="12"/>
        </w:numPr>
        <w:spacing w:before="120" w:after="120"/>
        <w:contextualSpacing/>
        <w:rPr>
          <w:rFonts w:cs="Segoe UI"/>
        </w:rPr>
      </w:pPr>
      <w:r w:rsidRPr="39D602E1">
        <w:rPr>
          <w:rFonts w:cs="Segoe UI"/>
        </w:rPr>
        <w:t>principles underpinning the program</w:t>
      </w:r>
    </w:p>
    <w:p w14:paraId="6C1D1ADC" w14:textId="4FFDD57C" w:rsidR="006E12DF" w:rsidRPr="006E12DF" w:rsidRDefault="006E12DF" w:rsidP="00281153">
      <w:pPr>
        <w:numPr>
          <w:ilvl w:val="1"/>
          <w:numId w:val="12"/>
        </w:numPr>
        <w:spacing w:before="120" w:after="120"/>
        <w:contextualSpacing/>
        <w:rPr>
          <w:rFonts w:cs="Segoe UI"/>
        </w:rPr>
      </w:pPr>
      <w:r w:rsidRPr="39D602E1">
        <w:rPr>
          <w:rFonts w:cs="Segoe UI"/>
        </w:rPr>
        <w:t>the eligibility criteria, including the value-for-money consideration</w:t>
      </w:r>
      <w:r w:rsidR="00A674D1">
        <w:rPr>
          <w:rFonts w:cs="Segoe UI"/>
        </w:rPr>
        <w:t>,</w:t>
      </w:r>
      <w:r w:rsidRPr="39D602E1">
        <w:rPr>
          <w:rFonts w:cs="Segoe UI"/>
        </w:rPr>
        <w:t xml:space="preserve"> by reference to the overarching recommendations of the LSDP </w:t>
      </w:r>
      <w:r w:rsidR="00A674D1">
        <w:rPr>
          <w:rFonts w:cs="Segoe UI"/>
        </w:rPr>
        <w:t>m</w:t>
      </w:r>
      <w:r w:rsidRPr="39D602E1">
        <w:rPr>
          <w:rFonts w:cs="Segoe UI"/>
        </w:rPr>
        <w:t xml:space="preserve">edicines </w:t>
      </w:r>
      <w:r w:rsidR="00A674D1">
        <w:rPr>
          <w:rFonts w:cs="Segoe UI"/>
        </w:rPr>
        <w:t>r</w:t>
      </w:r>
      <w:r w:rsidRPr="39D602E1">
        <w:rPr>
          <w:rFonts w:cs="Segoe UI"/>
        </w:rPr>
        <w:t>eviews in 2022</w:t>
      </w:r>
      <w:r w:rsidR="00FF5D8C">
        <w:rPr>
          <w:rFonts w:cs="Segoe UI"/>
        </w:rPr>
        <w:t>.</w:t>
      </w:r>
    </w:p>
    <w:p w14:paraId="0F7B4396" w14:textId="24242C1D" w:rsidR="006E12DF" w:rsidRPr="006E12DF" w:rsidRDefault="00A674D1" w:rsidP="00281153">
      <w:pPr>
        <w:numPr>
          <w:ilvl w:val="0"/>
          <w:numId w:val="12"/>
        </w:numPr>
        <w:spacing w:before="120" w:after="120"/>
        <w:contextualSpacing/>
        <w:rPr>
          <w:rFonts w:cs="Segoe UI"/>
        </w:rPr>
      </w:pPr>
      <w:r>
        <w:rPr>
          <w:rFonts w:cs="Segoe UI"/>
        </w:rPr>
        <w:t>m</w:t>
      </w:r>
      <w:r w:rsidR="006E12DF" w:rsidRPr="39D602E1">
        <w:rPr>
          <w:rFonts w:cs="Segoe UI"/>
        </w:rPr>
        <w:t>ake necessary process and policy reforms (including updates to guidelines and stakeholder engagement materials) to enable:</w:t>
      </w:r>
    </w:p>
    <w:p w14:paraId="06DC8E7D" w14:textId="49A2BE4C" w:rsidR="006E12DF" w:rsidRPr="006E12DF" w:rsidRDefault="00B41514" w:rsidP="00281153">
      <w:pPr>
        <w:numPr>
          <w:ilvl w:val="1"/>
          <w:numId w:val="12"/>
        </w:numPr>
        <w:spacing w:before="120" w:after="120"/>
        <w:contextualSpacing/>
        <w:rPr>
          <w:rFonts w:cs="Segoe UI"/>
        </w:rPr>
      </w:pPr>
      <w:r>
        <w:rPr>
          <w:rFonts w:cs="Segoe UI"/>
        </w:rPr>
        <w:lastRenderedPageBreak/>
        <w:t xml:space="preserve">the </w:t>
      </w:r>
      <w:r w:rsidR="00E53691" w:rsidRPr="00E53691">
        <w:rPr>
          <w:rFonts w:cs="Segoe UI"/>
        </w:rPr>
        <w:t>Pharmaceutical Benefits Advisory Committee (PBAC)</w:t>
      </w:r>
      <w:r>
        <w:rPr>
          <w:rFonts w:cs="Segoe UI"/>
        </w:rPr>
        <w:t xml:space="preserve"> </w:t>
      </w:r>
      <w:r w:rsidR="006E12DF" w:rsidRPr="39D602E1">
        <w:rPr>
          <w:rFonts w:cs="Segoe UI"/>
        </w:rPr>
        <w:t xml:space="preserve">(or its future functional equivalent) to become the sole </w:t>
      </w:r>
      <w:r w:rsidR="00F721F5" w:rsidRPr="00F721F5">
        <w:rPr>
          <w:rFonts w:cs="Segoe UI"/>
        </w:rPr>
        <w:t>HTA</w:t>
      </w:r>
      <w:r w:rsidR="00F721F5">
        <w:rPr>
          <w:rFonts w:cs="Segoe UI"/>
        </w:rPr>
        <w:t xml:space="preserve"> </w:t>
      </w:r>
      <w:r w:rsidR="00C16518">
        <w:rPr>
          <w:rFonts w:cs="Segoe UI"/>
        </w:rPr>
        <w:t xml:space="preserve">advisory </w:t>
      </w:r>
      <w:r w:rsidR="006E12DF" w:rsidRPr="39D602E1">
        <w:rPr>
          <w:rFonts w:cs="Segoe UI"/>
        </w:rPr>
        <w:t xml:space="preserve">committee for assessing and recommending funding of </w:t>
      </w:r>
      <w:r w:rsidR="00745FB0">
        <w:rPr>
          <w:rFonts w:cs="Segoe UI"/>
        </w:rPr>
        <w:t>therapies</w:t>
      </w:r>
      <w:r w:rsidR="006E12DF" w:rsidRPr="39D602E1">
        <w:rPr>
          <w:rFonts w:cs="Segoe UI"/>
        </w:rPr>
        <w:t xml:space="preserve"> for ultra-rare diseases</w:t>
      </w:r>
    </w:p>
    <w:p w14:paraId="5652FF57" w14:textId="036B3EE2" w:rsidR="006E12DF" w:rsidRPr="006E12DF" w:rsidRDefault="00A674D1" w:rsidP="00281153">
      <w:pPr>
        <w:numPr>
          <w:ilvl w:val="1"/>
          <w:numId w:val="12"/>
        </w:numPr>
        <w:spacing w:before="120" w:after="0"/>
        <w:contextualSpacing/>
        <w:rPr>
          <w:rFonts w:cs="Segoe UI"/>
        </w:rPr>
      </w:pPr>
      <w:r>
        <w:rPr>
          <w:rFonts w:cs="Segoe UI"/>
        </w:rPr>
        <w:t>t</w:t>
      </w:r>
      <w:r w:rsidR="006E12DF" w:rsidRPr="39D602E1">
        <w:rPr>
          <w:rFonts w:cs="Segoe UI"/>
        </w:rPr>
        <w:t xml:space="preserve">he </w:t>
      </w:r>
      <w:bookmarkStart w:id="191" w:name="_Hlk167370438"/>
      <w:r w:rsidR="006E12DF" w:rsidRPr="39D602E1">
        <w:rPr>
          <w:rFonts w:cs="Segoe UI"/>
        </w:rPr>
        <w:t xml:space="preserve">HTA </w:t>
      </w:r>
      <w:r w:rsidR="00C16518">
        <w:rPr>
          <w:rFonts w:cs="Segoe UI"/>
        </w:rPr>
        <w:t>advisory committee</w:t>
      </w:r>
      <w:r w:rsidR="006E12DF" w:rsidRPr="39D602E1">
        <w:rPr>
          <w:rFonts w:cs="Segoe UI"/>
        </w:rPr>
        <w:t xml:space="preserve"> </w:t>
      </w:r>
      <w:bookmarkEnd w:id="191"/>
      <w:r w:rsidR="006E12DF" w:rsidRPr="39D602E1">
        <w:rPr>
          <w:rFonts w:cs="Segoe UI"/>
        </w:rPr>
        <w:t>to source additional expertise and advice (including from entities such as advisory panels, patient communities and specialist clinicians) to inform and support recommendations regarding access to therapies for ultra-rare diseases</w:t>
      </w:r>
    </w:p>
    <w:p w14:paraId="62D410AD" w14:textId="00DE2DD7" w:rsidR="00A3649E" w:rsidRPr="00DD3843" w:rsidRDefault="3E4D3B2E" w:rsidP="00281153">
      <w:pPr>
        <w:pStyle w:val="ListParagraph"/>
        <w:numPr>
          <w:ilvl w:val="1"/>
          <w:numId w:val="12"/>
        </w:numPr>
        <w:rPr>
          <w:rFonts w:cs="Segoe UI"/>
        </w:rPr>
      </w:pPr>
      <w:r w:rsidRPr="3E4D3B2E">
        <w:rPr>
          <w:rFonts w:cs="Segoe UI"/>
        </w:rPr>
        <w:t>the HTA advisory committee to advise the Minister on any requirements for subsiding a therapy for ultra-rare diseases, including evidence collection measures and disclosure of cost and efficacy information, consistent with the principles outlined in a statement of rationale for the LSDP (above).</w:t>
      </w:r>
    </w:p>
    <w:p w14:paraId="1532B9AB" w14:textId="77777777" w:rsidR="003F5A65" w:rsidRPr="00A318F7" w:rsidRDefault="003F5A65" w:rsidP="00A318F7">
      <w:pPr>
        <w:spacing w:before="120" w:after="120"/>
        <w:ind w:left="1157"/>
        <w:contextualSpacing/>
        <w:rPr>
          <w:rFonts w:cs="Segoe UI"/>
          <w:sz w:val="16"/>
          <w:szCs w:val="16"/>
        </w:rPr>
      </w:pPr>
    </w:p>
    <w:p w14:paraId="3CA22349" w14:textId="0380E9B0" w:rsidR="00595C34" w:rsidRPr="00DD3843" w:rsidRDefault="000A3A15" w:rsidP="00595C34">
      <w:pPr>
        <w:spacing w:before="120" w:after="120"/>
        <w:contextualSpacing/>
        <w:rPr>
          <w:rFonts w:cs="Segoe UI"/>
        </w:rPr>
      </w:pPr>
      <w:r>
        <w:rPr>
          <w:noProof/>
        </w:rPr>
        <mc:AlternateContent>
          <mc:Choice Requires="wps">
            <w:drawing>
              <wp:inline distT="0" distB="0" distL="0" distR="0" wp14:anchorId="43B028E7" wp14:editId="6783CB18">
                <wp:extent cx="5778500" cy="1143000"/>
                <wp:effectExtent l="0" t="0" r="12700" b="19050"/>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00" cy="1143000"/>
                        </a:xfrm>
                        <a:prstGeom prst="roundRect">
                          <a:avLst>
                            <a:gd name="adj" fmla="val 21289"/>
                          </a:avLst>
                        </a:prstGeom>
                        <a:solidFill>
                          <a:srgbClr val="FFFFFF"/>
                        </a:solidFill>
                        <a:ln w="9525">
                          <a:solidFill>
                            <a:schemeClr val="accent5"/>
                          </a:solidFill>
                          <a:miter lim="800000"/>
                          <a:headEnd/>
                          <a:tailEnd/>
                        </a:ln>
                      </wps:spPr>
                      <wps:txbx>
                        <w:txbxContent>
                          <w:p w14:paraId="323A37D1" w14:textId="77777777" w:rsidR="00392841" w:rsidRDefault="00392841" w:rsidP="003F5A65">
                            <w:pPr>
                              <w:pStyle w:val="Call-outbox"/>
                              <w:rPr>
                                <w:color w:val="ACC02A" w:themeColor="accent5"/>
                              </w:rPr>
                            </w:pPr>
                            <w:r w:rsidRPr="00AC1780">
                              <w:t xml:space="preserve">Why </w:t>
                            </w:r>
                            <w:r w:rsidRPr="00AC1780">
                              <w:t>this matters</w:t>
                            </w:r>
                          </w:p>
                          <w:p w14:paraId="434452A5" w14:textId="419DECFE" w:rsidR="000A3A15" w:rsidRPr="000A3A15" w:rsidRDefault="00A674D1" w:rsidP="00EE67CA">
                            <w:pPr>
                              <w:ind w:left="426"/>
                              <w:rPr>
                                <w:color w:val="000000" w:themeColor="text1"/>
                              </w:rPr>
                            </w:pPr>
                            <w:r>
                              <w:rPr>
                                <w:color w:val="000000" w:themeColor="text1"/>
                              </w:rPr>
                              <w:t>R</w:t>
                            </w:r>
                            <w:r w:rsidR="009B3202">
                              <w:rPr>
                                <w:color w:val="000000" w:themeColor="text1"/>
                              </w:rPr>
                              <w:t xml:space="preserve">emoving the </w:t>
                            </w:r>
                            <w:r>
                              <w:rPr>
                                <w:color w:val="000000" w:themeColor="text1"/>
                              </w:rPr>
                              <w:t xml:space="preserve">extra </w:t>
                            </w:r>
                            <w:r w:rsidR="009E3DD4">
                              <w:rPr>
                                <w:color w:val="000000" w:themeColor="text1"/>
                              </w:rPr>
                              <w:t xml:space="preserve">steps </w:t>
                            </w:r>
                            <w:r w:rsidR="00890B8E">
                              <w:rPr>
                                <w:color w:val="000000" w:themeColor="text1"/>
                              </w:rPr>
                              <w:t xml:space="preserve">in this pathway, and </w:t>
                            </w:r>
                            <w:r w:rsidR="00513338">
                              <w:rPr>
                                <w:color w:val="000000" w:themeColor="text1"/>
                              </w:rPr>
                              <w:t xml:space="preserve">providing additional clarity and certainty </w:t>
                            </w:r>
                            <w:r>
                              <w:rPr>
                                <w:color w:val="000000" w:themeColor="text1"/>
                              </w:rPr>
                              <w:t xml:space="preserve">for </w:t>
                            </w:r>
                            <w:r w:rsidR="00513338">
                              <w:rPr>
                                <w:color w:val="000000" w:themeColor="text1"/>
                              </w:rPr>
                              <w:t xml:space="preserve">sponsors, </w:t>
                            </w:r>
                            <w:r>
                              <w:rPr>
                                <w:color w:val="000000" w:themeColor="text1"/>
                              </w:rPr>
                              <w:t xml:space="preserve">will reduce </w:t>
                            </w:r>
                            <w:r w:rsidR="00587D6B">
                              <w:rPr>
                                <w:color w:val="000000" w:themeColor="text1"/>
                              </w:rPr>
                              <w:t xml:space="preserve">the time for listing </w:t>
                            </w:r>
                            <w:r w:rsidR="005A6B05">
                              <w:rPr>
                                <w:color w:val="000000" w:themeColor="text1"/>
                              </w:rPr>
                              <w:t xml:space="preserve">on the LSDP by around </w:t>
                            </w:r>
                            <w:r>
                              <w:rPr>
                                <w:color w:val="000000" w:themeColor="text1"/>
                              </w:rPr>
                              <w:t xml:space="preserve">4 </w:t>
                            </w:r>
                            <w:r w:rsidR="005A6B05">
                              <w:rPr>
                                <w:color w:val="000000" w:themeColor="text1"/>
                              </w:rPr>
                              <w:t>months.</w:t>
                            </w:r>
                            <w:r w:rsidR="00FA396E">
                              <w:rPr>
                                <w:color w:val="000000" w:themeColor="text1"/>
                              </w:rPr>
                              <w:t xml:space="preserve"> </w:t>
                            </w:r>
                          </w:p>
                        </w:txbxContent>
                      </wps:txbx>
                      <wps:bodyPr rot="0" vert="horz" wrap="square" lIns="91440" tIns="45720" rIns="91440" bIns="45720" anchor="t" anchorCtr="0">
                        <a:noAutofit/>
                      </wps:bodyPr>
                    </wps:wsp>
                  </a:graphicData>
                </a:graphic>
              </wp:inline>
            </w:drawing>
          </mc:Choice>
          <mc:Fallback>
            <w:pict>
              <v:roundrect w14:anchorId="43B028E7" id="Text Box 17" o:spid="_x0000_s1033" style="width:455pt;height:90pt;visibility:visible;mso-wrap-style:square;mso-left-percent:-10001;mso-top-percent:-10001;mso-position-horizontal:absolute;mso-position-horizontal-relative:char;mso-position-vertical:absolute;mso-position-vertical-relative:line;mso-left-percent:-10001;mso-top-percent:-10001;v-text-anchor:top" arcsize="139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" strokecolor="#acc02a [3208]">
                <v:stroke joinstyle="miter"/>
                <v:textbox>
                  <w:txbxContent>
                    <w:p w14:paraId="323A37D1" w14:textId="77777777" w:rsidR="00392841" w:rsidRDefault="00392841" w:rsidP="003F5A65">
                      <w:pPr>
                        <w:pStyle w:val="Call-outbox"/>
                        <w:rPr>
                          <w:color w:val="ACC02A" w:themeColor="accent5"/>
                        </w:rPr>
                      </w:pPr>
                      <w:r w:rsidRPr="00AC1780">
                        <w:t>Why this matters</w:t>
                      </w:r>
                    </w:p>
                    <w:p w14:paraId="434452A5" w14:textId="419DECFE" w:rsidR="000A3A15" w:rsidRPr="000A3A15" w:rsidRDefault="00A674D1" w:rsidP="00EE67CA">
                      <w:pPr>
                        <w:ind w:left="426"/>
                        <w:rPr>
                          <w:color w:val="000000" w:themeColor="text1"/>
                        </w:rPr>
                      </w:pPr>
                      <w:r>
                        <w:rPr>
                          <w:color w:val="000000" w:themeColor="text1"/>
                        </w:rPr>
                        <w:t>R</w:t>
                      </w:r>
                      <w:r w:rsidR="009B3202">
                        <w:rPr>
                          <w:color w:val="000000" w:themeColor="text1"/>
                        </w:rPr>
                        <w:t xml:space="preserve">emoving the </w:t>
                      </w:r>
                      <w:r>
                        <w:rPr>
                          <w:color w:val="000000" w:themeColor="text1"/>
                        </w:rPr>
                        <w:t xml:space="preserve">extra </w:t>
                      </w:r>
                      <w:r w:rsidR="009E3DD4">
                        <w:rPr>
                          <w:color w:val="000000" w:themeColor="text1"/>
                        </w:rPr>
                        <w:t xml:space="preserve">steps </w:t>
                      </w:r>
                      <w:r w:rsidR="00890B8E">
                        <w:rPr>
                          <w:color w:val="000000" w:themeColor="text1"/>
                        </w:rPr>
                        <w:t xml:space="preserve">in this pathway, and </w:t>
                      </w:r>
                      <w:r w:rsidR="00513338">
                        <w:rPr>
                          <w:color w:val="000000" w:themeColor="text1"/>
                        </w:rPr>
                        <w:t xml:space="preserve">providing additional clarity and certainty </w:t>
                      </w:r>
                      <w:r>
                        <w:rPr>
                          <w:color w:val="000000" w:themeColor="text1"/>
                        </w:rPr>
                        <w:t xml:space="preserve">for </w:t>
                      </w:r>
                      <w:r w:rsidR="00513338">
                        <w:rPr>
                          <w:color w:val="000000" w:themeColor="text1"/>
                        </w:rPr>
                        <w:t xml:space="preserve">sponsors, </w:t>
                      </w:r>
                      <w:r>
                        <w:rPr>
                          <w:color w:val="000000" w:themeColor="text1"/>
                        </w:rPr>
                        <w:t xml:space="preserve">will reduce </w:t>
                      </w:r>
                      <w:r w:rsidR="00587D6B">
                        <w:rPr>
                          <w:color w:val="000000" w:themeColor="text1"/>
                        </w:rPr>
                        <w:t xml:space="preserve">the time for listing </w:t>
                      </w:r>
                      <w:r w:rsidR="005A6B05">
                        <w:rPr>
                          <w:color w:val="000000" w:themeColor="text1"/>
                        </w:rPr>
                        <w:t xml:space="preserve">on the LSDP by around </w:t>
                      </w:r>
                      <w:r>
                        <w:rPr>
                          <w:color w:val="000000" w:themeColor="text1"/>
                        </w:rPr>
                        <w:t xml:space="preserve">4 </w:t>
                      </w:r>
                      <w:r w:rsidR="005A6B05">
                        <w:rPr>
                          <w:color w:val="000000" w:themeColor="text1"/>
                        </w:rPr>
                        <w:t>months.</w:t>
                      </w:r>
                      <w:r w:rsidR="00FA396E">
                        <w:rPr>
                          <w:color w:val="000000" w:themeColor="text1"/>
                        </w:rPr>
                        <w:t xml:space="preserve"> </w:t>
                      </w:r>
                    </w:p>
                  </w:txbxContent>
                </v:textbox>
                <w10:anchorlock/>
              </v:roundrect>
            </w:pict>
          </mc:Fallback>
        </mc:AlternateContent>
      </w:r>
    </w:p>
    <w:p w14:paraId="1AFA0F31" w14:textId="77777777" w:rsidR="003F5A65" w:rsidRPr="00A318F7" w:rsidRDefault="003F5A65" w:rsidP="00595C34">
      <w:pPr>
        <w:spacing w:before="120" w:after="120"/>
        <w:contextualSpacing/>
        <w:rPr>
          <w:rFonts w:cs="Segoe UI"/>
          <w:sz w:val="16"/>
          <w:szCs w:val="16"/>
        </w:rPr>
      </w:pPr>
    </w:p>
    <w:p w14:paraId="0F61A050" w14:textId="1334A6EA" w:rsidR="00595C34" w:rsidRDefault="005648AC" w:rsidP="00244072">
      <w:pPr>
        <w:keepNext/>
        <w:spacing w:before="120" w:after="0"/>
        <w:contextualSpacing/>
        <w:rPr>
          <w:rFonts w:eastAsia="Calibri" w:cs="Segoe UI"/>
        </w:rPr>
      </w:pPr>
      <w:r>
        <w:rPr>
          <w:rFonts w:eastAsia="Calibri" w:cs="Segoe UI"/>
          <w:noProof/>
        </w:rPr>
        <w:lastRenderedPageBreak/>
        <w:drawing>
          <wp:inline distT="0" distB="0" distL="0" distR="0" wp14:anchorId="051F542D" wp14:editId="3EE096CB">
            <wp:extent cx="5616314" cy="4752975"/>
            <wp:effectExtent l="0" t="0" r="3810" b="0"/>
            <wp:docPr id="592551276" name="Picture 592551276" descr="Pathway showing proposed changes to treatments for ultra-rare conditions being listed on the Life Saving Drugs Program (LSD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551276" name="Picture 592551276" descr="Pathway showing proposed changes to treatments for ultra-rare conditions being listed on the Life Saving Drugs Program (LSD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25660" cy="4760884"/>
                    </a:xfrm>
                    <a:prstGeom prst="rect">
                      <a:avLst/>
                    </a:prstGeom>
                    <a:noFill/>
                  </pic:spPr>
                </pic:pic>
              </a:graphicData>
            </a:graphic>
          </wp:inline>
        </w:drawing>
      </w:r>
    </w:p>
    <w:p w14:paraId="1327ACC6" w14:textId="6691487A" w:rsidR="007D2388" w:rsidRDefault="005E6393" w:rsidP="00244072">
      <w:pPr>
        <w:pStyle w:val="Caption"/>
        <w:keepNext/>
        <w:rPr>
          <w:rFonts w:eastAsia="Calibri" w:cs="Segoe UI"/>
        </w:rPr>
      </w:pPr>
      <w:bookmarkStart w:id="192" w:name="_Toc171935091"/>
      <w:r>
        <w:t xml:space="preserve">Figure </w:t>
      </w:r>
      <w:r>
        <w:fldChar w:fldCharType="begin" w:fldLock="1"/>
      </w:r>
      <w:r>
        <w:instrText>SEQ Figure \* ARABIC</w:instrText>
      </w:r>
      <w:r>
        <w:fldChar w:fldCharType="separate"/>
      </w:r>
      <w:r w:rsidR="00FA396E">
        <w:rPr>
          <w:noProof/>
        </w:rPr>
        <w:t>3</w:t>
      </w:r>
      <w:r>
        <w:fldChar w:fldCharType="end"/>
      </w:r>
      <w:r>
        <w:t xml:space="preserve">: Proposed </w:t>
      </w:r>
      <w:r w:rsidRPr="00347E13">
        <w:t>HTA pathway for health technologies</w:t>
      </w:r>
      <w:r>
        <w:t xml:space="preserve"> seeking funding</w:t>
      </w:r>
      <w:r w:rsidRPr="00347E13">
        <w:t xml:space="preserve"> through </w:t>
      </w:r>
      <w:r w:rsidR="00A8212A">
        <w:t xml:space="preserve">the </w:t>
      </w:r>
      <w:r w:rsidRPr="00347E13">
        <w:t>LSDP</w:t>
      </w:r>
      <w:bookmarkEnd w:id="192"/>
    </w:p>
    <w:p w14:paraId="6EE0A29F" w14:textId="5C3F3413" w:rsidR="009B17F2" w:rsidRDefault="0038035C" w:rsidP="001704AE">
      <w:pPr>
        <w:pStyle w:val="Heading2"/>
      </w:pPr>
      <w:bookmarkStart w:id="193" w:name="_Toc171935876"/>
      <w:r>
        <w:t xml:space="preserve">Chapter </w:t>
      </w:r>
      <w:r w:rsidR="00E74923">
        <w:t>4</w:t>
      </w:r>
      <w:r>
        <w:t>.</w:t>
      </w:r>
      <w:r w:rsidR="00A543D8">
        <w:t>6</w:t>
      </w:r>
      <w:r>
        <w:t xml:space="preserve">: </w:t>
      </w:r>
      <w:r w:rsidR="009B17F2">
        <w:t xml:space="preserve">Measuring </w:t>
      </w:r>
      <w:r w:rsidR="00CD465F">
        <w:t xml:space="preserve">the </w:t>
      </w:r>
      <w:r w:rsidR="009B17F2">
        <w:t>impact of reforms on timeliness</w:t>
      </w:r>
      <w:bookmarkEnd w:id="193"/>
    </w:p>
    <w:p w14:paraId="59E39036" w14:textId="72006AD1" w:rsidR="009251DD" w:rsidRDefault="009251DD" w:rsidP="009251DD">
      <w:pPr>
        <w:pStyle w:val="Heading3"/>
        <w:rPr>
          <w:lang w:val="en-GB"/>
        </w:rPr>
      </w:pPr>
      <w:r>
        <w:rPr>
          <w:lang w:val="en-GB"/>
        </w:rPr>
        <w:t>Introduction and context</w:t>
      </w:r>
    </w:p>
    <w:p w14:paraId="49C8F816" w14:textId="479CFE48" w:rsidR="00095A2D" w:rsidRDefault="009B17F2" w:rsidP="001704AE">
      <w:pPr>
        <w:rPr>
          <w:rFonts w:cstheme="minorBidi"/>
          <w:color w:val="000000" w:themeColor="text1"/>
          <w:lang w:val="en-GB"/>
        </w:rPr>
      </w:pPr>
      <w:r w:rsidRPr="6CC68A72">
        <w:rPr>
          <w:rFonts w:cstheme="minorBidi"/>
          <w:color w:val="000000" w:themeColor="text1"/>
          <w:lang w:val="en-GB"/>
        </w:rPr>
        <w:t xml:space="preserve">The Review was established in part to examine how to improve </w:t>
      </w:r>
      <w:r w:rsidR="004F2AB8">
        <w:rPr>
          <w:rFonts w:cstheme="minorBidi"/>
          <w:color w:val="000000" w:themeColor="text1"/>
          <w:lang w:val="en-GB"/>
        </w:rPr>
        <w:t xml:space="preserve">the </w:t>
      </w:r>
      <w:r w:rsidRPr="6CC68A72">
        <w:rPr>
          <w:rFonts w:cstheme="minorBidi"/>
          <w:color w:val="000000" w:themeColor="text1"/>
          <w:lang w:val="en-GB"/>
        </w:rPr>
        <w:t xml:space="preserve">timeliness of access to new therapies. Inputs to the Review from the House of Representatives’ </w:t>
      </w:r>
      <w:r w:rsidR="004F2AB8" w:rsidRPr="007650F8">
        <w:rPr>
          <w:rFonts w:cs="Segoe UI"/>
          <w:iCs/>
        </w:rPr>
        <w:t>The</w:t>
      </w:r>
      <w:r w:rsidR="004F2AB8" w:rsidRPr="00E33E7E">
        <w:rPr>
          <w:rFonts w:cs="Segoe UI"/>
          <w:iCs/>
        </w:rPr>
        <w:t xml:space="preserve"> </w:t>
      </w:r>
      <w:r w:rsidR="004F2AB8" w:rsidRPr="007650F8">
        <w:rPr>
          <w:rFonts w:cs="Segoe UI"/>
          <w:iCs/>
        </w:rPr>
        <w:t>New Frontier</w:t>
      </w:r>
      <w:r w:rsidR="004F2AB8" w:rsidRPr="00D207FD">
        <w:rPr>
          <w:rFonts w:cs="Segoe UI"/>
          <w:i/>
        </w:rPr>
        <w:t xml:space="preserve"> </w:t>
      </w:r>
      <w:r w:rsidR="00621635" w:rsidRPr="6CC68A72">
        <w:rPr>
          <w:rFonts w:cstheme="minorBidi"/>
          <w:color w:val="000000" w:themeColor="text1"/>
          <w:lang w:val="en-GB"/>
        </w:rPr>
        <w:t>inquiry</w:t>
      </w:r>
      <w:r w:rsidRPr="6CC68A72">
        <w:rPr>
          <w:rFonts w:cstheme="minorBidi"/>
          <w:color w:val="000000" w:themeColor="text1"/>
          <w:lang w:val="en-GB"/>
        </w:rPr>
        <w:t xml:space="preserve"> and submissions from many stakeholders indicated that this </w:t>
      </w:r>
      <w:r w:rsidR="004F2AB8">
        <w:rPr>
          <w:rFonts w:cstheme="minorBidi"/>
          <w:color w:val="000000" w:themeColor="text1"/>
          <w:lang w:val="en-GB"/>
        </w:rPr>
        <w:t>wa</w:t>
      </w:r>
      <w:r w:rsidRPr="6CC68A72">
        <w:rPr>
          <w:rFonts w:cstheme="minorBidi"/>
          <w:color w:val="000000" w:themeColor="text1"/>
          <w:lang w:val="en-GB"/>
        </w:rPr>
        <w:t>s a high</w:t>
      </w:r>
      <w:r w:rsidR="004F2AB8">
        <w:rPr>
          <w:rFonts w:cstheme="minorBidi"/>
          <w:color w:val="000000" w:themeColor="text1"/>
          <w:lang w:val="en-GB"/>
        </w:rPr>
        <w:noBreakHyphen/>
      </w:r>
      <w:r w:rsidRPr="6CC68A72">
        <w:rPr>
          <w:rFonts w:cstheme="minorBidi"/>
          <w:color w:val="000000" w:themeColor="text1"/>
          <w:lang w:val="en-GB"/>
        </w:rPr>
        <w:t>priority goal</w:t>
      </w:r>
      <w:r w:rsidR="004F2AB8">
        <w:rPr>
          <w:rFonts w:cstheme="minorBidi"/>
          <w:color w:val="000000" w:themeColor="text1"/>
          <w:lang w:val="en-GB"/>
        </w:rPr>
        <w:t>. A</w:t>
      </w:r>
      <w:r w:rsidRPr="6CC68A72">
        <w:rPr>
          <w:rFonts w:cstheme="minorBidi"/>
          <w:color w:val="000000" w:themeColor="text1"/>
          <w:lang w:val="en-GB"/>
        </w:rPr>
        <w:t>ccess to new therapies that deliver greater benefit than existing therapies</w:t>
      </w:r>
      <w:r w:rsidR="004F2AB8">
        <w:rPr>
          <w:rFonts w:cstheme="minorBidi"/>
          <w:color w:val="000000" w:themeColor="text1"/>
          <w:lang w:val="en-GB"/>
        </w:rPr>
        <w:t>,</w:t>
      </w:r>
      <w:r w:rsidRPr="6CC68A72">
        <w:rPr>
          <w:rFonts w:cstheme="minorBidi"/>
          <w:color w:val="000000" w:themeColor="text1"/>
          <w:lang w:val="en-GB"/>
        </w:rPr>
        <w:t xml:space="preserve"> and </w:t>
      </w:r>
      <w:r w:rsidR="004F2AB8">
        <w:rPr>
          <w:rFonts w:cstheme="minorBidi"/>
          <w:color w:val="000000" w:themeColor="text1"/>
          <w:lang w:val="en-GB"/>
        </w:rPr>
        <w:t xml:space="preserve">those </w:t>
      </w:r>
      <w:r w:rsidRPr="6CC68A72">
        <w:rPr>
          <w:rFonts w:cstheme="minorBidi"/>
          <w:color w:val="000000" w:themeColor="text1"/>
          <w:lang w:val="en-GB"/>
        </w:rPr>
        <w:t>in areas of high and currently unmet need</w:t>
      </w:r>
      <w:r w:rsidR="004F2AB8">
        <w:rPr>
          <w:rFonts w:cstheme="minorBidi"/>
          <w:color w:val="000000" w:themeColor="text1"/>
          <w:lang w:val="en-GB"/>
        </w:rPr>
        <w:t>, was a particular focus</w:t>
      </w:r>
      <w:r w:rsidRPr="6CC68A72">
        <w:rPr>
          <w:rFonts w:cstheme="minorBidi"/>
          <w:color w:val="000000" w:themeColor="text1"/>
          <w:lang w:val="en-GB"/>
        </w:rPr>
        <w:t xml:space="preserve">. </w:t>
      </w:r>
      <w:r w:rsidR="007F7E72">
        <w:rPr>
          <w:rFonts w:cstheme="minorBidi"/>
          <w:color w:val="000000" w:themeColor="text1"/>
          <w:lang w:val="en-GB"/>
        </w:rPr>
        <w:t xml:space="preserve">The </w:t>
      </w:r>
      <w:r w:rsidR="004F2AB8">
        <w:rPr>
          <w:rFonts w:cstheme="minorBidi"/>
          <w:color w:val="000000" w:themeColor="text1"/>
          <w:lang w:val="en-GB"/>
        </w:rPr>
        <w:t>i</w:t>
      </w:r>
      <w:r w:rsidR="007F7E72">
        <w:rPr>
          <w:rFonts w:cstheme="minorBidi"/>
          <w:color w:val="000000" w:themeColor="text1"/>
          <w:lang w:val="en-GB"/>
        </w:rPr>
        <w:t xml:space="preserve">nquiry </w:t>
      </w:r>
      <w:r w:rsidR="005E596A">
        <w:rPr>
          <w:rFonts w:cstheme="minorBidi"/>
          <w:color w:val="000000" w:themeColor="text1"/>
          <w:lang w:val="en-GB"/>
        </w:rPr>
        <w:t xml:space="preserve">noted that </w:t>
      </w:r>
      <w:r w:rsidR="00FA1F8E">
        <w:rPr>
          <w:rFonts w:cstheme="minorBidi"/>
          <w:color w:val="000000" w:themeColor="text1"/>
          <w:lang w:val="en-GB"/>
        </w:rPr>
        <w:t xml:space="preserve">since most patients cannot afford the expense of many new medicines, they must wait until </w:t>
      </w:r>
      <w:r w:rsidR="00BB4ED6">
        <w:rPr>
          <w:rFonts w:cstheme="minorBidi"/>
          <w:color w:val="000000" w:themeColor="text1"/>
          <w:lang w:val="en-GB"/>
        </w:rPr>
        <w:t>they are</w:t>
      </w:r>
      <w:r w:rsidR="00FA1F8E">
        <w:rPr>
          <w:rFonts w:cstheme="minorBidi"/>
          <w:color w:val="000000" w:themeColor="text1"/>
          <w:lang w:val="en-GB"/>
        </w:rPr>
        <w:t xml:space="preserve"> reimbursed by the Government. </w:t>
      </w:r>
      <w:r w:rsidR="00BB4ED6">
        <w:rPr>
          <w:rFonts w:cstheme="minorBidi"/>
          <w:color w:val="000000" w:themeColor="text1"/>
          <w:lang w:val="en-GB"/>
        </w:rPr>
        <w:t xml:space="preserve">This </w:t>
      </w:r>
      <w:proofErr w:type="gramStart"/>
      <w:r w:rsidR="00BB4ED6">
        <w:rPr>
          <w:rFonts w:cstheme="minorBidi"/>
          <w:color w:val="000000" w:themeColor="text1"/>
          <w:lang w:val="en-GB"/>
        </w:rPr>
        <w:t>wait</w:t>
      </w:r>
      <w:proofErr w:type="gramEnd"/>
      <w:r w:rsidR="00BB4ED6">
        <w:rPr>
          <w:rFonts w:cstheme="minorBidi"/>
          <w:color w:val="000000" w:themeColor="text1"/>
          <w:lang w:val="en-GB"/>
        </w:rPr>
        <w:t xml:space="preserve"> time </w:t>
      </w:r>
      <w:r w:rsidR="0018425A">
        <w:rPr>
          <w:rFonts w:cstheme="minorBidi"/>
          <w:color w:val="000000" w:themeColor="text1"/>
          <w:lang w:val="en-GB"/>
        </w:rPr>
        <w:t xml:space="preserve">can significantly impact </w:t>
      </w:r>
      <w:r w:rsidR="00371CF1">
        <w:rPr>
          <w:rFonts w:cstheme="minorBidi"/>
          <w:color w:val="000000" w:themeColor="text1"/>
          <w:lang w:val="en-GB"/>
        </w:rPr>
        <w:t xml:space="preserve">the lives of </w:t>
      </w:r>
      <w:r w:rsidR="00D14968">
        <w:rPr>
          <w:rFonts w:cstheme="minorBidi"/>
          <w:color w:val="000000" w:themeColor="text1"/>
          <w:lang w:val="en-GB"/>
        </w:rPr>
        <w:t xml:space="preserve">patients who </w:t>
      </w:r>
      <w:r w:rsidR="004F2AB8">
        <w:rPr>
          <w:rFonts w:cstheme="minorBidi"/>
          <w:color w:val="000000" w:themeColor="text1"/>
          <w:lang w:val="en-GB"/>
        </w:rPr>
        <w:t>need</w:t>
      </w:r>
      <w:r w:rsidR="00CA71EA">
        <w:rPr>
          <w:rFonts w:cstheme="minorBidi"/>
          <w:color w:val="000000" w:themeColor="text1"/>
          <w:lang w:val="en-GB"/>
        </w:rPr>
        <w:t xml:space="preserve"> immediate treatment, and the</w:t>
      </w:r>
      <w:r w:rsidR="00765C3D">
        <w:rPr>
          <w:rFonts w:cstheme="minorBidi"/>
          <w:color w:val="000000" w:themeColor="text1"/>
          <w:lang w:val="en-GB"/>
        </w:rPr>
        <w:t>ir</w:t>
      </w:r>
      <w:r w:rsidR="00CA71EA">
        <w:rPr>
          <w:rFonts w:cstheme="minorBidi"/>
          <w:color w:val="000000" w:themeColor="text1"/>
          <w:lang w:val="en-GB"/>
        </w:rPr>
        <w:t xml:space="preserve"> families and carers. </w:t>
      </w:r>
    </w:p>
    <w:p w14:paraId="42E86537" w14:textId="66FA7908" w:rsidR="009251DD" w:rsidRDefault="00D16D80" w:rsidP="00A318F7">
      <w:pPr>
        <w:pStyle w:val="Heading3"/>
      </w:pPr>
      <w:r>
        <w:lastRenderedPageBreak/>
        <w:t>Findings</w:t>
      </w:r>
    </w:p>
    <w:p w14:paraId="5AB33F5C" w14:textId="287B9F86" w:rsidR="007563F2" w:rsidRDefault="009B17F2" w:rsidP="001704AE">
      <w:pPr>
        <w:rPr>
          <w:rFonts w:cstheme="minorBidi"/>
          <w:color w:val="000000" w:themeColor="text1"/>
          <w:lang w:val="en-GB"/>
        </w:rPr>
      </w:pPr>
      <w:r w:rsidRPr="6CC68A72">
        <w:rPr>
          <w:rFonts w:cstheme="minorBidi"/>
          <w:color w:val="000000" w:themeColor="text1"/>
          <w:lang w:val="en-GB"/>
        </w:rPr>
        <w:t>Data on the time</w:t>
      </w:r>
      <w:r w:rsidR="004574C7">
        <w:rPr>
          <w:rFonts w:cstheme="minorBidi"/>
          <w:color w:val="000000" w:themeColor="text1"/>
          <w:lang w:val="en-GB"/>
        </w:rPr>
        <w:t xml:space="preserve"> </w:t>
      </w:r>
      <w:r w:rsidRPr="6CC68A72">
        <w:rPr>
          <w:rFonts w:cstheme="minorBidi"/>
          <w:color w:val="000000" w:themeColor="text1"/>
          <w:lang w:val="en-GB"/>
        </w:rPr>
        <w:t xml:space="preserve">frames for approval of medicines contained in </w:t>
      </w:r>
      <w:r w:rsidR="0095269E">
        <w:rPr>
          <w:rFonts w:cstheme="minorBidi"/>
          <w:color w:val="000000" w:themeColor="text1"/>
          <w:lang w:val="en-GB"/>
        </w:rPr>
        <w:t xml:space="preserve">the </w:t>
      </w:r>
      <w:r w:rsidR="004F2AB8">
        <w:rPr>
          <w:rFonts w:cstheme="minorBidi"/>
          <w:color w:val="000000" w:themeColor="text1"/>
          <w:lang w:val="en-GB"/>
        </w:rPr>
        <w:t>p</w:t>
      </w:r>
      <w:r w:rsidRPr="6CC68A72">
        <w:rPr>
          <w:rFonts w:cstheme="minorBidi"/>
          <w:color w:val="000000" w:themeColor="text1"/>
          <w:lang w:val="en-GB"/>
        </w:rPr>
        <w:t xml:space="preserve">aper </w:t>
      </w:r>
      <w:r w:rsidRPr="6CC68A72">
        <w:rPr>
          <w:rFonts w:cstheme="minorBidi"/>
          <w:i/>
          <w:color w:val="000000" w:themeColor="text1"/>
          <w:lang w:val="en-GB"/>
        </w:rPr>
        <w:t>Australian market authorisation, funding and assessment pathways and timelines</w:t>
      </w:r>
      <w:bookmarkStart w:id="194" w:name="_Ref165566459"/>
      <w:r w:rsidR="008A2DBB" w:rsidRPr="000C5623">
        <w:rPr>
          <w:rStyle w:val="FootnoteReference"/>
          <w:rFonts w:cstheme="minorBidi"/>
          <w:iCs/>
          <w:color w:val="000000" w:themeColor="text1"/>
          <w:lang w:val="en-GB"/>
        </w:rPr>
        <w:footnoteReference w:id="62"/>
      </w:r>
      <w:bookmarkEnd w:id="194"/>
      <w:r w:rsidRPr="6CC68A72">
        <w:rPr>
          <w:rFonts w:cstheme="minorBidi"/>
          <w:color w:val="000000" w:themeColor="text1"/>
          <w:lang w:val="en-GB"/>
        </w:rPr>
        <w:t xml:space="preserve"> indicate the determinants of how promptly a therapy is made accessible in Australia compared to the US or Europe</w:t>
      </w:r>
      <w:r w:rsidR="004F2AB8">
        <w:rPr>
          <w:rFonts w:cstheme="minorBidi"/>
          <w:color w:val="000000" w:themeColor="text1"/>
          <w:lang w:val="en-GB"/>
        </w:rPr>
        <w:t>. These</w:t>
      </w:r>
      <w:r w:rsidRPr="6CC68A72">
        <w:rPr>
          <w:rFonts w:cstheme="minorBidi"/>
          <w:color w:val="000000" w:themeColor="text1"/>
          <w:lang w:val="en-GB"/>
        </w:rPr>
        <w:t xml:space="preserve"> are </w:t>
      </w:r>
      <w:r w:rsidR="00302C35">
        <w:rPr>
          <w:rFonts w:cstheme="minorBidi"/>
          <w:color w:val="000000" w:themeColor="text1"/>
          <w:lang w:val="en-GB"/>
        </w:rPr>
        <w:t>1)</w:t>
      </w:r>
      <w:r w:rsidRPr="6CC68A72">
        <w:rPr>
          <w:rFonts w:cstheme="minorBidi"/>
          <w:color w:val="000000" w:themeColor="text1"/>
          <w:lang w:val="en-GB"/>
        </w:rPr>
        <w:t xml:space="preserve"> the decisions of the sponsor on </w:t>
      </w:r>
      <w:r w:rsidR="007563F2">
        <w:rPr>
          <w:rFonts w:cstheme="minorBidi"/>
          <w:color w:val="000000" w:themeColor="text1"/>
          <w:lang w:val="en-GB"/>
        </w:rPr>
        <w:t xml:space="preserve">the </w:t>
      </w:r>
      <w:r w:rsidRPr="6CC68A72">
        <w:rPr>
          <w:rFonts w:cstheme="minorBidi"/>
          <w:color w:val="000000" w:themeColor="text1"/>
          <w:lang w:val="en-GB"/>
        </w:rPr>
        <w:t xml:space="preserve">timing of </w:t>
      </w:r>
      <w:r w:rsidR="007563F2">
        <w:rPr>
          <w:rFonts w:cstheme="minorBidi"/>
          <w:color w:val="000000" w:themeColor="text1"/>
          <w:lang w:val="en-GB"/>
        </w:rPr>
        <w:t xml:space="preserve">a </w:t>
      </w:r>
      <w:r w:rsidRPr="6CC68A72">
        <w:rPr>
          <w:rFonts w:cstheme="minorBidi"/>
          <w:color w:val="000000" w:themeColor="text1"/>
          <w:lang w:val="en-GB"/>
        </w:rPr>
        <w:t xml:space="preserve">submission to the TGA for </w:t>
      </w:r>
      <w:r w:rsidR="00CD465F" w:rsidRPr="00BC14E5" w:rsidDel="00AE0ABF">
        <w:rPr>
          <w:rFonts w:cstheme="minorBidi"/>
          <w:color w:val="000000" w:themeColor="text1"/>
          <w:lang w:val="en-GB"/>
        </w:rPr>
        <w:t>Australian Register of Therapeutic Goods</w:t>
      </w:r>
      <w:r w:rsidR="00CD465F" w:rsidDel="00AE0ABF">
        <w:rPr>
          <w:rFonts w:cstheme="minorBidi"/>
          <w:color w:val="000000" w:themeColor="text1"/>
          <w:lang w:val="en-GB"/>
        </w:rPr>
        <w:t xml:space="preserve"> (</w:t>
      </w:r>
      <w:r w:rsidRPr="6CC68A72">
        <w:rPr>
          <w:rFonts w:cstheme="minorBidi"/>
          <w:color w:val="000000" w:themeColor="text1"/>
          <w:lang w:val="en-GB"/>
        </w:rPr>
        <w:t>ARTG</w:t>
      </w:r>
      <w:r w:rsidR="00CD465F" w:rsidDel="00AE0ABF">
        <w:rPr>
          <w:rFonts w:cstheme="minorBidi"/>
          <w:color w:val="000000" w:themeColor="text1"/>
          <w:lang w:val="en-GB"/>
        </w:rPr>
        <w:t>)</w:t>
      </w:r>
      <w:r w:rsidRPr="6CC68A72">
        <w:rPr>
          <w:rFonts w:cstheme="minorBidi"/>
          <w:color w:val="000000" w:themeColor="text1"/>
          <w:lang w:val="en-GB"/>
        </w:rPr>
        <w:t xml:space="preserve"> registration and </w:t>
      </w:r>
      <w:r w:rsidR="007563F2">
        <w:rPr>
          <w:rFonts w:cstheme="minorBidi"/>
          <w:color w:val="000000" w:themeColor="text1"/>
          <w:lang w:val="en-GB"/>
        </w:rPr>
        <w:t xml:space="preserve">the </w:t>
      </w:r>
      <w:r w:rsidRPr="6CC68A72">
        <w:rPr>
          <w:rFonts w:cstheme="minorBidi"/>
          <w:color w:val="000000" w:themeColor="text1"/>
          <w:lang w:val="en-GB"/>
        </w:rPr>
        <w:t xml:space="preserve">timing of </w:t>
      </w:r>
      <w:r w:rsidR="007563F2">
        <w:rPr>
          <w:rFonts w:cstheme="minorBidi"/>
          <w:color w:val="000000" w:themeColor="text1"/>
          <w:lang w:val="en-GB"/>
        </w:rPr>
        <w:t xml:space="preserve">the </w:t>
      </w:r>
      <w:r w:rsidRPr="6CC68A72">
        <w:rPr>
          <w:rFonts w:cstheme="minorBidi"/>
          <w:color w:val="000000" w:themeColor="text1"/>
          <w:lang w:val="en-GB"/>
        </w:rPr>
        <w:t xml:space="preserve">submission to </w:t>
      </w:r>
      <w:r w:rsidR="007563F2">
        <w:rPr>
          <w:rFonts w:cstheme="minorBidi"/>
          <w:color w:val="000000" w:themeColor="text1"/>
          <w:lang w:val="en-GB"/>
        </w:rPr>
        <w:t xml:space="preserve">the </w:t>
      </w:r>
      <w:r w:rsidRPr="6CC68A72">
        <w:rPr>
          <w:rFonts w:cstheme="minorBidi"/>
          <w:color w:val="000000" w:themeColor="text1"/>
          <w:lang w:val="en-GB"/>
        </w:rPr>
        <w:t>PBAC</w:t>
      </w:r>
      <w:r w:rsidR="007563F2">
        <w:rPr>
          <w:rFonts w:cstheme="minorBidi"/>
          <w:color w:val="000000" w:themeColor="text1"/>
          <w:lang w:val="en-GB"/>
        </w:rPr>
        <w:t xml:space="preserve"> or the </w:t>
      </w:r>
      <w:r w:rsidRPr="6CC68A72">
        <w:rPr>
          <w:rFonts w:cstheme="minorBidi"/>
          <w:color w:val="000000" w:themeColor="text1"/>
          <w:lang w:val="en-GB"/>
        </w:rPr>
        <w:t xml:space="preserve">MSAC for reimbursement, and </w:t>
      </w:r>
      <w:r w:rsidR="00302C35">
        <w:rPr>
          <w:rFonts w:cstheme="minorBidi"/>
          <w:color w:val="000000" w:themeColor="text1"/>
          <w:lang w:val="en-GB"/>
        </w:rPr>
        <w:t>2)</w:t>
      </w:r>
      <w:r w:rsidRPr="6CC68A72">
        <w:rPr>
          <w:rFonts w:cstheme="minorBidi"/>
          <w:color w:val="000000" w:themeColor="text1"/>
          <w:lang w:val="en-GB"/>
        </w:rPr>
        <w:t xml:space="preserve"> the duration of </w:t>
      </w:r>
      <w:r w:rsidR="007563F2">
        <w:rPr>
          <w:rFonts w:cstheme="minorBidi"/>
          <w:color w:val="000000" w:themeColor="text1"/>
          <w:lang w:val="en-GB"/>
        </w:rPr>
        <w:t xml:space="preserve">the </w:t>
      </w:r>
      <w:r w:rsidRPr="6CC68A72">
        <w:rPr>
          <w:rFonts w:cstheme="minorBidi"/>
          <w:color w:val="000000" w:themeColor="text1"/>
          <w:lang w:val="en-GB"/>
        </w:rPr>
        <w:t xml:space="preserve">HTA, including the time to reach agreement between the sponsor and the Government on pricing and conditions of supply. </w:t>
      </w:r>
    </w:p>
    <w:p w14:paraId="483A6103" w14:textId="6E965313" w:rsidR="009B17F2" w:rsidRDefault="009B17F2" w:rsidP="001704AE">
      <w:pPr>
        <w:rPr>
          <w:rFonts w:asciiTheme="minorHAnsi" w:hAnsiTheme="minorHAnsi" w:cstheme="minorBidi"/>
          <w:color w:val="000000" w:themeColor="text1"/>
          <w:lang w:val="en-GB"/>
        </w:rPr>
      </w:pPr>
      <w:r w:rsidRPr="6CC68A72">
        <w:rPr>
          <w:rFonts w:cstheme="minorBidi"/>
          <w:color w:val="000000" w:themeColor="text1"/>
          <w:lang w:val="en-GB"/>
        </w:rPr>
        <w:t xml:space="preserve">For drugs recommended for listing on the PBS, there is </w:t>
      </w:r>
      <w:r w:rsidR="007563F2">
        <w:rPr>
          <w:rFonts w:cstheme="minorBidi"/>
          <w:color w:val="000000" w:themeColor="text1"/>
          <w:lang w:val="en-GB"/>
        </w:rPr>
        <w:t xml:space="preserve">a </w:t>
      </w:r>
      <w:r w:rsidR="00434686">
        <w:rPr>
          <w:rFonts w:cstheme="minorBidi"/>
          <w:color w:val="000000" w:themeColor="text1"/>
          <w:lang w:val="en-GB"/>
        </w:rPr>
        <w:t>comparatively</w:t>
      </w:r>
      <w:r w:rsidRPr="6CC68A72">
        <w:rPr>
          <w:rFonts w:cstheme="minorBidi"/>
          <w:color w:val="000000" w:themeColor="text1"/>
          <w:lang w:val="en-GB"/>
        </w:rPr>
        <w:t xml:space="preserve"> minimal delay in implementation</w:t>
      </w:r>
      <w:r w:rsidR="009418C0">
        <w:rPr>
          <w:rFonts w:cstheme="minorBidi"/>
          <w:color w:val="000000" w:themeColor="text1"/>
          <w:lang w:val="en-GB"/>
        </w:rPr>
        <w:t xml:space="preserve"> </w:t>
      </w:r>
      <w:r w:rsidR="00CF7935">
        <w:rPr>
          <w:rFonts w:cstheme="minorBidi"/>
          <w:color w:val="000000" w:themeColor="text1"/>
          <w:lang w:val="en-GB"/>
        </w:rPr>
        <w:t>(</w:t>
      </w:r>
      <w:r w:rsidR="00B9449F">
        <w:rPr>
          <w:rFonts w:cstheme="minorBidi"/>
          <w:color w:val="000000" w:themeColor="text1"/>
          <w:lang w:val="en-GB"/>
        </w:rPr>
        <w:t>the standard time</w:t>
      </w:r>
      <w:r w:rsidR="004574C7">
        <w:rPr>
          <w:rFonts w:cstheme="minorBidi"/>
          <w:color w:val="000000" w:themeColor="text1"/>
          <w:lang w:val="en-GB"/>
        </w:rPr>
        <w:t xml:space="preserve"> </w:t>
      </w:r>
      <w:r w:rsidR="00B9449F">
        <w:rPr>
          <w:rFonts w:cstheme="minorBidi"/>
          <w:color w:val="000000" w:themeColor="text1"/>
          <w:lang w:val="en-GB"/>
        </w:rPr>
        <w:t xml:space="preserve">frame </w:t>
      </w:r>
      <w:r w:rsidR="00C97DE1">
        <w:rPr>
          <w:rFonts w:cstheme="minorBidi"/>
          <w:color w:val="000000" w:themeColor="text1"/>
          <w:lang w:val="en-GB"/>
        </w:rPr>
        <w:t xml:space="preserve">for </w:t>
      </w:r>
      <w:r w:rsidR="00530B87">
        <w:rPr>
          <w:rFonts w:cstheme="minorBidi"/>
          <w:color w:val="000000" w:themeColor="text1"/>
          <w:lang w:val="en-GB"/>
        </w:rPr>
        <w:t>S</w:t>
      </w:r>
      <w:r w:rsidR="00E87C7C">
        <w:rPr>
          <w:rFonts w:cstheme="minorBidi"/>
          <w:color w:val="000000" w:themeColor="text1"/>
          <w:lang w:val="en-GB"/>
        </w:rPr>
        <w:t xml:space="preserve">ervices Australia to update </w:t>
      </w:r>
      <w:r w:rsidR="007563F2">
        <w:rPr>
          <w:rFonts w:cstheme="minorBidi"/>
          <w:color w:val="000000" w:themeColor="text1"/>
          <w:lang w:val="en-GB"/>
        </w:rPr>
        <w:t>its</w:t>
      </w:r>
      <w:r w:rsidR="00E87C7C">
        <w:rPr>
          <w:rFonts w:cstheme="minorBidi"/>
          <w:color w:val="000000" w:themeColor="text1"/>
          <w:lang w:val="en-GB"/>
        </w:rPr>
        <w:t xml:space="preserve"> payment system for PBS </w:t>
      </w:r>
      <w:r w:rsidR="00FB1E58">
        <w:rPr>
          <w:rFonts w:cstheme="minorBidi"/>
          <w:color w:val="000000" w:themeColor="text1"/>
          <w:lang w:val="en-GB"/>
        </w:rPr>
        <w:t xml:space="preserve">is generally </w:t>
      </w:r>
      <w:r w:rsidR="00091A67">
        <w:rPr>
          <w:rFonts w:cstheme="minorBidi"/>
          <w:color w:val="000000" w:themeColor="text1"/>
          <w:lang w:val="en-GB"/>
        </w:rPr>
        <w:t xml:space="preserve">6 </w:t>
      </w:r>
      <w:r w:rsidR="00FB1E58">
        <w:rPr>
          <w:rFonts w:cstheme="minorBidi"/>
          <w:color w:val="000000" w:themeColor="text1"/>
          <w:lang w:val="en-GB"/>
        </w:rPr>
        <w:t xml:space="preserve">weeks </w:t>
      </w:r>
      <w:r w:rsidR="0003274B">
        <w:rPr>
          <w:rFonts w:cstheme="minorBidi"/>
          <w:color w:val="000000" w:themeColor="text1"/>
          <w:lang w:val="en-GB"/>
        </w:rPr>
        <w:t>for new</w:t>
      </w:r>
      <w:r w:rsidR="00283A7A">
        <w:rPr>
          <w:rFonts w:cstheme="minorBidi"/>
          <w:color w:val="000000" w:themeColor="text1"/>
          <w:lang w:val="en-GB"/>
        </w:rPr>
        <w:t xml:space="preserve"> PBS</w:t>
      </w:r>
      <w:r w:rsidR="00C97DE1">
        <w:rPr>
          <w:rFonts w:cstheme="minorBidi"/>
          <w:color w:val="000000" w:themeColor="text1"/>
          <w:lang w:val="en-GB"/>
        </w:rPr>
        <w:t xml:space="preserve"> listing</w:t>
      </w:r>
      <w:r w:rsidR="0050086D">
        <w:rPr>
          <w:rFonts w:cstheme="minorBidi"/>
          <w:color w:val="000000" w:themeColor="text1"/>
          <w:lang w:val="en-GB"/>
        </w:rPr>
        <w:t>s</w:t>
      </w:r>
      <w:r w:rsidR="00485228">
        <w:rPr>
          <w:rFonts w:cstheme="minorBidi"/>
          <w:color w:val="000000" w:themeColor="text1"/>
          <w:lang w:val="en-GB"/>
        </w:rPr>
        <w:t>)</w:t>
      </w:r>
      <w:r w:rsidRPr="6CC68A72">
        <w:rPr>
          <w:rFonts w:cstheme="minorBidi"/>
          <w:color w:val="000000" w:themeColor="text1"/>
          <w:lang w:val="en-GB"/>
        </w:rPr>
        <w:t xml:space="preserve">. </w:t>
      </w:r>
      <w:r w:rsidR="008A3DED" w:rsidRPr="6CC68A72">
        <w:rPr>
          <w:rFonts w:cstheme="minorBidi"/>
          <w:color w:val="000000" w:themeColor="text1"/>
          <w:lang w:val="en-GB"/>
        </w:rPr>
        <w:t>However, for therapies funded through other measures (</w:t>
      </w:r>
      <w:r w:rsidR="1BCD1474" w:rsidRPr="6CC68A72">
        <w:rPr>
          <w:rFonts w:cstheme="minorBidi"/>
          <w:color w:val="000000" w:themeColor="text1"/>
          <w:lang w:val="en-GB"/>
        </w:rPr>
        <w:t>i.e.</w:t>
      </w:r>
      <w:r w:rsidRPr="6CC68A72">
        <w:rPr>
          <w:rFonts w:cstheme="minorBidi"/>
          <w:color w:val="000000" w:themeColor="text1"/>
          <w:lang w:val="en-GB"/>
        </w:rPr>
        <w:t xml:space="preserve"> </w:t>
      </w:r>
      <w:r w:rsidR="00091A67">
        <w:rPr>
          <w:rFonts w:cstheme="minorBidi"/>
          <w:color w:val="000000" w:themeColor="text1"/>
          <w:lang w:val="en-GB"/>
        </w:rPr>
        <w:t xml:space="preserve">the </w:t>
      </w:r>
      <w:r w:rsidRPr="6CC68A72">
        <w:rPr>
          <w:rFonts w:cstheme="minorBidi"/>
          <w:color w:val="000000" w:themeColor="text1"/>
          <w:lang w:val="en-GB"/>
        </w:rPr>
        <w:t xml:space="preserve">MBS, joint Australian and </w:t>
      </w:r>
      <w:r w:rsidR="00091A67">
        <w:rPr>
          <w:rFonts w:cstheme="minorBidi"/>
          <w:color w:val="000000" w:themeColor="text1"/>
          <w:lang w:val="en-GB"/>
        </w:rPr>
        <w:t>s</w:t>
      </w:r>
      <w:r w:rsidRPr="6CC68A72">
        <w:rPr>
          <w:rFonts w:cstheme="minorBidi"/>
          <w:color w:val="000000" w:themeColor="text1"/>
          <w:lang w:val="en-GB"/>
        </w:rPr>
        <w:t>tate</w:t>
      </w:r>
      <w:r w:rsidR="00091A67">
        <w:rPr>
          <w:rFonts w:cstheme="minorBidi"/>
          <w:color w:val="000000" w:themeColor="text1"/>
          <w:lang w:val="en-GB"/>
        </w:rPr>
        <w:t xml:space="preserve"> or t</w:t>
      </w:r>
      <w:r w:rsidRPr="6CC68A72">
        <w:rPr>
          <w:rFonts w:cstheme="minorBidi"/>
          <w:color w:val="000000" w:themeColor="text1"/>
          <w:lang w:val="en-GB"/>
        </w:rPr>
        <w:t>erritory agreements</w:t>
      </w:r>
      <w:r w:rsidR="0050086D">
        <w:rPr>
          <w:rFonts w:cstheme="minorBidi"/>
          <w:color w:val="000000" w:themeColor="text1"/>
          <w:lang w:val="en-GB"/>
        </w:rPr>
        <w:t>,</w:t>
      </w:r>
      <w:r w:rsidR="00091A67">
        <w:rPr>
          <w:rFonts w:cstheme="minorBidi"/>
          <w:color w:val="000000" w:themeColor="text1"/>
          <w:lang w:val="en-GB"/>
        </w:rPr>
        <w:t xml:space="preserve"> or the</w:t>
      </w:r>
      <w:r w:rsidRPr="6CC68A72">
        <w:rPr>
          <w:rFonts w:cstheme="minorBidi"/>
          <w:color w:val="000000" w:themeColor="text1"/>
          <w:lang w:val="en-GB"/>
        </w:rPr>
        <w:t xml:space="preserve"> LSDP</w:t>
      </w:r>
      <w:r w:rsidR="00091A67">
        <w:rPr>
          <w:rFonts w:cstheme="minorBidi"/>
          <w:color w:val="000000" w:themeColor="text1"/>
          <w:lang w:val="en-GB"/>
        </w:rPr>
        <w:t>)</w:t>
      </w:r>
      <w:r w:rsidR="0050086D">
        <w:rPr>
          <w:rFonts w:cstheme="minorBidi"/>
          <w:color w:val="000000" w:themeColor="text1"/>
          <w:lang w:val="en-GB"/>
        </w:rPr>
        <w:t>,</w:t>
      </w:r>
      <w:r w:rsidR="00881562">
        <w:rPr>
          <w:rFonts w:cstheme="minorBidi"/>
          <w:color w:val="000000" w:themeColor="text1"/>
          <w:lang w:val="en-GB"/>
        </w:rPr>
        <w:t xml:space="preserve"> </w:t>
      </w:r>
      <w:r w:rsidRPr="6CC68A72">
        <w:rPr>
          <w:rFonts w:cstheme="minorBidi"/>
          <w:color w:val="000000" w:themeColor="text1"/>
          <w:lang w:val="en-GB"/>
        </w:rPr>
        <w:t>additional significant delays are apparent.</w:t>
      </w:r>
    </w:p>
    <w:p w14:paraId="168C8377" w14:textId="07A3989D" w:rsidR="009B17F2" w:rsidRDefault="009B17F2" w:rsidP="001704AE">
      <w:pPr>
        <w:rPr>
          <w:rFonts w:cstheme="minorBidi"/>
          <w:color w:val="000000" w:themeColor="text1"/>
          <w:lang w:val="en-GB"/>
        </w:rPr>
      </w:pPr>
      <w:r w:rsidRPr="6CC68A72">
        <w:rPr>
          <w:rFonts w:cstheme="minorBidi"/>
          <w:color w:val="000000" w:themeColor="text1"/>
          <w:lang w:val="en-GB"/>
        </w:rPr>
        <w:t>Measures to minimise the time to access require the seller (sponsor), the HTA bodies and the buyer (</w:t>
      </w:r>
      <w:r w:rsidR="0050086D">
        <w:rPr>
          <w:rFonts w:cstheme="minorBidi"/>
          <w:color w:val="000000" w:themeColor="text1"/>
          <w:lang w:val="en-GB"/>
        </w:rPr>
        <w:t xml:space="preserve">the </w:t>
      </w:r>
      <w:r w:rsidRPr="6CC68A72">
        <w:rPr>
          <w:rFonts w:cstheme="minorBidi"/>
          <w:color w:val="000000" w:themeColor="text1"/>
          <w:lang w:val="en-GB"/>
        </w:rPr>
        <w:t>Government) to commit to negotiating in good faith and with the clear intent of achieving agreement in an appropriate time</w:t>
      </w:r>
      <w:r w:rsidR="004574C7">
        <w:rPr>
          <w:rFonts w:cstheme="minorBidi"/>
          <w:color w:val="000000" w:themeColor="text1"/>
          <w:lang w:val="en-GB"/>
        </w:rPr>
        <w:t xml:space="preserve"> </w:t>
      </w:r>
      <w:r w:rsidRPr="6CC68A72">
        <w:rPr>
          <w:rFonts w:cstheme="minorBidi"/>
          <w:color w:val="000000" w:themeColor="text1"/>
          <w:lang w:val="en-GB"/>
        </w:rPr>
        <w:t>frame. From patient and clinician perspectives, this time</w:t>
      </w:r>
      <w:r w:rsidR="004574C7">
        <w:rPr>
          <w:rFonts w:cstheme="minorBidi"/>
          <w:color w:val="000000" w:themeColor="text1"/>
          <w:lang w:val="en-GB"/>
        </w:rPr>
        <w:t xml:space="preserve"> </w:t>
      </w:r>
      <w:r w:rsidRPr="6CC68A72">
        <w:rPr>
          <w:rFonts w:cstheme="minorBidi"/>
          <w:color w:val="000000" w:themeColor="text1"/>
          <w:lang w:val="en-GB"/>
        </w:rPr>
        <w:t xml:space="preserve">frame should be as short as possible for drugs </w:t>
      </w:r>
      <w:r w:rsidR="0050086D">
        <w:rPr>
          <w:rFonts w:cstheme="minorBidi"/>
          <w:color w:val="000000" w:themeColor="text1"/>
          <w:lang w:val="en-GB"/>
        </w:rPr>
        <w:t xml:space="preserve">that </w:t>
      </w:r>
      <w:r w:rsidRPr="6CC68A72">
        <w:rPr>
          <w:rFonts w:cstheme="minorBidi"/>
          <w:color w:val="000000" w:themeColor="text1"/>
          <w:lang w:val="en-GB"/>
        </w:rPr>
        <w:t>deliver major therapeutic advances</w:t>
      </w:r>
      <w:r w:rsidR="0050086D">
        <w:rPr>
          <w:rFonts w:cstheme="minorBidi"/>
          <w:color w:val="000000" w:themeColor="text1"/>
          <w:lang w:val="en-GB"/>
        </w:rPr>
        <w:t xml:space="preserve"> (</w:t>
      </w:r>
      <w:r w:rsidR="77AA158C" w:rsidRPr="6CC68A72">
        <w:rPr>
          <w:rFonts w:cstheme="minorBidi"/>
          <w:color w:val="000000" w:themeColor="text1"/>
          <w:lang w:val="en-GB"/>
        </w:rPr>
        <w:t>i.e.</w:t>
      </w:r>
      <w:r w:rsidR="008A3DED" w:rsidRPr="6CC68A72">
        <w:rPr>
          <w:rFonts w:cstheme="minorBidi"/>
          <w:color w:val="000000" w:themeColor="text1"/>
          <w:lang w:val="en-GB"/>
        </w:rPr>
        <w:t xml:space="preserve"> </w:t>
      </w:r>
      <w:r w:rsidR="0050086D">
        <w:rPr>
          <w:rFonts w:cstheme="minorBidi"/>
          <w:color w:val="000000" w:themeColor="text1"/>
          <w:lang w:val="en-GB"/>
        </w:rPr>
        <w:t xml:space="preserve">they </w:t>
      </w:r>
      <w:r w:rsidR="008A3DED" w:rsidRPr="6CC68A72">
        <w:rPr>
          <w:rFonts w:cstheme="minorBidi"/>
          <w:color w:val="000000" w:themeColor="text1"/>
          <w:lang w:val="en-GB"/>
        </w:rPr>
        <w:t>demonstrate superiority</w:t>
      </w:r>
      <w:r w:rsidR="0050086D">
        <w:rPr>
          <w:rFonts w:cstheme="minorBidi"/>
          <w:color w:val="000000" w:themeColor="text1"/>
          <w:lang w:val="en-GB"/>
        </w:rPr>
        <w:t>)</w:t>
      </w:r>
      <w:r w:rsidR="008A3DED" w:rsidRPr="6CC68A72">
        <w:rPr>
          <w:rFonts w:cstheme="minorBidi"/>
          <w:color w:val="000000" w:themeColor="text1"/>
          <w:lang w:val="en-GB"/>
        </w:rPr>
        <w:t>. No element in the HTA process requires the sponsor or the Government to reach agreement in a time</w:t>
      </w:r>
      <w:r w:rsidR="004574C7">
        <w:rPr>
          <w:rFonts w:cstheme="minorBidi"/>
          <w:color w:val="000000" w:themeColor="text1"/>
          <w:lang w:val="en-GB"/>
        </w:rPr>
        <w:t xml:space="preserve"> </w:t>
      </w:r>
      <w:r w:rsidR="008A3DED" w:rsidRPr="6CC68A72">
        <w:rPr>
          <w:rFonts w:cstheme="minorBidi"/>
          <w:color w:val="000000" w:themeColor="text1"/>
          <w:lang w:val="en-GB"/>
        </w:rPr>
        <w:t xml:space="preserve">frame that is </w:t>
      </w:r>
      <w:proofErr w:type="gramStart"/>
      <w:r w:rsidR="008A3DED" w:rsidRPr="6CC68A72" w:rsidDel="008A3DED">
        <w:rPr>
          <w:rFonts w:cstheme="minorBidi"/>
          <w:color w:val="000000" w:themeColor="text1"/>
          <w:lang w:val="en-GB"/>
        </w:rPr>
        <w:t>patient</w:t>
      </w:r>
      <w:r w:rsidR="0050086D">
        <w:rPr>
          <w:rFonts w:cstheme="minorBidi"/>
          <w:color w:val="000000" w:themeColor="text1"/>
          <w:lang w:val="en-GB"/>
        </w:rPr>
        <w:t>-</w:t>
      </w:r>
      <w:r w:rsidRPr="6CC68A72">
        <w:rPr>
          <w:rFonts w:cstheme="minorBidi"/>
          <w:color w:val="000000" w:themeColor="text1"/>
          <w:lang w:val="en-GB"/>
        </w:rPr>
        <w:t>centred</w:t>
      </w:r>
      <w:proofErr w:type="gramEnd"/>
      <w:r w:rsidRPr="6CC68A72">
        <w:rPr>
          <w:rFonts w:cstheme="minorBidi"/>
          <w:color w:val="000000" w:themeColor="text1"/>
          <w:lang w:val="en-GB"/>
        </w:rPr>
        <w:t xml:space="preserve">. </w:t>
      </w:r>
    </w:p>
    <w:p w14:paraId="2B06509A" w14:textId="08AF24D3" w:rsidR="009B17F2" w:rsidRDefault="00253BA2" w:rsidP="001704AE">
      <w:pPr>
        <w:rPr>
          <w:rFonts w:cstheme="minorBidi"/>
          <w:color w:val="000000" w:themeColor="text1"/>
          <w:lang w:val="en-GB"/>
        </w:rPr>
      </w:pPr>
      <w:r>
        <w:rPr>
          <w:rFonts w:cstheme="minorBidi"/>
          <w:color w:val="000000" w:themeColor="text1"/>
          <w:lang w:val="en-GB"/>
        </w:rPr>
        <w:t>I</w:t>
      </w:r>
      <w:r w:rsidR="009B17F2" w:rsidRPr="6CC68A72">
        <w:rPr>
          <w:rFonts w:cstheme="minorBidi"/>
          <w:color w:val="000000" w:themeColor="text1"/>
          <w:lang w:val="en-GB"/>
        </w:rPr>
        <w:t xml:space="preserve">n 2021 and 2022, submissions for new drugs demonstrating superiority required on average more than two considerations by </w:t>
      </w:r>
      <w:r w:rsidR="0050086D">
        <w:rPr>
          <w:rFonts w:cstheme="minorBidi"/>
          <w:color w:val="000000" w:themeColor="text1"/>
          <w:lang w:val="en-GB"/>
        </w:rPr>
        <w:t xml:space="preserve">the </w:t>
      </w:r>
      <w:r w:rsidR="009B17F2" w:rsidRPr="6CC68A72">
        <w:rPr>
          <w:rFonts w:cstheme="minorBidi"/>
          <w:color w:val="000000" w:themeColor="text1"/>
          <w:lang w:val="en-GB"/>
        </w:rPr>
        <w:t>PBAC (range 2</w:t>
      </w:r>
      <w:r w:rsidR="0050086D">
        <w:rPr>
          <w:rFonts w:cstheme="minorBidi"/>
          <w:color w:val="000000" w:themeColor="text1"/>
          <w:lang w:val="en-GB"/>
        </w:rPr>
        <w:t>–‍</w:t>
      </w:r>
      <w:r w:rsidR="009B17F2" w:rsidRPr="6CC68A72">
        <w:rPr>
          <w:rFonts w:cstheme="minorBidi"/>
          <w:color w:val="000000" w:themeColor="text1"/>
          <w:lang w:val="en-GB"/>
        </w:rPr>
        <w:t>4)</w:t>
      </w:r>
      <w:r w:rsidR="0050086D">
        <w:rPr>
          <w:rFonts w:cstheme="minorBidi"/>
          <w:color w:val="000000" w:themeColor="text1"/>
          <w:lang w:val="en-GB"/>
        </w:rPr>
        <w:t>. O</w:t>
      </w:r>
      <w:r w:rsidR="009B17F2" w:rsidRPr="6CC68A72">
        <w:rPr>
          <w:rFonts w:cstheme="minorBidi"/>
          <w:color w:val="000000" w:themeColor="text1"/>
          <w:lang w:val="en-GB"/>
        </w:rPr>
        <w:t>nly 50% were listed on the PBS within 22 months of ARTG registration (</w:t>
      </w:r>
      <w:r w:rsidR="1745434A" w:rsidRPr="6CC68A72">
        <w:rPr>
          <w:rFonts w:cstheme="minorBidi"/>
          <w:color w:val="000000" w:themeColor="text1"/>
          <w:lang w:val="en-GB"/>
        </w:rPr>
        <w:t>i.e.</w:t>
      </w:r>
      <w:r w:rsidR="009B17F2" w:rsidRPr="6CC68A72">
        <w:rPr>
          <w:rFonts w:cstheme="minorBidi"/>
          <w:color w:val="000000" w:themeColor="text1"/>
          <w:lang w:val="en-GB"/>
        </w:rPr>
        <w:t xml:space="preserve"> TGA approval). </w:t>
      </w:r>
    </w:p>
    <w:p w14:paraId="237D0C6F" w14:textId="675E6717" w:rsidR="001656B7" w:rsidRPr="001656B7" w:rsidRDefault="001656B7" w:rsidP="00A318F7">
      <w:pPr>
        <w:pStyle w:val="Heading3"/>
      </w:pPr>
      <w:r>
        <w:t>Conclusion</w:t>
      </w:r>
    </w:p>
    <w:p w14:paraId="42DAB293" w14:textId="1519C96C" w:rsidR="009B17F2" w:rsidRDefault="009B17F2" w:rsidP="009B17F2">
      <w:r>
        <w:t xml:space="preserve">The recommendations in </w:t>
      </w:r>
      <w:r w:rsidR="005E3DB2">
        <w:t>C</w:t>
      </w:r>
      <w:r>
        <w:t xml:space="preserve">hapter </w:t>
      </w:r>
      <w:r w:rsidR="005E3DB2">
        <w:t>4</w:t>
      </w:r>
      <w:r>
        <w:t xml:space="preserve"> and </w:t>
      </w:r>
      <w:r w:rsidR="007D2C1A">
        <w:t>C</w:t>
      </w:r>
      <w:r>
        <w:t xml:space="preserve">hapter </w:t>
      </w:r>
      <w:r w:rsidR="007D2C1A">
        <w:t>5</w:t>
      </w:r>
      <w:r>
        <w:t xml:space="preserve">, if accepted, </w:t>
      </w:r>
      <w:r w:rsidR="54AA1732">
        <w:t>will</w:t>
      </w:r>
      <w:r>
        <w:t xml:space="preserve"> improve timeliness of access.</w:t>
      </w:r>
    </w:p>
    <w:p w14:paraId="304826D7" w14:textId="32D23506" w:rsidR="008A3DED" w:rsidRDefault="002407C6" w:rsidP="001704AE">
      <w:pPr>
        <w:rPr>
          <w:rFonts w:cstheme="minorBidi"/>
          <w:color w:val="000000" w:themeColor="text1"/>
          <w:lang w:val="en-GB"/>
        </w:rPr>
      </w:pPr>
      <w:r>
        <w:rPr>
          <w:rFonts w:cstheme="minorBidi"/>
          <w:color w:val="000000" w:themeColor="text1"/>
          <w:lang w:val="en-GB"/>
        </w:rPr>
        <w:t>A</w:t>
      </w:r>
      <w:r w:rsidR="008A3DED" w:rsidRPr="689E1B1A">
        <w:rPr>
          <w:rFonts w:cstheme="minorBidi"/>
          <w:color w:val="000000" w:themeColor="text1"/>
          <w:lang w:val="en-GB"/>
        </w:rPr>
        <w:t xml:space="preserve">cceptance of </w:t>
      </w:r>
      <w:r w:rsidR="0050086D">
        <w:rPr>
          <w:rFonts w:cstheme="minorBidi"/>
          <w:color w:val="000000" w:themeColor="text1"/>
          <w:lang w:val="en-GB"/>
        </w:rPr>
        <w:t>the</w:t>
      </w:r>
      <w:r>
        <w:rPr>
          <w:rFonts w:cstheme="minorBidi"/>
          <w:color w:val="000000" w:themeColor="text1"/>
          <w:lang w:val="en-GB"/>
        </w:rPr>
        <w:t xml:space="preserve"> Review’s</w:t>
      </w:r>
      <w:r w:rsidR="0050086D">
        <w:rPr>
          <w:rFonts w:cstheme="minorBidi"/>
          <w:color w:val="000000" w:themeColor="text1"/>
          <w:lang w:val="en-GB"/>
        </w:rPr>
        <w:t xml:space="preserve"> </w:t>
      </w:r>
      <w:r w:rsidR="008A3DED" w:rsidRPr="689E1B1A">
        <w:rPr>
          <w:rFonts w:cstheme="minorBidi"/>
          <w:color w:val="000000" w:themeColor="text1"/>
          <w:lang w:val="en-GB"/>
        </w:rPr>
        <w:t>recommendations</w:t>
      </w:r>
      <w:r>
        <w:rPr>
          <w:rFonts w:cstheme="minorBidi"/>
          <w:color w:val="000000" w:themeColor="text1"/>
          <w:lang w:val="en-GB"/>
        </w:rPr>
        <w:t xml:space="preserve"> should lead to</w:t>
      </w:r>
      <w:r w:rsidR="008A3DED" w:rsidRPr="689E1B1A">
        <w:rPr>
          <w:rFonts w:cstheme="minorBidi"/>
          <w:color w:val="000000" w:themeColor="text1"/>
          <w:lang w:val="en-GB"/>
        </w:rPr>
        <w:t xml:space="preserve"> </w:t>
      </w:r>
      <w:r>
        <w:rPr>
          <w:rFonts w:cstheme="minorBidi"/>
          <w:color w:val="000000" w:themeColor="text1"/>
          <w:lang w:val="en-GB"/>
        </w:rPr>
        <w:t xml:space="preserve">sponsors achieving </w:t>
      </w:r>
      <w:r w:rsidR="008A3DED" w:rsidRPr="689E1B1A">
        <w:rPr>
          <w:rFonts w:cstheme="minorBidi"/>
          <w:color w:val="000000" w:themeColor="text1"/>
          <w:lang w:val="en-GB"/>
        </w:rPr>
        <w:t>positive HTA recommendations after one or no more than two submissions for products demonstrating superiority</w:t>
      </w:r>
      <w:r w:rsidR="0050086D">
        <w:rPr>
          <w:rFonts w:cstheme="minorBidi"/>
          <w:color w:val="000000" w:themeColor="text1"/>
          <w:lang w:val="en-GB"/>
        </w:rPr>
        <w:t xml:space="preserve">. </w:t>
      </w:r>
      <w:r w:rsidR="00867C0C">
        <w:rPr>
          <w:rFonts w:cstheme="minorBidi"/>
          <w:color w:val="000000" w:themeColor="text1"/>
          <w:lang w:val="en-GB"/>
        </w:rPr>
        <w:t>If</w:t>
      </w:r>
      <w:r w:rsidR="00867C0C" w:rsidRPr="689E1B1A">
        <w:rPr>
          <w:rFonts w:cstheme="minorBidi"/>
          <w:color w:val="000000" w:themeColor="text1"/>
          <w:lang w:val="en-GB"/>
        </w:rPr>
        <w:t xml:space="preserve"> parallel processing is used effectively</w:t>
      </w:r>
      <w:r w:rsidR="00867C0C">
        <w:rPr>
          <w:rFonts w:cstheme="minorBidi"/>
          <w:color w:val="000000" w:themeColor="text1"/>
          <w:lang w:val="en-GB"/>
        </w:rPr>
        <w:t>,</w:t>
      </w:r>
      <w:r w:rsidR="008A3DED" w:rsidRPr="689E1B1A">
        <w:rPr>
          <w:rFonts w:cstheme="minorBidi"/>
          <w:color w:val="000000" w:themeColor="text1"/>
          <w:lang w:val="en-GB"/>
        </w:rPr>
        <w:t xml:space="preserve"> 90% of these products could be </w:t>
      </w:r>
      <w:r w:rsidR="0050086D" w:rsidRPr="689E1B1A">
        <w:rPr>
          <w:rFonts w:cstheme="minorBidi"/>
          <w:color w:val="000000" w:themeColor="text1"/>
          <w:lang w:val="en-GB"/>
        </w:rPr>
        <w:t xml:space="preserve">listed </w:t>
      </w:r>
      <w:r w:rsidR="0050086D">
        <w:rPr>
          <w:rFonts w:cstheme="minorBidi"/>
          <w:color w:val="000000" w:themeColor="text1"/>
          <w:lang w:val="en-GB"/>
        </w:rPr>
        <w:t xml:space="preserve">on the </w:t>
      </w:r>
      <w:r w:rsidR="008A3DED" w:rsidRPr="689E1B1A">
        <w:rPr>
          <w:rFonts w:cstheme="minorBidi"/>
          <w:color w:val="000000" w:themeColor="text1"/>
          <w:lang w:val="en-GB"/>
        </w:rPr>
        <w:t>PBS within 6 months of ARTG registration</w:t>
      </w:r>
      <w:r w:rsidR="00867C0C">
        <w:rPr>
          <w:rFonts w:cstheme="minorBidi"/>
          <w:color w:val="000000" w:themeColor="text1"/>
          <w:lang w:val="en-GB"/>
        </w:rPr>
        <w:t>. Without</w:t>
      </w:r>
      <w:r w:rsidR="0050086D" w:rsidRPr="689E1B1A">
        <w:rPr>
          <w:rFonts w:cstheme="minorBidi"/>
          <w:color w:val="000000" w:themeColor="text1"/>
          <w:lang w:val="en-GB"/>
        </w:rPr>
        <w:t xml:space="preserve"> </w:t>
      </w:r>
      <w:r w:rsidR="008A3DED" w:rsidRPr="689E1B1A">
        <w:rPr>
          <w:rFonts w:cstheme="minorBidi"/>
          <w:color w:val="000000" w:themeColor="text1"/>
          <w:lang w:val="en-GB"/>
        </w:rPr>
        <w:t>parallel processing</w:t>
      </w:r>
      <w:r w:rsidR="0050086D">
        <w:rPr>
          <w:rFonts w:cstheme="minorBidi"/>
          <w:color w:val="000000" w:themeColor="text1"/>
          <w:lang w:val="en-GB"/>
        </w:rPr>
        <w:t>,</w:t>
      </w:r>
      <w:r w:rsidR="008A3DED" w:rsidRPr="689E1B1A">
        <w:rPr>
          <w:rFonts w:cstheme="minorBidi"/>
          <w:color w:val="000000" w:themeColor="text1"/>
          <w:lang w:val="en-GB"/>
        </w:rPr>
        <w:t xml:space="preserve"> </w:t>
      </w:r>
      <w:r w:rsidR="00867C0C">
        <w:rPr>
          <w:rFonts w:cstheme="minorBidi"/>
          <w:color w:val="000000" w:themeColor="text1"/>
          <w:lang w:val="en-GB"/>
        </w:rPr>
        <w:t>they could be listed</w:t>
      </w:r>
      <w:r w:rsidR="00867C0C" w:rsidRPr="689E1B1A">
        <w:rPr>
          <w:rFonts w:cstheme="minorBidi"/>
          <w:color w:val="000000" w:themeColor="text1"/>
          <w:lang w:val="en-GB"/>
        </w:rPr>
        <w:t xml:space="preserve"> </w:t>
      </w:r>
      <w:r w:rsidR="008A3DED" w:rsidRPr="689E1B1A">
        <w:rPr>
          <w:rFonts w:cstheme="minorBidi"/>
          <w:color w:val="000000" w:themeColor="text1"/>
          <w:lang w:val="en-GB"/>
        </w:rPr>
        <w:t xml:space="preserve">within 12 months. </w:t>
      </w:r>
    </w:p>
    <w:p w14:paraId="5B06C066" w14:textId="1F493D98" w:rsidR="009B17F2" w:rsidRDefault="009B17F2" w:rsidP="001704AE">
      <w:pPr>
        <w:rPr>
          <w:rFonts w:cstheme="minorBidi"/>
          <w:color w:val="000000" w:themeColor="text1"/>
          <w:lang w:val="en-GB"/>
        </w:rPr>
      </w:pPr>
      <w:r w:rsidRPr="6CC68A72">
        <w:rPr>
          <w:rFonts w:cstheme="minorBidi"/>
          <w:color w:val="000000" w:themeColor="text1"/>
          <w:lang w:val="en-GB"/>
        </w:rPr>
        <w:t xml:space="preserve">The </w:t>
      </w:r>
      <w:r w:rsidR="008E290C">
        <w:rPr>
          <w:rFonts w:cstheme="minorBidi"/>
          <w:color w:val="000000" w:themeColor="text1"/>
          <w:lang w:val="en-GB"/>
        </w:rPr>
        <w:t>Review</w:t>
      </w:r>
      <w:r w:rsidRPr="6CC68A72">
        <w:rPr>
          <w:rFonts w:cstheme="minorBidi"/>
          <w:color w:val="000000" w:themeColor="text1"/>
          <w:lang w:val="en-GB"/>
        </w:rPr>
        <w:t xml:space="preserve"> considered whether the number of submissions for a given product for a given indication could or should be limited (</w:t>
      </w:r>
      <w:r w:rsidR="44478F80" w:rsidRPr="6CC68A72">
        <w:rPr>
          <w:rFonts w:cstheme="minorBidi"/>
          <w:color w:val="000000" w:themeColor="text1"/>
          <w:lang w:val="en-GB"/>
        </w:rPr>
        <w:t>e.g.</w:t>
      </w:r>
      <w:r w:rsidRPr="6CC68A72">
        <w:rPr>
          <w:rFonts w:cstheme="minorBidi"/>
          <w:color w:val="000000" w:themeColor="text1"/>
          <w:lang w:val="en-GB"/>
        </w:rPr>
        <w:t xml:space="preserve"> to two). Feedback received through </w:t>
      </w:r>
      <w:r w:rsidRPr="6CC68A72">
        <w:rPr>
          <w:rFonts w:cstheme="minorBidi"/>
          <w:color w:val="000000" w:themeColor="text1"/>
          <w:lang w:val="en-GB"/>
        </w:rPr>
        <w:lastRenderedPageBreak/>
        <w:t xml:space="preserve">Consultation 2 indicated that this would be too restrictive from an industry perspective and may introduce unintended negative consequences for timeliness. </w:t>
      </w:r>
    </w:p>
    <w:p w14:paraId="75C952EB" w14:textId="67DC7259" w:rsidR="008A3DED" w:rsidRDefault="008A3DED" w:rsidP="001704AE">
      <w:pPr>
        <w:rPr>
          <w:rFonts w:cstheme="minorBidi"/>
          <w:color w:val="000000" w:themeColor="text1"/>
          <w:lang w:val="en-GB"/>
        </w:rPr>
      </w:pPr>
      <w:r w:rsidRPr="01A04F8F">
        <w:rPr>
          <w:rFonts w:cstheme="minorBidi"/>
          <w:color w:val="000000" w:themeColor="text1"/>
          <w:lang w:val="en-GB"/>
        </w:rPr>
        <w:t xml:space="preserve">The </w:t>
      </w:r>
      <w:r w:rsidR="008E290C">
        <w:rPr>
          <w:rFonts w:cstheme="minorBidi"/>
          <w:color w:val="000000" w:themeColor="text1"/>
          <w:lang w:val="en-GB"/>
        </w:rPr>
        <w:t>Review</w:t>
      </w:r>
      <w:r w:rsidR="007A6C4B">
        <w:rPr>
          <w:rFonts w:cstheme="minorBidi"/>
          <w:color w:val="000000" w:themeColor="text1"/>
          <w:lang w:val="en-GB"/>
        </w:rPr>
        <w:t xml:space="preserve"> instead</w:t>
      </w:r>
      <w:r w:rsidRPr="01A04F8F">
        <w:rPr>
          <w:rFonts w:cstheme="minorBidi"/>
          <w:color w:val="000000" w:themeColor="text1"/>
          <w:lang w:val="en-GB"/>
        </w:rPr>
        <w:t xml:space="preserve"> puts forward suggested targets that, if achieved, are significant advances in achieving timeliness for access to the great majority of products that demonstrate superiority. Complementing these targets, the </w:t>
      </w:r>
      <w:r w:rsidR="008E290C">
        <w:rPr>
          <w:rFonts w:cstheme="minorBidi"/>
          <w:color w:val="000000" w:themeColor="text1"/>
          <w:lang w:val="en-GB"/>
        </w:rPr>
        <w:t>Review</w:t>
      </w:r>
      <w:r w:rsidRPr="01A04F8F">
        <w:rPr>
          <w:rFonts w:cstheme="minorBidi"/>
          <w:color w:val="000000" w:themeColor="text1"/>
          <w:lang w:val="en-GB"/>
        </w:rPr>
        <w:t xml:space="preserve"> recommends publi</w:t>
      </w:r>
      <w:r w:rsidR="002D3AE5">
        <w:rPr>
          <w:rFonts w:cstheme="minorBidi"/>
          <w:color w:val="000000" w:themeColor="text1"/>
          <w:lang w:val="en-GB"/>
        </w:rPr>
        <w:t>shing</w:t>
      </w:r>
      <w:r w:rsidRPr="01A04F8F">
        <w:rPr>
          <w:rFonts w:cstheme="minorBidi"/>
          <w:color w:val="000000" w:themeColor="text1"/>
          <w:lang w:val="en-GB"/>
        </w:rPr>
        <w:t xml:space="preserve"> information that enables identification of issues that require ongoing attention</w:t>
      </w:r>
      <w:r w:rsidR="002D3AE5">
        <w:rPr>
          <w:rFonts w:cstheme="minorBidi"/>
          <w:color w:val="000000" w:themeColor="text1"/>
          <w:lang w:val="en-GB"/>
        </w:rPr>
        <w:t>, to further improve</w:t>
      </w:r>
      <w:r w:rsidRPr="01A04F8F">
        <w:rPr>
          <w:rFonts w:cstheme="minorBidi"/>
          <w:color w:val="000000" w:themeColor="text1"/>
          <w:lang w:val="en-GB"/>
        </w:rPr>
        <w:t xml:space="preserve"> timeliness.</w:t>
      </w:r>
    </w:p>
    <w:p w14:paraId="58175DA1" w14:textId="709D01E2" w:rsidR="00C61F4C" w:rsidRDefault="00C61F4C" w:rsidP="00A318F7">
      <w:pPr>
        <w:pStyle w:val="Heading3"/>
      </w:pPr>
      <w:r>
        <w:t>Objectives of recommendation</w:t>
      </w:r>
      <w:r w:rsidR="002D3AE5">
        <w:t>s</w:t>
      </w:r>
    </w:p>
    <w:p w14:paraId="6FEC521F" w14:textId="17FDF4A5" w:rsidR="00C61F4C" w:rsidRDefault="002D3AE5" w:rsidP="001704AE">
      <w:pPr>
        <w:rPr>
          <w:rFonts w:cstheme="minorBidi"/>
          <w:color w:val="000000" w:themeColor="text1"/>
          <w:lang w:val="en-GB"/>
        </w:rPr>
      </w:pPr>
      <w:r>
        <w:rPr>
          <w:rFonts w:cstheme="minorBidi"/>
          <w:color w:val="000000" w:themeColor="text1"/>
          <w:lang w:val="en-GB"/>
        </w:rPr>
        <w:t xml:space="preserve">The recommendations aim to assist the </w:t>
      </w:r>
      <w:r w:rsidR="002A08E3" w:rsidRPr="01A04F8F">
        <w:rPr>
          <w:rFonts w:cstheme="minorBidi"/>
          <w:color w:val="000000" w:themeColor="text1"/>
          <w:lang w:val="en-GB"/>
        </w:rPr>
        <w:t xml:space="preserve">Government and </w:t>
      </w:r>
      <w:r>
        <w:rPr>
          <w:rFonts w:cstheme="minorBidi"/>
          <w:color w:val="000000" w:themeColor="text1"/>
          <w:lang w:val="en-GB"/>
        </w:rPr>
        <w:t>i</w:t>
      </w:r>
      <w:r w:rsidR="002A08E3" w:rsidRPr="01A04F8F">
        <w:rPr>
          <w:rFonts w:cstheme="minorBidi"/>
          <w:color w:val="000000" w:themeColor="text1"/>
          <w:lang w:val="en-GB"/>
        </w:rPr>
        <w:t xml:space="preserve">ndustry </w:t>
      </w:r>
      <w:r>
        <w:rPr>
          <w:rFonts w:cstheme="minorBidi"/>
          <w:color w:val="000000" w:themeColor="text1"/>
          <w:lang w:val="en-GB"/>
        </w:rPr>
        <w:t xml:space="preserve">to </w:t>
      </w:r>
      <w:r w:rsidR="002A08E3" w:rsidRPr="01A04F8F">
        <w:rPr>
          <w:rFonts w:cstheme="minorBidi"/>
          <w:color w:val="000000" w:themeColor="text1"/>
          <w:lang w:val="en-GB"/>
        </w:rPr>
        <w:t>demonstrate to the Australian community their commitment to enabling timely access</w:t>
      </w:r>
      <w:r>
        <w:rPr>
          <w:rFonts w:cstheme="minorBidi"/>
          <w:color w:val="000000" w:themeColor="text1"/>
          <w:lang w:val="en-GB"/>
        </w:rPr>
        <w:t xml:space="preserve"> to new therapies</w:t>
      </w:r>
      <w:r w:rsidR="002A08E3" w:rsidRPr="01A04F8F">
        <w:rPr>
          <w:rFonts w:cstheme="minorBidi"/>
          <w:color w:val="000000" w:themeColor="text1"/>
          <w:lang w:val="en-GB"/>
        </w:rPr>
        <w:t>. Public commitment to this in the form of agreed targets and performance metrics that are jointly owned and published will increase accountability, transparency and HTA system performance.</w:t>
      </w:r>
    </w:p>
    <w:p w14:paraId="60B3328E" w14:textId="77777777" w:rsidR="009B17F2" w:rsidRDefault="009B17F2" w:rsidP="00A318F7">
      <w:pPr>
        <w:pStyle w:val="Heading3"/>
      </w:pPr>
      <w:r>
        <w:t>Recommendation</w:t>
      </w:r>
    </w:p>
    <w:p w14:paraId="55A755EA" w14:textId="11B5AECF" w:rsidR="009B17F2" w:rsidRDefault="009B17F2" w:rsidP="00645D5E">
      <w:pPr>
        <w:pStyle w:val="Recommendation1"/>
      </w:pPr>
      <w:bookmarkStart w:id="195" w:name="_Hlk167301918"/>
      <w:r>
        <w:t>Jointly owned performance targets</w:t>
      </w:r>
    </w:p>
    <w:bookmarkEnd w:id="195"/>
    <w:p w14:paraId="552448CB" w14:textId="4BD94B05" w:rsidR="009B17F2" w:rsidRDefault="00CF6365" w:rsidP="0091498F">
      <w:pPr>
        <w:spacing w:line="22" w:lineRule="atLeast"/>
        <w:rPr>
          <w:rFonts w:cstheme="minorBidi"/>
          <w:color w:val="000000" w:themeColor="text1"/>
        </w:rPr>
      </w:pPr>
      <w:r>
        <w:rPr>
          <w:rFonts w:cstheme="minorBidi"/>
          <w:color w:val="000000" w:themeColor="text1"/>
          <w:lang w:val="en-GB"/>
        </w:rPr>
        <w:t xml:space="preserve">The Review recommends </w:t>
      </w:r>
      <w:r w:rsidR="000E412C">
        <w:rPr>
          <w:rFonts w:cstheme="minorBidi"/>
          <w:color w:val="000000" w:themeColor="text1"/>
          <w:lang w:val="en-GB"/>
        </w:rPr>
        <w:t xml:space="preserve">that </w:t>
      </w:r>
      <w:r w:rsidR="009B17F2" w:rsidRPr="00FF0C00">
        <w:rPr>
          <w:rFonts w:cstheme="minorBidi"/>
          <w:color w:val="000000" w:themeColor="text1"/>
          <w:lang w:val="en-GB"/>
        </w:rPr>
        <w:t>the</w:t>
      </w:r>
      <w:r>
        <w:rPr>
          <w:rFonts w:cstheme="minorBidi"/>
          <w:color w:val="000000" w:themeColor="text1"/>
          <w:lang w:val="en-GB"/>
        </w:rPr>
        <w:t xml:space="preserve"> </w:t>
      </w:r>
      <w:r w:rsidRPr="0066659D">
        <w:rPr>
          <w:rFonts w:cstheme="minorBidi"/>
          <w:color w:val="000000" w:themeColor="text1"/>
          <w:lang w:val="en-GB"/>
        </w:rPr>
        <w:t>Australian</w:t>
      </w:r>
      <w:r w:rsidR="009B17F2" w:rsidRPr="0066659D">
        <w:rPr>
          <w:rFonts w:cstheme="minorBidi"/>
          <w:color w:val="000000" w:themeColor="text1"/>
          <w:lang w:val="en-GB"/>
        </w:rPr>
        <w:t xml:space="preserve"> Government </w:t>
      </w:r>
      <w:r w:rsidR="191BE90A" w:rsidRPr="0066659D">
        <w:rPr>
          <w:rFonts w:cstheme="minorBidi"/>
          <w:color w:val="000000" w:themeColor="text1"/>
          <w:lang w:val="en-GB"/>
        </w:rPr>
        <w:t xml:space="preserve">and </w:t>
      </w:r>
      <w:r w:rsidR="009A5A09">
        <w:rPr>
          <w:rFonts w:cstheme="minorBidi"/>
          <w:color w:val="000000" w:themeColor="text1"/>
          <w:lang w:val="en-GB"/>
        </w:rPr>
        <w:t>i</w:t>
      </w:r>
      <w:r w:rsidR="191BE90A" w:rsidRPr="0066659D">
        <w:rPr>
          <w:rFonts w:cstheme="minorBidi"/>
          <w:color w:val="000000" w:themeColor="text1"/>
          <w:lang w:val="en-GB"/>
        </w:rPr>
        <w:t>ndustry</w:t>
      </w:r>
      <w:r w:rsidR="191BE90A" w:rsidRPr="689E1B1A">
        <w:rPr>
          <w:rFonts w:cstheme="minorBidi"/>
          <w:color w:val="000000" w:themeColor="text1"/>
          <w:lang w:val="en-GB"/>
        </w:rPr>
        <w:t xml:space="preserve"> re</w:t>
      </w:r>
      <w:r w:rsidR="00235AB7" w:rsidRPr="689E1B1A">
        <w:rPr>
          <w:rFonts w:cstheme="minorBidi"/>
          <w:color w:val="000000" w:themeColor="text1"/>
          <w:lang w:val="en-GB"/>
        </w:rPr>
        <w:t>affirm</w:t>
      </w:r>
      <w:r w:rsidR="6E581DCD" w:rsidRPr="689E1B1A">
        <w:rPr>
          <w:rFonts w:cstheme="minorBidi"/>
          <w:color w:val="000000" w:themeColor="text1"/>
          <w:lang w:val="en-GB"/>
        </w:rPr>
        <w:t xml:space="preserve"> </w:t>
      </w:r>
      <w:r w:rsidR="6E581DCD" w:rsidRPr="00512EBF">
        <w:rPr>
          <w:rFonts w:cstheme="minorBidi"/>
          <w:color w:val="000000" w:themeColor="text1"/>
          <w:lang w:val="en-GB"/>
        </w:rPr>
        <w:t>th</w:t>
      </w:r>
      <w:r w:rsidR="609B63C4" w:rsidRPr="00512EBF">
        <w:rPr>
          <w:rFonts w:cstheme="minorBidi"/>
          <w:color w:val="000000" w:themeColor="text1"/>
          <w:lang w:val="en-GB"/>
        </w:rPr>
        <w:t>eir</w:t>
      </w:r>
      <w:r w:rsidR="009B17F2" w:rsidRPr="689E1B1A">
        <w:rPr>
          <w:rFonts w:cstheme="minorBidi"/>
          <w:color w:val="000000" w:themeColor="text1"/>
          <w:lang w:val="en-GB"/>
        </w:rPr>
        <w:t xml:space="preserve"> commitment to </w:t>
      </w:r>
      <w:r w:rsidR="009B17F2" w:rsidRPr="689E1B1A">
        <w:rPr>
          <w:rFonts w:cstheme="minorBidi"/>
          <w:color w:val="000000" w:themeColor="text1"/>
        </w:rPr>
        <w:t xml:space="preserve">good faith negotiations aimed at minimising the time to completing </w:t>
      </w:r>
      <w:r w:rsidR="00F721F5" w:rsidRPr="00F721F5">
        <w:rPr>
          <w:rFonts w:cstheme="minorBidi"/>
          <w:color w:val="000000" w:themeColor="text1"/>
        </w:rPr>
        <w:t>HTA</w:t>
      </w:r>
      <w:r w:rsidR="009A5A09">
        <w:rPr>
          <w:rFonts w:cstheme="minorBidi"/>
          <w:color w:val="000000" w:themeColor="text1"/>
        </w:rPr>
        <w:t>s</w:t>
      </w:r>
      <w:r w:rsidR="00F721F5">
        <w:rPr>
          <w:rFonts w:cstheme="minorBidi"/>
          <w:color w:val="000000" w:themeColor="text1"/>
        </w:rPr>
        <w:t xml:space="preserve"> </w:t>
      </w:r>
      <w:r w:rsidR="009B17F2" w:rsidRPr="689E1B1A">
        <w:rPr>
          <w:rFonts w:cstheme="minorBidi"/>
          <w:color w:val="000000" w:themeColor="text1"/>
        </w:rPr>
        <w:t xml:space="preserve">and commercial agreements for products claimed to be superior to existing </w:t>
      </w:r>
      <w:r>
        <w:rPr>
          <w:rFonts w:cstheme="minorBidi"/>
          <w:color w:val="000000" w:themeColor="text1"/>
        </w:rPr>
        <w:t>care</w:t>
      </w:r>
      <w:r w:rsidR="009A5A09">
        <w:rPr>
          <w:rFonts w:cstheme="minorBidi"/>
          <w:color w:val="000000" w:themeColor="text1"/>
        </w:rPr>
        <w:t>. They should also</w:t>
      </w:r>
      <w:r w:rsidR="009B17F2" w:rsidRPr="689E1B1A">
        <w:rPr>
          <w:rFonts w:cstheme="minorBidi"/>
          <w:color w:val="000000" w:themeColor="text1"/>
        </w:rPr>
        <w:t xml:space="preserve"> </w:t>
      </w:r>
      <w:r w:rsidR="009B17F2" w:rsidRPr="00262EB5">
        <w:rPr>
          <w:rFonts w:cstheme="minorBidi"/>
          <w:color w:val="000000" w:themeColor="text1"/>
        </w:rPr>
        <w:t>negotiate</w:t>
      </w:r>
      <w:r w:rsidR="009B17F2" w:rsidRPr="689E1B1A">
        <w:rPr>
          <w:rFonts w:cstheme="minorBidi"/>
          <w:color w:val="000000" w:themeColor="text1"/>
        </w:rPr>
        <w:t xml:space="preserve"> reciproca</w:t>
      </w:r>
      <w:r w:rsidR="009A5A09">
        <w:rPr>
          <w:rFonts w:cstheme="minorBidi"/>
          <w:color w:val="000000" w:themeColor="text1"/>
        </w:rPr>
        <w:t>l</w:t>
      </w:r>
      <w:r w:rsidR="009B17F2" w:rsidRPr="689E1B1A">
        <w:rPr>
          <w:rFonts w:cstheme="minorBidi"/>
          <w:color w:val="000000" w:themeColor="text1"/>
        </w:rPr>
        <w:t xml:space="preserve"> commitments to these elements in any agreement</w:t>
      </w:r>
      <w:r w:rsidR="009A5A09">
        <w:rPr>
          <w:rFonts w:cstheme="minorBidi"/>
          <w:color w:val="000000" w:themeColor="text1"/>
        </w:rPr>
        <w:t>,</w:t>
      </w:r>
      <w:r w:rsidR="009B17F2" w:rsidRPr="689E1B1A">
        <w:rPr>
          <w:rFonts w:cstheme="minorBidi"/>
          <w:color w:val="000000" w:themeColor="text1"/>
        </w:rPr>
        <w:t xml:space="preserve"> including agreed performance metrics that are compiled and published annually. </w:t>
      </w:r>
    </w:p>
    <w:p w14:paraId="4BD22679" w14:textId="076A64C6" w:rsidR="00C10480" w:rsidRPr="00FF0C00" w:rsidRDefault="00C10480" w:rsidP="000C5623">
      <w:pPr>
        <w:keepNext/>
        <w:spacing w:line="22" w:lineRule="atLeast"/>
        <w:rPr>
          <w:rFonts w:asciiTheme="minorHAnsi" w:hAnsiTheme="minorHAnsi" w:cstheme="minorBidi"/>
          <w:color w:val="000000" w:themeColor="text1"/>
        </w:rPr>
      </w:pPr>
      <w:r>
        <w:rPr>
          <w:rFonts w:cstheme="minorBidi"/>
          <w:color w:val="000000" w:themeColor="text1"/>
        </w:rPr>
        <w:t>The Review recommends:</w:t>
      </w:r>
    </w:p>
    <w:p w14:paraId="6C0963D8" w14:textId="481D527D" w:rsidR="009B17F2" w:rsidRDefault="000E412C" w:rsidP="00870637">
      <w:pPr>
        <w:numPr>
          <w:ilvl w:val="0"/>
          <w:numId w:val="13"/>
        </w:numPr>
        <w:spacing w:after="0"/>
        <w:rPr>
          <w:rFonts w:cstheme="minorBidi"/>
          <w:color w:val="000000" w:themeColor="text1"/>
        </w:rPr>
      </w:pPr>
      <w:r>
        <w:rPr>
          <w:rFonts w:cstheme="minorBidi"/>
          <w:color w:val="000000" w:themeColor="text1"/>
        </w:rPr>
        <w:t>the introduction of</w:t>
      </w:r>
      <w:r w:rsidR="009A5A09">
        <w:rPr>
          <w:rFonts w:cstheme="minorBidi"/>
          <w:color w:val="000000" w:themeColor="text1"/>
        </w:rPr>
        <w:t xml:space="preserve"> r</w:t>
      </w:r>
      <w:r w:rsidR="009B17F2" w:rsidRPr="01A04F8F">
        <w:rPr>
          <w:rFonts w:cstheme="minorBidi"/>
          <w:color w:val="000000" w:themeColor="text1"/>
        </w:rPr>
        <w:t>eciproca</w:t>
      </w:r>
      <w:r w:rsidR="009A5A09">
        <w:rPr>
          <w:rFonts w:cstheme="minorBidi"/>
          <w:color w:val="000000" w:themeColor="text1"/>
        </w:rPr>
        <w:t>l</w:t>
      </w:r>
      <w:r w:rsidR="009B17F2" w:rsidRPr="01A04F8F">
        <w:rPr>
          <w:rFonts w:cstheme="minorBidi"/>
          <w:color w:val="000000" w:themeColor="text1"/>
        </w:rPr>
        <w:t xml:space="preserve"> commitments includ</w:t>
      </w:r>
      <w:r w:rsidR="009A5A09">
        <w:rPr>
          <w:rFonts w:cstheme="minorBidi"/>
          <w:color w:val="000000" w:themeColor="text1"/>
        </w:rPr>
        <w:t>ing</w:t>
      </w:r>
      <w:r w:rsidR="009B17F2" w:rsidRPr="01A04F8F">
        <w:rPr>
          <w:rFonts w:cstheme="minorBidi"/>
          <w:color w:val="000000" w:themeColor="text1"/>
        </w:rPr>
        <w:t xml:space="preserve"> headline targets of:</w:t>
      </w:r>
    </w:p>
    <w:p w14:paraId="3F4835FA" w14:textId="354AB921" w:rsidR="009B17F2" w:rsidRDefault="009B17F2" w:rsidP="00870637">
      <w:pPr>
        <w:numPr>
          <w:ilvl w:val="1"/>
          <w:numId w:val="13"/>
        </w:numPr>
        <w:spacing w:after="0"/>
        <w:rPr>
          <w:rFonts w:cstheme="minorBidi"/>
          <w:color w:val="000000" w:themeColor="text1"/>
        </w:rPr>
      </w:pPr>
      <w:r w:rsidRPr="01A04F8F">
        <w:rPr>
          <w:rFonts w:cstheme="minorBidi"/>
          <w:color w:val="000000" w:themeColor="text1"/>
        </w:rPr>
        <w:t xml:space="preserve">&gt;90% for </w:t>
      </w:r>
      <w:r w:rsidR="009A5A09">
        <w:rPr>
          <w:rFonts w:cstheme="minorBidi"/>
          <w:color w:val="000000" w:themeColor="text1"/>
        </w:rPr>
        <w:t xml:space="preserve">a </w:t>
      </w:r>
      <w:r w:rsidR="00CD7300" w:rsidRPr="00CD7300">
        <w:rPr>
          <w:rFonts w:cstheme="minorBidi"/>
          <w:color w:val="000000" w:themeColor="text1"/>
        </w:rPr>
        <w:t>Pharmaceutical Benefits Scheme (PBS)</w:t>
      </w:r>
      <w:r w:rsidR="00CD7300">
        <w:rPr>
          <w:rFonts w:cstheme="minorBidi"/>
          <w:color w:val="000000" w:themeColor="text1"/>
        </w:rPr>
        <w:t xml:space="preserve"> </w:t>
      </w:r>
      <w:r w:rsidRPr="01A04F8F">
        <w:rPr>
          <w:rFonts w:cstheme="minorBidi"/>
          <w:color w:val="000000" w:themeColor="text1"/>
        </w:rPr>
        <w:t xml:space="preserve">listing within 6 months of </w:t>
      </w:r>
      <w:r w:rsidR="009A5A09">
        <w:rPr>
          <w:rFonts w:cstheme="minorBidi"/>
          <w:color w:val="000000" w:themeColor="text1"/>
        </w:rPr>
        <w:t xml:space="preserve">an </w:t>
      </w:r>
      <w:r w:rsidR="00CD7300" w:rsidRPr="00CD7300">
        <w:rPr>
          <w:rFonts w:cstheme="minorBidi"/>
          <w:color w:val="000000" w:themeColor="text1"/>
        </w:rPr>
        <w:t>Australian Register of Therapeutic Goods (ARTG)</w:t>
      </w:r>
      <w:r w:rsidR="00CD7300">
        <w:rPr>
          <w:rFonts w:cstheme="minorBidi"/>
          <w:color w:val="000000" w:themeColor="text1"/>
        </w:rPr>
        <w:t xml:space="preserve"> </w:t>
      </w:r>
      <w:r w:rsidRPr="01A04F8F">
        <w:rPr>
          <w:rFonts w:cstheme="minorBidi"/>
          <w:color w:val="000000" w:themeColor="text1"/>
        </w:rPr>
        <w:t xml:space="preserve">registration for registered products demonstrating superiority and submitted to </w:t>
      </w:r>
      <w:r w:rsidR="009A5A09">
        <w:rPr>
          <w:rFonts w:cstheme="minorBidi"/>
          <w:color w:val="000000" w:themeColor="text1"/>
        </w:rPr>
        <w:t xml:space="preserve">the </w:t>
      </w:r>
      <w:r w:rsidR="002762A6" w:rsidRPr="002762A6">
        <w:rPr>
          <w:rFonts w:cstheme="minorBidi"/>
          <w:color w:val="000000" w:themeColor="text1"/>
        </w:rPr>
        <w:t>Pharmaceutical Benefits Advisory Committee (PBAC)</w:t>
      </w:r>
      <w:r w:rsidR="002762A6">
        <w:rPr>
          <w:rFonts w:cstheme="minorBidi"/>
          <w:color w:val="000000" w:themeColor="text1"/>
        </w:rPr>
        <w:t xml:space="preserve"> </w:t>
      </w:r>
      <w:r w:rsidRPr="01A04F8F">
        <w:rPr>
          <w:rFonts w:cstheme="minorBidi"/>
          <w:color w:val="000000" w:themeColor="text1"/>
        </w:rPr>
        <w:t xml:space="preserve">in the first cycle following </w:t>
      </w:r>
      <w:r w:rsidR="00E15396" w:rsidRPr="00E15396">
        <w:rPr>
          <w:rFonts w:cstheme="minorBidi"/>
          <w:color w:val="000000" w:themeColor="text1"/>
        </w:rPr>
        <w:t>Therapeutic Goods Administration (TGA)</w:t>
      </w:r>
      <w:r w:rsidR="00E15396">
        <w:rPr>
          <w:rFonts w:cstheme="minorBidi"/>
          <w:color w:val="000000" w:themeColor="text1"/>
        </w:rPr>
        <w:t xml:space="preserve"> </w:t>
      </w:r>
      <w:r w:rsidRPr="01A04F8F">
        <w:rPr>
          <w:rFonts w:cstheme="minorBidi"/>
          <w:color w:val="000000" w:themeColor="text1"/>
        </w:rPr>
        <w:t>submission under the TGA</w:t>
      </w:r>
      <w:r w:rsidR="00060E85">
        <w:rPr>
          <w:rFonts w:cstheme="minorBidi"/>
          <w:color w:val="000000" w:themeColor="text1"/>
        </w:rPr>
        <w:t xml:space="preserve"> and </w:t>
      </w:r>
      <w:r w:rsidRPr="01A04F8F">
        <w:rPr>
          <w:rFonts w:cstheme="minorBidi"/>
          <w:color w:val="000000" w:themeColor="text1"/>
        </w:rPr>
        <w:t>PBAC parallel processing pathway</w:t>
      </w:r>
    </w:p>
    <w:p w14:paraId="504B8FDC" w14:textId="2FC92FFF" w:rsidR="009B17F2" w:rsidRDefault="009B17F2" w:rsidP="00870637">
      <w:pPr>
        <w:numPr>
          <w:ilvl w:val="1"/>
          <w:numId w:val="13"/>
        </w:numPr>
        <w:spacing w:after="0"/>
        <w:rPr>
          <w:rFonts w:cstheme="minorBidi"/>
          <w:color w:val="000000" w:themeColor="text1"/>
        </w:rPr>
      </w:pPr>
      <w:r w:rsidRPr="689E1B1A">
        <w:rPr>
          <w:rFonts w:cstheme="minorBidi"/>
          <w:color w:val="000000" w:themeColor="text1"/>
        </w:rPr>
        <w:t>&gt;90% for PBS listing within 12 months of ARTG registration for registered products demonstrating superiority, other than where (</w:t>
      </w:r>
      <w:proofErr w:type="spellStart"/>
      <w:r w:rsidR="00E332DE">
        <w:rPr>
          <w:rFonts w:cstheme="minorBidi"/>
          <w:color w:val="000000" w:themeColor="text1"/>
        </w:rPr>
        <w:t>i</w:t>
      </w:r>
      <w:proofErr w:type="spellEnd"/>
      <w:r w:rsidR="00235AB7" w:rsidRPr="689E1B1A">
        <w:rPr>
          <w:rFonts w:cstheme="minorBidi"/>
          <w:color w:val="000000" w:themeColor="text1"/>
        </w:rPr>
        <w:t>)</w:t>
      </w:r>
      <w:r w:rsidRPr="689E1B1A">
        <w:rPr>
          <w:rFonts w:cstheme="minorBidi"/>
          <w:color w:val="000000" w:themeColor="text1"/>
        </w:rPr>
        <w:t xml:space="preserve"> applies.</w:t>
      </w:r>
    </w:p>
    <w:p w14:paraId="7DDAD52B" w14:textId="57D59D36" w:rsidR="00235AB7" w:rsidRDefault="000E412C" w:rsidP="00870637">
      <w:pPr>
        <w:numPr>
          <w:ilvl w:val="0"/>
          <w:numId w:val="13"/>
        </w:numPr>
        <w:spacing w:after="0"/>
        <w:rPr>
          <w:rFonts w:cstheme="minorBidi"/>
          <w:color w:val="000000" w:themeColor="text1"/>
        </w:rPr>
      </w:pPr>
      <w:r>
        <w:rPr>
          <w:rFonts w:cstheme="minorBidi"/>
          <w:color w:val="000000" w:themeColor="text1"/>
        </w:rPr>
        <w:t>p</w:t>
      </w:r>
      <w:r w:rsidR="00235AB7" w:rsidRPr="6CC68A72">
        <w:rPr>
          <w:rFonts w:cstheme="minorBidi"/>
          <w:color w:val="000000" w:themeColor="text1"/>
        </w:rPr>
        <w:t>rod</w:t>
      </w:r>
      <w:r w:rsidR="00C1715F">
        <w:rPr>
          <w:rFonts w:cstheme="minorBidi"/>
          <w:color w:val="000000" w:themeColor="text1"/>
        </w:rPr>
        <w:t>uction of</w:t>
      </w:r>
      <w:r w:rsidR="00235AB7" w:rsidRPr="6CC68A72">
        <w:rPr>
          <w:rFonts w:cstheme="minorBidi"/>
          <w:color w:val="000000" w:themeColor="text1"/>
        </w:rPr>
        <w:t xml:space="preserve"> annual summary documents that transparently report instances where a product claimed to be superior is not PBS listed after two submissions, or not listed within the time</w:t>
      </w:r>
      <w:r w:rsidR="004574C7">
        <w:rPr>
          <w:rFonts w:cstheme="minorBidi"/>
          <w:color w:val="000000" w:themeColor="text1"/>
        </w:rPr>
        <w:t xml:space="preserve"> </w:t>
      </w:r>
      <w:r w:rsidR="00235AB7" w:rsidRPr="6CC68A72">
        <w:rPr>
          <w:rFonts w:cstheme="minorBidi"/>
          <w:color w:val="000000" w:themeColor="text1"/>
        </w:rPr>
        <w:t xml:space="preserve">frames specified in </w:t>
      </w:r>
      <w:r w:rsidR="00CD465F">
        <w:rPr>
          <w:rFonts w:cstheme="minorBidi"/>
          <w:color w:val="000000" w:themeColor="text1"/>
        </w:rPr>
        <w:t>this recommendation (</w:t>
      </w:r>
      <w:r>
        <w:rPr>
          <w:rFonts w:cstheme="minorBidi"/>
          <w:color w:val="000000" w:themeColor="text1"/>
        </w:rPr>
        <w:t xml:space="preserve">a </w:t>
      </w:r>
      <w:r w:rsidR="00235AB7" w:rsidRPr="6CC68A72">
        <w:rPr>
          <w:rFonts w:cstheme="minorBidi"/>
          <w:color w:val="000000" w:themeColor="text1"/>
        </w:rPr>
        <w:t>(</w:t>
      </w:r>
      <w:bookmarkStart w:id="196" w:name="_Int_Y9NiPFgo"/>
      <w:proofErr w:type="spellStart"/>
      <w:r w:rsidR="00235AB7" w:rsidRPr="6CC68A72">
        <w:rPr>
          <w:rFonts w:cstheme="minorBidi"/>
          <w:color w:val="000000" w:themeColor="text1"/>
        </w:rPr>
        <w:t>i</w:t>
      </w:r>
      <w:bookmarkEnd w:id="196"/>
      <w:proofErr w:type="spellEnd"/>
      <w:r w:rsidR="00235AB7" w:rsidRPr="6CC68A72">
        <w:rPr>
          <w:rFonts w:cstheme="minorBidi"/>
          <w:color w:val="000000" w:themeColor="text1"/>
        </w:rPr>
        <w:t>)</w:t>
      </w:r>
      <w:r w:rsidR="00CD465F">
        <w:rPr>
          <w:rFonts w:cstheme="minorBidi"/>
          <w:color w:val="000000" w:themeColor="text1"/>
        </w:rPr>
        <w:t>)</w:t>
      </w:r>
      <w:r w:rsidR="00235AB7" w:rsidRPr="6CC68A72">
        <w:rPr>
          <w:rFonts w:cstheme="minorBidi"/>
          <w:color w:val="000000" w:themeColor="text1"/>
        </w:rPr>
        <w:t xml:space="preserve">. For each product, the stage of assessment where progression to listing </w:t>
      </w:r>
      <w:r>
        <w:rPr>
          <w:rFonts w:cstheme="minorBidi"/>
          <w:color w:val="000000" w:themeColor="text1"/>
        </w:rPr>
        <w:t>i</w:t>
      </w:r>
      <w:r w:rsidR="00235AB7" w:rsidRPr="6CC68A72">
        <w:rPr>
          <w:rFonts w:cstheme="minorBidi"/>
          <w:color w:val="000000" w:themeColor="text1"/>
        </w:rPr>
        <w:t>s primarily delayed should be specified in plain language, as well as the basis for this (where publicly available), using categories such as:</w:t>
      </w:r>
    </w:p>
    <w:p w14:paraId="4F30C230" w14:textId="46BF558A" w:rsidR="00235AB7" w:rsidRDefault="00235AB7" w:rsidP="00870637">
      <w:pPr>
        <w:numPr>
          <w:ilvl w:val="1"/>
          <w:numId w:val="13"/>
        </w:numPr>
        <w:spacing w:after="0"/>
        <w:rPr>
          <w:rFonts w:cstheme="minorBidi"/>
          <w:color w:val="000000" w:themeColor="text1"/>
        </w:rPr>
      </w:pPr>
      <w:r w:rsidRPr="01A04F8F">
        <w:rPr>
          <w:rFonts w:cstheme="minorBidi"/>
          <w:color w:val="000000" w:themeColor="text1"/>
        </w:rPr>
        <w:lastRenderedPageBreak/>
        <w:t xml:space="preserve">Stage </w:t>
      </w:r>
      <w:r w:rsidR="002943DD" w:rsidRPr="01A04F8F">
        <w:rPr>
          <w:rFonts w:cstheme="minorBidi"/>
          <w:color w:val="000000" w:themeColor="text1"/>
        </w:rPr>
        <w:t>–</w:t>
      </w:r>
      <w:r w:rsidRPr="01A04F8F">
        <w:rPr>
          <w:rFonts w:cstheme="minorBidi"/>
          <w:color w:val="000000" w:themeColor="text1"/>
        </w:rPr>
        <w:t xml:space="preserve"> PBAC submission; Basis – parallel processing not used, PBAC application &gt;3 months after ARTG registration, submission withdrawn</w:t>
      </w:r>
    </w:p>
    <w:p w14:paraId="1C96971D" w14:textId="38FD0399" w:rsidR="00235AB7" w:rsidRDefault="00235AB7" w:rsidP="00870637">
      <w:pPr>
        <w:numPr>
          <w:ilvl w:val="1"/>
          <w:numId w:val="13"/>
        </w:numPr>
        <w:spacing w:after="0"/>
        <w:rPr>
          <w:rFonts w:cstheme="minorBidi"/>
          <w:color w:val="000000" w:themeColor="text1"/>
        </w:rPr>
      </w:pPr>
      <w:r w:rsidRPr="01A04F8F">
        <w:rPr>
          <w:rFonts w:cstheme="minorBidi"/>
          <w:color w:val="000000" w:themeColor="text1"/>
        </w:rPr>
        <w:t xml:space="preserve">Stage – PBAC consideration of claim of superiority; Basis </w:t>
      </w:r>
      <w:r w:rsidR="000E412C">
        <w:rPr>
          <w:rFonts w:cstheme="minorBidi"/>
          <w:color w:val="000000" w:themeColor="text1"/>
        </w:rPr>
        <w:t>–</w:t>
      </w:r>
      <w:r w:rsidRPr="01A04F8F">
        <w:rPr>
          <w:rFonts w:cstheme="minorBidi"/>
          <w:color w:val="000000" w:themeColor="text1"/>
        </w:rPr>
        <w:t xml:space="preserve"> claim not accepted, claim acceptance required second consideration </w:t>
      </w:r>
    </w:p>
    <w:p w14:paraId="582FE7AF" w14:textId="428E0866" w:rsidR="00235AB7" w:rsidRDefault="00235AB7" w:rsidP="00870637">
      <w:pPr>
        <w:numPr>
          <w:ilvl w:val="1"/>
          <w:numId w:val="13"/>
        </w:numPr>
        <w:spacing w:after="0"/>
        <w:rPr>
          <w:rFonts w:cstheme="minorBidi"/>
          <w:color w:val="000000" w:themeColor="text1"/>
        </w:rPr>
      </w:pPr>
      <w:r w:rsidRPr="01A04F8F">
        <w:rPr>
          <w:rFonts w:cstheme="minorBidi"/>
          <w:color w:val="000000" w:themeColor="text1"/>
        </w:rPr>
        <w:t>Stage – Commercial negotiation</w:t>
      </w:r>
    </w:p>
    <w:p w14:paraId="40D80E99" w14:textId="31129998" w:rsidR="00235AB7" w:rsidRDefault="00235AB7" w:rsidP="00870637">
      <w:pPr>
        <w:numPr>
          <w:ilvl w:val="1"/>
          <w:numId w:val="13"/>
        </w:numPr>
        <w:spacing w:after="0"/>
        <w:rPr>
          <w:rFonts w:cstheme="minorBidi"/>
          <w:color w:val="000000" w:themeColor="text1"/>
        </w:rPr>
      </w:pPr>
      <w:r w:rsidRPr="01A04F8F">
        <w:rPr>
          <w:rFonts w:cstheme="minorBidi"/>
          <w:color w:val="000000" w:themeColor="text1"/>
        </w:rPr>
        <w:t xml:space="preserve">Stage – Implementation; Basis – guarantee of supply timing, </w:t>
      </w:r>
      <w:r w:rsidR="000E412C">
        <w:rPr>
          <w:rFonts w:cstheme="minorBidi"/>
          <w:color w:val="000000" w:themeColor="text1"/>
        </w:rPr>
        <w:t>C</w:t>
      </w:r>
      <w:r w:rsidRPr="01A04F8F">
        <w:rPr>
          <w:rFonts w:cstheme="minorBidi"/>
          <w:color w:val="000000" w:themeColor="text1"/>
        </w:rPr>
        <w:t>abinet consideration</w:t>
      </w:r>
      <w:r w:rsidR="000E412C">
        <w:rPr>
          <w:rFonts w:cstheme="minorBidi"/>
          <w:color w:val="000000" w:themeColor="text1"/>
        </w:rPr>
        <w:t xml:space="preserve"> of</w:t>
      </w:r>
      <w:r w:rsidRPr="01A04F8F">
        <w:rPr>
          <w:rFonts w:cstheme="minorBidi"/>
          <w:color w:val="000000" w:themeColor="text1"/>
        </w:rPr>
        <w:t xml:space="preserve"> timing, high</w:t>
      </w:r>
      <w:r w:rsidR="000E412C">
        <w:rPr>
          <w:rFonts w:cstheme="minorBidi"/>
          <w:color w:val="000000" w:themeColor="text1"/>
        </w:rPr>
        <w:t>-</w:t>
      </w:r>
      <w:r w:rsidRPr="01A04F8F">
        <w:rPr>
          <w:rFonts w:cstheme="minorBidi"/>
          <w:color w:val="000000" w:themeColor="text1"/>
        </w:rPr>
        <w:t>level complexity in implementation</w:t>
      </w:r>
      <w:r w:rsidR="000F7F98">
        <w:rPr>
          <w:rFonts w:cstheme="minorBidi"/>
          <w:color w:val="000000" w:themeColor="text1"/>
        </w:rPr>
        <w:t>.</w:t>
      </w:r>
    </w:p>
    <w:p w14:paraId="24BEE87C" w14:textId="19687E3D" w:rsidR="009B17F2" w:rsidRDefault="000E412C" w:rsidP="00870637">
      <w:pPr>
        <w:pStyle w:val="ListParagraph"/>
        <w:numPr>
          <w:ilvl w:val="0"/>
          <w:numId w:val="13"/>
        </w:numPr>
        <w:spacing w:after="0"/>
        <w:rPr>
          <w:rFonts w:cstheme="minorBidi"/>
          <w:color w:val="000000" w:themeColor="text1"/>
        </w:rPr>
      </w:pPr>
      <w:r>
        <w:rPr>
          <w:rFonts w:cstheme="minorBidi"/>
          <w:color w:val="000000" w:themeColor="text1"/>
        </w:rPr>
        <w:t>t</w:t>
      </w:r>
      <w:r w:rsidR="009B17F2" w:rsidRPr="01A04F8F">
        <w:rPr>
          <w:rFonts w:cstheme="minorBidi"/>
          <w:color w:val="000000" w:themeColor="text1"/>
        </w:rPr>
        <w:t>hat the impact of any accepted recommendations from th</w:t>
      </w:r>
      <w:r w:rsidR="005B4D44">
        <w:rPr>
          <w:rFonts w:cstheme="minorBidi"/>
          <w:color w:val="000000" w:themeColor="text1"/>
        </w:rPr>
        <w:t>e</w:t>
      </w:r>
      <w:r w:rsidR="009B17F2" w:rsidRPr="01A04F8F">
        <w:rPr>
          <w:rFonts w:cstheme="minorBidi"/>
          <w:color w:val="000000" w:themeColor="text1"/>
        </w:rPr>
        <w:t xml:space="preserve"> Review on </w:t>
      </w:r>
      <w:r w:rsidR="00CD465F">
        <w:rPr>
          <w:rFonts w:cstheme="minorBidi"/>
          <w:color w:val="000000" w:themeColor="text1"/>
        </w:rPr>
        <w:t xml:space="preserve">the </w:t>
      </w:r>
      <w:r w:rsidR="009B17F2" w:rsidRPr="01A04F8F">
        <w:rPr>
          <w:rFonts w:cstheme="minorBidi"/>
          <w:color w:val="000000" w:themeColor="text1"/>
        </w:rPr>
        <w:t xml:space="preserve">timeliness of access for therapies with proven superior clinical benefit be reviewed 2 years after implementation has commenced, and the results of that review </w:t>
      </w:r>
      <w:r>
        <w:rPr>
          <w:rFonts w:cstheme="minorBidi"/>
          <w:color w:val="000000" w:themeColor="text1"/>
        </w:rPr>
        <w:t xml:space="preserve">are </w:t>
      </w:r>
      <w:r w:rsidR="009B17F2" w:rsidRPr="01A04F8F">
        <w:rPr>
          <w:rFonts w:cstheme="minorBidi"/>
          <w:color w:val="000000" w:themeColor="text1"/>
        </w:rPr>
        <w:t>published. That review should consider:</w:t>
      </w:r>
    </w:p>
    <w:p w14:paraId="4AE9AF78" w14:textId="58BFA1E8" w:rsidR="009B17F2" w:rsidRDefault="000E412C" w:rsidP="00870637">
      <w:pPr>
        <w:pStyle w:val="ListParagraph"/>
        <w:numPr>
          <w:ilvl w:val="1"/>
          <w:numId w:val="13"/>
        </w:numPr>
        <w:spacing w:after="0"/>
        <w:rPr>
          <w:rFonts w:cstheme="minorBidi"/>
          <w:color w:val="000000" w:themeColor="text1"/>
        </w:rPr>
      </w:pPr>
      <w:r>
        <w:rPr>
          <w:rFonts w:cstheme="minorBidi"/>
          <w:color w:val="000000" w:themeColor="text1"/>
        </w:rPr>
        <w:t>m</w:t>
      </w:r>
      <w:r w:rsidR="009B17F2" w:rsidRPr="01A04F8F">
        <w:rPr>
          <w:rFonts w:cstheme="minorBidi"/>
          <w:color w:val="000000" w:themeColor="text1"/>
        </w:rPr>
        <w:t>edicines submitted for listing on the PBS</w:t>
      </w:r>
    </w:p>
    <w:p w14:paraId="01FD60F2" w14:textId="049F116C" w:rsidR="009B17F2" w:rsidRDefault="000E412C" w:rsidP="00870637">
      <w:pPr>
        <w:pStyle w:val="ListParagraph"/>
        <w:numPr>
          <w:ilvl w:val="1"/>
          <w:numId w:val="13"/>
        </w:numPr>
        <w:spacing w:after="0"/>
        <w:rPr>
          <w:rFonts w:cstheme="minorBidi"/>
          <w:color w:val="000000" w:themeColor="text1"/>
        </w:rPr>
      </w:pPr>
      <w:r>
        <w:rPr>
          <w:rFonts w:cstheme="minorBidi"/>
          <w:color w:val="000000" w:themeColor="text1"/>
        </w:rPr>
        <w:t>m</w:t>
      </w:r>
      <w:r w:rsidR="009B17F2" w:rsidRPr="01A04F8F">
        <w:rPr>
          <w:rFonts w:cstheme="minorBidi"/>
          <w:color w:val="000000" w:themeColor="text1"/>
        </w:rPr>
        <w:t xml:space="preserve">edicines listed on the </w:t>
      </w:r>
      <w:r w:rsidR="002C77F1" w:rsidRPr="002C77F1">
        <w:rPr>
          <w:rFonts w:cstheme="minorBidi"/>
          <w:color w:val="000000" w:themeColor="text1"/>
        </w:rPr>
        <w:t>Life Saving Drugs Program (LSD</w:t>
      </w:r>
      <w:r w:rsidR="00986373">
        <w:rPr>
          <w:rFonts w:cstheme="minorBidi"/>
          <w:color w:val="000000" w:themeColor="text1"/>
        </w:rPr>
        <w:t>P</w:t>
      </w:r>
      <w:r w:rsidR="002C77F1" w:rsidRPr="002C77F1">
        <w:rPr>
          <w:rFonts w:cstheme="minorBidi"/>
          <w:color w:val="000000" w:themeColor="text1"/>
        </w:rPr>
        <w:t>)</w:t>
      </w:r>
      <w:r w:rsidR="002C77F1">
        <w:rPr>
          <w:rFonts w:cstheme="minorBidi"/>
          <w:color w:val="000000" w:themeColor="text1"/>
        </w:rPr>
        <w:t xml:space="preserve"> </w:t>
      </w:r>
      <w:r w:rsidR="009B17F2" w:rsidRPr="01A04F8F">
        <w:rPr>
          <w:rFonts w:cstheme="minorBidi"/>
          <w:color w:val="000000" w:themeColor="text1"/>
        </w:rPr>
        <w:t>(or its equivalent)</w:t>
      </w:r>
    </w:p>
    <w:p w14:paraId="707CC8ED" w14:textId="03FA99F2" w:rsidR="009B17F2" w:rsidRDefault="008424C2" w:rsidP="00870637">
      <w:pPr>
        <w:pStyle w:val="ListParagraph"/>
        <w:numPr>
          <w:ilvl w:val="1"/>
          <w:numId w:val="13"/>
        </w:numPr>
        <w:spacing w:after="0"/>
        <w:rPr>
          <w:rFonts w:cstheme="minorBidi"/>
          <w:color w:val="000000" w:themeColor="text1"/>
        </w:rPr>
      </w:pPr>
      <w:r>
        <w:rPr>
          <w:rFonts w:cstheme="minorBidi"/>
          <w:color w:val="000000" w:themeColor="text1"/>
        </w:rPr>
        <w:t>advanced therapies</w:t>
      </w:r>
      <w:r w:rsidR="000B6479">
        <w:rPr>
          <w:rFonts w:cstheme="minorBidi"/>
          <w:color w:val="000000" w:themeColor="text1"/>
        </w:rPr>
        <w:t xml:space="preserve"> </w:t>
      </w:r>
      <w:r w:rsidR="009B17F2" w:rsidRPr="01A04F8F">
        <w:rPr>
          <w:rFonts w:cstheme="minorBidi"/>
          <w:color w:val="000000" w:themeColor="text1"/>
        </w:rPr>
        <w:t xml:space="preserve">(agnostic of </w:t>
      </w:r>
      <w:r w:rsidR="000E412C">
        <w:rPr>
          <w:rFonts w:cstheme="minorBidi"/>
          <w:color w:val="000000" w:themeColor="text1"/>
        </w:rPr>
        <w:t xml:space="preserve">the </w:t>
      </w:r>
      <w:r w:rsidR="009B17F2" w:rsidRPr="01A04F8F">
        <w:rPr>
          <w:rFonts w:cstheme="minorBidi"/>
          <w:color w:val="000000" w:themeColor="text1"/>
        </w:rPr>
        <w:t xml:space="preserve">HTA body; including </w:t>
      </w:r>
      <w:r>
        <w:rPr>
          <w:rFonts w:cstheme="minorBidi"/>
          <w:color w:val="000000" w:themeColor="text1"/>
        </w:rPr>
        <w:t>h</w:t>
      </w:r>
      <w:r w:rsidRPr="01A04F8F">
        <w:rPr>
          <w:rFonts w:cstheme="minorBidi"/>
          <w:color w:val="000000" w:themeColor="text1"/>
        </w:rPr>
        <w:t xml:space="preserve">ighly </w:t>
      </w:r>
      <w:r>
        <w:rPr>
          <w:rFonts w:cstheme="minorBidi"/>
          <w:color w:val="000000" w:themeColor="text1"/>
        </w:rPr>
        <w:t>s</w:t>
      </w:r>
      <w:r w:rsidRPr="01A04F8F">
        <w:rPr>
          <w:rFonts w:cstheme="minorBidi"/>
          <w:color w:val="000000" w:themeColor="text1"/>
        </w:rPr>
        <w:t xml:space="preserve">pecialised </w:t>
      </w:r>
      <w:r>
        <w:rPr>
          <w:rFonts w:cstheme="minorBidi"/>
          <w:color w:val="000000" w:themeColor="text1"/>
        </w:rPr>
        <w:t>t</w:t>
      </w:r>
      <w:r w:rsidRPr="01A04F8F">
        <w:rPr>
          <w:rFonts w:cstheme="minorBidi"/>
          <w:color w:val="000000" w:themeColor="text1"/>
        </w:rPr>
        <w:t>herapies</w:t>
      </w:r>
      <w:r>
        <w:rPr>
          <w:rFonts w:cstheme="minorBidi"/>
          <w:color w:val="000000" w:themeColor="text1"/>
        </w:rPr>
        <w:t xml:space="preserve"> (HSTs)</w:t>
      </w:r>
      <w:r w:rsidRPr="01A04F8F">
        <w:rPr>
          <w:rFonts w:cstheme="minorBidi"/>
          <w:color w:val="000000" w:themeColor="text1"/>
        </w:rPr>
        <w:t xml:space="preserve"> </w:t>
      </w:r>
      <w:r>
        <w:rPr>
          <w:rFonts w:cstheme="minorBidi"/>
          <w:color w:val="000000" w:themeColor="text1"/>
        </w:rPr>
        <w:t xml:space="preserve">funded </w:t>
      </w:r>
      <w:r w:rsidR="009B17F2" w:rsidRPr="01A04F8F">
        <w:rPr>
          <w:rFonts w:cstheme="minorBidi"/>
          <w:color w:val="000000" w:themeColor="text1"/>
        </w:rPr>
        <w:t xml:space="preserve">through the </w:t>
      </w:r>
      <w:r w:rsidR="001F42CC">
        <w:rPr>
          <w:rFonts w:cstheme="minorBidi"/>
          <w:color w:val="000000" w:themeColor="text1"/>
        </w:rPr>
        <w:t xml:space="preserve">2020–25 Addendum to the </w:t>
      </w:r>
      <w:r w:rsidR="007D2CF8">
        <w:rPr>
          <w:rFonts w:cstheme="minorBidi"/>
          <w:color w:val="000000" w:themeColor="text1"/>
        </w:rPr>
        <w:t>National Health Reform Agreement</w:t>
      </w:r>
      <w:r w:rsidR="00D7214B">
        <w:rPr>
          <w:rFonts w:cstheme="minorBidi"/>
          <w:color w:val="000000" w:themeColor="text1"/>
        </w:rPr>
        <w:t xml:space="preserve"> (NHRA)</w:t>
      </w:r>
      <w:r w:rsidR="009B17F2" w:rsidRPr="01A04F8F">
        <w:rPr>
          <w:rFonts w:cstheme="minorBidi"/>
          <w:color w:val="000000" w:themeColor="text1"/>
        </w:rPr>
        <w:t>)</w:t>
      </w:r>
    </w:p>
    <w:p w14:paraId="3BA4C36D" w14:textId="37937019" w:rsidR="00D015B8" w:rsidRDefault="000E412C" w:rsidP="00870637">
      <w:pPr>
        <w:pStyle w:val="ListParagraph"/>
        <w:numPr>
          <w:ilvl w:val="1"/>
          <w:numId w:val="13"/>
        </w:numPr>
        <w:spacing w:after="0"/>
        <w:rPr>
          <w:rFonts w:cstheme="minorBidi"/>
          <w:color w:val="000000" w:themeColor="text1"/>
        </w:rPr>
      </w:pPr>
      <w:r>
        <w:rPr>
          <w:rFonts w:cstheme="minorBidi"/>
          <w:color w:val="000000" w:themeColor="text1"/>
        </w:rPr>
        <w:t>t</w:t>
      </w:r>
      <w:r w:rsidR="009B17F2" w:rsidRPr="01A04F8F">
        <w:rPr>
          <w:rFonts w:cstheme="minorBidi"/>
          <w:color w:val="000000" w:themeColor="text1"/>
        </w:rPr>
        <w:t xml:space="preserve">herapies, other than </w:t>
      </w:r>
      <w:r w:rsidR="007F02AF">
        <w:rPr>
          <w:rFonts w:cstheme="minorBidi"/>
          <w:color w:val="000000" w:themeColor="text1"/>
        </w:rPr>
        <w:t>HSTs</w:t>
      </w:r>
      <w:r w:rsidR="009B17F2" w:rsidRPr="01A04F8F">
        <w:rPr>
          <w:rFonts w:cstheme="minorBidi"/>
          <w:color w:val="000000" w:themeColor="text1"/>
        </w:rPr>
        <w:t xml:space="preserve">, submitted for consideration by </w:t>
      </w:r>
      <w:r>
        <w:rPr>
          <w:rFonts w:cstheme="minorBidi"/>
          <w:color w:val="000000" w:themeColor="text1"/>
        </w:rPr>
        <w:t xml:space="preserve">the </w:t>
      </w:r>
      <w:r w:rsidR="00AF5A5E" w:rsidRPr="00AF5A5E">
        <w:rPr>
          <w:rFonts w:cstheme="minorBidi"/>
          <w:color w:val="000000" w:themeColor="text1"/>
        </w:rPr>
        <w:t>Medical Services Advisory Committee (MSAC)</w:t>
      </w:r>
      <w:r w:rsidR="000F7F98">
        <w:rPr>
          <w:rFonts w:cstheme="minorBidi"/>
          <w:color w:val="000000" w:themeColor="text1"/>
        </w:rPr>
        <w:t>.</w:t>
      </w:r>
    </w:p>
    <w:p w14:paraId="292F7385" w14:textId="1F24EDE2" w:rsidR="0091498F" w:rsidRDefault="000E412C" w:rsidP="00281153">
      <w:pPr>
        <w:pStyle w:val="ListParagraph"/>
        <w:numPr>
          <w:ilvl w:val="0"/>
          <w:numId w:val="13"/>
        </w:numPr>
      </w:pPr>
      <w:r>
        <w:rPr>
          <w:rFonts w:cstheme="minorBidi"/>
          <w:color w:val="000000" w:themeColor="text1"/>
        </w:rPr>
        <w:t>that f</w:t>
      </w:r>
      <w:r w:rsidR="007D249E" w:rsidRPr="007D249E">
        <w:rPr>
          <w:rFonts w:cstheme="minorBidi"/>
          <w:color w:val="000000" w:themeColor="text1"/>
        </w:rPr>
        <w:t>indings</w:t>
      </w:r>
      <w:r w:rsidR="00955E88">
        <w:rPr>
          <w:rFonts w:cstheme="minorBidi"/>
          <w:color w:val="000000" w:themeColor="text1"/>
        </w:rPr>
        <w:t xml:space="preserve"> from the </w:t>
      </w:r>
      <w:r>
        <w:rPr>
          <w:rFonts w:cstheme="minorBidi"/>
          <w:color w:val="000000" w:themeColor="text1"/>
        </w:rPr>
        <w:t xml:space="preserve">2-year </w:t>
      </w:r>
      <w:r w:rsidR="00955E88">
        <w:rPr>
          <w:rFonts w:cstheme="minorBidi"/>
          <w:color w:val="000000" w:themeColor="text1"/>
        </w:rPr>
        <w:t xml:space="preserve">review </w:t>
      </w:r>
      <w:r w:rsidR="007D249E" w:rsidRPr="007D249E">
        <w:rPr>
          <w:rFonts w:cstheme="minorBidi"/>
          <w:color w:val="000000" w:themeColor="text1"/>
        </w:rPr>
        <w:t>should inform actions aimed at further improving timeliness to access</w:t>
      </w:r>
      <w:r>
        <w:rPr>
          <w:rFonts w:cstheme="minorBidi"/>
          <w:color w:val="000000" w:themeColor="text1"/>
        </w:rPr>
        <w:t xml:space="preserve"> to new therapies</w:t>
      </w:r>
      <w:r w:rsidR="007D249E" w:rsidRPr="007D249E">
        <w:rPr>
          <w:rFonts w:cstheme="minorBidi"/>
          <w:color w:val="000000" w:themeColor="text1"/>
        </w:rPr>
        <w:t xml:space="preserve"> by removing unanticipated barriers that arise during or after implementation of any recommendations. The </w:t>
      </w:r>
      <w:r w:rsidR="007D249E" w:rsidRPr="007D249E" w:rsidDel="000E4AF2">
        <w:rPr>
          <w:rFonts w:cstheme="minorBidi"/>
          <w:color w:val="000000" w:themeColor="text1"/>
        </w:rPr>
        <w:t>R</w:t>
      </w:r>
      <w:r w:rsidR="007D249E" w:rsidRPr="007D249E">
        <w:rPr>
          <w:rFonts w:cstheme="minorBidi"/>
          <w:color w:val="000000" w:themeColor="text1"/>
        </w:rPr>
        <w:t>eview findings should also inform</w:t>
      </w:r>
      <w:r w:rsidR="00CD465F">
        <w:rPr>
          <w:rFonts w:cstheme="minorBidi"/>
          <w:color w:val="000000" w:themeColor="text1"/>
        </w:rPr>
        <w:t xml:space="preserve"> the</w:t>
      </w:r>
      <w:r w:rsidR="007D249E" w:rsidRPr="007D249E">
        <w:rPr>
          <w:rFonts w:cstheme="minorBidi"/>
          <w:color w:val="000000" w:themeColor="text1"/>
        </w:rPr>
        <w:t xml:space="preserve"> revision of performance metrics and </w:t>
      </w:r>
      <w:r w:rsidR="00CD465F">
        <w:rPr>
          <w:rFonts w:cstheme="minorBidi"/>
          <w:color w:val="000000" w:themeColor="text1"/>
        </w:rPr>
        <w:t xml:space="preserve">the </w:t>
      </w:r>
      <w:r w:rsidR="007D249E" w:rsidRPr="007D249E">
        <w:rPr>
          <w:rFonts w:cstheme="minorBidi"/>
          <w:color w:val="000000" w:themeColor="text1"/>
        </w:rPr>
        <w:t>negotiation of headline targets with reduced times to access.</w:t>
      </w:r>
      <w:r w:rsidR="0091498F" w:rsidRPr="0091498F">
        <w:rPr>
          <w:noProof/>
        </w:rPr>
        <w:t xml:space="preserve"> </w:t>
      </w:r>
    </w:p>
    <w:p w14:paraId="07CF99B4" w14:textId="206581C8" w:rsidR="008D6176" w:rsidRDefault="00C770A7" w:rsidP="002A5680">
      <w:pPr>
        <w:rPr>
          <w:rFonts w:eastAsia="Times New Roman" w:cs="Segoe UI"/>
          <w:color w:val="0A1D37" w:themeColor="text2" w:themeShade="80"/>
          <w:kern w:val="28"/>
          <w:sz w:val="56"/>
          <w:szCs w:val="56"/>
        </w:rPr>
      </w:pPr>
      <w:r>
        <w:t>Comment by</w:t>
      </w:r>
      <w:r w:rsidR="00BD05D7">
        <w:t xml:space="preserve"> </w:t>
      </w:r>
      <w:r w:rsidR="00BD05D7" w:rsidRPr="00BD05D7">
        <w:t xml:space="preserve">Elizabeth de Somer, </w:t>
      </w:r>
      <w:r>
        <w:t>member</w:t>
      </w:r>
      <w:r w:rsidR="000E412C">
        <w:t xml:space="preserve"> nominated </w:t>
      </w:r>
      <w:r>
        <w:t>by</w:t>
      </w:r>
      <w:r w:rsidR="00BD05D7" w:rsidRPr="00BD05D7">
        <w:t xml:space="preserve"> </w:t>
      </w:r>
      <w:r w:rsidR="000E412C" w:rsidRPr="00BD05D7">
        <w:t>Medicines Australia</w:t>
      </w:r>
      <w:r>
        <w:t>:</w:t>
      </w:r>
      <w:r w:rsidR="000E412C">
        <w:t xml:space="preserve"> ‘</w:t>
      </w:r>
      <w:r w:rsidR="00BD05D7" w:rsidRPr="00BD05D7">
        <w:t>The industry supports mutually agreed targets that reduce delays in patient access and recommends that a time</w:t>
      </w:r>
      <w:r w:rsidR="004574C7">
        <w:t xml:space="preserve"> </w:t>
      </w:r>
      <w:r w:rsidR="00BD05D7" w:rsidRPr="00BD05D7">
        <w:t>frame for PBS listing within 60 days of ARTG registration for all submissions should be a future target.</w:t>
      </w:r>
      <w:r w:rsidR="000E412C">
        <w:t>’</w:t>
      </w:r>
      <w:r w:rsidR="00FE0D6D">
        <w:br w:type="page"/>
      </w:r>
    </w:p>
    <w:p w14:paraId="64237FDC" w14:textId="12454E0C" w:rsidR="00797ACB" w:rsidRPr="00C94705" w:rsidRDefault="007E594A" w:rsidP="00FB5874">
      <w:pPr>
        <w:pStyle w:val="Heading1"/>
      </w:pPr>
      <w:bookmarkStart w:id="197" w:name="_Toc164767726"/>
      <w:bookmarkStart w:id="198" w:name="_Toc164781654"/>
      <w:bookmarkStart w:id="199" w:name="_Ref164782912"/>
      <w:bookmarkStart w:id="200" w:name="_Toc171935877"/>
      <w:bookmarkStart w:id="201" w:name="_Toc164691393"/>
      <w:bookmarkStart w:id="202" w:name="_Toc164696191"/>
      <w:bookmarkStart w:id="203" w:name="_Toc164696337"/>
      <w:r w:rsidRPr="00C94705">
        <w:lastRenderedPageBreak/>
        <w:t>Chapter</w:t>
      </w:r>
      <w:r w:rsidR="00BC6933" w:rsidRPr="00C94705">
        <w:t xml:space="preserve"> </w:t>
      </w:r>
      <w:r w:rsidR="00D14813">
        <w:t>5</w:t>
      </w:r>
      <w:r w:rsidRPr="00C94705" w:rsidDel="00566A6A">
        <w:t>:</w:t>
      </w:r>
      <w:r w:rsidRPr="00C94705">
        <w:t xml:space="preserve"> </w:t>
      </w:r>
      <w:r w:rsidR="003D7D3B" w:rsidRPr="00F83813">
        <w:t xml:space="preserve">Policies, methods and processes supporting the translation of HTA </w:t>
      </w:r>
      <w:r w:rsidR="005A5AAF">
        <w:t>r</w:t>
      </w:r>
      <w:r w:rsidR="003D7D3B" w:rsidRPr="00F83813">
        <w:t>ecommendations into patient access</w:t>
      </w:r>
      <w:bookmarkEnd w:id="197"/>
      <w:bookmarkEnd w:id="198"/>
      <w:bookmarkEnd w:id="199"/>
      <w:bookmarkEnd w:id="200"/>
      <w:bookmarkEnd w:id="201"/>
      <w:bookmarkEnd w:id="202"/>
      <w:bookmarkEnd w:id="203"/>
    </w:p>
    <w:p w14:paraId="1FE2AD26" w14:textId="183445DA" w:rsidR="00647713" w:rsidRPr="00F83813" w:rsidRDefault="00647713" w:rsidP="002B25F3">
      <w:pPr>
        <w:pStyle w:val="Heading2"/>
      </w:pPr>
      <w:bookmarkStart w:id="204" w:name="_Proactively_addressing_areas"/>
      <w:bookmarkStart w:id="205" w:name="_Toc164685821"/>
      <w:bookmarkStart w:id="206" w:name="_Toc164691394"/>
      <w:bookmarkStart w:id="207" w:name="_Toc164696192"/>
      <w:bookmarkStart w:id="208" w:name="_Toc164696338"/>
      <w:bookmarkStart w:id="209" w:name="_Toc164767727"/>
      <w:bookmarkStart w:id="210" w:name="_Toc164781655"/>
      <w:bookmarkStart w:id="211" w:name="_Toc171935878"/>
      <w:bookmarkStart w:id="212" w:name="_Ref156431792"/>
      <w:bookmarkStart w:id="213" w:name="_Toc157029116"/>
      <w:bookmarkStart w:id="214" w:name="_Toc157029500"/>
      <w:bookmarkStart w:id="215" w:name="_Toc800626390"/>
      <w:bookmarkStart w:id="216" w:name="_Toc160635078"/>
      <w:bookmarkEnd w:id="204"/>
      <w:r w:rsidRPr="00F83813">
        <w:t>Introduction</w:t>
      </w:r>
      <w:bookmarkEnd w:id="205"/>
      <w:bookmarkEnd w:id="206"/>
      <w:bookmarkEnd w:id="207"/>
      <w:bookmarkEnd w:id="208"/>
      <w:bookmarkEnd w:id="209"/>
      <w:bookmarkEnd w:id="210"/>
      <w:bookmarkEnd w:id="211"/>
    </w:p>
    <w:p w14:paraId="56194253" w14:textId="5B7E67D1" w:rsidR="00647713" w:rsidRPr="00F83813" w:rsidRDefault="00647713" w:rsidP="001704AE">
      <w:pPr>
        <w:rPr>
          <w:rFonts w:cs="Segoe UI"/>
        </w:rPr>
      </w:pPr>
      <w:r w:rsidRPr="00F83813">
        <w:rPr>
          <w:rFonts w:cs="Segoe UI"/>
        </w:rPr>
        <w:t>While a positive recommendation from a</w:t>
      </w:r>
      <w:r w:rsidR="00AE43EE">
        <w:rPr>
          <w:rFonts w:cs="Segoe UI"/>
        </w:rPr>
        <w:t>n</w:t>
      </w:r>
      <w:r w:rsidRPr="00F83813">
        <w:rPr>
          <w:rFonts w:cs="Segoe UI"/>
        </w:rPr>
        <w:t xml:space="preserve"> HTA </w:t>
      </w:r>
      <w:r w:rsidR="00C16518">
        <w:rPr>
          <w:rFonts w:cs="Segoe UI"/>
        </w:rPr>
        <w:t>advisory committee</w:t>
      </w:r>
      <w:r w:rsidRPr="00F83813">
        <w:rPr>
          <w:rFonts w:cs="Segoe UI"/>
        </w:rPr>
        <w:t xml:space="preserve"> is an essential step in the overall process, it is not the end step that results in subsidised patient access to a health technology. Government-subsidised access to health technologies requires </w:t>
      </w:r>
      <w:r w:rsidR="00CD465F">
        <w:rPr>
          <w:rFonts w:cs="Segoe UI"/>
        </w:rPr>
        <w:t>Australian Government agencies</w:t>
      </w:r>
      <w:r w:rsidRPr="00F83813">
        <w:rPr>
          <w:rFonts w:cs="Segoe UI"/>
        </w:rPr>
        <w:t xml:space="preserve"> to work with stakeholders (</w:t>
      </w:r>
      <w:r w:rsidR="00CD465F">
        <w:rPr>
          <w:rFonts w:cs="Segoe UI"/>
        </w:rPr>
        <w:t xml:space="preserve">including </w:t>
      </w:r>
      <w:r w:rsidRPr="00F83813">
        <w:rPr>
          <w:rFonts w:cs="Segoe UI"/>
        </w:rPr>
        <w:t xml:space="preserve">industry </w:t>
      </w:r>
      <w:r w:rsidR="003405F5">
        <w:rPr>
          <w:rFonts w:cs="Segoe UI"/>
        </w:rPr>
        <w:t xml:space="preserve">sponsors </w:t>
      </w:r>
      <w:r w:rsidRPr="00F83813">
        <w:rPr>
          <w:rFonts w:cs="Segoe UI"/>
        </w:rPr>
        <w:t xml:space="preserve">and other </w:t>
      </w:r>
      <w:r w:rsidR="00CD465F">
        <w:rPr>
          <w:rFonts w:cs="Segoe UI"/>
        </w:rPr>
        <w:t>government</w:t>
      </w:r>
      <w:r w:rsidR="00CD465F" w:rsidRPr="00F83813">
        <w:rPr>
          <w:rFonts w:cs="Segoe UI"/>
        </w:rPr>
        <w:t xml:space="preserve"> </w:t>
      </w:r>
      <w:r w:rsidRPr="00F83813">
        <w:rPr>
          <w:rFonts w:cs="Segoe UI"/>
        </w:rPr>
        <w:t>agencies</w:t>
      </w:r>
      <w:r w:rsidR="00616E5A">
        <w:rPr>
          <w:rFonts w:cs="Segoe UI"/>
        </w:rPr>
        <w:t xml:space="preserve"> such as</w:t>
      </w:r>
      <w:r w:rsidRPr="00F83813">
        <w:rPr>
          <w:rFonts w:cs="Segoe UI"/>
        </w:rPr>
        <w:t xml:space="preserve"> Services Australia) to translate the positive </w:t>
      </w:r>
      <w:r w:rsidR="003405F5">
        <w:rPr>
          <w:rFonts w:cs="Segoe UI"/>
        </w:rPr>
        <w:t xml:space="preserve">HTA </w:t>
      </w:r>
      <w:r w:rsidRPr="00F83813">
        <w:rPr>
          <w:rFonts w:cs="Segoe UI"/>
        </w:rPr>
        <w:t>recommendation into the essential legal, administrative and contractual materials that mean:</w:t>
      </w:r>
    </w:p>
    <w:p w14:paraId="567E0BDE" w14:textId="0E5C9B47" w:rsidR="00647713" w:rsidRPr="00F83813" w:rsidRDefault="00647713" w:rsidP="00281153">
      <w:pPr>
        <w:pStyle w:val="ListBullet"/>
        <w:numPr>
          <w:ilvl w:val="0"/>
          <w:numId w:val="97"/>
        </w:numPr>
      </w:pPr>
      <w:r w:rsidRPr="00F83813">
        <w:t xml:space="preserve">patients can access </w:t>
      </w:r>
      <w:r w:rsidR="00616E5A">
        <w:t xml:space="preserve">the </w:t>
      </w:r>
      <w:r w:rsidRPr="00F83813">
        <w:t>health technolog</w:t>
      </w:r>
      <w:r w:rsidR="00616E5A">
        <w:t>y</w:t>
      </w:r>
      <w:r w:rsidRPr="00F83813">
        <w:t xml:space="preserve"> at an affordable (subsidised) cost through established and familiar access channels (i.e. pharmacies or health service providers, depending on the health technology type) </w:t>
      </w:r>
    </w:p>
    <w:p w14:paraId="3533F180" w14:textId="7C057F03" w:rsidR="00647713" w:rsidRPr="00F83813" w:rsidRDefault="00616E5A" w:rsidP="00281153">
      <w:pPr>
        <w:pStyle w:val="ListBullet"/>
        <w:numPr>
          <w:ilvl w:val="0"/>
          <w:numId w:val="97"/>
        </w:numPr>
      </w:pPr>
      <w:r>
        <w:t xml:space="preserve">the </w:t>
      </w:r>
      <w:r w:rsidR="00647713" w:rsidRPr="00F83813">
        <w:t xml:space="preserve">sponsor and/or health service provider are paid </w:t>
      </w:r>
    </w:p>
    <w:p w14:paraId="24C49DF5" w14:textId="3CE87B6F" w:rsidR="00647713" w:rsidRPr="00F83813" w:rsidRDefault="00647713" w:rsidP="00281153">
      <w:pPr>
        <w:pStyle w:val="ListBullet"/>
        <w:numPr>
          <w:ilvl w:val="0"/>
          <w:numId w:val="97"/>
        </w:numPr>
      </w:pPr>
      <w:r w:rsidRPr="00F83813">
        <w:t>the Government</w:t>
      </w:r>
      <w:r w:rsidR="00616E5A">
        <w:t xml:space="preserve"> can defend to citizens its </w:t>
      </w:r>
      <w:r w:rsidRPr="00F83813">
        <w:t xml:space="preserve">decision to subsidise access to </w:t>
      </w:r>
      <w:r w:rsidR="00616E5A">
        <w:t xml:space="preserve">the </w:t>
      </w:r>
      <w:r w:rsidRPr="00F83813">
        <w:t>health technolog</w:t>
      </w:r>
      <w:r w:rsidR="00616E5A">
        <w:t>y</w:t>
      </w:r>
      <w:r w:rsidRPr="00F83813">
        <w:t xml:space="preserve"> as an effective and efficient use of limited resources to improve health outcomes. </w:t>
      </w:r>
    </w:p>
    <w:p w14:paraId="25EC8D68" w14:textId="77777777" w:rsidR="00647713" w:rsidRPr="00F83813" w:rsidRDefault="00647713" w:rsidP="00BD34D3">
      <w:pPr>
        <w:spacing w:before="240"/>
        <w:rPr>
          <w:rFonts w:cs="Segoe UI"/>
        </w:rPr>
      </w:pPr>
      <w:r w:rsidRPr="00F83813">
        <w:rPr>
          <w:rFonts w:cs="Segoe UI"/>
        </w:rPr>
        <w:t>This translation phase involves, at a broad descriptive level:</w:t>
      </w:r>
    </w:p>
    <w:p w14:paraId="7EF99A9B" w14:textId="3DD42FF6" w:rsidR="00647713" w:rsidRPr="00F83813" w:rsidRDefault="00647713" w:rsidP="00281153">
      <w:pPr>
        <w:pStyle w:val="ListBullet"/>
        <w:numPr>
          <w:ilvl w:val="0"/>
          <w:numId w:val="69"/>
        </w:numPr>
      </w:pPr>
      <w:r w:rsidRPr="00F83813">
        <w:t>negotiations on price and necessary conditions of access and availability</w:t>
      </w:r>
    </w:p>
    <w:p w14:paraId="48AD259E" w14:textId="75A77249" w:rsidR="00647713" w:rsidRPr="00F83813" w:rsidRDefault="00647713" w:rsidP="00281153">
      <w:pPr>
        <w:pStyle w:val="ListBullet"/>
        <w:numPr>
          <w:ilvl w:val="0"/>
          <w:numId w:val="69"/>
        </w:numPr>
      </w:pPr>
      <w:r w:rsidRPr="00F83813">
        <w:t xml:space="preserve">a decision to fund by the </w:t>
      </w:r>
      <w:r w:rsidR="004A3760">
        <w:t>G</w:t>
      </w:r>
      <w:r w:rsidRPr="00F83813">
        <w:t>overnment</w:t>
      </w:r>
    </w:p>
    <w:p w14:paraId="3588FB3C" w14:textId="1D38EBDB" w:rsidR="00647713" w:rsidRPr="00F83813" w:rsidRDefault="00647713" w:rsidP="00281153">
      <w:pPr>
        <w:pStyle w:val="ListBullet"/>
        <w:numPr>
          <w:ilvl w:val="0"/>
          <w:numId w:val="69"/>
        </w:numPr>
      </w:pPr>
      <w:r w:rsidRPr="00F83813">
        <w:t xml:space="preserve">listings </w:t>
      </w:r>
      <w:bookmarkStart w:id="217" w:name="_Int_i3lIV5Uy"/>
      <w:proofErr w:type="gramStart"/>
      <w:r w:rsidRPr="00F83813">
        <w:t>processes</w:t>
      </w:r>
      <w:bookmarkEnd w:id="217"/>
      <w:proofErr w:type="gramEnd"/>
      <w:r w:rsidRPr="00F83813">
        <w:t xml:space="preserve"> to support </w:t>
      </w:r>
      <w:r w:rsidR="00616E5A">
        <w:t xml:space="preserve">administering a </w:t>
      </w:r>
      <w:r w:rsidRPr="00F83813">
        <w:t>subsidy</w:t>
      </w:r>
      <w:r w:rsidR="00616E5A">
        <w:t xml:space="preserve"> or </w:t>
      </w:r>
      <w:r w:rsidRPr="00F83813">
        <w:t xml:space="preserve">reimbursement. </w:t>
      </w:r>
    </w:p>
    <w:p w14:paraId="631B08A8" w14:textId="77777777" w:rsidR="00647713" w:rsidRPr="00F83813" w:rsidRDefault="00647713" w:rsidP="001704AE">
      <w:pPr>
        <w:rPr>
          <w:rFonts w:cs="Segoe UI"/>
        </w:rPr>
      </w:pPr>
      <w:r w:rsidRPr="00F83813">
        <w:rPr>
          <w:rFonts w:cs="Segoe UI"/>
        </w:rPr>
        <w:t>For some health technologies, this translation phase is complicated due to:</w:t>
      </w:r>
    </w:p>
    <w:p w14:paraId="1F280966" w14:textId="6278FBAF" w:rsidR="00647713" w:rsidRPr="00F83813" w:rsidRDefault="00647713" w:rsidP="00281153">
      <w:pPr>
        <w:pStyle w:val="ListBullet"/>
        <w:numPr>
          <w:ilvl w:val="0"/>
          <w:numId w:val="70"/>
        </w:numPr>
      </w:pPr>
      <w:r w:rsidRPr="00F83813">
        <w:t>the need for stakeholders to address and manage uncertainties (in the short</w:t>
      </w:r>
      <w:r w:rsidR="00C6786F">
        <w:t xml:space="preserve"> </w:t>
      </w:r>
      <w:r w:rsidRPr="00F83813">
        <w:t>term and in future years) about the overall benefit, harms and costs of the health technology identified during the HTA</w:t>
      </w:r>
    </w:p>
    <w:p w14:paraId="5DFD44E7" w14:textId="2F6F0B86" w:rsidR="00647713" w:rsidRPr="00F83813" w:rsidRDefault="00647713" w:rsidP="00281153">
      <w:pPr>
        <w:pStyle w:val="ListBullet"/>
        <w:numPr>
          <w:ilvl w:val="0"/>
          <w:numId w:val="70"/>
        </w:numPr>
      </w:pPr>
      <w:r w:rsidRPr="00F83813">
        <w:t>differences in negotiati</w:t>
      </w:r>
      <w:r w:rsidR="00616E5A">
        <w:t>ng</w:t>
      </w:r>
      <w:r w:rsidRPr="00F83813">
        <w:t xml:space="preserve"> positions and perspectives about price and access conditions</w:t>
      </w:r>
    </w:p>
    <w:p w14:paraId="58492A42" w14:textId="431F4E03" w:rsidR="00647713" w:rsidRPr="00F83813" w:rsidRDefault="00647713" w:rsidP="00281153">
      <w:pPr>
        <w:pStyle w:val="ListBullet"/>
        <w:numPr>
          <w:ilvl w:val="0"/>
          <w:numId w:val="70"/>
        </w:numPr>
      </w:pPr>
      <w:r w:rsidRPr="00F83813">
        <w:t>stakeholder uncertainties about the next steps</w:t>
      </w:r>
      <w:r w:rsidR="00616E5A">
        <w:t xml:space="preserve"> in</w:t>
      </w:r>
      <w:r w:rsidRPr="00F83813">
        <w:t xml:space="preserve"> the negotiation and listing process (including responsibilities and timelines). </w:t>
      </w:r>
    </w:p>
    <w:p w14:paraId="09E705BD" w14:textId="77777777" w:rsidR="00647713" w:rsidRPr="00F83813" w:rsidRDefault="00647713" w:rsidP="001704AE">
      <w:pPr>
        <w:rPr>
          <w:rFonts w:cs="Segoe UI"/>
        </w:rPr>
      </w:pPr>
      <w:r w:rsidRPr="00F83813">
        <w:rPr>
          <w:rFonts w:cs="Segoe UI"/>
        </w:rPr>
        <w:lastRenderedPageBreak/>
        <w:t xml:space="preserve">These complications can add time to the translation step and slow down access to health technologies. </w:t>
      </w:r>
    </w:p>
    <w:p w14:paraId="7ED3DC61" w14:textId="75FDCE85" w:rsidR="00647713" w:rsidRPr="00C51898" w:rsidRDefault="00647713" w:rsidP="001704AE">
      <w:pPr>
        <w:rPr>
          <w:rFonts w:cs="Segoe UI"/>
        </w:rPr>
      </w:pPr>
      <w:r w:rsidRPr="00C51898">
        <w:rPr>
          <w:rFonts w:cs="Segoe UI"/>
        </w:rPr>
        <w:t xml:space="preserve">A guiding consideration of the Review </w:t>
      </w:r>
      <w:r w:rsidR="00616E5A">
        <w:rPr>
          <w:rFonts w:cs="Segoe UI"/>
        </w:rPr>
        <w:t>was</w:t>
      </w:r>
      <w:r w:rsidRPr="00C51898">
        <w:rPr>
          <w:rFonts w:cs="Segoe UI"/>
        </w:rPr>
        <w:t xml:space="preserve"> how it can advance the </w:t>
      </w:r>
      <w:r w:rsidR="004E2CF2">
        <w:rPr>
          <w:rFonts w:cs="Segoe UI"/>
        </w:rPr>
        <w:t>NMP</w:t>
      </w:r>
      <w:r w:rsidR="00C53390">
        <w:rPr>
          <w:rFonts w:cs="Segoe UI"/>
        </w:rPr>
        <w:t>’</w:t>
      </w:r>
      <w:r w:rsidR="00287670">
        <w:rPr>
          <w:rFonts w:cs="Segoe UI"/>
        </w:rPr>
        <w:t>s</w:t>
      </w:r>
      <w:r w:rsidRPr="00C51898">
        <w:rPr>
          <w:rFonts w:cs="Segoe UI"/>
        </w:rPr>
        <w:t xml:space="preserve"> commitment to a system that is sufficiently flexible </w:t>
      </w:r>
      <w:r w:rsidRPr="000C5623">
        <w:rPr>
          <w:rFonts w:cs="Segoe UI"/>
          <w:iCs/>
        </w:rPr>
        <w:t>‘to rapidly respond to emerging and disruptive technologies</w:t>
      </w:r>
      <w:r w:rsidR="00416BC6">
        <w:rPr>
          <w:rFonts w:cs="Segoe UI"/>
          <w:iCs/>
        </w:rPr>
        <w:t>. This</w:t>
      </w:r>
      <w:r w:rsidRPr="000C5623">
        <w:rPr>
          <w:rFonts w:cs="Segoe UI"/>
          <w:iCs/>
        </w:rPr>
        <w:t xml:space="preserve"> includ</w:t>
      </w:r>
      <w:r w:rsidR="00416BC6">
        <w:rPr>
          <w:rFonts w:cs="Segoe UI"/>
          <w:iCs/>
        </w:rPr>
        <w:t>es</w:t>
      </w:r>
      <w:r w:rsidRPr="000C5623">
        <w:rPr>
          <w:rFonts w:cs="Segoe UI"/>
          <w:iCs/>
        </w:rPr>
        <w:t xml:space="preserve"> innovative and highly specialised therapies and services, especially in circumstances where individuals have high unmet clinical needs</w:t>
      </w:r>
      <w:r w:rsidR="005378BF">
        <w:rPr>
          <w:rFonts w:cs="Segoe UI"/>
        </w:rPr>
        <w:t>. It also includes</w:t>
      </w:r>
      <w:r w:rsidRPr="00C51898">
        <w:rPr>
          <w:rFonts w:cs="Segoe UI"/>
        </w:rPr>
        <w:t xml:space="preserve"> balancing equity, affordability and value-based healthcare objectives, and the quality use of medicines</w:t>
      </w:r>
      <w:r w:rsidR="00616E5A">
        <w:rPr>
          <w:rFonts w:cs="Segoe UI"/>
        </w:rPr>
        <w:t>.</w:t>
      </w:r>
      <w:r w:rsidRPr="00C51898">
        <w:rPr>
          <w:rStyle w:val="FootnoteReference"/>
          <w:rFonts w:cs="Segoe UI"/>
        </w:rPr>
        <w:footnoteReference w:id="63"/>
      </w:r>
      <w:r w:rsidRPr="00C51898">
        <w:rPr>
          <w:rFonts w:cs="Segoe UI"/>
        </w:rPr>
        <w:t xml:space="preserve"> </w:t>
      </w:r>
    </w:p>
    <w:p w14:paraId="20BA6256" w14:textId="66C641D5" w:rsidR="00647713" w:rsidRPr="00F83813" w:rsidRDefault="00647713" w:rsidP="001704AE">
      <w:pPr>
        <w:rPr>
          <w:rFonts w:cs="Segoe UI"/>
        </w:rPr>
      </w:pPr>
      <w:r w:rsidRPr="00C51898">
        <w:rPr>
          <w:rFonts w:cs="Segoe UI"/>
        </w:rPr>
        <w:t xml:space="preserve">The efficiency and effectiveness of post-HTA translation activities and processes are essential to advancing these </w:t>
      </w:r>
      <w:r w:rsidR="00956510">
        <w:rPr>
          <w:rFonts w:cs="Segoe UI"/>
        </w:rPr>
        <w:t>NMP</w:t>
      </w:r>
      <w:r w:rsidRPr="00C51898">
        <w:rPr>
          <w:rFonts w:cs="Segoe UI"/>
        </w:rPr>
        <w:t xml:space="preserve"> objectives</w:t>
      </w:r>
      <w:r w:rsidRPr="00F83813">
        <w:rPr>
          <w:rFonts w:cs="Segoe UI"/>
        </w:rPr>
        <w:t>. However, an efficient, equitable and sustainable health system underwritten by public subsidies also requires:</w:t>
      </w:r>
    </w:p>
    <w:p w14:paraId="3C9A1ADE" w14:textId="2E19ABB2" w:rsidR="00647713" w:rsidRPr="00F83813" w:rsidRDefault="00647713" w:rsidP="00281153">
      <w:pPr>
        <w:pStyle w:val="ListBullet"/>
        <w:numPr>
          <w:ilvl w:val="0"/>
          <w:numId w:val="71"/>
        </w:numPr>
      </w:pPr>
      <w:r w:rsidRPr="00F83813">
        <w:t xml:space="preserve">having in place the right mix of activities and processes that support the important process of reassessment and re-examination of a health technology’s place, price and value in clinical care throughout its </w:t>
      </w:r>
      <w:r w:rsidRPr="6CC68A72">
        <w:t>lifecy</w:t>
      </w:r>
      <w:r w:rsidR="74328532" w:rsidRPr="6CC68A72">
        <w:t>c</w:t>
      </w:r>
      <w:r w:rsidRPr="6CC68A72">
        <w:t>le</w:t>
      </w:r>
      <w:r w:rsidRPr="00F83813">
        <w:t xml:space="preserve">, and as new health technologies </w:t>
      </w:r>
      <w:proofErr w:type="gramStart"/>
      <w:r w:rsidRPr="00F83813">
        <w:t>enter into</w:t>
      </w:r>
      <w:proofErr w:type="gramEnd"/>
      <w:r w:rsidRPr="00F83813">
        <w:t xml:space="preserve"> use </w:t>
      </w:r>
    </w:p>
    <w:p w14:paraId="2D1AB57B" w14:textId="4565B42F" w:rsidR="00647713" w:rsidRPr="00F83813" w:rsidRDefault="00647713" w:rsidP="00281153">
      <w:pPr>
        <w:pStyle w:val="ListBullet"/>
        <w:numPr>
          <w:ilvl w:val="0"/>
          <w:numId w:val="71"/>
        </w:numPr>
      </w:pPr>
      <w:r w:rsidRPr="00F83813">
        <w:t xml:space="preserve">different approaches to funding and providing timely access to health technologies for patients in cases where the risks and benefits are more uncertain and may have significant costs attached. </w:t>
      </w:r>
    </w:p>
    <w:p w14:paraId="74B0EB19" w14:textId="69BE4670" w:rsidR="00647713" w:rsidRPr="00F83813" w:rsidRDefault="00647713" w:rsidP="001704AE">
      <w:pPr>
        <w:rPr>
          <w:rFonts w:cs="Segoe UI"/>
        </w:rPr>
      </w:pPr>
      <w:r w:rsidRPr="00F83813">
        <w:rPr>
          <w:rFonts w:cs="Segoe UI"/>
        </w:rPr>
        <w:t>This chapter cover</w:t>
      </w:r>
      <w:r w:rsidR="00C3345B">
        <w:rPr>
          <w:rFonts w:cs="Segoe UI"/>
        </w:rPr>
        <w:t>s</w:t>
      </w:r>
      <w:r w:rsidRPr="00F83813">
        <w:rPr>
          <w:rFonts w:cs="Segoe UI"/>
        </w:rPr>
        <w:t>:</w:t>
      </w:r>
    </w:p>
    <w:p w14:paraId="42381FDC" w14:textId="41C68E8C" w:rsidR="00647713" w:rsidRPr="00F83813" w:rsidRDefault="00647713" w:rsidP="00281153">
      <w:pPr>
        <w:pStyle w:val="ListBullet"/>
        <w:numPr>
          <w:ilvl w:val="0"/>
          <w:numId w:val="71"/>
        </w:numPr>
      </w:pPr>
      <w:r w:rsidRPr="00F83813">
        <w:t xml:space="preserve">analysis and findings on the post-HTA arrangements that support how access to a health technology is negotiated, reimbursed and managed throughout its </w:t>
      </w:r>
      <w:r w:rsidR="09C9B04C" w:rsidRPr="6CC68A72">
        <w:t>utilisation</w:t>
      </w:r>
      <w:r w:rsidR="00460269">
        <w:t xml:space="preserve"> </w:t>
      </w:r>
      <w:r w:rsidRPr="00F83813">
        <w:t>lifecycle in health</w:t>
      </w:r>
      <w:r w:rsidR="002D33A5">
        <w:t xml:space="preserve"> </w:t>
      </w:r>
      <w:r w:rsidRPr="00F83813">
        <w:t xml:space="preserve">care </w:t>
      </w:r>
    </w:p>
    <w:p w14:paraId="7E2B0579" w14:textId="66B3ADF0" w:rsidR="00647713" w:rsidRPr="00F83813" w:rsidRDefault="00647713" w:rsidP="00281153">
      <w:pPr>
        <w:pStyle w:val="ListBullet"/>
        <w:numPr>
          <w:ilvl w:val="0"/>
          <w:numId w:val="71"/>
        </w:numPr>
      </w:pPr>
      <w:r w:rsidRPr="00F83813">
        <w:t xml:space="preserve">recommendations on these post-HTA arrangements that aim to improve the balance between access, cost, timeliness and quality of decision-making associated with health technologies, and facilitate improved health technology access for Australian patients, </w:t>
      </w:r>
      <w:r w:rsidR="009F6387">
        <w:t xml:space="preserve">which </w:t>
      </w:r>
      <w:r w:rsidR="002E5B76">
        <w:t xml:space="preserve">are </w:t>
      </w:r>
      <w:r w:rsidRPr="00F83813">
        <w:t>grouped into the following themes:</w:t>
      </w:r>
    </w:p>
    <w:p w14:paraId="537DE8E5" w14:textId="33E3217B" w:rsidR="00647713" w:rsidRPr="00F83813" w:rsidRDefault="00217F32" w:rsidP="00281153">
      <w:pPr>
        <w:pStyle w:val="ListBullet"/>
        <w:numPr>
          <w:ilvl w:val="1"/>
          <w:numId w:val="8"/>
        </w:numPr>
      </w:pPr>
      <w:r>
        <w:t>a</w:t>
      </w:r>
      <w:r w:rsidR="00647713" w:rsidRPr="00F83813">
        <w:t xml:space="preserve">lternative ways to pay for health technologies (Chapter </w:t>
      </w:r>
      <w:r w:rsidR="007402CE">
        <w:t>5</w:t>
      </w:r>
      <w:r w:rsidR="00647713" w:rsidRPr="00F83813">
        <w:t>.1)</w:t>
      </w:r>
    </w:p>
    <w:p w14:paraId="205C6F70" w14:textId="23EEADBA" w:rsidR="00647713" w:rsidRPr="00F83813" w:rsidRDefault="00217F32" w:rsidP="00281153">
      <w:pPr>
        <w:pStyle w:val="ListBullet"/>
        <w:numPr>
          <w:ilvl w:val="1"/>
          <w:numId w:val="8"/>
        </w:numPr>
      </w:pPr>
      <w:r>
        <w:t>i</w:t>
      </w:r>
      <w:r w:rsidR="00647713" w:rsidRPr="00F83813">
        <w:t xml:space="preserve">mproving the post-HTA negotiation process (Chapter </w:t>
      </w:r>
      <w:r w:rsidR="007402CE">
        <w:t>5</w:t>
      </w:r>
      <w:r w:rsidR="00647713" w:rsidRPr="00F83813">
        <w:t>.2)</w:t>
      </w:r>
    </w:p>
    <w:p w14:paraId="152BD1CA" w14:textId="29DCA043" w:rsidR="00647713" w:rsidRPr="00F83813" w:rsidRDefault="00217F32" w:rsidP="00281153">
      <w:pPr>
        <w:pStyle w:val="ListBullet"/>
        <w:numPr>
          <w:ilvl w:val="1"/>
          <w:numId w:val="8"/>
        </w:numPr>
      </w:pPr>
      <w:r>
        <w:t>t</w:t>
      </w:r>
      <w:r w:rsidR="00647713" w:rsidRPr="00F83813">
        <w:t xml:space="preserve">he need for regular reassessment of health technologies (Chapter </w:t>
      </w:r>
      <w:r w:rsidR="007402CE">
        <w:t>5</w:t>
      </w:r>
      <w:r w:rsidR="00647713" w:rsidRPr="00F83813">
        <w:t xml:space="preserve">.3) </w:t>
      </w:r>
    </w:p>
    <w:p w14:paraId="4D1BEB67" w14:textId="0FFCE097" w:rsidR="00647713" w:rsidRPr="00405FD7" w:rsidRDefault="00217F32" w:rsidP="00281153">
      <w:pPr>
        <w:pStyle w:val="ListBullet"/>
        <w:numPr>
          <w:ilvl w:val="1"/>
          <w:numId w:val="8"/>
        </w:numPr>
        <w:rPr>
          <w:b/>
        </w:rPr>
      </w:pPr>
      <w:r>
        <w:t>p</w:t>
      </w:r>
      <w:r w:rsidR="00647713" w:rsidRPr="00F83813">
        <w:t xml:space="preserve">ractical approaches to managing uncertainty and risk, while supporting patient access to health technologies (Chapter </w:t>
      </w:r>
      <w:r w:rsidR="007402CE">
        <w:t>5</w:t>
      </w:r>
      <w:r w:rsidR="00647713" w:rsidRPr="00F83813">
        <w:t>.4)</w:t>
      </w:r>
      <w:r w:rsidR="008C221C">
        <w:t xml:space="preserve"> </w:t>
      </w:r>
    </w:p>
    <w:p w14:paraId="74D1DE47" w14:textId="7340C7CF" w:rsidR="008716BB" w:rsidRPr="00405FD7" w:rsidRDefault="00994A04" w:rsidP="00281153">
      <w:pPr>
        <w:pStyle w:val="ListBullet"/>
        <w:numPr>
          <w:ilvl w:val="0"/>
          <w:numId w:val="71"/>
        </w:numPr>
        <w:rPr>
          <w:b/>
        </w:rPr>
      </w:pPr>
      <w:r w:rsidRPr="00405FD7">
        <w:t>t</w:t>
      </w:r>
      <w:r w:rsidR="008716BB" w:rsidRPr="00405FD7">
        <w:t xml:space="preserve">he </w:t>
      </w:r>
      <w:r w:rsidR="008F03AD" w:rsidRPr="00405FD7">
        <w:t xml:space="preserve">combined application of </w:t>
      </w:r>
      <w:r w:rsidR="00E12B7E" w:rsidRPr="00405FD7">
        <w:t xml:space="preserve">some of the concepts </w:t>
      </w:r>
      <w:r w:rsidR="0077445C" w:rsidRPr="00405FD7">
        <w:t>described in this chapter</w:t>
      </w:r>
      <w:r w:rsidR="00CA4AF2" w:rsidRPr="00405FD7">
        <w:t xml:space="preserve"> </w:t>
      </w:r>
      <w:r w:rsidR="00833EA3">
        <w:t>for</w:t>
      </w:r>
      <w:r w:rsidR="0059561C" w:rsidRPr="00405FD7">
        <w:t xml:space="preserve"> improving access to</w:t>
      </w:r>
      <w:r w:rsidR="008F03AD" w:rsidRPr="00405FD7">
        <w:t xml:space="preserve"> health technologies that address antimicrobial resistance (Chapter </w:t>
      </w:r>
      <w:r w:rsidR="007402CE" w:rsidRPr="00405FD7">
        <w:t>5</w:t>
      </w:r>
      <w:r w:rsidR="008F03AD" w:rsidRPr="00405FD7">
        <w:t>.5)</w:t>
      </w:r>
      <w:r w:rsidR="008C221C" w:rsidRPr="00405FD7">
        <w:t xml:space="preserve">. </w:t>
      </w:r>
    </w:p>
    <w:p w14:paraId="24EE0E85" w14:textId="07CFE5B9" w:rsidR="00647713" w:rsidRPr="00816751" w:rsidRDefault="00811E06" w:rsidP="002B25F3">
      <w:pPr>
        <w:pStyle w:val="Heading2"/>
      </w:pPr>
      <w:bookmarkStart w:id="218" w:name="_Toc164685822"/>
      <w:bookmarkStart w:id="219" w:name="_Toc164691395"/>
      <w:bookmarkStart w:id="220" w:name="_Toc164696193"/>
      <w:bookmarkStart w:id="221" w:name="_Toc164696339"/>
      <w:bookmarkStart w:id="222" w:name="_Toc164767728"/>
      <w:bookmarkStart w:id="223" w:name="_Toc164781656"/>
      <w:bookmarkStart w:id="224" w:name="_Toc171935879"/>
      <w:r>
        <w:lastRenderedPageBreak/>
        <w:t xml:space="preserve">Chapter </w:t>
      </w:r>
      <w:r w:rsidR="00D14813">
        <w:t>5</w:t>
      </w:r>
      <w:r>
        <w:t xml:space="preserve">.1: </w:t>
      </w:r>
      <w:bookmarkEnd w:id="212"/>
      <w:bookmarkEnd w:id="213"/>
      <w:bookmarkEnd w:id="214"/>
      <w:bookmarkEnd w:id="215"/>
      <w:bookmarkEnd w:id="216"/>
      <w:r w:rsidR="00647713" w:rsidRPr="00816751">
        <w:t>Alternative ways to pay for health technologies</w:t>
      </w:r>
      <w:bookmarkEnd w:id="218"/>
      <w:bookmarkEnd w:id="219"/>
      <w:bookmarkEnd w:id="220"/>
      <w:bookmarkEnd w:id="221"/>
      <w:bookmarkEnd w:id="222"/>
      <w:bookmarkEnd w:id="223"/>
      <w:bookmarkEnd w:id="224"/>
    </w:p>
    <w:p w14:paraId="0166B68F" w14:textId="7944796C" w:rsidR="001C061E" w:rsidRPr="00621C17" w:rsidRDefault="00D16D80" w:rsidP="00A318F7">
      <w:pPr>
        <w:pStyle w:val="Heading3"/>
      </w:pPr>
      <w:r>
        <w:t>Introduction and context</w:t>
      </w:r>
    </w:p>
    <w:p w14:paraId="0194BC9E" w14:textId="5E746398" w:rsidR="00647713" w:rsidRPr="00C51898" w:rsidRDefault="00647713" w:rsidP="001704AE">
      <w:r w:rsidRPr="00C51898">
        <w:t xml:space="preserve">In recent years, as </w:t>
      </w:r>
      <w:r w:rsidR="00C22D20">
        <w:t xml:space="preserve">there have been </w:t>
      </w:r>
      <w:r w:rsidR="009E3F48">
        <w:t>advances in science and</w:t>
      </w:r>
      <w:r w:rsidRPr="00C51898">
        <w:t xml:space="preserve"> the price of many health technologies has risen, many health systems (including Australia’s) have </w:t>
      </w:r>
      <w:r w:rsidR="009733B9">
        <w:t xml:space="preserve">been faced </w:t>
      </w:r>
      <w:r w:rsidRPr="00C51898">
        <w:t>with the practical problems associated with implementing HTA recommendations for comparatively cost-effective health technologies that have:</w:t>
      </w:r>
    </w:p>
    <w:p w14:paraId="198DD7FE" w14:textId="55F732D2" w:rsidR="00907CC8" w:rsidRPr="00C51898" w:rsidRDefault="00561E0E" w:rsidP="00281153">
      <w:pPr>
        <w:pStyle w:val="ListBullet"/>
        <w:numPr>
          <w:ilvl w:val="0"/>
          <w:numId w:val="71"/>
        </w:numPr>
      </w:pPr>
      <w:r>
        <w:t xml:space="preserve">a </w:t>
      </w:r>
      <w:r w:rsidR="00647713" w:rsidRPr="00C51898">
        <w:t>significant upfront and short-term budgetary (cash flow) impact on service providers and healthcare payers</w:t>
      </w:r>
      <w:r>
        <w:t>,</w:t>
      </w:r>
      <w:r w:rsidR="00647713" w:rsidRPr="00C51898">
        <w:t xml:space="preserve"> and/or</w:t>
      </w:r>
    </w:p>
    <w:p w14:paraId="2D9AC62A" w14:textId="3A6B96FD" w:rsidR="00647713" w:rsidRPr="00C51898" w:rsidRDefault="00907CC8" w:rsidP="00281153">
      <w:pPr>
        <w:pStyle w:val="ListBullet"/>
        <w:numPr>
          <w:ilvl w:val="0"/>
          <w:numId w:val="71"/>
        </w:numPr>
      </w:pPr>
      <w:r>
        <w:t>pr</w:t>
      </w:r>
      <w:r w:rsidR="00647713" w:rsidRPr="00C51898">
        <w:t>omising but uncertain quality and quantity of enduring health benefits due to the lack of long-term evidence.</w:t>
      </w:r>
    </w:p>
    <w:p w14:paraId="25B0F43A" w14:textId="07658413" w:rsidR="00647713" w:rsidRPr="00C51898" w:rsidRDefault="00647713" w:rsidP="001704AE">
      <w:r w:rsidRPr="00C51898">
        <w:t>Examples include:</w:t>
      </w:r>
    </w:p>
    <w:p w14:paraId="10962D0A" w14:textId="321D9B48" w:rsidR="00647713" w:rsidRPr="00C51898" w:rsidRDefault="00647713" w:rsidP="00281153">
      <w:pPr>
        <w:pStyle w:val="ListBullet"/>
        <w:numPr>
          <w:ilvl w:val="0"/>
          <w:numId w:val="71"/>
        </w:numPr>
      </w:pPr>
      <w:r w:rsidRPr="00C51898">
        <w:t xml:space="preserve">cell and gene therapies for which </w:t>
      </w:r>
      <w:r w:rsidR="00054D33">
        <w:t xml:space="preserve">high, </w:t>
      </w:r>
      <w:r w:rsidRPr="00C51898">
        <w:t>one-off upfront prices</w:t>
      </w:r>
      <w:r w:rsidR="00054D33">
        <w:rPr>
          <w:rStyle w:val="FootnoteReference"/>
        </w:rPr>
        <w:footnoteReference w:id="64"/>
      </w:r>
      <w:r w:rsidRPr="00C51898">
        <w:t xml:space="preserve"> may be payable for the health technology and treatment delivery to patients in clinical settings, but which have significant uncertainty regarding clinical benefit for patients in the long</w:t>
      </w:r>
      <w:r w:rsidR="009F6387">
        <w:t xml:space="preserve"> </w:t>
      </w:r>
      <w:r w:rsidRPr="00C51898">
        <w:t>term</w:t>
      </w:r>
    </w:p>
    <w:p w14:paraId="6C4A958C" w14:textId="73602F89" w:rsidR="00647713" w:rsidRPr="00C51898" w:rsidRDefault="00647713" w:rsidP="00281153">
      <w:pPr>
        <w:pStyle w:val="ListBullet"/>
        <w:numPr>
          <w:ilvl w:val="0"/>
          <w:numId w:val="71"/>
        </w:numPr>
      </w:pPr>
      <w:r w:rsidRPr="00C51898">
        <w:t xml:space="preserve">health technologies </w:t>
      </w:r>
      <w:r w:rsidR="00561E0E">
        <w:t>that</w:t>
      </w:r>
      <w:r w:rsidRPr="00C51898">
        <w:t xml:space="preserve"> may present significant short-</w:t>
      </w:r>
      <w:r w:rsidR="00561E0E">
        <w:t xml:space="preserve"> </w:t>
      </w:r>
      <w:r w:rsidRPr="00C51898">
        <w:t>to</w:t>
      </w:r>
      <w:r w:rsidR="00561E0E">
        <w:t xml:space="preserve"> </w:t>
      </w:r>
      <w:r w:rsidRPr="00C51898">
        <w:t>medium</w:t>
      </w:r>
      <w:r w:rsidR="00561E0E">
        <w:t>-</w:t>
      </w:r>
      <w:r w:rsidRPr="00C51898">
        <w:t xml:space="preserve">term budgetary pressures for healthcare payers due to </w:t>
      </w:r>
      <w:proofErr w:type="gramStart"/>
      <w:r w:rsidRPr="00C51898">
        <w:t>demand</w:t>
      </w:r>
      <w:r w:rsidR="00561E0E">
        <w:t>;</w:t>
      </w:r>
      <w:proofErr w:type="gramEnd"/>
      <w:r w:rsidR="00561E0E">
        <w:t xml:space="preserve"> for instance:</w:t>
      </w:r>
      <w:r w:rsidRPr="00C51898">
        <w:t xml:space="preserve"> </w:t>
      </w:r>
    </w:p>
    <w:p w14:paraId="04580F8D" w14:textId="16FEBE1C" w:rsidR="00647713" w:rsidRPr="00C51898" w:rsidRDefault="00647713" w:rsidP="00281153">
      <w:pPr>
        <w:pStyle w:val="ListBullet"/>
        <w:numPr>
          <w:ilvl w:val="1"/>
          <w:numId w:val="8"/>
        </w:numPr>
      </w:pPr>
      <w:r w:rsidRPr="00C51898">
        <w:t>where patient population eligibility is likely to be expansive and significant due to the population burden of the disease (</w:t>
      </w:r>
      <w:r w:rsidR="00561E0E">
        <w:t>e.g.</w:t>
      </w:r>
      <w:r w:rsidRPr="00C51898">
        <w:t xml:space="preserve"> new diabetes and obesity treatments) </w:t>
      </w:r>
    </w:p>
    <w:p w14:paraId="41595915" w14:textId="77777777" w:rsidR="00647713" w:rsidRPr="00C51898" w:rsidRDefault="00647713" w:rsidP="00281153">
      <w:pPr>
        <w:pStyle w:val="ListBullet"/>
        <w:numPr>
          <w:ilvl w:val="1"/>
          <w:numId w:val="8"/>
        </w:numPr>
      </w:pPr>
      <w:r w:rsidRPr="00C51898">
        <w:t>where a latent patient population is awaiting subsidised access to a health technology that presents a major advance in treatment (e.g. curative Hepatitis C therapies).</w:t>
      </w:r>
    </w:p>
    <w:p w14:paraId="1BBB51B3" w14:textId="48788B6D" w:rsidR="00647713" w:rsidRPr="001525CD" w:rsidRDefault="00647713" w:rsidP="001704AE">
      <w:r w:rsidRPr="00C51898">
        <w:t xml:space="preserve">These types of funding and financing problems are unlikely to be solved by the current standard approaches to paying for health technologies (i.e. </w:t>
      </w:r>
      <w:r w:rsidR="000017D3">
        <w:t>‘</w:t>
      </w:r>
      <w:r w:rsidRPr="00C51898">
        <w:t>price per unit</w:t>
      </w:r>
      <w:r w:rsidR="000017D3">
        <w:t>’</w:t>
      </w:r>
      <w:r w:rsidRPr="00C51898">
        <w:t xml:space="preserve"> arrangements).</w:t>
      </w:r>
      <w:r w:rsidRPr="3F1A2FE5">
        <w:t xml:space="preserve"> </w:t>
      </w:r>
    </w:p>
    <w:p w14:paraId="7FB40A70" w14:textId="6A6F1AE6" w:rsidR="00647713" w:rsidRPr="001F0ACF" w:rsidRDefault="00647713" w:rsidP="000C5623">
      <w:r w:rsidRPr="00F83813">
        <w:t>The Review sought to examine whether alternative approaches to health technology financing and purchasing may be necessary and relevant to the Australian healthcare context to</w:t>
      </w:r>
      <w:r w:rsidR="000519F5">
        <w:t xml:space="preserve"> </w:t>
      </w:r>
      <w:r w:rsidRPr="00F83813">
        <w:t>address the increasing range of clinical, price and budgetary</w:t>
      </w:r>
      <w:r w:rsidRPr="001F0ACF">
        <w:t xml:space="preserve"> uncertainties that health</w:t>
      </w:r>
      <w:r w:rsidR="008722C8">
        <w:t>care</w:t>
      </w:r>
      <w:r w:rsidRPr="001F0ACF">
        <w:t xml:space="preserve"> payers are seeing in practice</w:t>
      </w:r>
      <w:r w:rsidR="000519F5">
        <w:t xml:space="preserve">. At the same time, these approaches would need to </w:t>
      </w:r>
      <w:r w:rsidRPr="00F83813">
        <w:t>continu</w:t>
      </w:r>
      <w:r w:rsidR="006B063A">
        <w:t>e</w:t>
      </w:r>
      <w:r w:rsidRPr="00F83813">
        <w:t xml:space="preserve"> to meet </w:t>
      </w:r>
      <w:r w:rsidRPr="001F0ACF">
        <w:t xml:space="preserve">patient and community expectations for equitable, timely, </w:t>
      </w:r>
      <w:r w:rsidRPr="001F0ACF">
        <w:lastRenderedPageBreak/>
        <w:t>safe and reliable access to health technologies in a modern health system, consistent with</w:t>
      </w:r>
      <w:r w:rsidR="000519F5">
        <w:t xml:space="preserve"> the</w:t>
      </w:r>
      <w:r w:rsidRPr="001F0ACF">
        <w:t xml:space="preserve"> </w:t>
      </w:r>
      <w:r w:rsidR="000519F5">
        <w:t>key</w:t>
      </w:r>
      <w:r w:rsidRPr="001F0ACF">
        <w:t xml:space="preserve"> pillars and principles of the </w:t>
      </w:r>
      <w:r w:rsidR="006E0405">
        <w:t>NMP</w:t>
      </w:r>
      <w:r w:rsidR="000519F5">
        <w:t>.</w:t>
      </w:r>
      <w:r w:rsidR="000519F5">
        <w:rPr>
          <w:rStyle w:val="FootnoteReference"/>
        </w:rPr>
        <w:footnoteReference w:id="65"/>
      </w:r>
      <w:r w:rsidRPr="001F0ACF">
        <w:t xml:space="preserve"> </w:t>
      </w:r>
    </w:p>
    <w:p w14:paraId="634EBD23" w14:textId="7ADFA99E" w:rsidR="00812253" w:rsidRPr="00812253" w:rsidRDefault="008A6D03" w:rsidP="001704AE">
      <w:r>
        <w:rPr>
          <w:noProof/>
        </w:rPr>
        <mc:AlternateContent>
          <mc:Choice Requires="wps">
            <w:drawing>
              <wp:inline distT="0" distB="0" distL="0" distR="0" wp14:anchorId="495A43B4" wp14:editId="3EC89FC5">
                <wp:extent cx="5695950" cy="3330053"/>
                <wp:effectExtent l="0" t="0" r="19050" b="22860"/>
                <wp:docPr id="679" name="Text Box 6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3330053"/>
                        </a:xfrm>
                        <a:prstGeom prst="roundRect">
                          <a:avLst>
                            <a:gd name="adj" fmla="val 12007"/>
                          </a:avLst>
                        </a:prstGeom>
                        <a:ln>
                          <a:headEnd/>
                          <a:tailEnd/>
                        </a:ln>
                      </wps:spPr>
                      <wps:style>
                        <a:lnRef idx="2">
                          <a:schemeClr val="accent5"/>
                        </a:lnRef>
                        <a:fillRef idx="1">
                          <a:schemeClr val="lt1"/>
                        </a:fillRef>
                        <a:effectRef idx="0">
                          <a:schemeClr val="accent5"/>
                        </a:effectRef>
                        <a:fontRef idx="minor">
                          <a:schemeClr val="dk1"/>
                        </a:fontRef>
                      </wps:style>
                      <wps:txbx>
                        <w:txbxContent>
                          <w:p w14:paraId="7386C526" w14:textId="77777777" w:rsidR="008A6D03" w:rsidRDefault="008A6D03" w:rsidP="006E0405">
                            <w:pPr>
                              <w:pStyle w:val="Call-outbox"/>
                              <w:rPr>
                                <w:rFonts w:cs="Segoe UI"/>
                              </w:rPr>
                            </w:pPr>
                            <w:r>
                              <w:rPr>
                                <w:rFonts w:cs="Segoe UI"/>
                              </w:rPr>
                              <w:t xml:space="preserve">Why </w:t>
                            </w:r>
                            <w:r>
                              <w:rPr>
                                <w:rFonts w:cs="Segoe UI"/>
                              </w:rPr>
                              <w:t>this matters</w:t>
                            </w:r>
                          </w:p>
                          <w:p w14:paraId="14463DC4" w14:textId="2E127FAB" w:rsidR="008A6D03" w:rsidRPr="00F83813" w:rsidRDefault="008A6D03" w:rsidP="008A6D03">
                            <w:pPr>
                              <w:rPr>
                                <w:rFonts w:cs="Segoe UI"/>
                              </w:rPr>
                            </w:pPr>
                            <w:r w:rsidRPr="00F83813">
                              <w:rPr>
                                <w:rFonts w:cs="Segoe UI"/>
                              </w:rPr>
                              <w:t>If there are different ways for health</w:t>
                            </w:r>
                            <w:r w:rsidR="008722C8">
                              <w:rPr>
                                <w:rFonts w:cs="Segoe UI"/>
                              </w:rPr>
                              <w:t>care</w:t>
                            </w:r>
                            <w:r w:rsidRPr="00F83813">
                              <w:rPr>
                                <w:rFonts w:cs="Segoe UI"/>
                              </w:rPr>
                              <w:t xml:space="preserve"> payers (i.e. governments) to finance and pay for health technologies, this could improve the availability of important treatments for patients while: </w:t>
                            </w:r>
                          </w:p>
                          <w:p w14:paraId="65BC3E86" w14:textId="4367E8DC" w:rsidR="008A6D03" w:rsidRPr="00F83813" w:rsidRDefault="008A6D03" w:rsidP="00281153">
                            <w:pPr>
                              <w:pStyle w:val="ListParagraph"/>
                              <w:numPr>
                                <w:ilvl w:val="0"/>
                                <w:numId w:val="3"/>
                              </w:numPr>
                              <w:rPr>
                                <w:rFonts w:cs="Segoe UI"/>
                              </w:rPr>
                            </w:pPr>
                            <w:r w:rsidRPr="00F83813">
                              <w:rPr>
                                <w:rFonts w:cs="Segoe UI"/>
                              </w:rPr>
                              <w:t xml:space="preserve">better </w:t>
                            </w:r>
                            <w:r w:rsidR="00D85215">
                              <w:rPr>
                                <w:rFonts w:cs="Segoe UI"/>
                              </w:rPr>
                              <w:t xml:space="preserve">managing </w:t>
                            </w:r>
                            <w:r w:rsidRPr="00F83813">
                              <w:rPr>
                                <w:rFonts w:cs="Segoe UI"/>
                              </w:rPr>
                              <w:t xml:space="preserve">risks that the claimed benefits of health technologies are not reflected in patient health outcomes </w:t>
                            </w:r>
                            <w:r w:rsidR="000A0F27">
                              <w:rPr>
                                <w:rFonts w:cs="Segoe UI"/>
                              </w:rPr>
                              <w:t xml:space="preserve">or </w:t>
                            </w:r>
                            <w:r w:rsidRPr="00F83813">
                              <w:rPr>
                                <w:rFonts w:cs="Segoe UI"/>
                              </w:rPr>
                              <w:t xml:space="preserve">do not provide value at the negotiated price </w:t>
                            </w:r>
                          </w:p>
                          <w:p w14:paraId="01B78EF9" w14:textId="712699F4" w:rsidR="008A6D03" w:rsidRDefault="008A6D03" w:rsidP="00281153">
                            <w:pPr>
                              <w:pStyle w:val="ListParagraph"/>
                              <w:numPr>
                                <w:ilvl w:val="0"/>
                                <w:numId w:val="3"/>
                              </w:numPr>
                              <w:rPr>
                                <w:rFonts w:cs="Segoe UI"/>
                              </w:rPr>
                            </w:pPr>
                            <w:r w:rsidRPr="00F83813">
                              <w:rPr>
                                <w:rFonts w:cs="Segoe UI"/>
                              </w:rPr>
                              <w:t xml:space="preserve">minimising the opportunity costs of requiring large amounts of funding to be set aside upfront for health technologies </w:t>
                            </w:r>
                            <w:r w:rsidR="000519F5">
                              <w:rPr>
                                <w:rFonts w:cs="Segoe UI"/>
                              </w:rPr>
                              <w:t>that</w:t>
                            </w:r>
                            <w:r w:rsidR="000519F5" w:rsidRPr="00F83813">
                              <w:rPr>
                                <w:rFonts w:cs="Segoe UI"/>
                              </w:rPr>
                              <w:t xml:space="preserve"> </w:t>
                            </w:r>
                            <w:r w:rsidRPr="00F83813">
                              <w:rPr>
                                <w:rFonts w:cs="Segoe UI"/>
                              </w:rPr>
                              <w:t>would take resources away from other expenditure</w:t>
                            </w:r>
                            <w:r w:rsidR="000A0F27">
                              <w:rPr>
                                <w:rFonts w:cs="Segoe UI"/>
                              </w:rPr>
                              <w:t>s</w:t>
                            </w:r>
                          </w:p>
                          <w:p w14:paraId="79F49655" w14:textId="70ED1BA7" w:rsidR="008A6D03" w:rsidRPr="00717264" w:rsidRDefault="008A6D03" w:rsidP="00281153">
                            <w:pPr>
                              <w:pStyle w:val="ListParagraph"/>
                              <w:numPr>
                                <w:ilvl w:val="0"/>
                                <w:numId w:val="3"/>
                              </w:numPr>
                            </w:pPr>
                            <w:r w:rsidRPr="001145BA">
                              <w:rPr>
                                <w:rFonts w:cs="Segoe UI"/>
                              </w:rPr>
                              <w:t xml:space="preserve">minimising the need for additional taxes to fund </w:t>
                            </w:r>
                            <w:r w:rsidR="000519F5">
                              <w:rPr>
                                <w:rFonts w:cs="Segoe UI"/>
                              </w:rPr>
                              <w:t xml:space="preserve">the </w:t>
                            </w:r>
                            <w:r w:rsidRPr="001145BA">
                              <w:rPr>
                                <w:rFonts w:cs="Segoe UI"/>
                              </w:rPr>
                              <w:t>availability of health technologies in an otherwise competitive budget environment of finite Government resources.</w:t>
                            </w:r>
                            <w:r w:rsidR="00FA396E">
                              <w:rPr>
                                <w:rFonts w:cs="Segoe UI"/>
                              </w:rPr>
                              <w:t xml:space="preserve"> </w:t>
                            </w:r>
                            <w:r w:rsidRPr="001145BA">
                              <w:rPr>
                                <w:rFonts w:cs="Segoe UI"/>
                              </w:rPr>
                              <w:t xml:space="preserve"> </w:t>
                            </w:r>
                          </w:p>
                          <w:p w14:paraId="37383DB5" w14:textId="77777777" w:rsidR="008A6D03" w:rsidRDefault="008A6D03" w:rsidP="008A6D03">
                            <w:pPr>
                              <w:keepNext/>
                              <w:keepLines/>
                            </w:pPr>
                          </w:p>
                        </w:txbxContent>
                      </wps:txbx>
                      <wps:bodyPr rot="0" vert="horz" wrap="square" lIns="91440" tIns="45720" rIns="91440" bIns="45720" anchor="t" anchorCtr="0">
                        <a:noAutofit/>
                      </wps:bodyPr>
                    </wps:wsp>
                  </a:graphicData>
                </a:graphic>
              </wp:inline>
            </w:drawing>
          </mc:Choice>
          <mc:Fallback>
            <w:pict>
              <v:roundrect w14:anchorId="495A43B4" id="Text Box 679" o:spid="_x0000_s1034" style="width:448.5pt;height:262.2pt;visibility:visible;mso-wrap-style:square;mso-left-percent:-10001;mso-top-percent:-10001;mso-position-horizontal:absolute;mso-position-horizontal-relative:char;mso-position-vertical:absolute;mso-position-vertical-relative:line;mso-left-percent:-10001;mso-top-percent:-10001;v-text-anchor:top" arcsize="787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" fillcolor="white [3201]" strokecolor="#acc02a [3208]" strokeweight="1pt">
                <v:stroke joinstyle="miter"/>
                <v:textbox>
                  <w:txbxContent>
                    <w:p w14:paraId="7386C526" w14:textId="77777777" w:rsidR="008A6D03" w:rsidRDefault="008A6D03" w:rsidP="006E0405">
                      <w:pPr>
                        <w:pStyle w:val="Call-outbox"/>
                        <w:rPr>
                          <w:rFonts w:cs="Segoe UI"/>
                        </w:rPr>
                      </w:pPr>
                      <w:r>
                        <w:rPr>
                          <w:rFonts w:cs="Segoe UI"/>
                        </w:rPr>
                        <w:t>Why this matters</w:t>
                      </w:r>
                    </w:p>
                    <w:p w14:paraId="14463DC4" w14:textId="2E127FAB" w:rsidR="008A6D03" w:rsidRPr="00F83813" w:rsidRDefault="008A6D03" w:rsidP="008A6D03">
                      <w:pPr>
                        <w:rPr>
                          <w:rFonts w:cs="Segoe UI"/>
                        </w:rPr>
                      </w:pPr>
                      <w:r w:rsidRPr="00F83813">
                        <w:rPr>
                          <w:rFonts w:cs="Segoe UI"/>
                        </w:rPr>
                        <w:t>If there are different ways for health</w:t>
                      </w:r>
                      <w:r w:rsidR="008722C8">
                        <w:rPr>
                          <w:rFonts w:cs="Segoe UI"/>
                        </w:rPr>
                        <w:t>care</w:t>
                      </w:r>
                      <w:r w:rsidRPr="00F83813">
                        <w:rPr>
                          <w:rFonts w:cs="Segoe UI"/>
                        </w:rPr>
                        <w:t xml:space="preserve"> payers (i.e. governments) to finance and pay for health technologies, this could improve the availability of important treatments for patients while: </w:t>
                      </w:r>
                    </w:p>
                    <w:p w14:paraId="65BC3E86" w14:textId="4367E8DC" w:rsidR="008A6D03" w:rsidRPr="00F83813" w:rsidRDefault="008A6D03" w:rsidP="00281153">
                      <w:pPr>
                        <w:pStyle w:val="ListParagraph"/>
                        <w:numPr>
                          <w:ilvl w:val="0"/>
                          <w:numId w:val="3"/>
                        </w:numPr>
                        <w:rPr>
                          <w:rFonts w:cs="Segoe UI"/>
                        </w:rPr>
                      </w:pPr>
                      <w:r w:rsidRPr="00F83813">
                        <w:rPr>
                          <w:rFonts w:cs="Segoe UI"/>
                        </w:rPr>
                        <w:t xml:space="preserve">better </w:t>
                      </w:r>
                      <w:r w:rsidR="00D85215">
                        <w:rPr>
                          <w:rFonts w:cs="Segoe UI"/>
                        </w:rPr>
                        <w:t xml:space="preserve">managing </w:t>
                      </w:r>
                      <w:r w:rsidRPr="00F83813">
                        <w:rPr>
                          <w:rFonts w:cs="Segoe UI"/>
                        </w:rPr>
                        <w:t xml:space="preserve">risks that the claimed benefits of health technologies are not reflected in patient health outcomes </w:t>
                      </w:r>
                      <w:r w:rsidR="000A0F27">
                        <w:rPr>
                          <w:rFonts w:cs="Segoe UI"/>
                        </w:rPr>
                        <w:t xml:space="preserve">or </w:t>
                      </w:r>
                      <w:r w:rsidRPr="00F83813">
                        <w:rPr>
                          <w:rFonts w:cs="Segoe UI"/>
                        </w:rPr>
                        <w:t xml:space="preserve">do not provide value at the negotiated price </w:t>
                      </w:r>
                    </w:p>
                    <w:p w14:paraId="01B78EF9" w14:textId="712699F4" w:rsidR="008A6D03" w:rsidRDefault="008A6D03" w:rsidP="00281153">
                      <w:pPr>
                        <w:pStyle w:val="ListParagraph"/>
                        <w:numPr>
                          <w:ilvl w:val="0"/>
                          <w:numId w:val="3"/>
                        </w:numPr>
                        <w:rPr>
                          <w:rFonts w:cs="Segoe UI"/>
                        </w:rPr>
                      </w:pPr>
                      <w:r w:rsidRPr="00F83813">
                        <w:rPr>
                          <w:rFonts w:cs="Segoe UI"/>
                        </w:rPr>
                        <w:t xml:space="preserve">minimising the opportunity costs of requiring large amounts of funding to be set aside upfront for health technologies </w:t>
                      </w:r>
                      <w:r w:rsidR="000519F5">
                        <w:rPr>
                          <w:rFonts w:cs="Segoe UI"/>
                        </w:rPr>
                        <w:t>that</w:t>
                      </w:r>
                      <w:r w:rsidR="000519F5" w:rsidRPr="00F83813">
                        <w:rPr>
                          <w:rFonts w:cs="Segoe UI"/>
                        </w:rPr>
                        <w:t xml:space="preserve"> </w:t>
                      </w:r>
                      <w:r w:rsidRPr="00F83813">
                        <w:rPr>
                          <w:rFonts w:cs="Segoe UI"/>
                        </w:rPr>
                        <w:t>would take resources away from other expenditure</w:t>
                      </w:r>
                      <w:r w:rsidR="000A0F27">
                        <w:rPr>
                          <w:rFonts w:cs="Segoe UI"/>
                        </w:rPr>
                        <w:t>s</w:t>
                      </w:r>
                    </w:p>
                    <w:p w14:paraId="79F49655" w14:textId="70ED1BA7" w:rsidR="008A6D03" w:rsidRPr="00717264" w:rsidRDefault="008A6D03" w:rsidP="00281153">
                      <w:pPr>
                        <w:pStyle w:val="ListParagraph"/>
                        <w:numPr>
                          <w:ilvl w:val="0"/>
                          <w:numId w:val="3"/>
                        </w:numPr>
                      </w:pPr>
                      <w:r w:rsidRPr="001145BA">
                        <w:rPr>
                          <w:rFonts w:cs="Segoe UI"/>
                        </w:rPr>
                        <w:t xml:space="preserve">minimising the need for additional taxes to fund </w:t>
                      </w:r>
                      <w:r w:rsidR="000519F5">
                        <w:rPr>
                          <w:rFonts w:cs="Segoe UI"/>
                        </w:rPr>
                        <w:t xml:space="preserve">the </w:t>
                      </w:r>
                      <w:r w:rsidRPr="001145BA">
                        <w:rPr>
                          <w:rFonts w:cs="Segoe UI"/>
                        </w:rPr>
                        <w:t>availability of health technologies in an otherwise competitive budget environment of finite Government resources.</w:t>
                      </w:r>
                      <w:r w:rsidR="00FA396E">
                        <w:rPr>
                          <w:rFonts w:cs="Segoe UI"/>
                        </w:rPr>
                        <w:t xml:space="preserve"> </w:t>
                      </w:r>
                      <w:r w:rsidRPr="001145BA">
                        <w:rPr>
                          <w:rFonts w:cs="Segoe UI"/>
                        </w:rPr>
                        <w:t xml:space="preserve"> </w:t>
                      </w:r>
                    </w:p>
                    <w:p w14:paraId="37383DB5" w14:textId="77777777" w:rsidR="008A6D03" w:rsidRDefault="008A6D03" w:rsidP="008A6D03">
                      <w:pPr>
                        <w:keepNext/>
                        <w:keepLines/>
                      </w:pPr>
                    </w:p>
                  </w:txbxContent>
                </v:textbox>
                <w10:anchorlock/>
              </v:roundrect>
            </w:pict>
          </mc:Fallback>
        </mc:AlternateContent>
      </w:r>
    </w:p>
    <w:p w14:paraId="42F42EA1" w14:textId="2B7036C3" w:rsidR="00647713" w:rsidRPr="00F83813" w:rsidRDefault="00D16D80" w:rsidP="00A318F7">
      <w:pPr>
        <w:pStyle w:val="Heading3"/>
      </w:pPr>
      <w:r>
        <w:t>Findings</w:t>
      </w:r>
    </w:p>
    <w:p w14:paraId="2CADACBB" w14:textId="25821A2B" w:rsidR="00647713" w:rsidRPr="00C51898" w:rsidRDefault="000727C6" w:rsidP="001704AE">
      <w:pPr>
        <w:rPr>
          <w:rFonts w:cs="Segoe UI"/>
        </w:rPr>
      </w:pPr>
      <w:r>
        <w:rPr>
          <w:rFonts w:cs="Segoe UI"/>
        </w:rPr>
        <w:t>A</w:t>
      </w:r>
      <w:r w:rsidR="00647713" w:rsidRPr="00C51898">
        <w:rPr>
          <w:rFonts w:cs="Segoe UI"/>
        </w:rPr>
        <w:t xml:space="preserve">lternative financial payment models </w:t>
      </w:r>
      <w:r>
        <w:rPr>
          <w:rFonts w:cs="Segoe UI"/>
        </w:rPr>
        <w:t>a</w:t>
      </w:r>
      <w:r w:rsidR="00647713" w:rsidRPr="00C51898">
        <w:rPr>
          <w:rFonts w:cs="Segoe UI"/>
        </w:rPr>
        <w:t xml:space="preserve">re being tested in different healthcare contexts to address the practical problems and risk associated with </w:t>
      </w:r>
      <w:r w:rsidR="00424091" w:rsidRPr="00D153B3">
        <w:rPr>
          <w:rFonts w:cs="Segoe UI"/>
        </w:rPr>
        <w:t>the use of</w:t>
      </w:r>
      <w:r w:rsidR="00424091">
        <w:rPr>
          <w:rFonts w:cs="Segoe UI"/>
        </w:rPr>
        <w:t xml:space="preserve"> </w:t>
      </w:r>
      <w:r w:rsidR="00647713" w:rsidRPr="00C51898">
        <w:rPr>
          <w:rFonts w:cs="Segoe UI"/>
        </w:rPr>
        <w:t>high-cost/high-impact health technologies in health</w:t>
      </w:r>
      <w:r w:rsidR="002D33A5">
        <w:rPr>
          <w:rFonts w:cs="Segoe UI"/>
        </w:rPr>
        <w:t xml:space="preserve"> </w:t>
      </w:r>
      <w:r w:rsidR="00647713" w:rsidRPr="00C51898">
        <w:rPr>
          <w:rFonts w:cs="Segoe UI"/>
        </w:rPr>
        <w:t>care. These included:</w:t>
      </w:r>
    </w:p>
    <w:p w14:paraId="1DC85E66" w14:textId="094F05C0" w:rsidR="00647713" w:rsidRPr="00425F8E" w:rsidRDefault="00647713" w:rsidP="00281153">
      <w:pPr>
        <w:pStyle w:val="ListBullet"/>
        <w:numPr>
          <w:ilvl w:val="0"/>
          <w:numId w:val="71"/>
        </w:numPr>
      </w:pPr>
      <w:r w:rsidRPr="00C51898">
        <w:t>specific patient-level product warranties (i.e.</w:t>
      </w:r>
      <w:r w:rsidR="00EE24A2">
        <w:t xml:space="preserve"> </w:t>
      </w:r>
      <w:r w:rsidRPr="00C51898">
        <w:t>refund</w:t>
      </w:r>
      <w:r w:rsidR="00EE24A2">
        <w:t>s for</w:t>
      </w:r>
      <w:r w:rsidRPr="00C51898">
        <w:t xml:space="preserve"> patient</w:t>
      </w:r>
      <w:r w:rsidR="00EE24A2">
        <w:t xml:space="preserve">s who </w:t>
      </w:r>
      <w:r w:rsidR="00925A10">
        <w:t>do not</w:t>
      </w:r>
      <w:r w:rsidR="00925A10" w:rsidRPr="00C51898">
        <w:t xml:space="preserve"> </w:t>
      </w:r>
      <w:r w:rsidRPr="00C51898">
        <w:t>respond to treatment)</w:t>
      </w:r>
      <w:r w:rsidRPr="00811407">
        <w:rPr>
          <w:vertAlign w:val="superscript"/>
        </w:rPr>
        <w:footnoteReference w:id="66"/>
      </w:r>
      <w:r w:rsidRPr="00C51898">
        <w:t xml:space="preserve"> </w:t>
      </w:r>
    </w:p>
    <w:p w14:paraId="2ADA2814" w14:textId="7FE6881D" w:rsidR="00647713" w:rsidRPr="00425F8E" w:rsidRDefault="00647713" w:rsidP="00281153">
      <w:pPr>
        <w:pStyle w:val="ListBullet"/>
        <w:numPr>
          <w:ilvl w:val="0"/>
          <w:numId w:val="71"/>
        </w:numPr>
      </w:pPr>
      <w:r w:rsidRPr="00C51898">
        <w:t>annuity</w:t>
      </w:r>
      <w:r w:rsidR="00EE24A2">
        <w:t xml:space="preserve"> or </w:t>
      </w:r>
      <w:r w:rsidRPr="00C51898">
        <w:t xml:space="preserve">mortgage payment programs (i.e. </w:t>
      </w:r>
      <w:r w:rsidR="00EE24A2">
        <w:t xml:space="preserve">spread </w:t>
      </w:r>
      <w:r w:rsidRPr="00C51898">
        <w:t>reimbursement for a health technology over multiple fixed payments and an extended time</w:t>
      </w:r>
      <w:r w:rsidR="004574C7">
        <w:t xml:space="preserve"> </w:t>
      </w:r>
      <w:r w:rsidRPr="00C51898">
        <w:t>frame</w:t>
      </w:r>
      <w:r w:rsidR="00EE24A2">
        <w:t>)</w:t>
      </w:r>
      <w:r w:rsidRPr="00811407">
        <w:rPr>
          <w:vertAlign w:val="superscript"/>
        </w:rPr>
        <w:footnoteReference w:id="67"/>
      </w:r>
    </w:p>
    <w:p w14:paraId="0E404383" w14:textId="61A05CD1" w:rsidR="00647713" w:rsidRPr="00C51898" w:rsidRDefault="00647713" w:rsidP="00281153">
      <w:pPr>
        <w:pStyle w:val="ListBullet"/>
        <w:numPr>
          <w:ilvl w:val="0"/>
          <w:numId w:val="71"/>
        </w:numPr>
        <w:rPr>
          <w:strike/>
        </w:rPr>
      </w:pPr>
      <w:r w:rsidRPr="00C51898">
        <w:t xml:space="preserve">volume-delinked subscription-style bulk-funding program arrangements (i.e. </w:t>
      </w:r>
      <w:r w:rsidR="009F6387">
        <w:t xml:space="preserve">providing </w:t>
      </w:r>
      <w:r w:rsidRPr="00C51898">
        <w:t>an agreed fixed amount of funding to cover all access to a health technology over a defined period)</w:t>
      </w:r>
      <w:r w:rsidR="00EE24A2">
        <w:t>.</w:t>
      </w:r>
      <w:r w:rsidRPr="00C51898">
        <w:rPr>
          <w:rStyle w:val="FootnoteReference"/>
        </w:rPr>
        <w:footnoteReference w:id="68"/>
      </w:r>
      <w:r w:rsidRPr="00C51898">
        <w:t xml:space="preserve"> </w:t>
      </w:r>
    </w:p>
    <w:p w14:paraId="526AAD90" w14:textId="69729F4C" w:rsidR="00647713" w:rsidRPr="00C51898" w:rsidRDefault="00647713" w:rsidP="001704AE">
      <w:pPr>
        <w:rPr>
          <w:rFonts w:cs="Segoe UI"/>
        </w:rPr>
      </w:pPr>
      <w:r w:rsidRPr="00C51898">
        <w:rPr>
          <w:rFonts w:cs="Segoe UI"/>
        </w:rPr>
        <w:t xml:space="preserve">The Review also noted that </w:t>
      </w:r>
      <w:r w:rsidR="00EE24A2">
        <w:rPr>
          <w:rFonts w:cs="Segoe UI"/>
        </w:rPr>
        <w:t>using</w:t>
      </w:r>
      <w:r w:rsidRPr="00C51898">
        <w:rPr>
          <w:rFonts w:cs="Segoe UI"/>
        </w:rPr>
        <w:t xml:space="preserve"> alternative financial arrangements like these has improved negotiation outcomes</w:t>
      </w:r>
      <w:r w:rsidR="000F4B60">
        <w:rPr>
          <w:rFonts w:cs="Segoe UI"/>
        </w:rPr>
        <w:t>. They have</w:t>
      </w:r>
      <w:r w:rsidRPr="00C51898">
        <w:rPr>
          <w:rFonts w:cs="Segoe UI"/>
        </w:rPr>
        <w:t xml:space="preserve"> facilitated health technology access </w:t>
      </w:r>
      <w:r w:rsidR="00EE24A2">
        <w:rPr>
          <w:rFonts w:cs="Segoe UI"/>
        </w:rPr>
        <w:t>that</w:t>
      </w:r>
      <w:r w:rsidR="00EE24A2" w:rsidRPr="00C51898">
        <w:rPr>
          <w:rFonts w:cs="Segoe UI"/>
        </w:rPr>
        <w:t xml:space="preserve"> </w:t>
      </w:r>
      <w:r w:rsidRPr="00C51898">
        <w:rPr>
          <w:rFonts w:cs="Segoe UI"/>
        </w:rPr>
        <w:t>may not otherwise have occurred due to concerns about upfront costs and/or possible inefficient use of healthcare resources if patients do</w:t>
      </w:r>
      <w:r w:rsidR="000F4B60">
        <w:rPr>
          <w:rFonts w:cs="Segoe UI"/>
        </w:rPr>
        <w:t xml:space="preserve"> not</w:t>
      </w:r>
      <w:r w:rsidRPr="00C51898">
        <w:rPr>
          <w:rFonts w:cs="Segoe UI"/>
        </w:rPr>
        <w:t xml:space="preserve"> respond to treatments as expected. </w:t>
      </w:r>
    </w:p>
    <w:p w14:paraId="61915742" w14:textId="34DAE390" w:rsidR="00647713" w:rsidRPr="00C51898" w:rsidRDefault="00647713" w:rsidP="001704AE">
      <w:pPr>
        <w:rPr>
          <w:rFonts w:cs="Segoe UI"/>
          <w:strike/>
        </w:rPr>
      </w:pPr>
      <w:r w:rsidRPr="00C51898">
        <w:rPr>
          <w:rFonts w:cs="Segoe UI"/>
        </w:rPr>
        <w:lastRenderedPageBreak/>
        <w:t xml:space="preserve">Stakeholder perspectives on the use of these alternative tools and mechanisms to manage </w:t>
      </w:r>
      <w:r w:rsidR="00EE24A2">
        <w:rPr>
          <w:rFonts w:cs="Segoe UI"/>
        </w:rPr>
        <w:t xml:space="preserve">the </w:t>
      </w:r>
      <w:r w:rsidRPr="00C51898">
        <w:rPr>
          <w:rFonts w:cs="Segoe UI"/>
        </w:rPr>
        <w:t>budget impact implications of high</w:t>
      </w:r>
      <w:r w:rsidR="00EE24A2">
        <w:rPr>
          <w:rFonts w:cs="Segoe UI"/>
        </w:rPr>
        <w:t>-</w:t>
      </w:r>
      <w:r w:rsidRPr="00C51898">
        <w:rPr>
          <w:rFonts w:cs="Segoe UI"/>
        </w:rPr>
        <w:t>cost and high</w:t>
      </w:r>
      <w:r w:rsidR="00EE24A2">
        <w:rPr>
          <w:rFonts w:cs="Segoe UI"/>
        </w:rPr>
        <w:t>-</w:t>
      </w:r>
      <w:r w:rsidRPr="00C51898">
        <w:rPr>
          <w:rFonts w:cs="Segoe UI"/>
        </w:rPr>
        <w:t>impact health technologies were cautiously positive</w:t>
      </w:r>
      <w:r w:rsidR="00EE24A2">
        <w:rPr>
          <w:rFonts w:cs="Segoe UI"/>
        </w:rPr>
        <w:t>.</w:t>
      </w:r>
      <w:r w:rsidRPr="00C51898">
        <w:rPr>
          <w:rStyle w:val="FootnoteReference"/>
          <w:rFonts w:cs="Segoe UI"/>
        </w:rPr>
        <w:footnoteReference w:id="69"/>
      </w:r>
      <w:r w:rsidRPr="00C51898">
        <w:rPr>
          <w:rFonts w:cs="Segoe UI"/>
        </w:rPr>
        <w:t xml:space="preserve"> However, this support was tempered by observations that no specific alternative payment models were explicitly prescribed for immediate application into negotiation processes</w:t>
      </w:r>
      <w:r w:rsidR="00EE24A2">
        <w:rPr>
          <w:rFonts w:cs="Segoe UI"/>
        </w:rPr>
        <w:t>. A</w:t>
      </w:r>
      <w:r w:rsidRPr="00C51898">
        <w:rPr>
          <w:rFonts w:cs="Segoe UI"/>
        </w:rPr>
        <w:t xml:space="preserve">ny use of such mechanisms should </w:t>
      </w:r>
      <w:r w:rsidR="00EE24A2">
        <w:rPr>
          <w:rFonts w:cs="Segoe UI"/>
        </w:rPr>
        <w:t xml:space="preserve">also </w:t>
      </w:r>
      <w:r w:rsidRPr="00C51898">
        <w:rPr>
          <w:rFonts w:cs="Segoe UI"/>
        </w:rPr>
        <w:t>facilitate balanc</w:t>
      </w:r>
      <w:r w:rsidR="00EE24A2">
        <w:rPr>
          <w:rFonts w:cs="Segoe UI"/>
        </w:rPr>
        <w:t>ing</w:t>
      </w:r>
      <w:r w:rsidRPr="00C51898">
        <w:rPr>
          <w:rFonts w:cs="Segoe UI"/>
        </w:rPr>
        <w:t xml:space="preserve"> risk sharing </w:t>
      </w:r>
      <w:r w:rsidR="00EE24A2">
        <w:rPr>
          <w:rFonts w:cs="Segoe UI"/>
        </w:rPr>
        <w:t>with</w:t>
      </w:r>
      <w:r w:rsidR="00EE24A2" w:rsidRPr="00C51898">
        <w:rPr>
          <w:rFonts w:cs="Segoe UI"/>
        </w:rPr>
        <w:t xml:space="preserve"> </w:t>
      </w:r>
      <w:r w:rsidRPr="00C51898">
        <w:rPr>
          <w:rFonts w:cs="Segoe UI"/>
        </w:rPr>
        <w:t>improving patient access to health technologies</w:t>
      </w:r>
      <w:r w:rsidR="00EE24A2">
        <w:rPr>
          <w:rFonts w:cs="Segoe UI"/>
        </w:rPr>
        <w:t>.</w:t>
      </w:r>
    </w:p>
    <w:p w14:paraId="1FCD7909" w14:textId="601201E3" w:rsidR="00647713" w:rsidRPr="00C51898" w:rsidRDefault="00647713" w:rsidP="00A318F7">
      <w:pPr>
        <w:pStyle w:val="Heading3"/>
      </w:pPr>
      <w:bookmarkStart w:id="225" w:name="_Toc164691398"/>
      <w:bookmarkStart w:id="226" w:name="_Toc164696196"/>
      <w:bookmarkStart w:id="227" w:name="_Toc164696342"/>
      <w:bookmarkStart w:id="228" w:name="_Toc164767731"/>
      <w:bookmarkStart w:id="229" w:name="_Toc164781659"/>
      <w:r w:rsidRPr="00C51898">
        <w:t>Conclusion</w:t>
      </w:r>
      <w:bookmarkEnd w:id="225"/>
      <w:bookmarkEnd w:id="226"/>
      <w:bookmarkEnd w:id="227"/>
      <w:bookmarkEnd w:id="228"/>
      <w:bookmarkEnd w:id="229"/>
    </w:p>
    <w:p w14:paraId="7F05919C" w14:textId="5121FBB8" w:rsidR="00647713" w:rsidRPr="00F83813" w:rsidRDefault="00647713" w:rsidP="001704AE">
      <w:pPr>
        <w:rPr>
          <w:rFonts w:cs="Segoe UI"/>
        </w:rPr>
      </w:pPr>
      <w:r w:rsidRPr="00C51898">
        <w:rPr>
          <w:rFonts w:cs="Segoe UI"/>
        </w:rPr>
        <w:t xml:space="preserve">The Review reiterates its initial findings </w:t>
      </w:r>
      <w:r w:rsidR="007E6627">
        <w:rPr>
          <w:rFonts w:cs="Segoe UI"/>
        </w:rPr>
        <w:t>about</w:t>
      </w:r>
      <w:r w:rsidRPr="00C51898">
        <w:rPr>
          <w:rFonts w:cs="Segoe UI"/>
        </w:rPr>
        <w:t xml:space="preserve"> the need for health technology financing and purchasing to be flexible and allow for different ways to improve the timeliness and availability of health technologies for patients, </w:t>
      </w:r>
      <w:r w:rsidR="00006BF3">
        <w:rPr>
          <w:rFonts w:cs="Segoe UI"/>
        </w:rPr>
        <w:t>and to take</w:t>
      </w:r>
      <w:r w:rsidRPr="00C51898">
        <w:rPr>
          <w:rFonts w:cs="Segoe UI"/>
        </w:rPr>
        <w:t xml:space="preserve"> a more balanced approach to risk and uncertainty.</w:t>
      </w:r>
      <w:r w:rsidRPr="00F83813">
        <w:rPr>
          <w:rFonts w:cs="Segoe UI"/>
        </w:rPr>
        <w:t xml:space="preserve"> The Review suggests that in some cases, alternatives to the ‘cost per unit</w:t>
      </w:r>
      <w:r w:rsidR="00006BF3">
        <w:rPr>
          <w:rFonts w:cs="Segoe UI"/>
        </w:rPr>
        <w:t>’</w:t>
      </w:r>
      <w:r w:rsidRPr="00F83813">
        <w:rPr>
          <w:rFonts w:cs="Segoe UI"/>
        </w:rPr>
        <w:t xml:space="preserve"> approach may be the most appropriate way to balance the needs of stakeholders</w:t>
      </w:r>
      <w:r w:rsidR="00006BF3">
        <w:rPr>
          <w:rFonts w:cs="Segoe UI"/>
        </w:rPr>
        <w:t xml:space="preserve"> by</w:t>
      </w:r>
      <w:r w:rsidRPr="00F83813">
        <w:rPr>
          <w:rFonts w:cs="Segoe UI"/>
        </w:rPr>
        <w:t xml:space="preserve"> addressing health technology benefits and value considerations</w:t>
      </w:r>
      <w:r w:rsidR="00006BF3">
        <w:rPr>
          <w:rFonts w:cs="Segoe UI"/>
        </w:rPr>
        <w:t xml:space="preserve">. At the same time, the Review </w:t>
      </w:r>
      <w:r w:rsidRPr="00F83813">
        <w:rPr>
          <w:rFonts w:cs="Segoe UI"/>
        </w:rPr>
        <w:t>also acknowledg</w:t>
      </w:r>
      <w:r w:rsidR="00006BF3">
        <w:rPr>
          <w:rFonts w:cs="Segoe UI"/>
        </w:rPr>
        <w:t>es</w:t>
      </w:r>
      <w:r w:rsidRPr="00F83813">
        <w:rPr>
          <w:rFonts w:cs="Segoe UI"/>
        </w:rPr>
        <w:t xml:space="preserve"> that decisions to invest in subsidies for new health technologies are not made in isolation from </w:t>
      </w:r>
      <w:r w:rsidR="00006BF3">
        <w:rPr>
          <w:rFonts w:cs="Segoe UI"/>
        </w:rPr>
        <w:t xml:space="preserve">the Government’s </w:t>
      </w:r>
      <w:r w:rsidRPr="00F83813">
        <w:rPr>
          <w:rFonts w:cs="Segoe UI"/>
        </w:rPr>
        <w:t xml:space="preserve">broader healthcare and non-healthcare expenditure decisions. </w:t>
      </w:r>
    </w:p>
    <w:p w14:paraId="7BD672F4" w14:textId="149CE27E" w:rsidR="00647713" w:rsidRPr="00F83813" w:rsidRDefault="00647713" w:rsidP="001704AE">
      <w:pPr>
        <w:rPr>
          <w:rFonts w:cs="Segoe UI"/>
        </w:rPr>
      </w:pPr>
      <w:r w:rsidRPr="00F83813">
        <w:rPr>
          <w:rFonts w:cs="Segoe UI"/>
        </w:rPr>
        <w:t xml:space="preserve">The Review </w:t>
      </w:r>
      <w:r w:rsidR="000E1C53">
        <w:rPr>
          <w:rFonts w:cs="Segoe UI"/>
        </w:rPr>
        <w:t xml:space="preserve">emphasises </w:t>
      </w:r>
      <w:r w:rsidRPr="00F83813">
        <w:rPr>
          <w:rFonts w:cs="Segoe UI"/>
        </w:rPr>
        <w:t>that all HTA stakeholders will need to be open to adopting different methods of paying for health technologies and embedding these approaches into workable contract and policy frameworks. This may require:</w:t>
      </w:r>
    </w:p>
    <w:p w14:paraId="6D04F6DF" w14:textId="3E53D6B4" w:rsidR="00647713" w:rsidRPr="00F83813" w:rsidRDefault="00647713" w:rsidP="00281153">
      <w:pPr>
        <w:pStyle w:val="ListBullet"/>
        <w:numPr>
          <w:ilvl w:val="0"/>
          <w:numId w:val="71"/>
        </w:numPr>
      </w:pPr>
      <w:r w:rsidRPr="00F83813">
        <w:t>scoping of payment</w:t>
      </w:r>
      <w:r w:rsidR="00006BF3">
        <w:t>-</w:t>
      </w:r>
      <w:r w:rsidRPr="00F83813">
        <w:t xml:space="preserve"> and financing-related issues between key parties </w:t>
      </w:r>
      <w:r w:rsidR="00006BF3">
        <w:t>before</w:t>
      </w:r>
      <w:r w:rsidRPr="00F83813">
        <w:t xml:space="preserve"> and/or during HTA</w:t>
      </w:r>
      <w:r w:rsidR="00006BF3">
        <w:t>s</w:t>
      </w:r>
    </w:p>
    <w:p w14:paraId="727FA924" w14:textId="4C58CCF3" w:rsidR="00647713" w:rsidRPr="00F83813" w:rsidRDefault="00647713" w:rsidP="00281153">
      <w:pPr>
        <w:pStyle w:val="ListBullet"/>
        <w:numPr>
          <w:ilvl w:val="0"/>
          <w:numId w:val="71"/>
        </w:numPr>
      </w:pPr>
      <w:r w:rsidRPr="00F83813">
        <w:t xml:space="preserve">much earlier </w:t>
      </w:r>
      <w:r w:rsidR="00006BF3">
        <w:t>discussions about</w:t>
      </w:r>
      <w:r w:rsidRPr="00F83813">
        <w:t xml:space="preserve"> budget impact analysis compared to current arrangements</w:t>
      </w:r>
    </w:p>
    <w:p w14:paraId="2688CC15" w14:textId="3E9830EA" w:rsidR="00647713" w:rsidRPr="00F83813" w:rsidRDefault="00647713" w:rsidP="00281153">
      <w:pPr>
        <w:pStyle w:val="ListBullet"/>
        <w:numPr>
          <w:ilvl w:val="0"/>
          <w:numId w:val="71"/>
        </w:numPr>
      </w:pPr>
      <w:r w:rsidRPr="00F83813">
        <w:t>better integration of these considerations into earlier phases of HTA process</w:t>
      </w:r>
      <w:r w:rsidR="00006BF3">
        <w:t>es</w:t>
      </w:r>
      <w:r w:rsidRPr="00F83813">
        <w:t xml:space="preserve"> to provide HTA </w:t>
      </w:r>
      <w:r w:rsidR="00C16518">
        <w:t>advisory committee</w:t>
      </w:r>
      <w:r w:rsidRPr="00F83813">
        <w:t xml:space="preserve">s with additional details that may inform deliberations and recommendations. </w:t>
      </w:r>
    </w:p>
    <w:p w14:paraId="13AFFB25" w14:textId="4978C5DB" w:rsidR="00647713" w:rsidRPr="00F83813" w:rsidRDefault="00647713" w:rsidP="001704AE">
      <w:pPr>
        <w:rPr>
          <w:rFonts w:cs="Segoe UI"/>
        </w:rPr>
      </w:pPr>
      <w:r w:rsidRPr="00F83813">
        <w:rPr>
          <w:rFonts w:cs="Segoe UI"/>
        </w:rPr>
        <w:t xml:space="preserve">Finally, </w:t>
      </w:r>
      <w:r w:rsidR="00701525">
        <w:rPr>
          <w:rFonts w:cs="Segoe UI"/>
        </w:rPr>
        <w:t>if</w:t>
      </w:r>
      <w:r w:rsidR="00701525" w:rsidRPr="00F83813">
        <w:rPr>
          <w:rFonts w:cs="Segoe UI"/>
        </w:rPr>
        <w:t xml:space="preserve"> </w:t>
      </w:r>
      <w:r w:rsidRPr="00F83813">
        <w:rPr>
          <w:rFonts w:cs="Segoe UI"/>
        </w:rPr>
        <w:t>the Australian Government consider</w:t>
      </w:r>
      <w:r w:rsidR="00701525">
        <w:rPr>
          <w:rFonts w:cs="Segoe UI"/>
        </w:rPr>
        <w:t>s</w:t>
      </w:r>
      <w:r w:rsidRPr="00F83813">
        <w:rPr>
          <w:rFonts w:cs="Segoe UI"/>
        </w:rPr>
        <w:t xml:space="preserve"> </w:t>
      </w:r>
      <w:r w:rsidR="00701525">
        <w:rPr>
          <w:rFonts w:cs="Segoe UI"/>
        </w:rPr>
        <w:t xml:space="preserve">that </w:t>
      </w:r>
      <w:r w:rsidRPr="00F83813">
        <w:rPr>
          <w:rFonts w:cs="Segoe UI"/>
        </w:rPr>
        <w:t xml:space="preserve">these recommendations merit further exploration for implementation, </w:t>
      </w:r>
      <w:r w:rsidR="00D85215" w:rsidRPr="00D85215">
        <w:rPr>
          <w:rFonts w:cs="Segoe UI"/>
        </w:rPr>
        <w:t>appropriate</w:t>
      </w:r>
      <w:r w:rsidR="00D85215">
        <w:rPr>
          <w:rFonts w:cs="Segoe UI"/>
        </w:rPr>
        <w:t xml:space="preserve"> </w:t>
      </w:r>
      <w:r w:rsidRPr="00F83813">
        <w:rPr>
          <w:rFonts w:cs="Segoe UI"/>
        </w:rPr>
        <w:t xml:space="preserve">additional consultation with stakeholders and other </w:t>
      </w:r>
      <w:r w:rsidR="00CD465F">
        <w:rPr>
          <w:rFonts w:cs="Segoe UI"/>
        </w:rPr>
        <w:t>government</w:t>
      </w:r>
      <w:r w:rsidR="00CD465F" w:rsidRPr="00F83813">
        <w:rPr>
          <w:rFonts w:cs="Segoe UI"/>
        </w:rPr>
        <w:t xml:space="preserve"> </w:t>
      </w:r>
      <w:r w:rsidRPr="00F83813">
        <w:rPr>
          <w:rFonts w:cs="Segoe UI"/>
        </w:rPr>
        <w:t>agencies (principally the Department of Finance)</w:t>
      </w:r>
      <w:r w:rsidR="00701525">
        <w:rPr>
          <w:rFonts w:cs="Segoe UI"/>
        </w:rPr>
        <w:t xml:space="preserve"> </w:t>
      </w:r>
      <w:r w:rsidR="00701525" w:rsidRPr="00F83813">
        <w:rPr>
          <w:rFonts w:cs="Segoe UI"/>
        </w:rPr>
        <w:t>w</w:t>
      </w:r>
      <w:r w:rsidR="0086144D">
        <w:rPr>
          <w:rFonts w:cs="Segoe UI"/>
        </w:rPr>
        <w:t>ould</w:t>
      </w:r>
      <w:r w:rsidR="00701525" w:rsidRPr="00F83813">
        <w:rPr>
          <w:rFonts w:cs="Segoe UI"/>
        </w:rPr>
        <w:t xml:space="preserve"> be required </w:t>
      </w:r>
      <w:r w:rsidRPr="00F83813">
        <w:rPr>
          <w:rFonts w:cs="Segoe UI"/>
        </w:rPr>
        <w:t>to identify and address additional practical implementation risks</w:t>
      </w:r>
      <w:r w:rsidR="00701525">
        <w:rPr>
          <w:rFonts w:cs="Segoe UI"/>
        </w:rPr>
        <w:t>. These include</w:t>
      </w:r>
      <w:r w:rsidRPr="00F83813">
        <w:rPr>
          <w:rFonts w:cs="Segoe UI"/>
        </w:rPr>
        <w:t xml:space="preserve"> how </w:t>
      </w:r>
      <w:r w:rsidR="00701525" w:rsidRPr="00F83813">
        <w:rPr>
          <w:rFonts w:cs="Segoe UI"/>
        </w:rPr>
        <w:t>the respective parties</w:t>
      </w:r>
      <w:r w:rsidR="00701525">
        <w:rPr>
          <w:rFonts w:cs="Segoe UI"/>
        </w:rPr>
        <w:t>’</w:t>
      </w:r>
      <w:r w:rsidR="00701525" w:rsidRPr="00F83813">
        <w:rPr>
          <w:rFonts w:cs="Segoe UI"/>
        </w:rPr>
        <w:t xml:space="preserve"> </w:t>
      </w:r>
      <w:r w:rsidRPr="00F83813">
        <w:rPr>
          <w:rFonts w:cs="Segoe UI"/>
        </w:rPr>
        <w:t>expenditures and revenue</w:t>
      </w:r>
      <w:r w:rsidR="00701525">
        <w:rPr>
          <w:rFonts w:cs="Segoe UI"/>
        </w:rPr>
        <w:t>s</w:t>
      </w:r>
      <w:r w:rsidRPr="00F83813">
        <w:rPr>
          <w:rFonts w:cs="Segoe UI"/>
        </w:rPr>
        <w:t xml:space="preserve"> will be considered in the context of financial and accounting obligations. </w:t>
      </w:r>
    </w:p>
    <w:p w14:paraId="6400F0EF" w14:textId="77777777" w:rsidR="00A54BBC" w:rsidRPr="00F83813" w:rsidRDefault="00A54BBC" w:rsidP="001704AE">
      <w:pPr>
        <w:rPr>
          <w:rFonts w:cs="Segoe UI"/>
        </w:rPr>
      </w:pPr>
    </w:p>
    <w:p w14:paraId="3EE754A7" w14:textId="1B802974" w:rsidR="00647713" w:rsidRPr="00F83813" w:rsidRDefault="00647713" w:rsidP="00A318F7">
      <w:pPr>
        <w:pStyle w:val="Heading3"/>
      </w:pPr>
      <w:bookmarkStart w:id="230" w:name="_Toc164691399"/>
      <w:bookmarkStart w:id="231" w:name="_Toc164696197"/>
      <w:bookmarkStart w:id="232" w:name="_Toc164696343"/>
      <w:bookmarkStart w:id="233" w:name="_Toc164767732"/>
      <w:bookmarkStart w:id="234" w:name="_Toc164781660"/>
      <w:r w:rsidRPr="00F83813">
        <w:lastRenderedPageBreak/>
        <w:t>Objectives of recommendations</w:t>
      </w:r>
      <w:bookmarkEnd w:id="230"/>
      <w:bookmarkEnd w:id="231"/>
      <w:bookmarkEnd w:id="232"/>
      <w:bookmarkEnd w:id="233"/>
      <w:bookmarkEnd w:id="234"/>
      <w:r w:rsidRPr="00F83813">
        <w:t xml:space="preserve"> </w:t>
      </w:r>
    </w:p>
    <w:p w14:paraId="310D8E2A" w14:textId="3F15E9B3" w:rsidR="00647713" w:rsidRPr="00DF04CC" w:rsidRDefault="00647713" w:rsidP="00A54BBC">
      <w:pPr>
        <w:keepNext/>
        <w:rPr>
          <w:rFonts w:cs="Segoe UI"/>
        </w:rPr>
      </w:pPr>
      <w:r w:rsidRPr="00F83813">
        <w:t>The Review</w:t>
      </w:r>
      <w:r w:rsidR="00E75822">
        <w:t>’s</w:t>
      </w:r>
      <w:r w:rsidRPr="00F83813">
        <w:t xml:space="preserve"> recommendations </w:t>
      </w:r>
      <w:r w:rsidRPr="00DF04CC">
        <w:rPr>
          <w:rFonts w:cs="Segoe UI"/>
        </w:rPr>
        <w:t>provide stakeholders with the opportunity to design and adopt new approaches to how health technologies are funded</w:t>
      </w:r>
      <w:r w:rsidR="001E2187">
        <w:rPr>
          <w:rFonts w:cs="Segoe UI"/>
        </w:rPr>
        <w:t>. This would ensure</w:t>
      </w:r>
      <w:r w:rsidRPr="00DF04CC">
        <w:rPr>
          <w:rFonts w:cs="Segoe UI"/>
        </w:rPr>
        <w:t xml:space="preserve"> the approach to payment and financing </w:t>
      </w:r>
      <w:r w:rsidR="001E2187">
        <w:rPr>
          <w:rFonts w:cs="Segoe UI"/>
        </w:rPr>
        <w:t xml:space="preserve">does not </w:t>
      </w:r>
      <w:r w:rsidRPr="00DF04CC">
        <w:rPr>
          <w:rFonts w:cs="Segoe UI"/>
        </w:rPr>
        <w:t xml:space="preserve">become a limiting factor in improving patient access to health technologies. </w:t>
      </w:r>
    </w:p>
    <w:p w14:paraId="13B336CA" w14:textId="51EEEA01" w:rsidR="00647713" w:rsidRDefault="00647713" w:rsidP="00A318F7">
      <w:pPr>
        <w:pStyle w:val="Heading3"/>
      </w:pPr>
      <w:bookmarkStart w:id="235" w:name="_Toc164691400"/>
      <w:bookmarkStart w:id="236" w:name="_Toc164696198"/>
      <w:bookmarkStart w:id="237" w:name="_Toc164696344"/>
      <w:bookmarkStart w:id="238" w:name="_Toc164767733"/>
      <w:bookmarkStart w:id="239" w:name="_Toc164781661"/>
      <w:r w:rsidRPr="00F83813">
        <w:t>Recommendations</w:t>
      </w:r>
      <w:bookmarkEnd w:id="235"/>
      <w:bookmarkEnd w:id="236"/>
      <w:bookmarkEnd w:id="237"/>
      <w:bookmarkEnd w:id="238"/>
      <w:bookmarkEnd w:id="239"/>
      <w:r w:rsidRPr="00F83813">
        <w:t xml:space="preserve"> </w:t>
      </w:r>
    </w:p>
    <w:p w14:paraId="76F307E0" w14:textId="46B35BC2" w:rsidR="00DF04CC" w:rsidRDefault="00454C92" w:rsidP="00645D5E">
      <w:pPr>
        <w:pStyle w:val="Recommendation1"/>
      </w:pPr>
      <w:bookmarkStart w:id="240" w:name="_Hlk167301939"/>
      <w:r w:rsidRPr="00454C92">
        <w:t xml:space="preserve">Addressing </w:t>
      </w:r>
      <w:r w:rsidR="001E2187">
        <w:t xml:space="preserve">the </w:t>
      </w:r>
      <w:r w:rsidRPr="00454C92">
        <w:t>implications of high</w:t>
      </w:r>
      <w:r w:rsidR="001E2187">
        <w:t>-</w:t>
      </w:r>
      <w:r w:rsidRPr="00454C92">
        <w:t>cost/</w:t>
      </w:r>
      <w:r w:rsidR="001E2187">
        <w:t>high-</w:t>
      </w:r>
      <w:r w:rsidRPr="00454C92">
        <w:t>impact health technologies</w:t>
      </w:r>
    </w:p>
    <w:bookmarkEnd w:id="240"/>
    <w:p w14:paraId="5D498FF7" w14:textId="79642AEE" w:rsidR="00647713" w:rsidRPr="00405FD7" w:rsidRDefault="00647713" w:rsidP="00FB5874">
      <w:r w:rsidRPr="00405FD7">
        <w:t xml:space="preserve">The Review recommends </w:t>
      </w:r>
      <w:r w:rsidR="001E2187">
        <w:t xml:space="preserve">that </w:t>
      </w:r>
      <w:r w:rsidRPr="00405FD7">
        <w:t>the Australian Government:</w:t>
      </w:r>
    </w:p>
    <w:p w14:paraId="1E58C17B" w14:textId="394B31AF" w:rsidR="00647713" w:rsidRPr="00F83813" w:rsidRDefault="000017D3" w:rsidP="00281153">
      <w:pPr>
        <w:pStyle w:val="ListParagraph"/>
        <w:numPr>
          <w:ilvl w:val="0"/>
          <w:numId w:val="134"/>
        </w:numPr>
        <w:rPr>
          <w:rFonts w:eastAsia="Times New Roman" w:cs="Segoe UI"/>
          <w:kern w:val="24"/>
          <w:lang w:eastAsia="en-AU"/>
        </w:rPr>
      </w:pPr>
      <w:r>
        <w:rPr>
          <w:rFonts w:eastAsia="Times New Roman" w:cs="Segoe UI"/>
          <w:kern w:val="24"/>
          <w:lang w:eastAsia="en-AU"/>
        </w:rPr>
        <w:t>w</w:t>
      </w:r>
      <w:r w:rsidR="00647713" w:rsidRPr="00F83813">
        <w:rPr>
          <w:rFonts w:eastAsia="Times New Roman" w:cs="Segoe UI"/>
          <w:kern w:val="24"/>
          <w:lang w:eastAsia="en-AU"/>
        </w:rPr>
        <w:t>ork with stakeholders (principally industry and government entities) on designing a framework that supports the use of different contract and health technology funding mechanisms</w:t>
      </w:r>
      <w:r w:rsidR="00561E0E">
        <w:rPr>
          <w:rFonts w:eastAsia="Times New Roman" w:cs="Segoe UI"/>
          <w:kern w:val="24"/>
          <w:lang w:eastAsia="en-AU"/>
        </w:rPr>
        <w:t>, in addition to</w:t>
      </w:r>
      <w:r w:rsidR="00647713" w:rsidRPr="00F83813">
        <w:rPr>
          <w:rFonts w:eastAsia="Times New Roman" w:cs="Segoe UI"/>
          <w:kern w:val="24"/>
          <w:lang w:eastAsia="en-AU"/>
        </w:rPr>
        <w:t xml:space="preserve"> the standard ‘price per unit’ approach. These may include (but </w:t>
      </w:r>
      <w:r w:rsidR="00CD465F">
        <w:rPr>
          <w:rFonts w:eastAsia="Times New Roman" w:cs="Segoe UI"/>
          <w:kern w:val="24"/>
          <w:lang w:eastAsia="en-AU"/>
        </w:rPr>
        <w:t xml:space="preserve">need </w:t>
      </w:r>
      <w:r w:rsidR="00647713" w:rsidRPr="00F83813">
        <w:rPr>
          <w:rFonts w:eastAsia="Times New Roman" w:cs="Segoe UI"/>
          <w:kern w:val="24"/>
          <w:lang w:eastAsia="en-AU"/>
        </w:rPr>
        <w:t xml:space="preserve">not </w:t>
      </w:r>
      <w:r w:rsidR="00CD465F">
        <w:rPr>
          <w:rFonts w:eastAsia="Times New Roman" w:cs="Segoe UI"/>
          <w:kern w:val="24"/>
          <w:lang w:eastAsia="en-AU"/>
        </w:rPr>
        <w:t xml:space="preserve">be </w:t>
      </w:r>
      <w:r w:rsidR="00647713" w:rsidRPr="00F83813">
        <w:rPr>
          <w:rFonts w:eastAsia="Times New Roman" w:cs="Segoe UI"/>
          <w:kern w:val="24"/>
          <w:lang w:eastAsia="en-AU"/>
        </w:rPr>
        <w:t xml:space="preserve">limited to) mechanisms </w:t>
      </w:r>
      <w:r>
        <w:rPr>
          <w:rFonts w:eastAsia="Times New Roman" w:cs="Segoe UI"/>
          <w:kern w:val="24"/>
          <w:lang w:eastAsia="en-AU"/>
        </w:rPr>
        <w:t>that</w:t>
      </w:r>
      <w:r w:rsidRPr="00F83813">
        <w:rPr>
          <w:rFonts w:eastAsia="Times New Roman" w:cs="Segoe UI"/>
          <w:kern w:val="24"/>
          <w:lang w:eastAsia="en-AU"/>
        </w:rPr>
        <w:t xml:space="preserve"> </w:t>
      </w:r>
      <w:r w:rsidR="00647713" w:rsidRPr="00F83813">
        <w:rPr>
          <w:rFonts w:eastAsia="Times New Roman" w:cs="Segoe UI"/>
          <w:kern w:val="24"/>
          <w:lang w:eastAsia="en-AU"/>
        </w:rPr>
        <w:t xml:space="preserve">facilitate more timely patient access to </w:t>
      </w:r>
      <w:bookmarkStart w:id="241" w:name="_Hlk167380703"/>
      <w:r w:rsidR="00647713" w:rsidRPr="00F83813">
        <w:rPr>
          <w:rFonts w:eastAsia="Times New Roman" w:cs="Segoe UI"/>
          <w:kern w:val="24"/>
          <w:lang w:eastAsia="en-AU"/>
        </w:rPr>
        <w:t>high-cost/high-impact health technologies</w:t>
      </w:r>
      <w:bookmarkEnd w:id="241"/>
      <w:r w:rsidR="00647713" w:rsidRPr="00F83813">
        <w:rPr>
          <w:rFonts w:eastAsia="Times New Roman" w:cs="Segoe UI"/>
          <w:kern w:val="24"/>
          <w:lang w:eastAsia="en-AU"/>
        </w:rPr>
        <w:t>, such as (but not limited to) mortgage-style regular payments, volume-delinked subscription-style reimbursement</w:t>
      </w:r>
      <w:r w:rsidR="001E2187">
        <w:rPr>
          <w:rFonts w:eastAsia="Times New Roman" w:cs="Segoe UI"/>
          <w:kern w:val="24"/>
          <w:lang w:eastAsia="en-AU"/>
        </w:rPr>
        <w:t>s</w:t>
      </w:r>
      <w:r w:rsidR="00647713" w:rsidRPr="00F83813">
        <w:rPr>
          <w:rFonts w:eastAsia="Times New Roman" w:cs="Segoe UI"/>
          <w:kern w:val="24"/>
          <w:lang w:eastAsia="en-AU"/>
        </w:rPr>
        <w:t xml:space="preserve"> and/or patient-level product warranties </w:t>
      </w:r>
    </w:p>
    <w:p w14:paraId="1E603B3F" w14:textId="14BDD939" w:rsidR="00647713" w:rsidRPr="00F83813" w:rsidRDefault="000017D3" w:rsidP="00281153">
      <w:pPr>
        <w:pStyle w:val="ListParagraph"/>
        <w:numPr>
          <w:ilvl w:val="0"/>
          <w:numId w:val="134"/>
        </w:numPr>
        <w:rPr>
          <w:rFonts w:eastAsia="Times New Roman" w:cs="Segoe UI"/>
          <w:kern w:val="24"/>
          <w:lang w:eastAsia="en-AU"/>
        </w:rPr>
      </w:pPr>
      <w:r>
        <w:rPr>
          <w:rFonts w:eastAsia="Times New Roman" w:cs="Segoe UI"/>
          <w:kern w:val="24"/>
          <w:lang w:eastAsia="en-AU"/>
        </w:rPr>
        <w:t>d</w:t>
      </w:r>
      <w:r w:rsidR="00647713" w:rsidRPr="00F83813">
        <w:rPr>
          <w:rFonts w:eastAsia="Times New Roman" w:cs="Segoe UI"/>
          <w:kern w:val="24"/>
          <w:lang w:eastAsia="en-AU"/>
        </w:rPr>
        <w:t>esign the framework guided by the principles of:</w:t>
      </w:r>
    </w:p>
    <w:p w14:paraId="6CCD965B" w14:textId="6220FA1E" w:rsidR="00647713" w:rsidRPr="00F83813" w:rsidRDefault="00647713" w:rsidP="00281153">
      <w:pPr>
        <w:pStyle w:val="ListParagraph"/>
        <w:numPr>
          <w:ilvl w:val="1"/>
          <w:numId w:val="134"/>
        </w:numPr>
        <w:rPr>
          <w:rFonts w:cs="Segoe UI"/>
        </w:rPr>
      </w:pPr>
      <w:r w:rsidRPr="00F83813">
        <w:rPr>
          <w:rFonts w:eastAsia="Times New Roman" w:cs="Segoe UI"/>
          <w:kern w:val="24"/>
          <w:lang w:eastAsia="en-AU"/>
        </w:rPr>
        <w:t xml:space="preserve">promoting earlier dialogue, design and negotiation of key parameters and expectations </w:t>
      </w:r>
      <w:r w:rsidR="00833EA3">
        <w:rPr>
          <w:rFonts w:eastAsia="Times New Roman" w:cs="Segoe UI"/>
          <w:kern w:val="24"/>
          <w:lang w:eastAsia="en-AU"/>
        </w:rPr>
        <w:t>for</w:t>
      </w:r>
      <w:r w:rsidRPr="00F83813">
        <w:rPr>
          <w:rFonts w:eastAsia="Times New Roman" w:cs="Segoe UI"/>
          <w:kern w:val="24"/>
          <w:lang w:eastAsia="en-AU"/>
        </w:rPr>
        <w:t xml:space="preserve"> financing and contracting parameters </w:t>
      </w:r>
    </w:p>
    <w:p w14:paraId="260E2349" w14:textId="26284830" w:rsidR="00647713" w:rsidRPr="00F83813" w:rsidRDefault="00647713" w:rsidP="00281153">
      <w:pPr>
        <w:pStyle w:val="ListParagraph"/>
        <w:numPr>
          <w:ilvl w:val="1"/>
          <w:numId w:val="134"/>
        </w:numPr>
        <w:rPr>
          <w:rFonts w:cs="Segoe UI"/>
        </w:rPr>
      </w:pPr>
      <w:r w:rsidRPr="00F83813">
        <w:rPr>
          <w:rFonts w:eastAsia="Times New Roman" w:cs="Segoe UI"/>
          <w:kern w:val="24"/>
          <w:lang w:eastAsia="en-AU"/>
        </w:rPr>
        <w:t>facilitating the adoption of different funding and purchasing mechanisms that address the specific clinical, economic or budgetary issues and uncertainties that may be associated with the health technology in a risk-proportionate manner</w:t>
      </w:r>
    </w:p>
    <w:p w14:paraId="5B63A577" w14:textId="474E1AF1" w:rsidR="00D903E8" w:rsidRPr="00A73036" w:rsidRDefault="00647713" w:rsidP="00A54BBC">
      <w:pPr>
        <w:pStyle w:val="ListParagraph"/>
        <w:numPr>
          <w:ilvl w:val="1"/>
          <w:numId w:val="134"/>
        </w:numPr>
        <w:spacing w:after="360"/>
        <w:rPr>
          <w:rFonts w:cs="Segoe UI"/>
          <w:i/>
          <w:u w:val="single"/>
        </w:rPr>
      </w:pPr>
      <w:r w:rsidRPr="00F83813">
        <w:rPr>
          <w:rFonts w:eastAsia="Times New Roman" w:cs="Segoe UI"/>
          <w:kern w:val="24"/>
          <w:lang w:eastAsia="en-AU"/>
        </w:rPr>
        <w:t>maintaining consistency with other recommendations in this report that relate to pricing, subsid</w:t>
      </w:r>
      <w:r w:rsidR="00CD465F">
        <w:rPr>
          <w:rFonts w:eastAsia="Times New Roman" w:cs="Segoe UI"/>
          <w:kern w:val="24"/>
          <w:lang w:eastAsia="en-AU"/>
        </w:rPr>
        <w:t>ies</w:t>
      </w:r>
      <w:r w:rsidRPr="00F83813">
        <w:rPr>
          <w:rFonts w:eastAsia="Times New Roman" w:cs="Segoe UI"/>
          <w:kern w:val="24"/>
          <w:lang w:eastAsia="en-AU"/>
        </w:rPr>
        <w:t xml:space="preserve"> and risk management</w:t>
      </w:r>
      <w:r w:rsidR="000017D3">
        <w:rPr>
          <w:rFonts w:eastAsia="Times New Roman" w:cs="Segoe UI"/>
          <w:kern w:val="24"/>
          <w:lang w:eastAsia="en-AU"/>
        </w:rPr>
        <w:t>–</w:t>
      </w:r>
      <w:r w:rsidRPr="00F83813">
        <w:rPr>
          <w:rFonts w:eastAsia="Times New Roman" w:cs="Segoe UI"/>
          <w:kern w:val="24"/>
          <w:lang w:eastAsia="en-AU"/>
        </w:rPr>
        <w:t xml:space="preserve">related matters. </w:t>
      </w:r>
    </w:p>
    <w:p w14:paraId="6242832A" w14:textId="5F42E542" w:rsidR="00647713" w:rsidRPr="00F83813" w:rsidRDefault="00811E06" w:rsidP="002B25F3">
      <w:pPr>
        <w:pStyle w:val="Heading2"/>
      </w:pPr>
      <w:bookmarkStart w:id="242" w:name="_Toc164685823"/>
      <w:bookmarkStart w:id="243" w:name="_Toc164691401"/>
      <w:bookmarkStart w:id="244" w:name="_Toc164696199"/>
      <w:bookmarkStart w:id="245" w:name="_Toc164696345"/>
      <w:bookmarkStart w:id="246" w:name="_Toc164767734"/>
      <w:bookmarkStart w:id="247" w:name="_Toc164781662"/>
      <w:bookmarkStart w:id="248" w:name="_Toc171935880"/>
      <w:r>
        <w:t xml:space="preserve">Chapter </w:t>
      </w:r>
      <w:r w:rsidR="00D14813">
        <w:t>5</w:t>
      </w:r>
      <w:r w:rsidR="00647713" w:rsidRPr="00F83813">
        <w:t>.2</w:t>
      </w:r>
      <w:r>
        <w:t>:</w:t>
      </w:r>
      <w:r w:rsidR="00647713" w:rsidRPr="00F83813">
        <w:t xml:space="preserve"> Improving the post-HTA negotiation process</w:t>
      </w:r>
      <w:bookmarkEnd w:id="242"/>
      <w:bookmarkEnd w:id="243"/>
      <w:bookmarkEnd w:id="244"/>
      <w:bookmarkEnd w:id="245"/>
      <w:bookmarkEnd w:id="246"/>
      <w:bookmarkEnd w:id="247"/>
      <w:bookmarkEnd w:id="248"/>
    </w:p>
    <w:p w14:paraId="3F8D21A5" w14:textId="6FEB8C87" w:rsidR="001C061E" w:rsidRPr="00621C17" w:rsidRDefault="00D16D80" w:rsidP="00A318F7">
      <w:pPr>
        <w:pStyle w:val="Heading3"/>
      </w:pPr>
      <w:r>
        <w:t>Introduction and context</w:t>
      </w:r>
    </w:p>
    <w:p w14:paraId="4772B13E" w14:textId="6DE769DB" w:rsidR="00647713" w:rsidRPr="00F83813" w:rsidRDefault="00647713" w:rsidP="001704AE">
      <w:pPr>
        <w:rPr>
          <w:rFonts w:cs="Segoe UI"/>
        </w:rPr>
      </w:pPr>
      <w:r w:rsidRPr="00F83813">
        <w:rPr>
          <w:rFonts w:cs="Segoe UI"/>
        </w:rPr>
        <w:t xml:space="preserve">Following a positive HTA recommendation, </w:t>
      </w:r>
      <w:proofErr w:type="gramStart"/>
      <w:r w:rsidRPr="00F83813">
        <w:rPr>
          <w:rFonts w:cs="Segoe UI"/>
        </w:rPr>
        <w:t>a number of</w:t>
      </w:r>
      <w:proofErr w:type="gramEnd"/>
      <w:r w:rsidRPr="00F83813">
        <w:rPr>
          <w:rFonts w:cs="Segoe UI"/>
        </w:rPr>
        <w:t xml:space="preserve"> negotiation and administrative steps</w:t>
      </w:r>
      <w:r w:rsidRPr="00F83813">
        <w:rPr>
          <w:rStyle w:val="FootnoteReference"/>
          <w:rFonts w:cs="Segoe UI"/>
        </w:rPr>
        <w:footnoteReference w:id="70"/>
      </w:r>
      <w:r w:rsidRPr="00F83813">
        <w:rPr>
          <w:rFonts w:cs="Segoe UI"/>
        </w:rPr>
        <w:t xml:space="preserve"> need to be completed before a health technology can be provided as a subsidised treatment to patients. These can include (but are not limited to):</w:t>
      </w:r>
    </w:p>
    <w:p w14:paraId="160681C6" w14:textId="42CBFFFF" w:rsidR="00647713" w:rsidRPr="00F83813" w:rsidRDefault="00647713" w:rsidP="00281153">
      <w:pPr>
        <w:pStyle w:val="ListBullet"/>
        <w:numPr>
          <w:ilvl w:val="0"/>
          <w:numId w:val="71"/>
        </w:numPr>
      </w:pPr>
      <w:r w:rsidRPr="00F83813">
        <w:t>negotiations on price</w:t>
      </w:r>
    </w:p>
    <w:p w14:paraId="12AD5223" w14:textId="605D36C6" w:rsidR="00647713" w:rsidRPr="00F83813" w:rsidRDefault="00647713" w:rsidP="00281153">
      <w:pPr>
        <w:pStyle w:val="ListBullet"/>
        <w:numPr>
          <w:ilvl w:val="0"/>
          <w:numId w:val="71"/>
        </w:numPr>
      </w:pPr>
      <w:r w:rsidRPr="00F83813">
        <w:lastRenderedPageBreak/>
        <w:t>agreement on the expected u</w:t>
      </w:r>
      <w:r w:rsidR="00495A74">
        <w:t>se</w:t>
      </w:r>
      <w:r w:rsidRPr="00F83813">
        <w:t xml:space="preserve"> and budget cost to the Government</w:t>
      </w:r>
    </w:p>
    <w:p w14:paraId="1E34CDF3" w14:textId="104ACD01" w:rsidR="00647713" w:rsidRPr="00F83813" w:rsidRDefault="00647713" w:rsidP="00281153">
      <w:pPr>
        <w:pStyle w:val="ListBullet"/>
        <w:numPr>
          <w:ilvl w:val="0"/>
          <w:numId w:val="71"/>
        </w:numPr>
      </w:pPr>
      <w:r w:rsidRPr="00F83813">
        <w:t xml:space="preserve">necessary restrictions </w:t>
      </w:r>
      <w:r w:rsidR="00492F26">
        <w:t xml:space="preserve">on </w:t>
      </w:r>
      <w:r w:rsidRPr="00F83813">
        <w:t xml:space="preserve">language that may apply </w:t>
      </w:r>
      <w:r w:rsidR="00492F26">
        <w:t>to</w:t>
      </w:r>
      <w:r w:rsidRPr="00F83813">
        <w:t xml:space="preserve"> the health technology</w:t>
      </w:r>
      <w:r w:rsidR="00495A74">
        <w:t>,</w:t>
      </w:r>
      <w:r w:rsidRPr="00F83813">
        <w:t xml:space="preserve"> consistent with the HTA </w:t>
      </w:r>
      <w:r w:rsidR="00C16518">
        <w:t>advisory committee</w:t>
      </w:r>
      <w:r w:rsidRPr="00F83813">
        <w:t xml:space="preserve"> recommendation </w:t>
      </w:r>
    </w:p>
    <w:p w14:paraId="6ACDB6D2" w14:textId="13CC398B" w:rsidR="00647713" w:rsidRPr="00F83813" w:rsidRDefault="00647713" w:rsidP="00281153">
      <w:pPr>
        <w:pStyle w:val="ListBullet"/>
        <w:numPr>
          <w:ilvl w:val="0"/>
          <w:numId w:val="71"/>
        </w:numPr>
      </w:pPr>
      <w:r w:rsidRPr="00F83813">
        <w:t xml:space="preserve">establishment of </w:t>
      </w:r>
      <w:r w:rsidR="00495A74">
        <w:t xml:space="preserve">a </w:t>
      </w:r>
      <w:bookmarkStart w:id="249" w:name="_Hlk167380851"/>
      <w:r w:rsidR="00495A74">
        <w:t>D</w:t>
      </w:r>
      <w:r w:rsidRPr="00F83813">
        <w:t xml:space="preserve">eed of </w:t>
      </w:r>
      <w:r w:rsidR="00495A74">
        <w:t>A</w:t>
      </w:r>
      <w:r w:rsidRPr="00F83813">
        <w:t xml:space="preserve">greement </w:t>
      </w:r>
      <w:bookmarkEnd w:id="249"/>
      <w:r w:rsidRPr="00F83813">
        <w:t>and/or related documentation setting out any specific terms and conditions of supply, access and expenditure limits</w:t>
      </w:r>
    </w:p>
    <w:p w14:paraId="70EB846E" w14:textId="47940326" w:rsidR="00647713" w:rsidRPr="00F83813" w:rsidRDefault="00647713" w:rsidP="00281153">
      <w:pPr>
        <w:pStyle w:val="ListBullet"/>
        <w:numPr>
          <w:ilvl w:val="0"/>
          <w:numId w:val="71"/>
        </w:numPr>
      </w:pPr>
      <w:r w:rsidRPr="00F83813">
        <w:t>administrative processes necessary to ensure the health technology can be subsidised legally</w:t>
      </w:r>
      <w:r w:rsidR="00495A74">
        <w:t>,</w:t>
      </w:r>
      <w:r w:rsidRPr="00F83813">
        <w:t xml:space="preserve"> consistent with the relevant legislation</w:t>
      </w:r>
      <w:r w:rsidR="00495A74">
        <w:t xml:space="preserve"> and</w:t>
      </w:r>
      <w:r w:rsidRPr="00F83813">
        <w:t>/</w:t>
      </w:r>
      <w:r w:rsidR="00495A74">
        <w:t xml:space="preserve">or </w:t>
      </w:r>
      <w:r w:rsidRPr="00F83813">
        <w:t>regulations.</w:t>
      </w:r>
    </w:p>
    <w:p w14:paraId="164470C4" w14:textId="51AE7325" w:rsidR="00647713" w:rsidRPr="00F83813" w:rsidRDefault="00647713" w:rsidP="001704AE">
      <w:pPr>
        <w:rPr>
          <w:rFonts w:cs="Segoe UI"/>
        </w:rPr>
      </w:pPr>
      <w:r w:rsidRPr="00F83813">
        <w:rPr>
          <w:rFonts w:cs="Segoe UI"/>
        </w:rPr>
        <w:t>The time required to complete these steps varies</w:t>
      </w:r>
      <w:r w:rsidR="00826738">
        <w:rPr>
          <w:rFonts w:cs="Segoe UI"/>
        </w:rPr>
        <w:t>,</w:t>
      </w:r>
      <w:r w:rsidRPr="00F83813">
        <w:rPr>
          <w:rFonts w:cs="Segoe UI"/>
        </w:rPr>
        <w:t xml:space="preserve"> depending on the specific contextual issues for any given health technologies, but generally </w:t>
      </w:r>
      <w:r w:rsidR="00826738">
        <w:rPr>
          <w:rFonts w:cs="Segoe UI"/>
        </w:rPr>
        <w:t xml:space="preserve">it </w:t>
      </w:r>
      <w:r w:rsidRPr="00F83813">
        <w:rPr>
          <w:rFonts w:cs="Segoe UI"/>
        </w:rPr>
        <w:t xml:space="preserve">takes less than </w:t>
      </w:r>
      <w:r w:rsidR="00E27D66">
        <w:rPr>
          <w:rFonts w:cs="Segoe UI"/>
        </w:rPr>
        <w:t>6</w:t>
      </w:r>
      <w:r w:rsidR="00E27D66" w:rsidRPr="00F83813">
        <w:rPr>
          <w:rFonts w:cs="Segoe UI"/>
        </w:rPr>
        <w:t xml:space="preserve"> </w:t>
      </w:r>
      <w:r w:rsidRPr="00F83813">
        <w:rPr>
          <w:rFonts w:cs="Segoe UI"/>
        </w:rPr>
        <w:t>months.</w:t>
      </w:r>
      <w:r w:rsidR="00E27D66">
        <w:rPr>
          <w:rStyle w:val="FootnoteReference"/>
          <w:rFonts w:cs="Segoe UI"/>
        </w:rPr>
        <w:footnoteReference w:id="71"/>
      </w:r>
    </w:p>
    <w:p w14:paraId="5AA6CBF8" w14:textId="05BB649E" w:rsidR="00647713" w:rsidRPr="00F83813" w:rsidRDefault="00647713" w:rsidP="001704AE">
      <w:pPr>
        <w:rPr>
          <w:rFonts w:cs="Segoe UI"/>
        </w:rPr>
      </w:pPr>
      <w:r w:rsidRPr="000C5623">
        <w:rPr>
          <w:rFonts w:cs="Segoe UI"/>
          <w:iCs/>
        </w:rPr>
        <w:t>The New Frontier</w:t>
      </w:r>
      <w:r w:rsidRPr="00F83813">
        <w:rPr>
          <w:rFonts w:cs="Segoe UI"/>
        </w:rPr>
        <w:t xml:space="preserve"> </w:t>
      </w:r>
      <w:r w:rsidR="00E33E7E">
        <w:rPr>
          <w:rFonts w:cs="Segoe UI"/>
        </w:rPr>
        <w:t>i</w:t>
      </w:r>
      <w:r w:rsidRPr="00F83813">
        <w:rPr>
          <w:rFonts w:cs="Segoe UI"/>
        </w:rPr>
        <w:t xml:space="preserve">nquiry detailed </w:t>
      </w:r>
      <w:r w:rsidR="00E33E7E">
        <w:rPr>
          <w:rFonts w:cs="Segoe UI"/>
        </w:rPr>
        <w:t>‘</w:t>
      </w:r>
      <w:r w:rsidRPr="00F83813">
        <w:rPr>
          <w:rFonts w:cs="Segoe UI"/>
        </w:rPr>
        <w:t>stakeholder unhappiness</w:t>
      </w:r>
      <w:r w:rsidR="00E33E7E">
        <w:rPr>
          <w:rFonts w:cs="Segoe UI"/>
        </w:rPr>
        <w:t>’</w:t>
      </w:r>
      <w:r w:rsidRPr="00F83813">
        <w:rPr>
          <w:rFonts w:cs="Segoe UI"/>
        </w:rPr>
        <w:t xml:space="preserve"> with several post-HTA decision processes</w:t>
      </w:r>
      <w:r w:rsidR="00826738">
        <w:rPr>
          <w:rFonts w:cs="Segoe UI"/>
        </w:rPr>
        <w:t>. These</w:t>
      </w:r>
      <w:r w:rsidRPr="00F83813">
        <w:rPr>
          <w:rFonts w:cs="Segoe UI"/>
        </w:rPr>
        <w:t xml:space="preserve"> includ</w:t>
      </w:r>
      <w:r w:rsidR="00826738">
        <w:rPr>
          <w:rFonts w:cs="Segoe UI"/>
        </w:rPr>
        <w:t>ed</w:t>
      </w:r>
      <w:r w:rsidRPr="00F83813">
        <w:rPr>
          <w:rFonts w:cs="Segoe UI"/>
        </w:rPr>
        <w:t xml:space="preserve"> the length of the price negotiation process and the finalisation of PBS listing terms with sponsors</w:t>
      </w:r>
      <w:r w:rsidR="00826738">
        <w:rPr>
          <w:rFonts w:cs="Segoe UI"/>
        </w:rPr>
        <w:t>,</w:t>
      </w:r>
      <w:r w:rsidRPr="00F83813">
        <w:rPr>
          <w:rStyle w:val="FootnoteReference"/>
          <w:rFonts w:cs="Segoe UI"/>
        </w:rPr>
        <w:footnoteReference w:id="72"/>
      </w:r>
      <w:r w:rsidRPr="00F83813">
        <w:rPr>
          <w:rFonts w:cs="Segoe UI"/>
        </w:rPr>
        <w:t xml:space="preserve"> and noted the importance of having these concerns examined by th</w:t>
      </w:r>
      <w:r w:rsidR="00826738">
        <w:rPr>
          <w:rFonts w:cs="Segoe UI"/>
        </w:rPr>
        <w:t>e</w:t>
      </w:r>
      <w:r w:rsidRPr="00F83813">
        <w:rPr>
          <w:rFonts w:cs="Segoe UI"/>
        </w:rPr>
        <w:t xml:space="preserve"> Review. </w:t>
      </w:r>
    </w:p>
    <w:p w14:paraId="4BEBCED9" w14:textId="4DB2D3E1" w:rsidR="00647713" w:rsidRPr="00F83813" w:rsidRDefault="00826738" w:rsidP="001704AE">
      <w:pPr>
        <w:rPr>
          <w:rFonts w:cs="Segoe UI"/>
        </w:rPr>
      </w:pPr>
      <w:proofErr w:type="gramStart"/>
      <w:r>
        <w:rPr>
          <w:rFonts w:cs="Segoe UI"/>
        </w:rPr>
        <w:t>B</w:t>
      </w:r>
      <w:r w:rsidRPr="00F83813">
        <w:rPr>
          <w:rFonts w:cs="Segoe UI"/>
        </w:rPr>
        <w:t>y definition</w:t>
      </w:r>
      <w:r>
        <w:rPr>
          <w:rFonts w:cs="Segoe UI"/>
        </w:rPr>
        <w:t>, t</w:t>
      </w:r>
      <w:r w:rsidR="00647713" w:rsidRPr="00F83813">
        <w:rPr>
          <w:rFonts w:cs="Segoe UI"/>
        </w:rPr>
        <w:t>he</w:t>
      </w:r>
      <w:proofErr w:type="gramEnd"/>
      <w:r w:rsidR="00647713" w:rsidRPr="00F83813">
        <w:rPr>
          <w:rFonts w:cs="Segoe UI"/>
        </w:rPr>
        <w:t xml:space="preserve"> negotiation process </w:t>
      </w:r>
      <w:r>
        <w:rPr>
          <w:rFonts w:cs="Segoe UI"/>
        </w:rPr>
        <w:t xml:space="preserve">can </w:t>
      </w:r>
      <w:r w:rsidR="00647713" w:rsidRPr="00F83813">
        <w:rPr>
          <w:rFonts w:cs="Segoe UI"/>
        </w:rPr>
        <w:t xml:space="preserve">create a dynamic tension where: </w:t>
      </w:r>
    </w:p>
    <w:p w14:paraId="306B27EF" w14:textId="5C3A8F79" w:rsidR="00647713" w:rsidRPr="00F83813" w:rsidRDefault="00647713" w:rsidP="00281153">
      <w:pPr>
        <w:pStyle w:val="ListBullet"/>
        <w:numPr>
          <w:ilvl w:val="0"/>
          <w:numId w:val="71"/>
        </w:numPr>
      </w:pPr>
      <w:r w:rsidRPr="00F83813">
        <w:t xml:space="preserve">healthcare payers are incentivised to seek the lowest possible purchase price and minimise operational risk to meet legislative and social obligations for the efficient use of public </w:t>
      </w:r>
      <w:r w:rsidR="004576B7">
        <w:t>funds</w:t>
      </w:r>
    </w:p>
    <w:p w14:paraId="19E7D225" w14:textId="38856E38" w:rsidR="00647713" w:rsidRPr="00F83813" w:rsidRDefault="00647713" w:rsidP="00281153">
      <w:pPr>
        <w:pStyle w:val="ListBullet"/>
        <w:numPr>
          <w:ilvl w:val="0"/>
          <w:numId w:val="71"/>
        </w:numPr>
      </w:pPr>
      <w:r w:rsidRPr="00F83813">
        <w:t>health technology suppliers are incentivised to sell their product at the highest possible purchase price to maximise revenue from intellectual property and meet shareholder benefit expectations</w:t>
      </w:r>
    </w:p>
    <w:p w14:paraId="6D759281" w14:textId="4C8C3FCD" w:rsidR="00647713" w:rsidRPr="00F83813" w:rsidRDefault="00647713" w:rsidP="00281153">
      <w:pPr>
        <w:pStyle w:val="ListBullet"/>
        <w:numPr>
          <w:ilvl w:val="0"/>
          <w:numId w:val="71"/>
        </w:numPr>
      </w:pPr>
      <w:r w:rsidRPr="00F83813">
        <w:t xml:space="preserve">patients cannot </w:t>
      </w:r>
      <w:r w:rsidR="26294590" w:rsidRPr="6CC68A72">
        <w:t>receive</w:t>
      </w:r>
      <w:r w:rsidRPr="00F83813">
        <w:t xml:space="preserve"> subsidised access to health technologies until the negotiation process is finalised. </w:t>
      </w:r>
    </w:p>
    <w:p w14:paraId="5282607D" w14:textId="77777777" w:rsidR="00647713" w:rsidRPr="00F83813" w:rsidRDefault="00647713" w:rsidP="001704AE">
      <w:pPr>
        <w:rPr>
          <w:rFonts w:cs="Segoe UI"/>
        </w:rPr>
      </w:pPr>
      <w:r w:rsidRPr="00F83813">
        <w:rPr>
          <w:rFonts w:cs="Segoe UI"/>
        </w:rPr>
        <w:t>This means that the length of the negotiation required to settle all relevant terms and conditions may result in an opportunity cost that is inefficient and does not yield the best balance of outcomes for all stakeholders. For individual patients and specific health technologies, delays in access may have profound negative consequences.</w:t>
      </w:r>
    </w:p>
    <w:p w14:paraId="6EBC7E8A" w14:textId="01047BD5" w:rsidR="00647713" w:rsidRPr="00856EDB" w:rsidRDefault="00647713" w:rsidP="001704AE">
      <w:pPr>
        <w:rPr>
          <w:rFonts w:cs="Segoe UI"/>
        </w:rPr>
      </w:pPr>
      <w:proofErr w:type="gramStart"/>
      <w:r w:rsidRPr="005C019D">
        <w:t>With this in mind</w:t>
      </w:r>
      <w:r w:rsidRPr="00856EDB">
        <w:rPr>
          <w:rFonts w:cs="Segoe UI"/>
        </w:rPr>
        <w:t>, the</w:t>
      </w:r>
      <w:proofErr w:type="gramEnd"/>
      <w:r w:rsidRPr="00856EDB">
        <w:rPr>
          <w:rFonts w:cs="Segoe UI"/>
        </w:rPr>
        <w:t xml:space="preserve"> Review sought to examine whether changes to post-HTA negotiation policies and processes could be recommended that would improve the timeliness and efficiency of decision-making and result in better patient access to health technologies. </w:t>
      </w:r>
    </w:p>
    <w:p w14:paraId="1F52FCC9" w14:textId="23E62F39" w:rsidR="00454C92" w:rsidRDefault="0023759F" w:rsidP="001704AE">
      <w:r w:rsidRPr="008939CB">
        <w:rPr>
          <w:rFonts w:eastAsia="Calibri"/>
          <w:noProof/>
        </w:rPr>
        <w:lastRenderedPageBreak/>
        <mc:AlternateContent>
          <mc:Choice Requires="wps">
            <w:drawing>
              <wp:inline distT="0" distB="0" distL="0" distR="0" wp14:anchorId="06DC1020" wp14:editId="0AC8E715">
                <wp:extent cx="5731510" cy="3137026"/>
                <wp:effectExtent l="0" t="0" r="21590" b="25400"/>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3137026"/>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4E81782E" w14:textId="77777777" w:rsidR="0023759F" w:rsidRPr="00F83813" w:rsidRDefault="0023759F" w:rsidP="00915229">
                            <w:pPr>
                              <w:pStyle w:val="Call-outbox"/>
                            </w:pPr>
                            <w:r w:rsidRPr="00F83813">
                              <w:t xml:space="preserve">Why </w:t>
                            </w:r>
                            <w:r w:rsidRPr="00F83813">
                              <w:t>this matters</w:t>
                            </w:r>
                          </w:p>
                          <w:p w14:paraId="1EFB0555" w14:textId="5FB05578" w:rsidR="0023759F" w:rsidRPr="00F83813" w:rsidRDefault="0023759F" w:rsidP="0023759F">
                            <w:pPr>
                              <w:rPr>
                                <w:rFonts w:cs="Segoe UI"/>
                              </w:rPr>
                            </w:pPr>
                            <w:r w:rsidRPr="00F83813">
                              <w:rPr>
                                <w:rFonts w:cs="Segoe UI"/>
                              </w:rPr>
                              <w:t xml:space="preserve">Post-HTA negotiations and finalisation of administrative processes are key to translating a positive HTA recommendation into a Government-supported legal and administrative arrangement that provides subsidised patient access to a health technology. </w:t>
                            </w:r>
                          </w:p>
                          <w:p w14:paraId="1A869452" w14:textId="76F7EE2C" w:rsidR="0023759F" w:rsidRPr="00F83813" w:rsidRDefault="0023759F" w:rsidP="0023759F">
                            <w:pPr>
                              <w:rPr>
                                <w:rFonts w:cs="Segoe UI"/>
                              </w:rPr>
                            </w:pPr>
                            <w:r w:rsidRPr="00F83813">
                              <w:rPr>
                                <w:rFonts w:cs="Segoe UI"/>
                              </w:rPr>
                              <w:t xml:space="preserve">While some health technologies proceed through negotiation and administrative steps very quickly, many others do not for reasons </w:t>
                            </w:r>
                            <w:r w:rsidR="00826738">
                              <w:rPr>
                                <w:rFonts w:cs="Segoe UI"/>
                              </w:rPr>
                              <w:t>that</w:t>
                            </w:r>
                            <w:r w:rsidRPr="00F83813">
                              <w:rPr>
                                <w:rFonts w:cs="Segoe UI"/>
                              </w:rPr>
                              <w:t xml:space="preserve"> are not always clear to stakeholders not involved in these processes. </w:t>
                            </w:r>
                          </w:p>
                          <w:p w14:paraId="37F4C683" w14:textId="209C7FBA" w:rsidR="0023759F" w:rsidRPr="00F83813" w:rsidRDefault="0023759F" w:rsidP="00A54BBC">
                            <w:pPr>
                              <w:spacing w:after="240"/>
                              <w:rPr>
                                <w:rFonts w:cs="Segoe UI"/>
                              </w:rPr>
                            </w:pPr>
                            <w:r w:rsidRPr="00F83813">
                              <w:rPr>
                                <w:rFonts w:cs="Segoe UI"/>
                              </w:rPr>
                              <w:t>Improv</w:t>
                            </w:r>
                            <w:r w:rsidR="00826738">
                              <w:rPr>
                                <w:rFonts w:cs="Segoe UI"/>
                              </w:rPr>
                              <w:t xml:space="preserve">ing </w:t>
                            </w:r>
                            <w:r w:rsidRPr="00F83813">
                              <w:rPr>
                                <w:rFonts w:cs="Segoe UI"/>
                              </w:rPr>
                              <w:t xml:space="preserve">the way negotiations are conducted, and/or administrative arrangements finalised, could improve timely access to health technologies while ensuring efficient use of negotiation resources and time for all parties. </w:t>
                            </w:r>
                          </w:p>
                          <w:p w14:paraId="63A6CE85" w14:textId="77777777" w:rsidR="00A525A7" w:rsidRDefault="00A525A7" w:rsidP="0023759F">
                            <w:pPr>
                              <w:rPr>
                                <w:rFonts w:cs="Segoe UI"/>
                              </w:rPr>
                            </w:pPr>
                          </w:p>
                          <w:p w14:paraId="4D206D30" w14:textId="77777777" w:rsidR="00467E00" w:rsidRDefault="00467E00" w:rsidP="0023759F">
                            <w:pPr>
                              <w:rPr>
                                <w:rFonts w:cs="Segoe UI"/>
                              </w:rPr>
                            </w:pPr>
                          </w:p>
                          <w:p w14:paraId="44705652" w14:textId="6CB74008" w:rsidR="002E483F" w:rsidRDefault="002E483F" w:rsidP="0023759F">
                            <w:pPr>
                              <w:rPr>
                                <w:rFonts w:cs="Segoe UI"/>
                              </w:rPr>
                            </w:pPr>
                          </w:p>
                          <w:p w14:paraId="6BF6DE61" w14:textId="77777777" w:rsidR="0086535A" w:rsidRDefault="0086535A">
                            <w:pPr>
                              <w:rPr>
                                <w:rFonts w:cs="Segoe UI"/>
                              </w:rPr>
                            </w:pPr>
                          </w:p>
                          <w:p w14:paraId="1DD03CD7" w14:textId="77777777" w:rsidR="00F93FA5" w:rsidRDefault="00F93FA5">
                            <w:pPr>
                              <w:rPr>
                                <w:rFonts w:cs="Segoe UI"/>
                              </w:rPr>
                            </w:pPr>
                          </w:p>
                          <w:p w14:paraId="2F7FEC01" w14:textId="08EA5399" w:rsidR="0086535A" w:rsidRDefault="0086535A">
                            <w:pPr>
                              <w:rPr>
                                <w:rFonts w:cs="Segoe UI"/>
                              </w:rPr>
                            </w:pPr>
                          </w:p>
                          <w:p w14:paraId="27A25878" w14:textId="77777777" w:rsidR="00A36A7D" w:rsidRDefault="00A36A7D" w:rsidP="0023759F">
                            <w:pPr>
                              <w:rPr>
                                <w:rFonts w:cs="Segoe UI"/>
                              </w:rPr>
                            </w:pPr>
                          </w:p>
                          <w:p w14:paraId="3D0002C4" w14:textId="77777777" w:rsidR="009A73F9" w:rsidRDefault="009A73F9" w:rsidP="0023759F">
                            <w:pPr>
                              <w:rPr>
                                <w:rFonts w:cs="Segoe UI"/>
                              </w:rPr>
                            </w:pPr>
                          </w:p>
                          <w:p w14:paraId="62658ACA" w14:textId="77777777" w:rsidR="006B0869" w:rsidRDefault="006B0869" w:rsidP="0023759F">
                            <w:pPr>
                              <w:rPr>
                                <w:rFonts w:cs="Segoe UI"/>
                              </w:rPr>
                            </w:pPr>
                          </w:p>
                          <w:p w14:paraId="11357473" w14:textId="77777777" w:rsidR="00593FCB" w:rsidRDefault="00593FCB" w:rsidP="0023759F">
                            <w:pPr>
                              <w:rPr>
                                <w:rFonts w:cs="Segoe UI"/>
                              </w:rPr>
                            </w:pPr>
                          </w:p>
                          <w:p w14:paraId="2B2F49FF" w14:textId="77777777" w:rsidR="002B2A54" w:rsidRDefault="002B2A54" w:rsidP="0023759F">
                            <w:pPr>
                              <w:rPr>
                                <w:rFonts w:cs="Segoe UI"/>
                              </w:rPr>
                            </w:pPr>
                          </w:p>
                          <w:p w14:paraId="04F73E2E" w14:textId="77777777" w:rsidR="00CA568B" w:rsidRDefault="00CA568B" w:rsidP="0023759F">
                            <w:pPr>
                              <w:rPr>
                                <w:rFonts w:cs="Segoe UI"/>
                              </w:rPr>
                            </w:pPr>
                          </w:p>
                          <w:p w14:paraId="58AD35A5" w14:textId="77777777" w:rsidR="00F51FCF" w:rsidRDefault="00F51FCF" w:rsidP="0023759F">
                            <w:pPr>
                              <w:rPr>
                                <w:rFonts w:cs="Segoe UI"/>
                              </w:rPr>
                            </w:pPr>
                          </w:p>
                          <w:p w14:paraId="1B274902" w14:textId="77777777" w:rsidR="00F86FDE" w:rsidRDefault="00F86FDE" w:rsidP="0023759F">
                            <w:pPr>
                              <w:rPr>
                                <w:rFonts w:cs="Segoe UI"/>
                              </w:rPr>
                            </w:pPr>
                          </w:p>
                          <w:p w14:paraId="3017F3EB" w14:textId="77777777" w:rsidR="00D868F9" w:rsidRDefault="00D868F9" w:rsidP="0023759F">
                            <w:pPr>
                              <w:rPr>
                                <w:rFonts w:cs="Segoe UI"/>
                              </w:rPr>
                            </w:pPr>
                          </w:p>
                          <w:p w14:paraId="68474360" w14:textId="77777777" w:rsidR="00ED2854" w:rsidRDefault="00ED2854" w:rsidP="0023759F">
                            <w:pPr>
                              <w:rPr>
                                <w:rFonts w:cs="Segoe UI"/>
                              </w:rPr>
                            </w:pPr>
                          </w:p>
                          <w:p w14:paraId="123437D8" w14:textId="77777777" w:rsidR="00927D6A" w:rsidRDefault="00927D6A">
                            <w:pPr>
                              <w:rPr>
                                <w:rFonts w:cs="Segoe UI"/>
                              </w:rPr>
                            </w:pPr>
                          </w:p>
                          <w:p w14:paraId="0232C499" w14:textId="77777777" w:rsidR="003C57D5" w:rsidRDefault="003C57D5" w:rsidP="0023759F">
                            <w:pPr>
                              <w:rPr>
                                <w:rFonts w:cs="Segoe UI"/>
                              </w:rPr>
                            </w:pPr>
                          </w:p>
                          <w:p w14:paraId="74A86710" w14:textId="77777777" w:rsidR="008D6626" w:rsidRDefault="008D6626">
                            <w:pPr>
                              <w:rPr>
                                <w:rFonts w:cs="Segoe UI"/>
                              </w:rPr>
                            </w:pPr>
                          </w:p>
                          <w:p w14:paraId="7FC4FA4E" w14:textId="77777777" w:rsidR="003C57D5" w:rsidRDefault="003C57D5" w:rsidP="0023759F">
                            <w:pPr>
                              <w:rPr>
                                <w:rFonts w:cs="Segoe UI"/>
                              </w:rPr>
                            </w:pPr>
                          </w:p>
                          <w:p w14:paraId="73242E71" w14:textId="77777777" w:rsidR="00D54D0C" w:rsidRDefault="00D54D0C">
                            <w:pPr>
                              <w:rPr>
                                <w:rFonts w:cs="Segoe UI"/>
                              </w:rPr>
                            </w:pPr>
                          </w:p>
                          <w:p w14:paraId="70DE1E87" w14:textId="77777777" w:rsidR="003C57D5" w:rsidRDefault="003C57D5" w:rsidP="0023759F">
                            <w:pPr>
                              <w:rPr>
                                <w:rFonts w:cs="Segoe UI"/>
                              </w:rPr>
                            </w:pPr>
                          </w:p>
                          <w:p w14:paraId="15A95FC6" w14:textId="77777777" w:rsidR="00352931" w:rsidRDefault="00352931">
                            <w:pPr>
                              <w:rPr>
                                <w:rFonts w:cs="Segoe UI"/>
                              </w:rPr>
                            </w:pPr>
                          </w:p>
                          <w:p w14:paraId="64896B13" w14:textId="77777777" w:rsidR="003C57D5" w:rsidRDefault="003C57D5" w:rsidP="0023759F">
                            <w:pPr>
                              <w:rPr>
                                <w:rFonts w:cs="Segoe UI"/>
                              </w:rPr>
                            </w:pPr>
                          </w:p>
                          <w:p w14:paraId="7799E735" w14:textId="77777777" w:rsidR="00011A0E" w:rsidRDefault="00011A0E">
                            <w:pPr>
                              <w:rPr>
                                <w:rFonts w:cs="Segoe UI"/>
                              </w:rPr>
                            </w:pPr>
                          </w:p>
                          <w:p w14:paraId="25EF0CA0" w14:textId="77777777" w:rsidR="003C57D5" w:rsidRDefault="003C57D5" w:rsidP="0023759F">
                            <w:pPr>
                              <w:rPr>
                                <w:rFonts w:cs="Segoe UI"/>
                              </w:rPr>
                            </w:pPr>
                          </w:p>
                          <w:p w14:paraId="0032F741" w14:textId="77777777" w:rsidR="003C57D5" w:rsidRDefault="003C57D5" w:rsidP="0023759F">
                            <w:pPr>
                              <w:rPr>
                                <w:rFonts w:cs="Segoe UI"/>
                              </w:rPr>
                            </w:pPr>
                          </w:p>
                          <w:p w14:paraId="3E443B86" w14:textId="77777777" w:rsidR="00011A0E" w:rsidRDefault="00011A0E">
                            <w:pPr>
                              <w:rPr>
                                <w:rFonts w:cs="Segoe UI"/>
                              </w:rPr>
                            </w:pPr>
                          </w:p>
                          <w:p w14:paraId="175A0297" w14:textId="77777777" w:rsidR="003C57D5" w:rsidRDefault="003C57D5" w:rsidP="0023759F">
                            <w:pPr>
                              <w:rPr>
                                <w:rFonts w:cs="Segoe UI"/>
                              </w:rPr>
                            </w:pPr>
                          </w:p>
                          <w:p w14:paraId="7B56024A" w14:textId="77777777" w:rsidR="003C57D5" w:rsidRDefault="003C57D5" w:rsidP="0023759F">
                            <w:pPr>
                              <w:rPr>
                                <w:rFonts w:cs="Segoe UI"/>
                              </w:rPr>
                            </w:pPr>
                          </w:p>
                          <w:p w14:paraId="2DA2C4B9" w14:textId="77777777" w:rsidR="00352931" w:rsidRDefault="00352931">
                            <w:pPr>
                              <w:rPr>
                                <w:rFonts w:cs="Segoe UI"/>
                              </w:rPr>
                            </w:pPr>
                          </w:p>
                          <w:p w14:paraId="1A9C539E" w14:textId="77777777" w:rsidR="003C57D5" w:rsidRDefault="003C57D5" w:rsidP="0023759F">
                            <w:pPr>
                              <w:rPr>
                                <w:rFonts w:cs="Segoe UI"/>
                              </w:rPr>
                            </w:pPr>
                          </w:p>
                          <w:p w14:paraId="6872265D" w14:textId="77777777" w:rsidR="003C57D5" w:rsidRDefault="003C57D5" w:rsidP="0023759F">
                            <w:pPr>
                              <w:rPr>
                                <w:rFonts w:cs="Segoe UI"/>
                              </w:rPr>
                            </w:pPr>
                          </w:p>
                          <w:p w14:paraId="7E36BE49" w14:textId="77777777" w:rsidR="00352931" w:rsidRDefault="00352931">
                            <w:pPr>
                              <w:rPr>
                                <w:rFonts w:cs="Segoe UI"/>
                              </w:rPr>
                            </w:pPr>
                          </w:p>
                          <w:p w14:paraId="152EE411" w14:textId="77777777" w:rsidR="00352931" w:rsidRDefault="00352931">
                            <w:pPr>
                              <w:rPr>
                                <w:rFonts w:cs="Segoe UI"/>
                              </w:rPr>
                            </w:pPr>
                          </w:p>
                          <w:p w14:paraId="071ECD40" w14:textId="77777777" w:rsidR="003C57D5" w:rsidRDefault="003C57D5" w:rsidP="0023759F">
                            <w:pPr>
                              <w:rPr>
                                <w:rFonts w:cs="Segoe UI"/>
                              </w:rPr>
                            </w:pPr>
                          </w:p>
                          <w:p w14:paraId="1E4FE86F" w14:textId="77777777" w:rsidR="007572DE" w:rsidRDefault="007572DE" w:rsidP="0023759F">
                            <w:pPr>
                              <w:rPr>
                                <w:rFonts w:cs="Segoe UI"/>
                              </w:rPr>
                            </w:pPr>
                          </w:p>
                          <w:p w14:paraId="43B4C659" w14:textId="77777777" w:rsidR="003C57D5" w:rsidRDefault="003C57D5" w:rsidP="0023759F">
                            <w:pPr>
                              <w:rPr>
                                <w:rFonts w:cs="Segoe UI"/>
                              </w:rPr>
                            </w:pPr>
                          </w:p>
                          <w:p w14:paraId="7A94A4C4" w14:textId="77777777" w:rsidR="003C57D5" w:rsidRDefault="003C57D5" w:rsidP="0023759F">
                            <w:pPr>
                              <w:rPr>
                                <w:rFonts w:cs="Segoe UI"/>
                              </w:rPr>
                            </w:pPr>
                          </w:p>
                          <w:p w14:paraId="3381E71E" w14:textId="77777777" w:rsidR="00352931" w:rsidRDefault="00352931">
                            <w:pPr>
                              <w:rPr>
                                <w:rFonts w:cs="Segoe UI"/>
                              </w:rPr>
                            </w:pPr>
                          </w:p>
                          <w:p w14:paraId="198C43BD" w14:textId="77777777" w:rsidR="00352931" w:rsidRDefault="00352931">
                            <w:pPr>
                              <w:rPr>
                                <w:rFonts w:cs="Segoe UI"/>
                              </w:rPr>
                            </w:pPr>
                          </w:p>
                          <w:p w14:paraId="7A409236" w14:textId="77777777" w:rsidR="003C57D5" w:rsidRDefault="003C57D5" w:rsidP="0023759F">
                            <w:pPr>
                              <w:rPr>
                                <w:rFonts w:cs="Segoe UI"/>
                              </w:rPr>
                            </w:pPr>
                          </w:p>
                          <w:p w14:paraId="570F40C1" w14:textId="77777777" w:rsidR="007572DE" w:rsidRDefault="007572DE" w:rsidP="0023759F">
                            <w:pPr>
                              <w:rPr>
                                <w:rFonts w:cs="Segoe UI"/>
                              </w:rPr>
                            </w:pPr>
                          </w:p>
                          <w:p w14:paraId="7F34160F" w14:textId="77777777" w:rsidR="003C57D5" w:rsidRDefault="003C57D5" w:rsidP="0023759F">
                            <w:pPr>
                              <w:rPr>
                                <w:rFonts w:cs="Segoe UI"/>
                              </w:rPr>
                            </w:pPr>
                          </w:p>
                          <w:p w14:paraId="0C3F3783" w14:textId="77777777" w:rsidR="003C57D5" w:rsidRDefault="003C57D5" w:rsidP="0023759F">
                            <w:pPr>
                              <w:rPr>
                                <w:rFonts w:cs="Segoe UI"/>
                              </w:rPr>
                            </w:pPr>
                          </w:p>
                          <w:p w14:paraId="70414C04" w14:textId="77777777" w:rsidR="00352931" w:rsidRDefault="00352931">
                            <w:pPr>
                              <w:rPr>
                                <w:rFonts w:cs="Segoe UI"/>
                              </w:rPr>
                            </w:pPr>
                          </w:p>
                          <w:p w14:paraId="140E34D6" w14:textId="77777777" w:rsidR="003C57D5" w:rsidRDefault="003C57D5" w:rsidP="0023759F">
                            <w:pPr>
                              <w:rPr>
                                <w:rFonts w:cs="Segoe UI"/>
                              </w:rPr>
                            </w:pPr>
                          </w:p>
                          <w:p w14:paraId="000DA121" w14:textId="77777777" w:rsidR="003C57D5" w:rsidRDefault="003C57D5" w:rsidP="0023759F">
                            <w:pPr>
                              <w:rPr>
                                <w:rFonts w:cs="Segoe UI"/>
                              </w:rPr>
                            </w:pPr>
                          </w:p>
                          <w:p w14:paraId="4ADF6F22" w14:textId="77777777" w:rsidR="007572DE" w:rsidRDefault="007572DE" w:rsidP="0023759F">
                            <w:pPr>
                              <w:rPr>
                                <w:rFonts w:cs="Segoe UI"/>
                              </w:rPr>
                            </w:pPr>
                          </w:p>
                          <w:p w14:paraId="78B7415E" w14:textId="77777777" w:rsidR="003C57D5" w:rsidRDefault="003C57D5" w:rsidP="0023759F">
                            <w:pPr>
                              <w:rPr>
                                <w:rFonts w:cs="Segoe UI"/>
                              </w:rPr>
                            </w:pPr>
                          </w:p>
                          <w:p w14:paraId="2953A112" w14:textId="77777777" w:rsidR="003C57D5" w:rsidRDefault="003C57D5" w:rsidP="0023759F">
                            <w:pPr>
                              <w:rPr>
                                <w:rFonts w:cs="Segoe UI"/>
                              </w:rPr>
                            </w:pPr>
                          </w:p>
                          <w:p w14:paraId="0856F500" w14:textId="77777777" w:rsidR="003C57D5" w:rsidRDefault="003C57D5" w:rsidP="0023759F">
                            <w:pPr>
                              <w:rPr>
                                <w:rFonts w:cs="Segoe UI"/>
                              </w:rPr>
                            </w:pPr>
                          </w:p>
                          <w:p w14:paraId="0B01C317" w14:textId="77777777" w:rsidR="003C57D5" w:rsidRDefault="003C57D5" w:rsidP="0023759F">
                            <w:pPr>
                              <w:rPr>
                                <w:rFonts w:cs="Segoe UI"/>
                              </w:rPr>
                            </w:pPr>
                          </w:p>
                          <w:p w14:paraId="5DA604C6" w14:textId="77777777" w:rsidR="007572DE" w:rsidRDefault="007572DE" w:rsidP="0023759F">
                            <w:pPr>
                              <w:rPr>
                                <w:rFonts w:cs="Segoe UI"/>
                              </w:rPr>
                            </w:pPr>
                          </w:p>
                          <w:p w14:paraId="4511FB58" w14:textId="77777777" w:rsidR="00A304EB" w:rsidRDefault="00A304EB" w:rsidP="0023759F">
                            <w:pPr>
                              <w:rPr>
                                <w:rFonts w:cs="Segoe UI"/>
                              </w:rPr>
                            </w:pPr>
                          </w:p>
                          <w:p w14:paraId="5DE42985" w14:textId="77777777" w:rsidR="003C57D5" w:rsidRDefault="003C57D5" w:rsidP="0023759F">
                            <w:pPr>
                              <w:rPr>
                                <w:rFonts w:cs="Segoe UI"/>
                              </w:rPr>
                            </w:pPr>
                          </w:p>
                          <w:p w14:paraId="1519C942" w14:textId="77777777" w:rsidR="003C57D5" w:rsidRDefault="003C57D5" w:rsidP="0023759F">
                            <w:pPr>
                              <w:rPr>
                                <w:rFonts w:cs="Segoe UI"/>
                              </w:rPr>
                            </w:pPr>
                          </w:p>
                          <w:p w14:paraId="194A98B5" w14:textId="77777777" w:rsidR="003C57D5" w:rsidRDefault="003C57D5" w:rsidP="0023759F">
                            <w:pPr>
                              <w:rPr>
                                <w:rFonts w:cs="Segoe UI"/>
                              </w:rPr>
                            </w:pPr>
                          </w:p>
                          <w:p w14:paraId="5DD12647" w14:textId="77777777" w:rsidR="003C57D5" w:rsidRDefault="003C57D5" w:rsidP="0023759F">
                            <w:pPr>
                              <w:rPr>
                                <w:rFonts w:cs="Segoe UI"/>
                              </w:rPr>
                            </w:pPr>
                          </w:p>
                          <w:p w14:paraId="3BB6596B" w14:textId="77777777" w:rsidR="007572DE" w:rsidRDefault="007572DE" w:rsidP="0023759F">
                            <w:pPr>
                              <w:rPr>
                                <w:rFonts w:cs="Segoe UI"/>
                              </w:rPr>
                            </w:pPr>
                          </w:p>
                          <w:p w14:paraId="5D913FBA" w14:textId="77777777" w:rsidR="003C57D5" w:rsidRDefault="003C57D5" w:rsidP="0023759F">
                            <w:pPr>
                              <w:rPr>
                                <w:rFonts w:cs="Segoe UI"/>
                              </w:rPr>
                            </w:pPr>
                          </w:p>
                          <w:p w14:paraId="2846A4F4" w14:textId="77777777" w:rsidR="003C57D5" w:rsidRDefault="003C57D5" w:rsidP="0023759F">
                            <w:pPr>
                              <w:rPr>
                                <w:rFonts w:cs="Segoe UI"/>
                              </w:rPr>
                            </w:pPr>
                          </w:p>
                          <w:p w14:paraId="3932EB13" w14:textId="77777777" w:rsidR="003C57D5" w:rsidRDefault="003C57D5" w:rsidP="0023759F">
                            <w:pPr>
                              <w:rPr>
                                <w:rFonts w:cs="Segoe UI"/>
                              </w:rPr>
                            </w:pPr>
                          </w:p>
                          <w:p w14:paraId="717107D9" w14:textId="77777777" w:rsidR="003C57D5" w:rsidRDefault="003C57D5" w:rsidP="0023759F">
                            <w:pPr>
                              <w:rPr>
                                <w:rFonts w:cs="Segoe UI"/>
                              </w:rPr>
                            </w:pPr>
                          </w:p>
                          <w:p w14:paraId="184708C5" w14:textId="77777777" w:rsidR="007572DE" w:rsidRDefault="007572DE" w:rsidP="0023759F">
                            <w:pPr>
                              <w:rPr>
                                <w:rFonts w:cs="Segoe UI"/>
                              </w:rPr>
                            </w:pPr>
                          </w:p>
                          <w:p w14:paraId="25EB28FC" w14:textId="77777777" w:rsidR="003C57D5" w:rsidRDefault="003C57D5" w:rsidP="0023759F">
                            <w:pPr>
                              <w:rPr>
                                <w:rFonts w:cs="Segoe UI"/>
                              </w:rPr>
                            </w:pPr>
                          </w:p>
                          <w:p w14:paraId="499015A7" w14:textId="77777777" w:rsidR="003C57D5" w:rsidRDefault="003C57D5" w:rsidP="0023759F">
                            <w:pPr>
                              <w:rPr>
                                <w:rFonts w:cs="Segoe UI"/>
                              </w:rPr>
                            </w:pPr>
                          </w:p>
                          <w:p w14:paraId="379B816F" w14:textId="77777777" w:rsidR="003C57D5" w:rsidRDefault="003C57D5" w:rsidP="0023759F">
                            <w:pPr>
                              <w:rPr>
                                <w:rFonts w:cs="Segoe UI"/>
                              </w:rPr>
                            </w:pPr>
                          </w:p>
                          <w:p w14:paraId="63C14A07" w14:textId="77777777" w:rsidR="003C57D5" w:rsidRDefault="003C57D5" w:rsidP="0023759F">
                            <w:pPr>
                              <w:rPr>
                                <w:rFonts w:cs="Segoe UI"/>
                              </w:rPr>
                            </w:pPr>
                          </w:p>
                          <w:p w14:paraId="0941CC0F" w14:textId="77777777" w:rsidR="007572DE" w:rsidRDefault="007572DE" w:rsidP="0023759F">
                            <w:pPr>
                              <w:rPr>
                                <w:rFonts w:cs="Segoe UI"/>
                              </w:rPr>
                            </w:pPr>
                          </w:p>
                          <w:p w14:paraId="782827A2" w14:textId="77777777" w:rsidR="003C57D5" w:rsidRDefault="003C57D5" w:rsidP="0023759F">
                            <w:pPr>
                              <w:rPr>
                                <w:rFonts w:cs="Segoe UI"/>
                              </w:rPr>
                            </w:pPr>
                          </w:p>
                          <w:p w14:paraId="42F0293B" w14:textId="77777777" w:rsidR="007572DE" w:rsidRDefault="007572DE" w:rsidP="0023759F">
                            <w:pPr>
                              <w:rPr>
                                <w:rFonts w:cs="Segoe UI"/>
                              </w:rPr>
                            </w:pPr>
                          </w:p>
                          <w:p w14:paraId="02E00A3C" w14:textId="77777777" w:rsidR="003C57D5" w:rsidRDefault="003C57D5" w:rsidP="0023759F">
                            <w:pPr>
                              <w:rPr>
                                <w:rFonts w:cs="Segoe UI"/>
                              </w:rPr>
                            </w:pPr>
                          </w:p>
                          <w:p w14:paraId="64C34444" w14:textId="77777777" w:rsidR="003C57D5" w:rsidRDefault="003C57D5" w:rsidP="0023759F">
                            <w:pPr>
                              <w:rPr>
                                <w:rFonts w:cs="Segoe UI"/>
                              </w:rPr>
                            </w:pPr>
                          </w:p>
                          <w:p w14:paraId="206715FA" w14:textId="77777777" w:rsidR="00352931" w:rsidRDefault="00352931">
                            <w:pPr>
                              <w:rPr>
                                <w:rFonts w:cs="Segoe UI"/>
                              </w:rPr>
                            </w:pPr>
                          </w:p>
                          <w:p w14:paraId="78237465" w14:textId="77777777" w:rsidR="00352931" w:rsidRDefault="00352931">
                            <w:pPr>
                              <w:rPr>
                                <w:rFonts w:cs="Segoe UI"/>
                              </w:rPr>
                            </w:pPr>
                          </w:p>
                          <w:p w14:paraId="27396F76" w14:textId="069321C9" w:rsidR="003C57D5" w:rsidRDefault="003C57D5" w:rsidP="0023759F">
                            <w:pPr>
                              <w:rPr>
                                <w:rFonts w:cs="Segoe UI"/>
                              </w:rPr>
                            </w:pPr>
                          </w:p>
                          <w:p w14:paraId="7F3A7986" w14:textId="77777777" w:rsidR="007572DE" w:rsidRDefault="007572DE" w:rsidP="0023759F">
                            <w:pPr>
                              <w:rPr>
                                <w:rFonts w:cs="Segoe UI"/>
                              </w:rPr>
                            </w:pPr>
                          </w:p>
                          <w:p w14:paraId="563A2C61" w14:textId="77777777" w:rsidR="003C57D5" w:rsidRDefault="003C57D5" w:rsidP="0023759F">
                            <w:pPr>
                              <w:rPr>
                                <w:rFonts w:cs="Segoe UI"/>
                              </w:rPr>
                            </w:pPr>
                          </w:p>
                          <w:p w14:paraId="10C56AD8" w14:textId="77777777" w:rsidR="003C57D5" w:rsidRDefault="003C57D5" w:rsidP="0023759F">
                            <w:pPr>
                              <w:rPr>
                                <w:rFonts w:cs="Segoe UI"/>
                              </w:rPr>
                            </w:pPr>
                          </w:p>
                          <w:p w14:paraId="00A09FA3" w14:textId="77777777" w:rsidR="003C57D5" w:rsidRDefault="003C57D5" w:rsidP="0023759F">
                            <w:pPr>
                              <w:rPr>
                                <w:rFonts w:cs="Segoe UI"/>
                              </w:rPr>
                            </w:pPr>
                          </w:p>
                          <w:p w14:paraId="2D18E86A" w14:textId="77777777" w:rsidR="003C57D5" w:rsidRDefault="003C57D5" w:rsidP="0023759F">
                            <w:pPr>
                              <w:rPr>
                                <w:rFonts w:cs="Segoe UI"/>
                              </w:rPr>
                            </w:pPr>
                          </w:p>
                          <w:p w14:paraId="2F98E6D4" w14:textId="77777777" w:rsidR="007572DE" w:rsidRDefault="007572DE" w:rsidP="0023759F">
                            <w:pPr>
                              <w:rPr>
                                <w:rFonts w:cs="Segoe UI"/>
                              </w:rPr>
                            </w:pPr>
                          </w:p>
                          <w:p w14:paraId="495A812C" w14:textId="77777777" w:rsidR="003C57D5" w:rsidRDefault="003C57D5" w:rsidP="0023759F">
                            <w:pPr>
                              <w:rPr>
                                <w:rFonts w:cs="Segoe UI"/>
                              </w:rPr>
                            </w:pPr>
                          </w:p>
                          <w:p w14:paraId="301A5797" w14:textId="77777777" w:rsidR="003C57D5" w:rsidRDefault="003C57D5" w:rsidP="0023759F">
                            <w:pPr>
                              <w:rPr>
                                <w:rFonts w:cs="Segoe UI"/>
                              </w:rPr>
                            </w:pPr>
                          </w:p>
                          <w:p w14:paraId="7D9F1731" w14:textId="77777777" w:rsidR="003C57D5" w:rsidRDefault="003C57D5" w:rsidP="0023759F">
                            <w:pPr>
                              <w:rPr>
                                <w:rFonts w:cs="Segoe UI"/>
                              </w:rPr>
                            </w:pPr>
                          </w:p>
                          <w:p w14:paraId="5B499CC0" w14:textId="77777777" w:rsidR="003C57D5" w:rsidRDefault="003C57D5" w:rsidP="0023759F">
                            <w:pPr>
                              <w:rPr>
                                <w:rFonts w:cs="Segoe UI"/>
                              </w:rPr>
                            </w:pPr>
                          </w:p>
                          <w:p w14:paraId="320F4599" w14:textId="77777777" w:rsidR="007572DE" w:rsidRDefault="007572DE" w:rsidP="0023759F">
                            <w:pPr>
                              <w:rPr>
                                <w:rFonts w:cs="Segoe UI"/>
                              </w:rPr>
                            </w:pPr>
                          </w:p>
                          <w:p w14:paraId="43A3602D" w14:textId="77777777" w:rsidR="003C57D5" w:rsidRDefault="003C57D5" w:rsidP="0023759F">
                            <w:pPr>
                              <w:rPr>
                                <w:rFonts w:cs="Segoe UI"/>
                              </w:rPr>
                            </w:pPr>
                          </w:p>
                          <w:p w14:paraId="6DAD8599" w14:textId="77777777" w:rsidR="003C57D5" w:rsidRDefault="003C57D5" w:rsidP="0023759F">
                            <w:pPr>
                              <w:rPr>
                                <w:rFonts w:cs="Segoe UI"/>
                              </w:rPr>
                            </w:pPr>
                          </w:p>
                          <w:p w14:paraId="350F7B55" w14:textId="77777777" w:rsidR="003C57D5" w:rsidRDefault="003C57D5" w:rsidP="0023759F">
                            <w:pPr>
                              <w:rPr>
                                <w:rFonts w:cs="Segoe UI"/>
                              </w:rPr>
                            </w:pPr>
                          </w:p>
                          <w:p w14:paraId="2DFB4545" w14:textId="77777777" w:rsidR="003C57D5" w:rsidRDefault="003C57D5" w:rsidP="0023759F">
                            <w:pPr>
                              <w:rPr>
                                <w:rFonts w:cs="Segoe UI"/>
                              </w:rPr>
                            </w:pPr>
                          </w:p>
                          <w:p w14:paraId="092A23B8" w14:textId="77777777" w:rsidR="007572DE" w:rsidRDefault="007572DE" w:rsidP="0023759F">
                            <w:pPr>
                              <w:rPr>
                                <w:rFonts w:cs="Segoe UI"/>
                              </w:rPr>
                            </w:pPr>
                          </w:p>
                          <w:p w14:paraId="5E94EAF8" w14:textId="28D6FBE6" w:rsidR="00932C06" w:rsidRDefault="00932C06" w:rsidP="0023759F">
                            <w:pPr>
                              <w:rPr>
                                <w:rFonts w:cs="Segoe UI"/>
                              </w:rPr>
                            </w:pPr>
                          </w:p>
                          <w:p w14:paraId="2BB750A9" w14:textId="77777777" w:rsidR="003C57D5" w:rsidRDefault="003C57D5" w:rsidP="0023759F">
                            <w:pPr>
                              <w:rPr>
                                <w:rFonts w:cs="Segoe UI"/>
                              </w:rPr>
                            </w:pPr>
                          </w:p>
                          <w:p w14:paraId="329E3BE3" w14:textId="77777777" w:rsidR="003C57D5" w:rsidRDefault="003C57D5" w:rsidP="0023759F">
                            <w:pPr>
                              <w:rPr>
                                <w:rFonts w:cs="Segoe UI"/>
                              </w:rPr>
                            </w:pPr>
                          </w:p>
                          <w:p w14:paraId="7B6C3ACB" w14:textId="77777777" w:rsidR="003C57D5" w:rsidRDefault="003C57D5" w:rsidP="0023759F">
                            <w:pPr>
                              <w:rPr>
                                <w:rFonts w:cs="Segoe UI"/>
                              </w:rPr>
                            </w:pPr>
                          </w:p>
                          <w:p w14:paraId="02187AF5" w14:textId="77777777" w:rsidR="003C57D5" w:rsidRDefault="003C57D5" w:rsidP="0023759F">
                            <w:pPr>
                              <w:rPr>
                                <w:rFonts w:cs="Segoe UI"/>
                              </w:rPr>
                            </w:pPr>
                          </w:p>
                          <w:p w14:paraId="0031AA34" w14:textId="77777777" w:rsidR="007572DE" w:rsidRDefault="007572DE" w:rsidP="0023759F">
                            <w:pPr>
                              <w:rPr>
                                <w:rFonts w:cs="Segoe UI"/>
                              </w:rPr>
                            </w:pPr>
                          </w:p>
                          <w:p w14:paraId="112E840F" w14:textId="01A44783" w:rsidR="0023759F" w:rsidRPr="008939CB" w:rsidRDefault="0023759F">
                            <w:pPr>
                              <w:rPr>
                                <w:rFonts w:cs="Segoe UI"/>
                              </w:rPr>
                            </w:pPr>
                          </w:p>
                        </w:txbxContent>
                      </wps:txbx>
                      <wps:bodyPr rot="0" vert="horz" wrap="square" lIns="91440" tIns="45720" rIns="91440" bIns="45720" anchor="t" anchorCtr="0">
                        <a:noAutofit/>
                      </wps:bodyPr>
                    </wps:wsp>
                  </a:graphicData>
                </a:graphic>
              </wp:inline>
            </w:drawing>
          </mc:Choice>
          <mc:Fallback>
            <w:pict>
              <v:roundrect w14:anchorId="06DC1020" id="Text Box 8" o:spid="_x0000_s1035" style="width:451.3pt;height:247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" fillcolor="white [3201]" strokecolor="#acc02a [3208]" strokeweight="1pt">
                <v:stroke joinstyle="miter"/>
                <v:textbox>
                  <w:txbxContent>
                    <w:p w14:paraId="4E81782E" w14:textId="77777777" w:rsidR="0023759F" w:rsidRPr="00F83813" w:rsidRDefault="0023759F" w:rsidP="00915229">
                      <w:pPr>
                        <w:pStyle w:val="Call-outbox"/>
                      </w:pPr>
                      <w:r w:rsidRPr="00F83813">
                        <w:t>Why this matters</w:t>
                      </w:r>
                    </w:p>
                    <w:p w14:paraId="1EFB0555" w14:textId="5FB05578" w:rsidR="0023759F" w:rsidRPr="00F83813" w:rsidRDefault="0023759F" w:rsidP="0023759F">
                      <w:pPr>
                        <w:rPr>
                          <w:rFonts w:cs="Segoe UI"/>
                        </w:rPr>
                      </w:pPr>
                      <w:r w:rsidRPr="00F83813">
                        <w:rPr>
                          <w:rFonts w:cs="Segoe UI"/>
                        </w:rPr>
                        <w:t xml:space="preserve">Post-HTA negotiations and finalisation of administrative processes are key to translating a positive HTA recommendation into a Government-supported legal and administrative arrangement that provides subsidised patient access to a health technology. </w:t>
                      </w:r>
                    </w:p>
                    <w:p w14:paraId="1A869452" w14:textId="76F7EE2C" w:rsidR="0023759F" w:rsidRPr="00F83813" w:rsidRDefault="0023759F" w:rsidP="0023759F">
                      <w:pPr>
                        <w:rPr>
                          <w:rFonts w:cs="Segoe UI"/>
                        </w:rPr>
                      </w:pPr>
                      <w:r w:rsidRPr="00F83813">
                        <w:rPr>
                          <w:rFonts w:cs="Segoe UI"/>
                        </w:rPr>
                        <w:t xml:space="preserve">While some health technologies proceed through negotiation and administrative steps very quickly, many others do not for reasons </w:t>
                      </w:r>
                      <w:r w:rsidR="00826738">
                        <w:rPr>
                          <w:rFonts w:cs="Segoe UI"/>
                        </w:rPr>
                        <w:t>that</w:t>
                      </w:r>
                      <w:r w:rsidRPr="00F83813">
                        <w:rPr>
                          <w:rFonts w:cs="Segoe UI"/>
                        </w:rPr>
                        <w:t xml:space="preserve"> are not always clear to stakeholders not involved in these processes. </w:t>
                      </w:r>
                    </w:p>
                    <w:p w14:paraId="37F4C683" w14:textId="209C7FBA" w:rsidR="0023759F" w:rsidRPr="00F83813" w:rsidRDefault="0023759F" w:rsidP="00A54BBC">
                      <w:pPr>
                        <w:spacing w:after="240"/>
                        <w:rPr>
                          <w:rFonts w:cs="Segoe UI"/>
                        </w:rPr>
                      </w:pPr>
                      <w:r w:rsidRPr="00F83813">
                        <w:rPr>
                          <w:rFonts w:cs="Segoe UI"/>
                        </w:rPr>
                        <w:t>Improv</w:t>
                      </w:r>
                      <w:r w:rsidR="00826738">
                        <w:rPr>
                          <w:rFonts w:cs="Segoe UI"/>
                        </w:rPr>
                        <w:t xml:space="preserve">ing </w:t>
                      </w:r>
                      <w:r w:rsidRPr="00F83813">
                        <w:rPr>
                          <w:rFonts w:cs="Segoe UI"/>
                        </w:rPr>
                        <w:t xml:space="preserve">the way negotiations are conducted, and/or administrative arrangements finalised, could improve timely access to health technologies while ensuring efficient use of negotiation resources and time for all parties. </w:t>
                      </w:r>
                    </w:p>
                    <w:p w14:paraId="63A6CE85" w14:textId="77777777" w:rsidR="00A525A7" w:rsidRDefault="00A525A7" w:rsidP="0023759F">
                      <w:pPr>
                        <w:rPr>
                          <w:rFonts w:cs="Segoe UI"/>
                        </w:rPr>
                      </w:pPr>
                    </w:p>
                    <w:p w14:paraId="4D206D30" w14:textId="77777777" w:rsidR="00467E00" w:rsidRDefault="00467E00" w:rsidP="0023759F">
                      <w:pPr>
                        <w:rPr>
                          <w:rFonts w:cs="Segoe UI"/>
                        </w:rPr>
                      </w:pPr>
                    </w:p>
                    <w:p w14:paraId="44705652" w14:textId="6CB74008" w:rsidR="002E483F" w:rsidRDefault="002E483F" w:rsidP="0023759F">
                      <w:pPr>
                        <w:rPr>
                          <w:rFonts w:cs="Segoe UI"/>
                        </w:rPr>
                      </w:pPr>
                    </w:p>
                    <w:p w14:paraId="6BF6DE61" w14:textId="77777777" w:rsidR="0086535A" w:rsidRDefault="0086535A">
                      <w:pPr>
                        <w:rPr>
                          <w:rFonts w:cs="Segoe UI"/>
                        </w:rPr>
                      </w:pPr>
                    </w:p>
                    <w:p w14:paraId="1DD03CD7" w14:textId="77777777" w:rsidR="00F93FA5" w:rsidRDefault="00F93FA5">
                      <w:pPr>
                        <w:rPr>
                          <w:rFonts w:cs="Segoe UI"/>
                        </w:rPr>
                      </w:pPr>
                    </w:p>
                    <w:p w14:paraId="2F7FEC01" w14:textId="08EA5399" w:rsidR="0086535A" w:rsidRDefault="0086535A">
                      <w:pPr>
                        <w:rPr>
                          <w:rFonts w:cs="Segoe UI"/>
                        </w:rPr>
                      </w:pPr>
                    </w:p>
                    <w:p w14:paraId="27A25878" w14:textId="77777777" w:rsidR="00A36A7D" w:rsidRDefault="00A36A7D" w:rsidP="0023759F">
                      <w:pPr>
                        <w:rPr>
                          <w:rFonts w:cs="Segoe UI"/>
                        </w:rPr>
                      </w:pPr>
                    </w:p>
                    <w:p w14:paraId="3D0002C4" w14:textId="77777777" w:rsidR="009A73F9" w:rsidRDefault="009A73F9" w:rsidP="0023759F">
                      <w:pPr>
                        <w:rPr>
                          <w:rFonts w:cs="Segoe UI"/>
                        </w:rPr>
                      </w:pPr>
                    </w:p>
                    <w:p w14:paraId="62658ACA" w14:textId="77777777" w:rsidR="006B0869" w:rsidRDefault="006B0869" w:rsidP="0023759F">
                      <w:pPr>
                        <w:rPr>
                          <w:rFonts w:cs="Segoe UI"/>
                        </w:rPr>
                      </w:pPr>
                    </w:p>
                    <w:p w14:paraId="11357473" w14:textId="77777777" w:rsidR="00593FCB" w:rsidRDefault="00593FCB" w:rsidP="0023759F">
                      <w:pPr>
                        <w:rPr>
                          <w:rFonts w:cs="Segoe UI"/>
                        </w:rPr>
                      </w:pPr>
                    </w:p>
                    <w:p w14:paraId="2B2F49FF" w14:textId="77777777" w:rsidR="002B2A54" w:rsidRDefault="002B2A54" w:rsidP="0023759F">
                      <w:pPr>
                        <w:rPr>
                          <w:rFonts w:cs="Segoe UI"/>
                        </w:rPr>
                      </w:pPr>
                    </w:p>
                    <w:p w14:paraId="04F73E2E" w14:textId="77777777" w:rsidR="00CA568B" w:rsidRDefault="00CA568B" w:rsidP="0023759F">
                      <w:pPr>
                        <w:rPr>
                          <w:rFonts w:cs="Segoe UI"/>
                        </w:rPr>
                      </w:pPr>
                    </w:p>
                    <w:p w14:paraId="58AD35A5" w14:textId="77777777" w:rsidR="00F51FCF" w:rsidRDefault="00F51FCF" w:rsidP="0023759F">
                      <w:pPr>
                        <w:rPr>
                          <w:rFonts w:cs="Segoe UI"/>
                        </w:rPr>
                      </w:pPr>
                    </w:p>
                    <w:p w14:paraId="1B274902" w14:textId="77777777" w:rsidR="00F86FDE" w:rsidRDefault="00F86FDE" w:rsidP="0023759F">
                      <w:pPr>
                        <w:rPr>
                          <w:rFonts w:cs="Segoe UI"/>
                        </w:rPr>
                      </w:pPr>
                    </w:p>
                    <w:p w14:paraId="3017F3EB" w14:textId="77777777" w:rsidR="00D868F9" w:rsidRDefault="00D868F9" w:rsidP="0023759F">
                      <w:pPr>
                        <w:rPr>
                          <w:rFonts w:cs="Segoe UI"/>
                        </w:rPr>
                      </w:pPr>
                    </w:p>
                    <w:p w14:paraId="68474360" w14:textId="77777777" w:rsidR="00ED2854" w:rsidRDefault="00ED2854" w:rsidP="0023759F">
                      <w:pPr>
                        <w:rPr>
                          <w:rFonts w:cs="Segoe UI"/>
                        </w:rPr>
                      </w:pPr>
                    </w:p>
                    <w:p w14:paraId="123437D8" w14:textId="77777777" w:rsidR="00927D6A" w:rsidRDefault="00927D6A">
                      <w:pPr>
                        <w:rPr>
                          <w:rFonts w:cs="Segoe UI"/>
                        </w:rPr>
                      </w:pPr>
                    </w:p>
                    <w:p w14:paraId="0232C499" w14:textId="77777777" w:rsidR="003C57D5" w:rsidRDefault="003C57D5" w:rsidP="0023759F">
                      <w:pPr>
                        <w:rPr>
                          <w:rFonts w:cs="Segoe UI"/>
                        </w:rPr>
                      </w:pPr>
                    </w:p>
                    <w:p w14:paraId="74A86710" w14:textId="77777777" w:rsidR="008D6626" w:rsidRDefault="008D6626">
                      <w:pPr>
                        <w:rPr>
                          <w:rFonts w:cs="Segoe UI"/>
                        </w:rPr>
                      </w:pPr>
                    </w:p>
                    <w:p w14:paraId="7FC4FA4E" w14:textId="77777777" w:rsidR="003C57D5" w:rsidRDefault="003C57D5" w:rsidP="0023759F">
                      <w:pPr>
                        <w:rPr>
                          <w:rFonts w:cs="Segoe UI"/>
                        </w:rPr>
                      </w:pPr>
                    </w:p>
                    <w:p w14:paraId="73242E71" w14:textId="77777777" w:rsidR="00D54D0C" w:rsidRDefault="00D54D0C">
                      <w:pPr>
                        <w:rPr>
                          <w:rFonts w:cs="Segoe UI"/>
                        </w:rPr>
                      </w:pPr>
                    </w:p>
                    <w:p w14:paraId="70DE1E87" w14:textId="77777777" w:rsidR="003C57D5" w:rsidRDefault="003C57D5" w:rsidP="0023759F">
                      <w:pPr>
                        <w:rPr>
                          <w:rFonts w:cs="Segoe UI"/>
                        </w:rPr>
                      </w:pPr>
                    </w:p>
                    <w:p w14:paraId="15A95FC6" w14:textId="77777777" w:rsidR="00352931" w:rsidRDefault="00352931">
                      <w:pPr>
                        <w:rPr>
                          <w:rFonts w:cs="Segoe UI"/>
                        </w:rPr>
                      </w:pPr>
                    </w:p>
                    <w:p w14:paraId="64896B13" w14:textId="77777777" w:rsidR="003C57D5" w:rsidRDefault="003C57D5" w:rsidP="0023759F">
                      <w:pPr>
                        <w:rPr>
                          <w:rFonts w:cs="Segoe UI"/>
                        </w:rPr>
                      </w:pPr>
                    </w:p>
                    <w:p w14:paraId="7799E735" w14:textId="77777777" w:rsidR="00011A0E" w:rsidRDefault="00011A0E">
                      <w:pPr>
                        <w:rPr>
                          <w:rFonts w:cs="Segoe UI"/>
                        </w:rPr>
                      </w:pPr>
                    </w:p>
                    <w:p w14:paraId="25EF0CA0" w14:textId="77777777" w:rsidR="003C57D5" w:rsidRDefault="003C57D5" w:rsidP="0023759F">
                      <w:pPr>
                        <w:rPr>
                          <w:rFonts w:cs="Segoe UI"/>
                        </w:rPr>
                      </w:pPr>
                    </w:p>
                    <w:p w14:paraId="0032F741" w14:textId="77777777" w:rsidR="003C57D5" w:rsidRDefault="003C57D5" w:rsidP="0023759F">
                      <w:pPr>
                        <w:rPr>
                          <w:rFonts w:cs="Segoe UI"/>
                        </w:rPr>
                      </w:pPr>
                    </w:p>
                    <w:p w14:paraId="3E443B86" w14:textId="77777777" w:rsidR="00011A0E" w:rsidRDefault="00011A0E">
                      <w:pPr>
                        <w:rPr>
                          <w:rFonts w:cs="Segoe UI"/>
                        </w:rPr>
                      </w:pPr>
                    </w:p>
                    <w:p w14:paraId="175A0297" w14:textId="77777777" w:rsidR="003C57D5" w:rsidRDefault="003C57D5" w:rsidP="0023759F">
                      <w:pPr>
                        <w:rPr>
                          <w:rFonts w:cs="Segoe UI"/>
                        </w:rPr>
                      </w:pPr>
                    </w:p>
                    <w:p w14:paraId="7B56024A" w14:textId="77777777" w:rsidR="003C57D5" w:rsidRDefault="003C57D5" w:rsidP="0023759F">
                      <w:pPr>
                        <w:rPr>
                          <w:rFonts w:cs="Segoe UI"/>
                        </w:rPr>
                      </w:pPr>
                    </w:p>
                    <w:p w14:paraId="2DA2C4B9" w14:textId="77777777" w:rsidR="00352931" w:rsidRDefault="00352931">
                      <w:pPr>
                        <w:rPr>
                          <w:rFonts w:cs="Segoe UI"/>
                        </w:rPr>
                      </w:pPr>
                    </w:p>
                    <w:p w14:paraId="1A9C539E" w14:textId="77777777" w:rsidR="003C57D5" w:rsidRDefault="003C57D5" w:rsidP="0023759F">
                      <w:pPr>
                        <w:rPr>
                          <w:rFonts w:cs="Segoe UI"/>
                        </w:rPr>
                      </w:pPr>
                    </w:p>
                    <w:p w14:paraId="6872265D" w14:textId="77777777" w:rsidR="003C57D5" w:rsidRDefault="003C57D5" w:rsidP="0023759F">
                      <w:pPr>
                        <w:rPr>
                          <w:rFonts w:cs="Segoe UI"/>
                        </w:rPr>
                      </w:pPr>
                    </w:p>
                    <w:p w14:paraId="7E36BE49" w14:textId="77777777" w:rsidR="00352931" w:rsidRDefault="00352931">
                      <w:pPr>
                        <w:rPr>
                          <w:rFonts w:cs="Segoe UI"/>
                        </w:rPr>
                      </w:pPr>
                    </w:p>
                    <w:p w14:paraId="152EE411" w14:textId="77777777" w:rsidR="00352931" w:rsidRDefault="00352931">
                      <w:pPr>
                        <w:rPr>
                          <w:rFonts w:cs="Segoe UI"/>
                        </w:rPr>
                      </w:pPr>
                    </w:p>
                    <w:p w14:paraId="071ECD40" w14:textId="77777777" w:rsidR="003C57D5" w:rsidRDefault="003C57D5" w:rsidP="0023759F">
                      <w:pPr>
                        <w:rPr>
                          <w:rFonts w:cs="Segoe UI"/>
                        </w:rPr>
                      </w:pPr>
                    </w:p>
                    <w:p w14:paraId="1E4FE86F" w14:textId="77777777" w:rsidR="007572DE" w:rsidRDefault="007572DE" w:rsidP="0023759F">
                      <w:pPr>
                        <w:rPr>
                          <w:rFonts w:cs="Segoe UI"/>
                        </w:rPr>
                      </w:pPr>
                    </w:p>
                    <w:p w14:paraId="43B4C659" w14:textId="77777777" w:rsidR="003C57D5" w:rsidRDefault="003C57D5" w:rsidP="0023759F">
                      <w:pPr>
                        <w:rPr>
                          <w:rFonts w:cs="Segoe UI"/>
                        </w:rPr>
                      </w:pPr>
                    </w:p>
                    <w:p w14:paraId="7A94A4C4" w14:textId="77777777" w:rsidR="003C57D5" w:rsidRDefault="003C57D5" w:rsidP="0023759F">
                      <w:pPr>
                        <w:rPr>
                          <w:rFonts w:cs="Segoe UI"/>
                        </w:rPr>
                      </w:pPr>
                    </w:p>
                    <w:p w14:paraId="3381E71E" w14:textId="77777777" w:rsidR="00352931" w:rsidRDefault="00352931">
                      <w:pPr>
                        <w:rPr>
                          <w:rFonts w:cs="Segoe UI"/>
                        </w:rPr>
                      </w:pPr>
                    </w:p>
                    <w:p w14:paraId="198C43BD" w14:textId="77777777" w:rsidR="00352931" w:rsidRDefault="00352931">
                      <w:pPr>
                        <w:rPr>
                          <w:rFonts w:cs="Segoe UI"/>
                        </w:rPr>
                      </w:pPr>
                    </w:p>
                    <w:p w14:paraId="7A409236" w14:textId="77777777" w:rsidR="003C57D5" w:rsidRDefault="003C57D5" w:rsidP="0023759F">
                      <w:pPr>
                        <w:rPr>
                          <w:rFonts w:cs="Segoe UI"/>
                        </w:rPr>
                      </w:pPr>
                    </w:p>
                    <w:p w14:paraId="570F40C1" w14:textId="77777777" w:rsidR="007572DE" w:rsidRDefault="007572DE" w:rsidP="0023759F">
                      <w:pPr>
                        <w:rPr>
                          <w:rFonts w:cs="Segoe UI"/>
                        </w:rPr>
                      </w:pPr>
                    </w:p>
                    <w:p w14:paraId="7F34160F" w14:textId="77777777" w:rsidR="003C57D5" w:rsidRDefault="003C57D5" w:rsidP="0023759F">
                      <w:pPr>
                        <w:rPr>
                          <w:rFonts w:cs="Segoe UI"/>
                        </w:rPr>
                      </w:pPr>
                    </w:p>
                    <w:p w14:paraId="0C3F3783" w14:textId="77777777" w:rsidR="003C57D5" w:rsidRDefault="003C57D5" w:rsidP="0023759F">
                      <w:pPr>
                        <w:rPr>
                          <w:rFonts w:cs="Segoe UI"/>
                        </w:rPr>
                      </w:pPr>
                    </w:p>
                    <w:p w14:paraId="70414C04" w14:textId="77777777" w:rsidR="00352931" w:rsidRDefault="00352931">
                      <w:pPr>
                        <w:rPr>
                          <w:rFonts w:cs="Segoe UI"/>
                        </w:rPr>
                      </w:pPr>
                    </w:p>
                    <w:p w14:paraId="140E34D6" w14:textId="77777777" w:rsidR="003C57D5" w:rsidRDefault="003C57D5" w:rsidP="0023759F">
                      <w:pPr>
                        <w:rPr>
                          <w:rFonts w:cs="Segoe UI"/>
                        </w:rPr>
                      </w:pPr>
                    </w:p>
                    <w:p w14:paraId="000DA121" w14:textId="77777777" w:rsidR="003C57D5" w:rsidRDefault="003C57D5" w:rsidP="0023759F">
                      <w:pPr>
                        <w:rPr>
                          <w:rFonts w:cs="Segoe UI"/>
                        </w:rPr>
                      </w:pPr>
                    </w:p>
                    <w:p w14:paraId="4ADF6F22" w14:textId="77777777" w:rsidR="007572DE" w:rsidRDefault="007572DE" w:rsidP="0023759F">
                      <w:pPr>
                        <w:rPr>
                          <w:rFonts w:cs="Segoe UI"/>
                        </w:rPr>
                      </w:pPr>
                    </w:p>
                    <w:p w14:paraId="78B7415E" w14:textId="77777777" w:rsidR="003C57D5" w:rsidRDefault="003C57D5" w:rsidP="0023759F">
                      <w:pPr>
                        <w:rPr>
                          <w:rFonts w:cs="Segoe UI"/>
                        </w:rPr>
                      </w:pPr>
                    </w:p>
                    <w:p w14:paraId="2953A112" w14:textId="77777777" w:rsidR="003C57D5" w:rsidRDefault="003C57D5" w:rsidP="0023759F">
                      <w:pPr>
                        <w:rPr>
                          <w:rFonts w:cs="Segoe UI"/>
                        </w:rPr>
                      </w:pPr>
                    </w:p>
                    <w:p w14:paraId="0856F500" w14:textId="77777777" w:rsidR="003C57D5" w:rsidRDefault="003C57D5" w:rsidP="0023759F">
                      <w:pPr>
                        <w:rPr>
                          <w:rFonts w:cs="Segoe UI"/>
                        </w:rPr>
                      </w:pPr>
                    </w:p>
                    <w:p w14:paraId="0B01C317" w14:textId="77777777" w:rsidR="003C57D5" w:rsidRDefault="003C57D5" w:rsidP="0023759F">
                      <w:pPr>
                        <w:rPr>
                          <w:rFonts w:cs="Segoe UI"/>
                        </w:rPr>
                      </w:pPr>
                    </w:p>
                    <w:p w14:paraId="5DA604C6" w14:textId="77777777" w:rsidR="007572DE" w:rsidRDefault="007572DE" w:rsidP="0023759F">
                      <w:pPr>
                        <w:rPr>
                          <w:rFonts w:cs="Segoe UI"/>
                        </w:rPr>
                      </w:pPr>
                    </w:p>
                    <w:p w14:paraId="4511FB58" w14:textId="77777777" w:rsidR="00A304EB" w:rsidRDefault="00A304EB" w:rsidP="0023759F">
                      <w:pPr>
                        <w:rPr>
                          <w:rFonts w:cs="Segoe UI"/>
                        </w:rPr>
                      </w:pPr>
                    </w:p>
                    <w:p w14:paraId="5DE42985" w14:textId="77777777" w:rsidR="003C57D5" w:rsidRDefault="003C57D5" w:rsidP="0023759F">
                      <w:pPr>
                        <w:rPr>
                          <w:rFonts w:cs="Segoe UI"/>
                        </w:rPr>
                      </w:pPr>
                    </w:p>
                    <w:p w14:paraId="1519C942" w14:textId="77777777" w:rsidR="003C57D5" w:rsidRDefault="003C57D5" w:rsidP="0023759F">
                      <w:pPr>
                        <w:rPr>
                          <w:rFonts w:cs="Segoe UI"/>
                        </w:rPr>
                      </w:pPr>
                    </w:p>
                    <w:p w14:paraId="194A98B5" w14:textId="77777777" w:rsidR="003C57D5" w:rsidRDefault="003C57D5" w:rsidP="0023759F">
                      <w:pPr>
                        <w:rPr>
                          <w:rFonts w:cs="Segoe UI"/>
                        </w:rPr>
                      </w:pPr>
                    </w:p>
                    <w:p w14:paraId="5DD12647" w14:textId="77777777" w:rsidR="003C57D5" w:rsidRDefault="003C57D5" w:rsidP="0023759F">
                      <w:pPr>
                        <w:rPr>
                          <w:rFonts w:cs="Segoe UI"/>
                        </w:rPr>
                      </w:pPr>
                    </w:p>
                    <w:p w14:paraId="3BB6596B" w14:textId="77777777" w:rsidR="007572DE" w:rsidRDefault="007572DE" w:rsidP="0023759F">
                      <w:pPr>
                        <w:rPr>
                          <w:rFonts w:cs="Segoe UI"/>
                        </w:rPr>
                      </w:pPr>
                    </w:p>
                    <w:p w14:paraId="5D913FBA" w14:textId="77777777" w:rsidR="003C57D5" w:rsidRDefault="003C57D5" w:rsidP="0023759F">
                      <w:pPr>
                        <w:rPr>
                          <w:rFonts w:cs="Segoe UI"/>
                        </w:rPr>
                      </w:pPr>
                    </w:p>
                    <w:p w14:paraId="2846A4F4" w14:textId="77777777" w:rsidR="003C57D5" w:rsidRDefault="003C57D5" w:rsidP="0023759F">
                      <w:pPr>
                        <w:rPr>
                          <w:rFonts w:cs="Segoe UI"/>
                        </w:rPr>
                      </w:pPr>
                    </w:p>
                    <w:p w14:paraId="3932EB13" w14:textId="77777777" w:rsidR="003C57D5" w:rsidRDefault="003C57D5" w:rsidP="0023759F">
                      <w:pPr>
                        <w:rPr>
                          <w:rFonts w:cs="Segoe UI"/>
                        </w:rPr>
                      </w:pPr>
                    </w:p>
                    <w:p w14:paraId="717107D9" w14:textId="77777777" w:rsidR="003C57D5" w:rsidRDefault="003C57D5" w:rsidP="0023759F">
                      <w:pPr>
                        <w:rPr>
                          <w:rFonts w:cs="Segoe UI"/>
                        </w:rPr>
                      </w:pPr>
                    </w:p>
                    <w:p w14:paraId="184708C5" w14:textId="77777777" w:rsidR="007572DE" w:rsidRDefault="007572DE" w:rsidP="0023759F">
                      <w:pPr>
                        <w:rPr>
                          <w:rFonts w:cs="Segoe UI"/>
                        </w:rPr>
                      </w:pPr>
                    </w:p>
                    <w:p w14:paraId="25EB28FC" w14:textId="77777777" w:rsidR="003C57D5" w:rsidRDefault="003C57D5" w:rsidP="0023759F">
                      <w:pPr>
                        <w:rPr>
                          <w:rFonts w:cs="Segoe UI"/>
                        </w:rPr>
                      </w:pPr>
                    </w:p>
                    <w:p w14:paraId="499015A7" w14:textId="77777777" w:rsidR="003C57D5" w:rsidRDefault="003C57D5" w:rsidP="0023759F">
                      <w:pPr>
                        <w:rPr>
                          <w:rFonts w:cs="Segoe UI"/>
                        </w:rPr>
                      </w:pPr>
                    </w:p>
                    <w:p w14:paraId="379B816F" w14:textId="77777777" w:rsidR="003C57D5" w:rsidRDefault="003C57D5" w:rsidP="0023759F">
                      <w:pPr>
                        <w:rPr>
                          <w:rFonts w:cs="Segoe UI"/>
                        </w:rPr>
                      </w:pPr>
                    </w:p>
                    <w:p w14:paraId="63C14A07" w14:textId="77777777" w:rsidR="003C57D5" w:rsidRDefault="003C57D5" w:rsidP="0023759F">
                      <w:pPr>
                        <w:rPr>
                          <w:rFonts w:cs="Segoe UI"/>
                        </w:rPr>
                      </w:pPr>
                    </w:p>
                    <w:p w14:paraId="0941CC0F" w14:textId="77777777" w:rsidR="007572DE" w:rsidRDefault="007572DE" w:rsidP="0023759F">
                      <w:pPr>
                        <w:rPr>
                          <w:rFonts w:cs="Segoe UI"/>
                        </w:rPr>
                      </w:pPr>
                    </w:p>
                    <w:p w14:paraId="782827A2" w14:textId="77777777" w:rsidR="003C57D5" w:rsidRDefault="003C57D5" w:rsidP="0023759F">
                      <w:pPr>
                        <w:rPr>
                          <w:rFonts w:cs="Segoe UI"/>
                        </w:rPr>
                      </w:pPr>
                    </w:p>
                    <w:p w14:paraId="42F0293B" w14:textId="77777777" w:rsidR="007572DE" w:rsidRDefault="007572DE" w:rsidP="0023759F">
                      <w:pPr>
                        <w:rPr>
                          <w:rFonts w:cs="Segoe UI"/>
                        </w:rPr>
                      </w:pPr>
                    </w:p>
                    <w:p w14:paraId="02E00A3C" w14:textId="77777777" w:rsidR="003C57D5" w:rsidRDefault="003C57D5" w:rsidP="0023759F">
                      <w:pPr>
                        <w:rPr>
                          <w:rFonts w:cs="Segoe UI"/>
                        </w:rPr>
                      </w:pPr>
                    </w:p>
                    <w:p w14:paraId="64C34444" w14:textId="77777777" w:rsidR="003C57D5" w:rsidRDefault="003C57D5" w:rsidP="0023759F">
                      <w:pPr>
                        <w:rPr>
                          <w:rFonts w:cs="Segoe UI"/>
                        </w:rPr>
                      </w:pPr>
                    </w:p>
                    <w:p w14:paraId="206715FA" w14:textId="77777777" w:rsidR="00352931" w:rsidRDefault="00352931">
                      <w:pPr>
                        <w:rPr>
                          <w:rFonts w:cs="Segoe UI"/>
                        </w:rPr>
                      </w:pPr>
                    </w:p>
                    <w:p w14:paraId="78237465" w14:textId="77777777" w:rsidR="00352931" w:rsidRDefault="00352931">
                      <w:pPr>
                        <w:rPr>
                          <w:rFonts w:cs="Segoe UI"/>
                        </w:rPr>
                      </w:pPr>
                    </w:p>
                    <w:p w14:paraId="27396F76" w14:textId="069321C9" w:rsidR="003C57D5" w:rsidRDefault="003C57D5" w:rsidP="0023759F">
                      <w:pPr>
                        <w:rPr>
                          <w:rFonts w:cs="Segoe UI"/>
                        </w:rPr>
                      </w:pPr>
                    </w:p>
                    <w:p w14:paraId="7F3A7986" w14:textId="77777777" w:rsidR="007572DE" w:rsidRDefault="007572DE" w:rsidP="0023759F">
                      <w:pPr>
                        <w:rPr>
                          <w:rFonts w:cs="Segoe UI"/>
                        </w:rPr>
                      </w:pPr>
                    </w:p>
                    <w:p w14:paraId="563A2C61" w14:textId="77777777" w:rsidR="003C57D5" w:rsidRDefault="003C57D5" w:rsidP="0023759F">
                      <w:pPr>
                        <w:rPr>
                          <w:rFonts w:cs="Segoe UI"/>
                        </w:rPr>
                      </w:pPr>
                    </w:p>
                    <w:p w14:paraId="10C56AD8" w14:textId="77777777" w:rsidR="003C57D5" w:rsidRDefault="003C57D5" w:rsidP="0023759F">
                      <w:pPr>
                        <w:rPr>
                          <w:rFonts w:cs="Segoe UI"/>
                        </w:rPr>
                      </w:pPr>
                    </w:p>
                    <w:p w14:paraId="00A09FA3" w14:textId="77777777" w:rsidR="003C57D5" w:rsidRDefault="003C57D5" w:rsidP="0023759F">
                      <w:pPr>
                        <w:rPr>
                          <w:rFonts w:cs="Segoe UI"/>
                        </w:rPr>
                      </w:pPr>
                    </w:p>
                    <w:p w14:paraId="2D18E86A" w14:textId="77777777" w:rsidR="003C57D5" w:rsidRDefault="003C57D5" w:rsidP="0023759F">
                      <w:pPr>
                        <w:rPr>
                          <w:rFonts w:cs="Segoe UI"/>
                        </w:rPr>
                      </w:pPr>
                    </w:p>
                    <w:p w14:paraId="2F98E6D4" w14:textId="77777777" w:rsidR="007572DE" w:rsidRDefault="007572DE" w:rsidP="0023759F">
                      <w:pPr>
                        <w:rPr>
                          <w:rFonts w:cs="Segoe UI"/>
                        </w:rPr>
                      </w:pPr>
                    </w:p>
                    <w:p w14:paraId="495A812C" w14:textId="77777777" w:rsidR="003C57D5" w:rsidRDefault="003C57D5" w:rsidP="0023759F">
                      <w:pPr>
                        <w:rPr>
                          <w:rFonts w:cs="Segoe UI"/>
                        </w:rPr>
                      </w:pPr>
                    </w:p>
                    <w:p w14:paraId="301A5797" w14:textId="77777777" w:rsidR="003C57D5" w:rsidRDefault="003C57D5" w:rsidP="0023759F">
                      <w:pPr>
                        <w:rPr>
                          <w:rFonts w:cs="Segoe UI"/>
                        </w:rPr>
                      </w:pPr>
                    </w:p>
                    <w:p w14:paraId="7D9F1731" w14:textId="77777777" w:rsidR="003C57D5" w:rsidRDefault="003C57D5" w:rsidP="0023759F">
                      <w:pPr>
                        <w:rPr>
                          <w:rFonts w:cs="Segoe UI"/>
                        </w:rPr>
                      </w:pPr>
                    </w:p>
                    <w:p w14:paraId="5B499CC0" w14:textId="77777777" w:rsidR="003C57D5" w:rsidRDefault="003C57D5" w:rsidP="0023759F">
                      <w:pPr>
                        <w:rPr>
                          <w:rFonts w:cs="Segoe UI"/>
                        </w:rPr>
                      </w:pPr>
                    </w:p>
                    <w:p w14:paraId="320F4599" w14:textId="77777777" w:rsidR="007572DE" w:rsidRDefault="007572DE" w:rsidP="0023759F">
                      <w:pPr>
                        <w:rPr>
                          <w:rFonts w:cs="Segoe UI"/>
                        </w:rPr>
                      </w:pPr>
                    </w:p>
                    <w:p w14:paraId="43A3602D" w14:textId="77777777" w:rsidR="003C57D5" w:rsidRDefault="003C57D5" w:rsidP="0023759F">
                      <w:pPr>
                        <w:rPr>
                          <w:rFonts w:cs="Segoe UI"/>
                        </w:rPr>
                      </w:pPr>
                    </w:p>
                    <w:p w14:paraId="6DAD8599" w14:textId="77777777" w:rsidR="003C57D5" w:rsidRDefault="003C57D5" w:rsidP="0023759F">
                      <w:pPr>
                        <w:rPr>
                          <w:rFonts w:cs="Segoe UI"/>
                        </w:rPr>
                      </w:pPr>
                    </w:p>
                    <w:p w14:paraId="350F7B55" w14:textId="77777777" w:rsidR="003C57D5" w:rsidRDefault="003C57D5" w:rsidP="0023759F">
                      <w:pPr>
                        <w:rPr>
                          <w:rFonts w:cs="Segoe UI"/>
                        </w:rPr>
                      </w:pPr>
                    </w:p>
                    <w:p w14:paraId="2DFB4545" w14:textId="77777777" w:rsidR="003C57D5" w:rsidRDefault="003C57D5" w:rsidP="0023759F">
                      <w:pPr>
                        <w:rPr>
                          <w:rFonts w:cs="Segoe UI"/>
                        </w:rPr>
                      </w:pPr>
                    </w:p>
                    <w:p w14:paraId="092A23B8" w14:textId="77777777" w:rsidR="007572DE" w:rsidRDefault="007572DE" w:rsidP="0023759F">
                      <w:pPr>
                        <w:rPr>
                          <w:rFonts w:cs="Segoe UI"/>
                        </w:rPr>
                      </w:pPr>
                    </w:p>
                    <w:p w14:paraId="5E94EAF8" w14:textId="28D6FBE6" w:rsidR="00932C06" w:rsidRDefault="00932C06" w:rsidP="0023759F">
                      <w:pPr>
                        <w:rPr>
                          <w:rFonts w:cs="Segoe UI"/>
                        </w:rPr>
                      </w:pPr>
                    </w:p>
                    <w:p w14:paraId="2BB750A9" w14:textId="77777777" w:rsidR="003C57D5" w:rsidRDefault="003C57D5" w:rsidP="0023759F">
                      <w:pPr>
                        <w:rPr>
                          <w:rFonts w:cs="Segoe UI"/>
                        </w:rPr>
                      </w:pPr>
                    </w:p>
                    <w:p w14:paraId="329E3BE3" w14:textId="77777777" w:rsidR="003C57D5" w:rsidRDefault="003C57D5" w:rsidP="0023759F">
                      <w:pPr>
                        <w:rPr>
                          <w:rFonts w:cs="Segoe UI"/>
                        </w:rPr>
                      </w:pPr>
                    </w:p>
                    <w:p w14:paraId="7B6C3ACB" w14:textId="77777777" w:rsidR="003C57D5" w:rsidRDefault="003C57D5" w:rsidP="0023759F">
                      <w:pPr>
                        <w:rPr>
                          <w:rFonts w:cs="Segoe UI"/>
                        </w:rPr>
                      </w:pPr>
                    </w:p>
                    <w:p w14:paraId="02187AF5" w14:textId="77777777" w:rsidR="003C57D5" w:rsidRDefault="003C57D5" w:rsidP="0023759F">
                      <w:pPr>
                        <w:rPr>
                          <w:rFonts w:cs="Segoe UI"/>
                        </w:rPr>
                      </w:pPr>
                    </w:p>
                    <w:p w14:paraId="0031AA34" w14:textId="77777777" w:rsidR="007572DE" w:rsidRDefault="007572DE" w:rsidP="0023759F">
                      <w:pPr>
                        <w:rPr>
                          <w:rFonts w:cs="Segoe UI"/>
                        </w:rPr>
                      </w:pPr>
                    </w:p>
                    <w:p w14:paraId="112E840F" w14:textId="01A44783" w:rsidR="0023759F" w:rsidRPr="008939CB" w:rsidRDefault="0023759F">
                      <w:pPr>
                        <w:rPr>
                          <w:rFonts w:cs="Segoe UI"/>
                        </w:rPr>
                      </w:pPr>
                    </w:p>
                  </w:txbxContent>
                </v:textbox>
                <w10:anchorlock/>
              </v:roundrect>
            </w:pict>
          </mc:Fallback>
        </mc:AlternateContent>
      </w:r>
    </w:p>
    <w:p w14:paraId="7F3A4D59" w14:textId="4C859BC0" w:rsidR="00647713" w:rsidRPr="00F83813" w:rsidRDefault="00D16D80" w:rsidP="00A54BBC">
      <w:pPr>
        <w:pStyle w:val="Heading3"/>
        <w:spacing w:before="240"/>
      </w:pPr>
      <w:bookmarkStart w:id="250" w:name="_Toc164691403"/>
      <w:bookmarkStart w:id="251" w:name="_Toc164696201"/>
      <w:bookmarkStart w:id="252" w:name="_Toc164696347"/>
      <w:bookmarkStart w:id="253" w:name="_Toc164767736"/>
      <w:bookmarkStart w:id="254" w:name="_Toc164781664"/>
      <w:r>
        <w:t>F</w:t>
      </w:r>
      <w:r w:rsidR="00647713" w:rsidRPr="00F83813">
        <w:t>indings</w:t>
      </w:r>
      <w:bookmarkEnd w:id="250"/>
      <w:bookmarkEnd w:id="251"/>
      <w:bookmarkEnd w:id="252"/>
      <w:bookmarkEnd w:id="253"/>
      <w:bookmarkEnd w:id="254"/>
    </w:p>
    <w:p w14:paraId="7AB6420B" w14:textId="4C2F7322" w:rsidR="00647713" w:rsidRPr="00F83813" w:rsidRDefault="00647713" w:rsidP="001704AE">
      <w:pPr>
        <w:rPr>
          <w:rFonts w:cs="Segoe UI"/>
        </w:rPr>
      </w:pPr>
      <w:r w:rsidRPr="00F83813">
        <w:rPr>
          <w:rFonts w:cs="Segoe UI"/>
        </w:rPr>
        <w:t xml:space="preserve">The Review noted </w:t>
      </w:r>
      <w:r w:rsidR="00826738">
        <w:rPr>
          <w:rFonts w:cs="Segoe UI"/>
        </w:rPr>
        <w:t xml:space="preserve">that </w:t>
      </w:r>
      <w:r w:rsidRPr="00F83813">
        <w:rPr>
          <w:rFonts w:cs="Segoe UI"/>
        </w:rPr>
        <w:t>during deep-dive dialogue</w:t>
      </w:r>
      <w:r w:rsidR="00826738">
        <w:rPr>
          <w:rFonts w:cs="Segoe UI"/>
        </w:rPr>
        <w:t xml:space="preserve">, </w:t>
      </w:r>
      <w:r w:rsidR="00826738" w:rsidRPr="00F83813">
        <w:rPr>
          <w:rFonts w:cs="Segoe UI"/>
        </w:rPr>
        <w:t xml:space="preserve">those </w:t>
      </w:r>
      <w:r w:rsidR="00826738">
        <w:rPr>
          <w:rFonts w:cs="Segoe UI"/>
        </w:rPr>
        <w:t xml:space="preserve">from </w:t>
      </w:r>
      <w:r w:rsidR="00826738" w:rsidRPr="00F83813">
        <w:rPr>
          <w:rFonts w:cs="Segoe UI"/>
        </w:rPr>
        <w:t xml:space="preserve">outside </w:t>
      </w:r>
      <w:r w:rsidR="00826738">
        <w:rPr>
          <w:rFonts w:cs="Segoe UI"/>
        </w:rPr>
        <w:t xml:space="preserve">the </w:t>
      </w:r>
      <w:r w:rsidR="00826738" w:rsidRPr="00F83813">
        <w:rPr>
          <w:rFonts w:cs="Segoe UI"/>
        </w:rPr>
        <w:t>industry</w:t>
      </w:r>
      <w:r w:rsidRPr="00F83813">
        <w:rPr>
          <w:rFonts w:cs="Segoe UI"/>
        </w:rPr>
        <w:t xml:space="preserve"> </w:t>
      </w:r>
      <w:r w:rsidR="00826738">
        <w:rPr>
          <w:rFonts w:cs="Segoe UI"/>
        </w:rPr>
        <w:t>had</w:t>
      </w:r>
      <w:r w:rsidRPr="00F83813">
        <w:rPr>
          <w:rFonts w:cs="Segoe UI"/>
        </w:rPr>
        <w:t xml:space="preserve"> a </w:t>
      </w:r>
      <w:r w:rsidR="00F96E24" w:rsidRPr="00F83813">
        <w:rPr>
          <w:rFonts w:cs="Segoe UI"/>
        </w:rPr>
        <w:t xml:space="preserve">less comprehensive </w:t>
      </w:r>
      <w:r w:rsidRPr="00F83813">
        <w:rPr>
          <w:rFonts w:cs="Segoe UI"/>
        </w:rPr>
        <w:t xml:space="preserve">understanding </w:t>
      </w:r>
      <w:r w:rsidR="00826738">
        <w:rPr>
          <w:rFonts w:cs="Segoe UI"/>
        </w:rPr>
        <w:t>of</w:t>
      </w:r>
      <w:r w:rsidRPr="00F83813">
        <w:rPr>
          <w:rFonts w:cs="Segoe UI"/>
        </w:rPr>
        <w:t xml:space="preserve"> the key steps and time require</w:t>
      </w:r>
      <w:r w:rsidR="00826738">
        <w:rPr>
          <w:rFonts w:cs="Segoe UI"/>
        </w:rPr>
        <w:t>d</w:t>
      </w:r>
      <w:r w:rsidRPr="00F83813">
        <w:rPr>
          <w:rFonts w:cs="Segoe UI"/>
        </w:rPr>
        <w:t xml:space="preserve"> to complete necessary activities to support subsidised access to a health technology after a positive HTA </w:t>
      </w:r>
      <w:r w:rsidR="00C16518">
        <w:rPr>
          <w:rFonts w:cs="Segoe UI"/>
        </w:rPr>
        <w:t xml:space="preserve">advisory </w:t>
      </w:r>
      <w:r w:rsidRPr="00F83813">
        <w:rPr>
          <w:rFonts w:cs="Segoe UI"/>
        </w:rPr>
        <w:t xml:space="preserve">committee recommendation is issued. </w:t>
      </w:r>
    </w:p>
    <w:p w14:paraId="3D10A3CC" w14:textId="77777777" w:rsidR="00647713" w:rsidRPr="00F83813" w:rsidRDefault="00647713" w:rsidP="001704AE">
      <w:pPr>
        <w:rPr>
          <w:rFonts w:cs="Segoe UI"/>
        </w:rPr>
      </w:pPr>
      <w:r w:rsidRPr="00F83813">
        <w:rPr>
          <w:rFonts w:cs="Segoe UI"/>
        </w:rPr>
        <w:t>The Review also heard from industry stakeholders that key drivers of uncertainty and delay in health technology access are:</w:t>
      </w:r>
    </w:p>
    <w:p w14:paraId="42689011" w14:textId="40DB5C67" w:rsidR="00647713" w:rsidRPr="00F83813" w:rsidRDefault="00647713" w:rsidP="00281153">
      <w:pPr>
        <w:pStyle w:val="ListBullet"/>
        <w:numPr>
          <w:ilvl w:val="0"/>
          <w:numId w:val="71"/>
        </w:numPr>
      </w:pPr>
      <w:r w:rsidRPr="00F83813">
        <w:t xml:space="preserve">the lack of certainty about how </w:t>
      </w:r>
      <w:r w:rsidR="00826738">
        <w:t>a</w:t>
      </w:r>
      <w:r w:rsidR="00826738" w:rsidRPr="00F83813">
        <w:t xml:space="preserve"> </w:t>
      </w:r>
      <w:r w:rsidRPr="00F83813">
        <w:t>positive HTA recommendation (including any incremental additional clinical benefit</w:t>
      </w:r>
      <w:r w:rsidR="00826738">
        <w:t>s</w:t>
      </w:r>
      <w:r w:rsidRPr="00F83813">
        <w:t xml:space="preserve"> of a health technology) would be accounted for in pricing offers and inform negotiations between sponsors and healthcare payers </w:t>
      </w:r>
    </w:p>
    <w:p w14:paraId="406BB68A" w14:textId="010FA8D1" w:rsidR="00647713" w:rsidRPr="00F83813" w:rsidRDefault="00826738" w:rsidP="00281153">
      <w:pPr>
        <w:pStyle w:val="ListBullet"/>
        <w:numPr>
          <w:ilvl w:val="0"/>
          <w:numId w:val="71"/>
        </w:numPr>
      </w:pPr>
      <w:r>
        <w:t xml:space="preserve">the potential need to </w:t>
      </w:r>
      <w:proofErr w:type="gramStart"/>
      <w:r>
        <w:t>take into account</w:t>
      </w:r>
      <w:proofErr w:type="gramEnd"/>
      <w:r>
        <w:t xml:space="preserve"> </w:t>
      </w:r>
      <w:r w:rsidR="00647713" w:rsidRPr="00F83813">
        <w:t xml:space="preserve">any existing pricing policies for health technologies (such as approaches applied to some cost-minimised health technologies) </w:t>
      </w:r>
      <w:r w:rsidR="00A03EA0">
        <w:t>when</w:t>
      </w:r>
      <w:r w:rsidR="00647713" w:rsidRPr="00F83813">
        <w:t xml:space="preserve"> designing pricing offers and negotiating budget impact. </w:t>
      </w:r>
    </w:p>
    <w:p w14:paraId="61427C74" w14:textId="6BA96F07" w:rsidR="00647713" w:rsidRPr="00F83813" w:rsidRDefault="00647713" w:rsidP="001704AE">
      <w:pPr>
        <w:rPr>
          <w:rFonts w:cs="Segoe UI"/>
        </w:rPr>
      </w:pPr>
      <w:r w:rsidRPr="00F83813">
        <w:rPr>
          <w:rFonts w:cs="Segoe UI"/>
        </w:rPr>
        <w:t>In examining international approaches to this issue, the Review noted examples where health</w:t>
      </w:r>
      <w:r w:rsidR="00903D94">
        <w:rPr>
          <w:rFonts w:cs="Segoe UI"/>
        </w:rPr>
        <w:t xml:space="preserve"> </w:t>
      </w:r>
      <w:r w:rsidRPr="00F83813">
        <w:rPr>
          <w:rFonts w:cs="Segoe UI"/>
        </w:rPr>
        <w:t>systems have sought to provide more explicit guidance to health technology sponsors (or, in some cases, issued regulatory instruments) in respect of pricing expectations and boundaries. These were generally guided by the relative clinical benefit of a health technology (as identified in a</w:t>
      </w:r>
      <w:r w:rsidR="00AE43EE">
        <w:rPr>
          <w:rFonts w:cs="Segoe UI"/>
        </w:rPr>
        <w:t>n</w:t>
      </w:r>
      <w:r w:rsidRPr="00F83813">
        <w:rPr>
          <w:rFonts w:cs="Segoe UI"/>
        </w:rPr>
        <w:t xml:space="preserve"> HTA evaluation) to facilitate faster price</w:t>
      </w:r>
      <w:r w:rsidR="00C30C69">
        <w:rPr>
          <w:rFonts w:cs="Segoe UI"/>
        </w:rPr>
        <w:t>-</w:t>
      </w:r>
      <w:r w:rsidRPr="00F83813">
        <w:rPr>
          <w:rFonts w:cs="Segoe UI"/>
        </w:rPr>
        <w:t>setting and negotiation processes. Examples included: </w:t>
      </w:r>
    </w:p>
    <w:p w14:paraId="54B04F40" w14:textId="23A145FD" w:rsidR="00647713" w:rsidRPr="00F83813" w:rsidRDefault="00647713" w:rsidP="00281153">
      <w:pPr>
        <w:pStyle w:val="ListBullet"/>
        <w:numPr>
          <w:ilvl w:val="0"/>
          <w:numId w:val="71"/>
        </w:numPr>
      </w:pPr>
      <w:r w:rsidRPr="00F83813">
        <w:t xml:space="preserve">expectations and/or requirements for lower prices for health technologies that are evaluated on a cost-minimised basis and provide only marginal (or no) added clinical benefit </w:t>
      </w:r>
      <w:r w:rsidR="000259DA">
        <w:t xml:space="preserve">or value </w:t>
      </w:r>
      <w:r w:rsidRPr="00F83813">
        <w:t>compared to existing treatments (such as the arrangements in place in Germany)</w:t>
      </w:r>
    </w:p>
    <w:p w14:paraId="4EAD48F4" w14:textId="07DDB54A" w:rsidR="00647713" w:rsidRPr="00F83813" w:rsidRDefault="00647713" w:rsidP="00281153">
      <w:pPr>
        <w:pStyle w:val="ListBullet"/>
        <w:numPr>
          <w:ilvl w:val="0"/>
          <w:numId w:val="71"/>
        </w:numPr>
      </w:pPr>
      <w:r w:rsidRPr="00F83813">
        <w:lastRenderedPageBreak/>
        <w:t>tiered rebate</w:t>
      </w:r>
      <w:r w:rsidR="00A03EA0">
        <w:t xml:space="preserve"> or </w:t>
      </w:r>
      <w:r w:rsidRPr="00F83813">
        <w:t xml:space="preserve">reimbursement arrangements, with rates that are linked to the incremental therapeutic benefit of a health technology compared to other available treatments (such as the arrangements in place in France and under consideration in Canada) </w:t>
      </w:r>
    </w:p>
    <w:p w14:paraId="5F65678B" w14:textId="50CBFBDE" w:rsidR="00647713" w:rsidRPr="00645B88" w:rsidRDefault="00647713" w:rsidP="00281153">
      <w:pPr>
        <w:pStyle w:val="ListBullet"/>
        <w:numPr>
          <w:ilvl w:val="0"/>
          <w:numId w:val="71"/>
        </w:numPr>
      </w:pPr>
      <w:r w:rsidRPr="00F83813">
        <w:t>specific pricing modifiers linked to certain priority criteria of clinical</w:t>
      </w:r>
      <w:r w:rsidR="00A03EA0">
        <w:t xml:space="preserve"> and/or </w:t>
      </w:r>
      <w:r w:rsidRPr="00F83813">
        <w:t>health equity</w:t>
      </w:r>
      <w:r w:rsidRPr="00645B88">
        <w:t xml:space="preserve"> significance (such as the arrangements in place in Japan).</w:t>
      </w:r>
      <w:r w:rsidRPr="00091D59">
        <w:rPr>
          <w:vertAlign w:val="superscript"/>
        </w:rPr>
        <w:footnoteReference w:id="73"/>
      </w:r>
      <w:r w:rsidRPr="00645B88">
        <w:t> </w:t>
      </w:r>
    </w:p>
    <w:p w14:paraId="68D4982C" w14:textId="3C8A585B" w:rsidR="00647713" w:rsidRPr="005C019D" w:rsidRDefault="00647713" w:rsidP="001704AE">
      <w:pPr>
        <w:rPr>
          <w:rFonts w:cs="Segoe UI"/>
        </w:rPr>
      </w:pPr>
      <w:r w:rsidRPr="005C019D">
        <w:rPr>
          <w:rFonts w:cs="Segoe UI"/>
        </w:rPr>
        <w:t>In testing a possible reform that would establish a pricing and negotiation guidance framework and directly link HTA recommendation</w:t>
      </w:r>
      <w:r w:rsidR="00A03EA0">
        <w:rPr>
          <w:rFonts w:cs="Segoe UI"/>
        </w:rPr>
        <w:t>s</w:t>
      </w:r>
      <w:r w:rsidRPr="005C019D">
        <w:rPr>
          <w:rFonts w:cs="Segoe UI"/>
        </w:rPr>
        <w:t xml:space="preserve"> to specific price negotiation parameters, stakeholder</w:t>
      </w:r>
      <w:r w:rsidR="00D20283">
        <w:rPr>
          <w:rFonts w:cs="Segoe UI"/>
        </w:rPr>
        <w:t xml:space="preserve">s accepted </w:t>
      </w:r>
      <w:r w:rsidRPr="005C019D">
        <w:rPr>
          <w:rFonts w:cs="Segoe UI"/>
        </w:rPr>
        <w:t>the need for a pricing offer and negotiation guidance framework</w:t>
      </w:r>
      <w:r w:rsidR="0070547A">
        <w:rPr>
          <w:rFonts w:cs="Segoe UI"/>
        </w:rPr>
        <w:t xml:space="preserve">. </w:t>
      </w:r>
      <w:r w:rsidR="00D20283">
        <w:rPr>
          <w:rFonts w:cs="Segoe UI"/>
        </w:rPr>
        <w:t xml:space="preserve">Submissions generally </w:t>
      </w:r>
      <w:r w:rsidRPr="005C019D">
        <w:rPr>
          <w:rFonts w:cs="Segoe UI"/>
        </w:rPr>
        <w:t>support</w:t>
      </w:r>
      <w:r w:rsidR="00D20283">
        <w:rPr>
          <w:rFonts w:cs="Segoe UI"/>
        </w:rPr>
        <w:t>ed</w:t>
      </w:r>
      <w:r w:rsidRPr="005C019D">
        <w:rPr>
          <w:rFonts w:cs="Segoe UI"/>
        </w:rPr>
        <w:t xml:space="preserve"> more efficient and transparent post-HTA recommendation arrangements and stakeholder navigation of these arrangements. However, there was divergence within and across key stakeholder cohorts (patients, clinicians</w:t>
      </w:r>
      <w:r w:rsidR="00A03EA0">
        <w:rPr>
          <w:rFonts w:cs="Segoe UI"/>
        </w:rPr>
        <w:t xml:space="preserve"> and</w:t>
      </w:r>
      <w:r w:rsidRPr="005C019D">
        <w:rPr>
          <w:rFonts w:cs="Segoe UI"/>
        </w:rPr>
        <w:t xml:space="preserve"> industry) on:</w:t>
      </w:r>
    </w:p>
    <w:p w14:paraId="17E04FB8" w14:textId="5DFD7BA3" w:rsidR="00647713" w:rsidRPr="005C019D" w:rsidRDefault="00647713" w:rsidP="00281153">
      <w:pPr>
        <w:pStyle w:val="ListBullet"/>
        <w:numPr>
          <w:ilvl w:val="0"/>
          <w:numId w:val="71"/>
        </w:numPr>
      </w:pPr>
      <w:r w:rsidRPr="005C019D">
        <w:t>the matters that should be addressed through the frameworks, and how exchange of information and negotiation itself could be simplified or made more flexible</w:t>
      </w:r>
    </w:p>
    <w:p w14:paraId="135F1233" w14:textId="226C5ECC" w:rsidR="00647713" w:rsidRPr="005C019D" w:rsidRDefault="00647713" w:rsidP="00281153">
      <w:pPr>
        <w:pStyle w:val="ListBullet"/>
        <w:numPr>
          <w:ilvl w:val="0"/>
          <w:numId w:val="71"/>
        </w:numPr>
      </w:pPr>
      <w:r w:rsidRPr="005C019D">
        <w:t xml:space="preserve">the level of detail and prescriptiveness of the guidance framework, including any linkages between incremental health benefits and price negotiation parameters </w:t>
      </w:r>
    </w:p>
    <w:p w14:paraId="4149E586" w14:textId="27B52ACC" w:rsidR="00647713" w:rsidRPr="005C019D" w:rsidRDefault="00647713" w:rsidP="00281153">
      <w:pPr>
        <w:pStyle w:val="ListBullet"/>
        <w:numPr>
          <w:ilvl w:val="0"/>
          <w:numId w:val="71"/>
        </w:numPr>
      </w:pPr>
      <w:r w:rsidRPr="005C019D">
        <w:t xml:space="preserve">whether the framework would be in addition </w:t>
      </w:r>
      <w:r w:rsidR="008220A6" w:rsidRPr="005C019D">
        <w:t xml:space="preserve">to, </w:t>
      </w:r>
      <w:r w:rsidRPr="005C019D">
        <w:t>or replace the current pricing offer and negotiation framework, and whether it was necessary at all if other opportunities to engage in more flexible negotiation dialogue were provided</w:t>
      </w:r>
    </w:p>
    <w:p w14:paraId="4AF72BF5" w14:textId="5D10E80C" w:rsidR="00647713" w:rsidRPr="005C019D" w:rsidRDefault="00647713" w:rsidP="00281153">
      <w:pPr>
        <w:pStyle w:val="ListBullet"/>
        <w:numPr>
          <w:ilvl w:val="0"/>
          <w:numId w:val="71"/>
        </w:numPr>
      </w:pPr>
      <w:r w:rsidRPr="005C019D">
        <w:t xml:space="preserve">associated stakeholder accountability </w:t>
      </w:r>
      <w:r w:rsidR="00833EA3">
        <w:t>for</w:t>
      </w:r>
      <w:r w:rsidRPr="005C019D">
        <w:t xml:space="preserve"> any reasons for delays in negotiations and resulting delays in subsidised health technology access for patients</w:t>
      </w:r>
      <w:r w:rsidR="00A03EA0">
        <w:t>.</w:t>
      </w:r>
      <w:r w:rsidRPr="005C019D">
        <w:rPr>
          <w:rStyle w:val="FootnoteReference"/>
        </w:rPr>
        <w:footnoteReference w:id="74"/>
      </w:r>
    </w:p>
    <w:p w14:paraId="075E2D86" w14:textId="6CA2ECB3" w:rsidR="00647713" w:rsidRPr="00645B88" w:rsidRDefault="00647713" w:rsidP="001704AE">
      <w:pPr>
        <w:rPr>
          <w:rFonts w:cs="Segoe UI"/>
        </w:rPr>
      </w:pPr>
      <w:r w:rsidRPr="00645B88">
        <w:rPr>
          <w:rFonts w:cs="Segoe UI"/>
        </w:rPr>
        <w:t>Alternative concepts related to negotiation processes were put forward during the Review, including:</w:t>
      </w:r>
    </w:p>
    <w:p w14:paraId="43052726" w14:textId="3154CAC3" w:rsidR="00647713" w:rsidRPr="00FF7A05" w:rsidRDefault="00647713" w:rsidP="00281153">
      <w:pPr>
        <w:pStyle w:val="ListBullet"/>
        <w:numPr>
          <w:ilvl w:val="0"/>
          <w:numId w:val="71"/>
        </w:numPr>
      </w:pPr>
      <w:r w:rsidRPr="00645B88">
        <w:t>introduc</w:t>
      </w:r>
      <w:r w:rsidR="00D31E30">
        <w:t>ing ‘</w:t>
      </w:r>
      <w:r w:rsidRPr="00645B88">
        <w:t>circuit-breaker</w:t>
      </w:r>
      <w:r w:rsidR="00D31E30">
        <w:t>’</w:t>
      </w:r>
      <w:r w:rsidRPr="00645B88">
        <w:t>/third-party mediation contingencies (including resurrect</w:t>
      </w:r>
      <w:r w:rsidR="00D31E30">
        <w:t>ing</w:t>
      </w:r>
      <w:r w:rsidRPr="00645B88">
        <w:t xml:space="preserve"> the former Pharmaceutical Benefits Pricing Authority) to break impasses between the principal negotiation parties and finalise negotiations within a defined period</w:t>
      </w:r>
      <w:r w:rsidRPr="000C5623">
        <w:rPr>
          <w:vertAlign w:val="superscript"/>
        </w:rPr>
        <w:footnoteReference w:id="75"/>
      </w:r>
    </w:p>
    <w:p w14:paraId="37BBC2DC" w14:textId="5BEDAAD5" w:rsidR="00647713" w:rsidRPr="00FF7A05" w:rsidRDefault="00D31E30" w:rsidP="00281153">
      <w:pPr>
        <w:pStyle w:val="ListBullet"/>
        <w:numPr>
          <w:ilvl w:val="0"/>
          <w:numId w:val="71"/>
        </w:numPr>
      </w:pPr>
      <w:r>
        <w:t xml:space="preserve">providing </w:t>
      </w:r>
      <w:r w:rsidR="00647713" w:rsidRPr="00FF7A05">
        <w:t xml:space="preserve">different ways to share essential information earlier in </w:t>
      </w:r>
      <w:r w:rsidR="005D6A56">
        <w:t>the process of conducting an</w:t>
      </w:r>
      <w:r w:rsidR="00647713" w:rsidRPr="00FF7A05">
        <w:t xml:space="preserve"> HTA, such as earlier disclosure of necessary reference price and/or Deed of Agreement information to sponsors (e.g. a comparator price under a special pricing arrangement for a cost-minimised health technology) to </w:t>
      </w:r>
      <w:r w:rsidR="00647713" w:rsidRPr="00FF7A05">
        <w:lastRenderedPageBreak/>
        <w:t xml:space="preserve">inform HTA submission drafting and/or decisions to withdraw submissions </w:t>
      </w:r>
      <w:r>
        <w:t>before</w:t>
      </w:r>
      <w:r w:rsidR="00647713" w:rsidRPr="00FF7A05">
        <w:t xml:space="preserve"> a final HTA </w:t>
      </w:r>
      <w:r w:rsidR="00C16518">
        <w:t>advisory committee</w:t>
      </w:r>
      <w:r w:rsidR="00647713" w:rsidRPr="00FF7A05">
        <w:t xml:space="preserve"> recommendation</w:t>
      </w:r>
      <w:r>
        <w:t>.</w:t>
      </w:r>
      <w:r w:rsidR="00647713" w:rsidRPr="00FF7A05">
        <w:rPr>
          <w:rStyle w:val="FootnoteReference"/>
        </w:rPr>
        <w:footnoteReference w:id="76"/>
      </w:r>
      <w:r w:rsidR="00647713" w:rsidRPr="00FF7A05">
        <w:t xml:space="preserve"> </w:t>
      </w:r>
    </w:p>
    <w:p w14:paraId="392F3489" w14:textId="6C3793B9" w:rsidR="00647713" w:rsidRPr="00FF7A05" w:rsidRDefault="00867C0C" w:rsidP="001704AE">
      <w:pPr>
        <w:rPr>
          <w:rFonts w:cs="Segoe UI"/>
        </w:rPr>
      </w:pPr>
      <w:r>
        <w:rPr>
          <w:rFonts w:cs="Segoe UI"/>
        </w:rPr>
        <w:t>E</w:t>
      </w:r>
      <w:r w:rsidR="002B7ABD" w:rsidRPr="00FF7A05">
        <w:rPr>
          <w:rFonts w:cs="Segoe UI"/>
        </w:rPr>
        <w:t xml:space="preserve">lements </w:t>
      </w:r>
      <w:r w:rsidR="002B7ABD">
        <w:rPr>
          <w:rFonts w:cs="Segoe UI"/>
        </w:rPr>
        <w:t xml:space="preserve">of </w:t>
      </w:r>
      <w:r w:rsidR="00647713" w:rsidRPr="00FF7A05">
        <w:rPr>
          <w:rFonts w:cs="Segoe UI"/>
        </w:rPr>
        <w:t>these alternative ideas may merit further consideration</w:t>
      </w:r>
      <w:r w:rsidR="002B7ABD">
        <w:rPr>
          <w:rFonts w:cs="Segoe UI"/>
        </w:rPr>
        <w:t xml:space="preserve">. </w:t>
      </w:r>
      <w:r>
        <w:rPr>
          <w:rFonts w:cs="Segoe UI"/>
        </w:rPr>
        <w:t>T</w:t>
      </w:r>
      <w:r w:rsidR="00647713" w:rsidRPr="00FF7A05">
        <w:rPr>
          <w:rFonts w:cs="Segoe UI"/>
        </w:rPr>
        <w:t>hese ideas are</w:t>
      </w:r>
      <w:r>
        <w:rPr>
          <w:rFonts w:cs="Segoe UI"/>
        </w:rPr>
        <w:t xml:space="preserve"> also</w:t>
      </w:r>
      <w:r w:rsidR="00647713" w:rsidRPr="00FF7A05">
        <w:rPr>
          <w:rFonts w:cs="Segoe UI"/>
        </w:rPr>
        <w:t xml:space="preserve"> intertwined with other pricing-related policies </w:t>
      </w:r>
      <w:r w:rsidR="002B7ABD">
        <w:rPr>
          <w:rFonts w:cs="Segoe UI"/>
        </w:rPr>
        <w:t>linked</w:t>
      </w:r>
      <w:r w:rsidR="00647713" w:rsidRPr="00FF7A05">
        <w:rPr>
          <w:rFonts w:cs="Segoe UI"/>
        </w:rPr>
        <w:t xml:space="preserve"> to </w:t>
      </w:r>
      <w:r w:rsidR="002B7ABD">
        <w:rPr>
          <w:rFonts w:cs="Segoe UI"/>
        </w:rPr>
        <w:t xml:space="preserve">the </w:t>
      </w:r>
      <w:r w:rsidR="00647713" w:rsidRPr="00FF7A05">
        <w:rPr>
          <w:rFonts w:cs="Segoe UI"/>
        </w:rPr>
        <w:t>broader health and economic policy decision-making</w:t>
      </w:r>
      <w:r w:rsidR="002B7ABD">
        <w:rPr>
          <w:rFonts w:cs="Segoe UI"/>
        </w:rPr>
        <w:t>. However, these</w:t>
      </w:r>
      <w:r w:rsidR="00647713" w:rsidRPr="00FF7A05">
        <w:rPr>
          <w:rFonts w:cs="Segoe UI"/>
        </w:rPr>
        <w:t xml:space="preserve"> are beyond the scope of the Review, and/or would require a level of consultation and negotiation between principal parties (health</w:t>
      </w:r>
      <w:r w:rsidR="008722C8">
        <w:rPr>
          <w:rFonts w:cs="Segoe UI"/>
        </w:rPr>
        <w:t>care</w:t>
      </w:r>
      <w:r w:rsidR="00647713" w:rsidRPr="00FF7A05">
        <w:rPr>
          <w:rFonts w:cs="Segoe UI"/>
        </w:rPr>
        <w:t xml:space="preserve"> payers and individual industry stakeholders)</w:t>
      </w:r>
      <w:r w:rsidR="002B7ABD">
        <w:rPr>
          <w:rFonts w:cs="Segoe UI"/>
        </w:rPr>
        <w:t xml:space="preserve"> that is</w:t>
      </w:r>
      <w:r w:rsidR="00647713" w:rsidRPr="00FF7A05">
        <w:rPr>
          <w:rFonts w:cs="Segoe UI"/>
        </w:rPr>
        <w:t xml:space="preserve"> beyond what the Review </w:t>
      </w:r>
      <w:r w:rsidR="002B7ABD">
        <w:rPr>
          <w:rFonts w:cs="Segoe UI"/>
        </w:rPr>
        <w:t>c</w:t>
      </w:r>
      <w:r>
        <w:rPr>
          <w:rFonts w:cs="Segoe UI"/>
        </w:rPr>
        <w:t>ould</w:t>
      </w:r>
      <w:r w:rsidR="002B7ABD">
        <w:rPr>
          <w:rFonts w:cs="Segoe UI"/>
        </w:rPr>
        <w:t xml:space="preserve"> do</w:t>
      </w:r>
      <w:r w:rsidR="00647713" w:rsidRPr="00FF7A05">
        <w:rPr>
          <w:rFonts w:cs="Segoe UI"/>
        </w:rPr>
        <w:t xml:space="preserve">. </w:t>
      </w:r>
    </w:p>
    <w:p w14:paraId="3EDEC087" w14:textId="2B2B0237" w:rsidR="00647713" w:rsidRPr="00FF7A05" w:rsidRDefault="00647713" w:rsidP="001704AE">
      <w:pPr>
        <w:rPr>
          <w:rFonts w:cs="Segoe UI"/>
        </w:rPr>
      </w:pPr>
      <w:r w:rsidRPr="00FF7A05">
        <w:rPr>
          <w:rFonts w:cs="Segoe UI"/>
        </w:rPr>
        <w:t>Additionally, overall stakeholder feedback suggested a general lack of appetite to progress these alternative ideas without further contextual knowledge of the broader package of reforms that might arise from this Review, and how th</w:t>
      </w:r>
      <w:r w:rsidR="002B7ABD">
        <w:rPr>
          <w:rFonts w:cs="Segoe UI"/>
        </w:rPr>
        <w:t>ese</w:t>
      </w:r>
      <w:r w:rsidRPr="00FF7A05">
        <w:rPr>
          <w:rFonts w:cs="Segoe UI"/>
        </w:rPr>
        <w:t xml:space="preserve"> may in turn affect existing pricing-related policies (such as the statutory price reduction framework or policies around confidential pricing). </w:t>
      </w:r>
    </w:p>
    <w:p w14:paraId="731EC5DF" w14:textId="411F04E9" w:rsidR="00647713" w:rsidRPr="00FF7A05" w:rsidRDefault="00647713" w:rsidP="00A318F7">
      <w:pPr>
        <w:pStyle w:val="Heading3"/>
        <w:rPr>
          <w:lang w:val="en-US"/>
        </w:rPr>
      </w:pPr>
      <w:bookmarkStart w:id="258" w:name="_Toc164691404"/>
      <w:bookmarkStart w:id="259" w:name="_Toc164696202"/>
      <w:bookmarkStart w:id="260" w:name="_Toc164696348"/>
      <w:bookmarkStart w:id="261" w:name="_Toc164767737"/>
      <w:bookmarkStart w:id="262" w:name="_Toc164781665"/>
      <w:r w:rsidRPr="00FF7A05">
        <w:t>Conclusion</w:t>
      </w:r>
      <w:bookmarkEnd w:id="258"/>
      <w:bookmarkEnd w:id="259"/>
      <w:bookmarkEnd w:id="260"/>
      <w:bookmarkEnd w:id="261"/>
      <w:bookmarkEnd w:id="262"/>
    </w:p>
    <w:p w14:paraId="7E99EF8C" w14:textId="353A0A7E" w:rsidR="00647713" w:rsidRPr="00FF7A05" w:rsidRDefault="000727C6" w:rsidP="001704AE">
      <w:pPr>
        <w:rPr>
          <w:rFonts w:cs="Segoe UI"/>
        </w:rPr>
      </w:pPr>
      <w:r>
        <w:rPr>
          <w:rFonts w:cs="Segoe UI"/>
        </w:rPr>
        <w:t>There are</w:t>
      </w:r>
      <w:r w:rsidR="00647713" w:rsidRPr="005C019D">
        <w:rPr>
          <w:rFonts w:cs="Segoe UI"/>
        </w:rPr>
        <w:t xml:space="preserve"> significant disparities in stakeholders’ understanding of post-HTA processes, across stakeholder cohorts </w:t>
      </w:r>
      <w:r w:rsidR="004567D1">
        <w:rPr>
          <w:rFonts w:cs="Segoe UI"/>
        </w:rPr>
        <w:t>and</w:t>
      </w:r>
      <w:r w:rsidR="00647713" w:rsidRPr="005C019D">
        <w:rPr>
          <w:rFonts w:cs="Segoe UI"/>
        </w:rPr>
        <w:t xml:space="preserve"> within individual stakeholder cohorts. This suggests clearer public documentation </w:t>
      </w:r>
      <w:r w:rsidR="00E04A25">
        <w:rPr>
          <w:rFonts w:cs="Segoe UI"/>
        </w:rPr>
        <w:t>is need</w:t>
      </w:r>
      <w:r w:rsidR="00492F26">
        <w:rPr>
          <w:rFonts w:cs="Segoe UI"/>
        </w:rPr>
        <w:t>ed</w:t>
      </w:r>
      <w:r w:rsidR="00E04A25">
        <w:rPr>
          <w:rFonts w:cs="Segoe UI"/>
        </w:rPr>
        <w:t xml:space="preserve"> to </w:t>
      </w:r>
      <w:r w:rsidR="00647713" w:rsidRPr="005C019D">
        <w:rPr>
          <w:rFonts w:cs="Segoe UI"/>
        </w:rPr>
        <w:t>explain the operation of pricing-related principles (such as the application of reference pricing rules) and the scope of activities required to support a subsidised listing following a positive HTA recommendation.</w:t>
      </w:r>
    </w:p>
    <w:p w14:paraId="7287D1A8" w14:textId="327D7361" w:rsidR="00647713" w:rsidRPr="00FF7A05" w:rsidRDefault="00647713" w:rsidP="001704AE">
      <w:pPr>
        <w:rPr>
          <w:rFonts w:cs="Segoe UI"/>
        </w:rPr>
      </w:pPr>
      <w:r w:rsidRPr="00FF7A05">
        <w:rPr>
          <w:rFonts w:cs="Segoe UI"/>
        </w:rPr>
        <w:t>There was general stakeholder support for a more consistent, transparent and accountable approach to price negotiation arrangements, and the importance of such arrangements in providing the necessary predictability and visibility of post-HTA evaluation process</w:t>
      </w:r>
      <w:r w:rsidR="004567D1">
        <w:rPr>
          <w:rFonts w:cs="Segoe UI"/>
        </w:rPr>
        <w:t>es</w:t>
      </w:r>
      <w:r w:rsidRPr="00FF7A05">
        <w:rPr>
          <w:rFonts w:cs="Segoe UI"/>
        </w:rPr>
        <w:t xml:space="preserve"> for non-negotiation parties (i.e. clinicians, patients and the general population). </w:t>
      </w:r>
    </w:p>
    <w:p w14:paraId="5F83075A" w14:textId="0EB14EDB" w:rsidR="00647713" w:rsidRPr="00FF7A05" w:rsidRDefault="004567D1" w:rsidP="001704AE">
      <w:pPr>
        <w:rPr>
          <w:rFonts w:cs="Segoe UI"/>
        </w:rPr>
      </w:pPr>
      <w:r>
        <w:rPr>
          <w:rFonts w:cs="Segoe UI"/>
        </w:rPr>
        <w:t>However, t</w:t>
      </w:r>
      <w:r w:rsidR="00647713" w:rsidRPr="00FF7A05">
        <w:rPr>
          <w:rFonts w:cs="Segoe UI"/>
        </w:rPr>
        <w:t>his was tempered by a range of industry and consultancy stakeholder responses that were opposed to these ideas, either:</w:t>
      </w:r>
    </w:p>
    <w:p w14:paraId="40BDE222" w14:textId="77777777" w:rsidR="00647713" w:rsidRPr="00FF7A05" w:rsidRDefault="00647713" w:rsidP="00281153">
      <w:pPr>
        <w:pStyle w:val="ListBullet"/>
        <w:numPr>
          <w:ilvl w:val="0"/>
          <w:numId w:val="71"/>
        </w:numPr>
      </w:pPr>
      <w:r w:rsidRPr="00FF7A05">
        <w:t xml:space="preserve">on principle (as there should be no need to negotiate additional terms and conditions as all relevant information is within the positive HTA recommendation), or </w:t>
      </w:r>
    </w:p>
    <w:p w14:paraId="4F991568" w14:textId="50BFA3EF" w:rsidR="00647713" w:rsidRPr="00FF7A05" w:rsidRDefault="00647713" w:rsidP="00281153">
      <w:pPr>
        <w:pStyle w:val="ListBullet"/>
        <w:numPr>
          <w:ilvl w:val="0"/>
          <w:numId w:val="71"/>
        </w:numPr>
      </w:pPr>
      <w:r w:rsidRPr="00FF7A05">
        <w:t>because of the risk of lost flexibility in settling important price and condition parameters if a specific framework had to be followed prescriptively.</w:t>
      </w:r>
      <w:r w:rsidR="00453069">
        <w:t xml:space="preserve"> </w:t>
      </w:r>
    </w:p>
    <w:p w14:paraId="3ED71591" w14:textId="11C01DB8" w:rsidR="00647713" w:rsidRPr="0060150E" w:rsidRDefault="00647713" w:rsidP="001704AE">
      <w:pPr>
        <w:rPr>
          <w:rFonts w:cs="Segoe UI"/>
        </w:rPr>
      </w:pPr>
      <w:r w:rsidRPr="00FF7A05">
        <w:rPr>
          <w:rFonts w:cs="Segoe UI"/>
        </w:rPr>
        <w:t>The Review consider</w:t>
      </w:r>
      <w:r w:rsidR="001931F3">
        <w:rPr>
          <w:rFonts w:cs="Segoe UI"/>
        </w:rPr>
        <w:t>ed</w:t>
      </w:r>
      <w:r w:rsidRPr="00FF7A05">
        <w:rPr>
          <w:rFonts w:cs="Segoe UI"/>
        </w:rPr>
        <w:t xml:space="preserve"> </w:t>
      </w:r>
      <w:r w:rsidR="00867C0C">
        <w:rPr>
          <w:rFonts w:cs="Segoe UI"/>
        </w:rPr>
        <w:t xml:space="preserve">whether </w:t>
      </w:r>
      <w:r w:rsidRPr="00FF7A05">
        <w:rPr>
          <w:rFonts w:cs="Segoe UI"/>
        </w:rPr>
        <w:t>the divergen</w:t>
      </w:r>
      <w:r w:rsidR="006E02BF">
        <w:rPr>
          <w:rFonts w:cs="Segoe UI"/>
        </w:rPr>
        <w:t>t</w:t>
      </w:r>
      <w:r w:rsidRPr="00FF7A05">
        <w:rPr>
          <w:rFonts w:cs="Segoe UI"/>
        </w:rPr>
        <w:t xml:space="preserve"> viewpoints on the need for, and scope of, a pricing and general negotiation framework represent</w:t>
      </w:r>
      <w:r w:rsidR="006E02BF">
        <w:rPr>
          <w:rFonts w:cs="Segoe UI"/>
        </w:rPr>
        <w:t>s</w:t>
      </w:r>
      <w:r w:rsidRPr="00FF7A05">
        <w:rPr>
          <w:rFonts w:cs="Segoe UI"/>
        </w:rPr>
        <w:t xml:space="preserve"> the different levels of stakeholder understanding and success in navigating the post-HTA recommendation process. </w:t>
      </w:r>
      <w:r w:rsidRPr="005C019D">
        <w:rPr>
          <w:rFonts w:cs="Segoe UI"/>
        </w:rPr>
        <w:t xml:space="preserve">Improving the clarity, consistency and transparency of the negotiation </w:t>
      </w:r>
      <w:r w:rsidRPr="005C019D">
        <w:rPr>
          <w:rFonts w:cs="Segoe UI"/>
        </w:rPr>
        <w:lastRenderedPageBreak/>
        <w:t>pathway and process for all stakeholders is therefore an essential first step to remov</w:t>
      </w:r>
      <w:r w:rsidR="004567D1">
        <w:rPr>
          <w:rFonts w:cs="Segoe UI"/>
        </w:rPr>
        <w:t>ing</w:t>
      </w:r>
      <w:r w:rsidRPr="005C019D">
        <w:rPr>
          <w:rFonts w:cs="Segoe UI"/>
        </w:rPr>
        <w:t xml:space="preserve"> some of the ambiguity surrounding the post-HTA process</w:t>
      </w:r>
      <w:r w:rsidR="004567D1">
        <w:rPr>
          <w:rFonts w:cs="Segoe UI"/>
        </w:rPr>
        <w:t>. This</w:t>
      </w:r>
      <w:r w:rsidRPr="005C019D">
        <w:rPr>
          <w:rFonts w:cs="Segoe UI"/>
        </w:rPr>
        <w:t xml:space="preserve"> in turn should support improvements in the timeliness and success rate of translating HTA recommendations into subsidised health technology access for patients</w:t>
      </w:r>
      <w:r w:rsidRPr="0060150E">
        <w:rPr>
          <w:rFonts w:cs="Segoe UI"/>
        </w:rPr>
        <w:t xml:space="preserve">. </w:t>
      </w:r>
    </w:p>
    <w:p w14:paraId="5C632CE6" w14:textId="3E6C3252" w:rsidR="00647713" w:rsidRPr="0060150E" w:rsidRDefault="00647713" w:rsidP="001704AE">
      <w:pPr>
        <w:rPr>
          <w:rFonts w:cs="Segoe UI"/>
          <w:b/>
        </w:rPr>
      </w:pPr>
      <w:r w:rsidRPr="0060150E">
        <w:rPr>
          <w:rFonts w:cs="Segoe UI"/>
        </w:rPr>
        <w:t>The Review encourages stakeholders to engage in ongoing dialogue to determine how additional details clarifying the operation of post-HTA negotiation</w:t>
      </w:r>
      <w:r w:rsidR="004567D1">
        <w:rPr>
          <w:rFonts w:cs="Segoe UI"/>
        </w:rPr>
        <w:t>s</w:t>
      </w:r>
      <w:r w:rsidRPr="0060150E">
        <w:rPr>
          <w:rFonts w:cs="Segoe UI"/>
        </w:rPr>
        <w:t xml:space="preserve"> and listing processes can be incorporated as systemic issues are identified</w:t>
      </w:r>
      <w:r w:rsidR="004567D1" w:rsidRPr="004567D1">
        <w:rPr>
          <w:rFonts w:cs="Segoe UI"/>
        </w:rPr>
        <w:t xml:space="preserve"> </w:t>
      </w:r>
      <w:r w:rsidR="004567D1" w:rsidRPr="0060150E">
        <w:rPr>
          <w:rFonts w:cs="Segoe UI"/>
        </w:rPr>
        <w:t>over time</w:t>
      </w:r>
      <w:r w:rsidRPr="0060150E">
        <w:rPr>
          <w:rFonts w:cs="Segoe UI"/>
        </w:rPr>
        <w:t>. This w</w:t>
      </w:r>
      <w:r w:rsidR="004567D1">
        <w:rPr>
          <w:rFonts w:cs="Segoe UI"/>
        </w:rPr>
        <w:t>ould</w:t>
      </w:r>
      <w:r w:rsidRPr="0060150E">
        <w:rPr>
          <w:rFonts w:cs="Segoe UI"/>
        </w:rPr>
        <w:t xml:space="preserve"> mean that any misunderstandings about the process or misapplications of supporting guidance can be addressed appropriately, and support stakeholder engagement with a consistent and predictable post-HTA process. </w:t>
      </w:r>
    </w:p>
    <w:p w14:paraId="63BE497F" w14:textId="77777777" w:rsidR="00647713" w:rsidRPr="0060150E" w:rsidRDefault="00647713" w:rsidP="00A318F7">
      <w:pPr>
        <w:pStyle w:val="Heading3"/>
      </w:pPr>
      <w:bookmarkStart w:id="263" w:name="_Toc164691405"/>
      <w:bookmarkStart w:id="264" w:name="_Toc164696203"/>
      <w:bookmarkStart w:id="265" w:name="_Toc164696349"/>
      <w:bookmarkStart w:id="266" w:name="_Toc164767738"/>
      <w:r w:rsidRPr="0060150E">
        <w:t>Objectives of recommendations</w:t>
      </w:r>
      <w:bookmarkEnd w:id="263"/>
      <w:bookmarkEnd w:id="264"/>
      <w:bookmarkEnd w:id="265"/>
      <w:bookmarkEnd w:id="266"/>
      <w:r w:rsidRPr="0060150E">
        <w:t xml:space="preserve"> </w:t>
      </w:r>
    </w:p>
    <w:p w14:paraId="16167417" w14:textId="2C95A04E" w:rsidR="00647713" w:rsidRPr="0060150E" w:rsidRDefault="00647713" w:rsidP="001704AE">
      <w:pPr>
        <w:rPr>
          <w:rFonts w:cs="Segoe UI"/>
          <w:b/>
        </w:rPr>
      </w:pPr>
      <w:r w:rsidRPr="0060150E">
        <w:rPr>
          <w:rFonts w:eastAsiaTheme="majorEastAsia" w:cs="Segoe UI"/>
        </w:rPr>
        <w:t>The Review</w:t>
      </w:r>
      <w:r w:rsidR="00E75822">
        <w:rPr>
          <w:rFonts w:eastAsiaTheme="majorEastAsia" w:cs="Segoe UI"/>
        </w:rPr>
        <w:t>’s</w:t>
      </w:r>
      <w:r w:rsidRPr="0060150E">
        <w:rPr>
          <w:rFonts w:eastAsiaTheme="majorEastAsia" w:cs="Segoe UI"/>
        </w:rPr>
        <w:t xml:space="preserve"> recommendations </w:t>
      </w:r>
      <w:r w:rsidRPr="0060150E">
        <w:rPr>
          <w:rFonts w:cs="Segoe UI"/>
        </w:rPr>
        <w:t>are intended to improve general and specific understanding of the pricing, negotiation and listings processes. Improved visibility and understanding of the process</w:t>
      </w:r>
      <w:r w:rsidR="000D46B9">
        <w:rPr>
          <w:rFonts w:cs="Segoe UI"/>
        </w:rPr>
        <w:t>es</w:t>
      </w:r>
      <w:r w:rsidRPr="0060150E">
        <w:rPr>
          <w:rFonts w:cs="Segoe UI"/>
        </w:rPr>
        <w:t xml:space="preserve"> and any linked policies that affect the way stakeholders engage with the negotiation process</w:t>
      </w:r>
      <w:r w:rsidR="000D46B9">
        <w:rPr>
          <w:rFonts w:cs="Segoe UI"/>
        </w:rPr>
        <w:t>es</w:t>
      </w:r>
      <w:r w:rsidRPr="0060150E">
        <w:rPr>
          <w:rFonts w:cs="Segoe UI"/>
        </w:rPr>
        <w:t xml:space="preserve"> </w:t>
      </w:r>
      <w:r w:rsidR="06E101EA" w:rsidRPr="760B44C9">
        <w:rPr>
          <w:rFonts w:cs="Segoe UI"/>
        </w:rPr>
        <w:t>are intended to</w:t>
      </w:r>
      <w:r w:rsidRPr="0060150E">
        <w:rPr>
          <w:rFonts w:cs="Segoe UI"/>
        </w:rPr>
        <w:t xml:space="preserve"> improve the timeliness and success rate of translating HTA recommendations into subsidised </w:t>
      </w:r>
      <w:r w:rsidR="000D46B9">
        <w:rPr>
          <w:rFonts w:cs="Segoe UI"/>
        </w:rPr>
        <w:t xml:space="preserve">access to </w:t>
      </w:r>
      <w:r w:rsidRPr="0060150E">
        <w:rPr>
          <w:rFonts w:cs="Segoe UI"/>
        </w:rPr>
        <w:t>health technolog</w:t>
      </w:r>
      <w:r w:rsidR="000D46B9">
        <w:rPr>
          <w:rFonts w:cs="Segoe UI"/>
        </w:rPr>
        <w:t>ies</w:t>
      </w:r>
      <w:r w:rsidRPr="0060150E">
        <w:rPr>
          <w:rFonts w:cs="Segoe UI"/>
        </w:rPr>
        <w:t xml:space="preserve"> for patients. </w:t>
      </w:r>
    </w:p>
    <w:p w14:paraId="6849FD8D" w14:textId="26431E4C" w:rsidR="00647713" w:rsidRDefault="00647713" w:rsidP="00A318F7">
      <w:pPr>
        <w:pStyle w:val="Heading3"/>
      </w:pPr>
      <w:bookmarkStart w:id="267" w:name="_Toc164691406"/>
      <w:bookmarkStart w:id="268" w:name="_Toc164696204"/>
      <w:bookmarkStart w:id="269" w:name="_Toc164696350"/>
      <w:bookmarkStart w:id="270" w:name="_Toc164767739"/>
      <w:bookmarkStart w:id="271" w:name="_Toc165473676"/>
      <w:r w:rsidRPr="0060150E">
        <w:t>Recommendations</w:t>
      </w:r>
      <w:bookmarkEnd w:id="267"/>
      <w:bookmarkEnd w:id="268"/>
      <w:bookmarkEnd w:id="269"/>
      <w:bookmarkEnd w:id="270"/>
      <w:bookmarkEnd w:id="271"/>
      <w:r w:rsidRPr="0060150E">
        <w:t xml:space="preserve"> </w:t>
      </w:r>
    </w:p>
    <w:p w14:paraId="6770A4D9" w14:textId="6EC40126" w:rsidR="000D1165" w:rsidRPr="0060150E" w:rsidRDefault="000D1165" w:rsidP="00645D5E">
      <w:pPr>
        <w:pStyle w:val="Recommendation1"/>
      </w:pPr>
      <w:bookmarkStart w:id="272" w:name="_Hlk167301957"/>
      <w:r w:rsidRPr="000D1165">
        <w:t xml:space="preserve">Pricing </w:t>
      </w:r>
      <w:r w:rsidR="00286D03">
        <w:t>o</w:t>
      </w:r>
      <w:r w:rsidRPr="000D1165">
        <w:t xml:space="preserve">ffer </w:t>
      </w:r>
      <w:r w:rsidR="00286D03">
        <w:t>f</w:t>
      </w:r>
      <w:r w:rsidRPr="000D1165">
        <w:t>ramework</w:t>
      </w:r>
    </w:p>
    <w:bookmarkEnd w:id="272"/>
    <w:p w14:paraId="501A5C07" w14:textId="5BC0DD10" w:rsidR="00647713" w:rsidRPr="0060150E" w:rsidRDefault="00647713" w:rsidP="00FB5874">
      <w:r w:rsidRPr="00405FD7">
        <w:t xml:space="preserve">The Review recommends </w:t>
      </w:r>
      <w:r w:rsidR="00286D03">
        <w:t xml:space="preserve">that </w:t>
      </w:r>
      <w:r w:rsidRPr="00405FD7">
        <w:t>the Australian Government</w:t>
      </w:r>
      <w:r w:rsidRPr="0060150E">
        <w:t>:</w:t>
      </w:r>
    </w:p>
    <w:p w14:paraId="1E4961F8" w14:textId="0F4D0503" w:rsidR="00647713" w:rsidRPr="0060150E" w:rsidRDefault="00286D03" w:rsidP="00281153">
      <w:pPr>
        <w:pStyle w:val="ListParagraph"/>
        <w:numPr>
          <w:ilvl w:val="0"/>
          <w:numId w:val="19"/>
        </w:numPr>
        <w:spacing w:after="120"/>
        <w:rPr>
          <w:rFonts w:cs="Segoe UI"/>
        </w:rPr>
      </w:pPr>
      <w:r>
        <w:rPr>
          <w:rFonts w:cs="Segoe UI"/>
        </w:rPr>
        <w:t>p</w:t>
      </w:r>
      <w:r w:rsidR="00647713" w:rsidRPr="0060150E">
        <w:rPr>
          <w:rFonts w:cs="Segoe UI"/>
        </w:rPr>
        <w:t>ublish (after appropriate consultation and development) a post</w:t>
      </w:r>
      <w:r w:rsidR="00492F26">
        <w:rPr>
          <w:rFonts w:cs="Segoe UI"/>
        </w:rPr>
        <w:t>-</w:t>
      </w:r>
      <w:r w:rsidR="0081279F" w:rsidRPr="0081279F">
        <w:rPr>
          <w:rFonts w:cs="Segoe UI"/>
        </w:rPr>
        <w:t>HTA</w:t>
      </w:r>
      <w:r w:rsidR="0081279F">
        <w:rPr>
          <w:rFonts w:cs="Segoe UI"/>
        </w:rPr>
        <w:t xml:space="preserve"> </w:t>
      </w:r>
      <w:r w:rsidR="00647713" w:rsidRPr="0060150E">
        <w:rPr>
          <w:rFonts w:cs="Segoe UI"/>
        </w:rPr>
        <w:t xml:space="preserve">pricing, negotiation and listing policy framework (with associated supporting guidance documentation) that would apply to health technologies that have been positively recommended by the relevant HTA </w:t>
      </w:r>
      <w:r w:rsidR="00C16518">
        <w:rPr>
          <w:rFonts w:cs="Segoe UI"/>
        </w:rPr>
        <w:t>advisory committee</w:t>
      </w:r>
    </w:p>
    <w:p w14:paraId="00403061" w14:textId="18C5FDF0" w:rsidR="00647713" w:rsidRPr="0060150E" w:rsidRDefault="00286D03" w:rsidP="00281153">
      <w:pPr>
        <w:pStyle w:val="ListParagraph"/>
        <w:numPr>
          <w:ilvl w:val="0"/>
          <w:numId w:val="19"/>
        </w:numPr>
        <w:rPr>
          <w:rFonts w:cs="Segoe UI"/>
        </w:rPr>
      </w:pPr>
      <w:r>
        <w:rPr>
          <w:rFonts w:cs="Segoe UI"/>
        </w:rPr>
        <w:t>d</w:t>
      </w:r>
      <w:r w:rsidR="00647713" w:rsidRPr="0060150E">
        <w:rPr>
          <w:rFonts w:cs="Segoe UI"/>
        </w:rPr>
        <w:t xml:space="preserve">esign and regularly update </w:t>
      </w:r>
      <w:r w:rsidR="00D83727">
        <w:rPr>
          <w:rFonts w:cs="Segoe UI"/>
        </w:rPr>
        <w:t>the</w:t>
      </w:r>
      <w:r w:rsidR="00647713" w:rsidRPr="0060150E">
        <w:rPr>
          <w:rFonts w:cs="Segoe UI"/>
        </w:rPr>
        <w:t xml:space="preserve"> framework to:</w:t>
      </w:r>
    </w:p>
    <w:p w14:paraId="398C9F14" w14:textId="1F7E0AAB" w:rsidR="00647713" w:rsidRPr="0060150E" w:rsidRDefault="00926647" w:rsidP="00281153">
      <w:pPr>
        <w:pStyle w:val="ListParagraph"/>
        <w:numPr>
          <w:ilvl w:val="1"/>
          <w:numId w:val="19"/>
        </w:numPr>
        <w:rPr>
          <w:rFonts w:cs="Segoe UI"/>
        </w:rPr>
      </w:pPr>
      <w:r>
        <w:rPr>
          <w:rFonts w:cs="Segoe UI"/>
        </w:rPr>
        <w:t>p</w:t>
      </w:r>
      <w:r w:rsidR="00647713" w:rsidRPr="0060150E">
        <w:rPr>
          <w:rFonts w:cs="Segoe UI"/>
        </w:rPr>
        <w:t>rovide stakeholders with necessary clarity where there are interactions with related pricing and health technology funding policies that need to be considered (e.g. pricing rules applicable to different forms</w:t>
      </w:r>
      <w:r w:rsidR="00286D03">
        <w:rPr>
          <w:rFonts w:cs="Segoe UI"/>
        </w:rPr>
        <w:t xml:space="preserve"> or </w:t>
      </w:r>
      <w:r w:rsidR="00647713" w:rsidRPr="0060150E">
        <w:rPr>
          <w:rFonts w:cs="Segoe UI"/>
        </w:rPr>
        <w:t>brands of medicines, or opportunities to discuss alternat</w:t>
      </w:r>
      <w:r w:rsidR="00492F26">
        <w:rPr>
          <w:rFonts w:cs="Segoe UI"/>
        </w:rPr>
        <w:t>iv</w:t>
      </w:r>
      <w:r w:rsidR="00647713" w:rsidRPr="0060150E">
        <w:rPr>
          <w:rFonts w:cs="Segoe UI"/>
        </w:rPr>
        <w:t>e contract and funding mechanisms)</w:t>
      </w:r>
    </w:p>
    <w:p w14:paraId="028CCE24" w14:textId="7EAB9C5A" w:rsidR="00647713" w:rsidRPr="0060150E" w:rsidRDefault="00926647" w:rsidP="00281153">
      <w:pPr>
        <w:pStyle w:val="ListParagraph"/>
        <w:numPr>
          <w:ilvl w:val="1"/>
          <w:numId w:val="19"/>
        </w:numPr>
        <w:rPr>
          <w:rFonts w:cs="Segoe UI"/>
        </w:rPr>
      </w:pPr>
      <w:r>
        <w:rPr>
          <w:rFonts w:cs="Segoe UI"/>
        </w:rPr>
        <w:t>i</w:t>
      </w:r>
      <w:r w:rsidR="00647713" w:rsidRPr="0060150E">
        <w:rPr>
          <w:rFonts w:cs="Segoe UI"/>
        </w:rPr>
        <w:t>mprove visibility of the framework and associated supporting guidance documentation, to support better stakeholder engagement (including us</w:t>
      </w:r>
      <w:r w:rsidR="00286D03">
        <w:rPr>
          <w:rFonts w:cs="Segoe UI"/>
        </w:rPr>
        <w:t>ing</w:t>
      </w:r>
      <w:r w:rsidR="00647713" w:rsidRPr="0060150E">
        <w:rPr>
          <w:rFonts w:cs="Segoe UI"/>
        </w:rPr>
        <w:t xml:space="preserve"> existing modes of outreach</w:t>
      </w:r>
      <w:r w:rsidR="00286D03">
        <w:rPr>
          <w:rFonts w:cs="Segoe UI"/>
        </w:rPr>
        <w:t xml:space="preserve"> and </w:t>
      </w:r>
      <w:r w:rsidR="00647713" w:rsidRPr="0060150E">
        <w:rPr>
          <w:rFonts w:cs="Segoe UI"/>
        </w:rPr>
        <w:t xml:space="preserve">information sharing, such as the Medicines Status Website, Health Products Portal and the </w:t>
      </w:r>
      <w:r w:rsidR="00AD6F2E" w:rsidRPr="00AD6F2E">
        <w:rPr>
          <w:rFonts w:cs="Segoe UI"/>
        </w:rPr>
        <w:t>Pharmaceutical Benefits Scheme</w:t>
      </w:r>
      <w:r w:rsidR="00C77D6E">
        <w:rPr>
          <w:rFonts w:cs="Segoe UI"/>
        </w:rPr>
        <w:t xml:space="preserve"> (PBS)</w:t>
      </w:r>
      <w:r w:rsidR="00AD6F2E" w:rsidRPr="00AD6F2E">
        <w:rPr>
          <w:rFonts w:cs="Segoe UI"/>
        </w:rPr>
        <w:t xml:space="preserve"> </w:t>
      </w:r>
      <w:r w:rsidR="00647713" w:rsidRPr="0060150E">
        <w:rPr>
          <w:rFonts w:cs="Segoe UI"/>
        </w:rPr>
        <w:t>website)</w:t>
      </w:r>
    </w:p>
    <w:p w14:paraId="6A4509D7" w14:textId="1240C848" w:rsidR="00647713" w:rsidRPr="0060150E" w:rsidRDefault="00926647" w:rsidP="00281153">
      <w:pPr>
        <w:pStyle w:val="ListParagraph"/>
        <w:numPr>
          <w:ilvl w:val="1"/>
          <w:numId w:val="19"/>
        </w:numPr>
        <w:rPr>
          <w:rFonts w:cs="Segoe UI"/>
        </w:rPr>
      </w:pPr>
      <w:r>
        <w:rPr>
          <w:rFonts w:cs="Segoe UI"/>
        </w:rPr>
        <w:t>s</w:t>
      </w:r>
      <w:r w:rsidR="00647713" w:rsidRPr="0060150E">
        <w:rPr>
          <w:rFonts w:cs="Segoe UI"/>
        </w:rPr>
        <w:t xml:space="preserve">upport future stakeholder engagement where changes to the framework may be necessary over time, including on matters such as (but not limited </w:t>
      </w:r>
      <w:r w:rsidR="00647713" w:rsidRPr="0060150E">
        <w:rPr>
          <w:rFonts w:cs="Segoe UI"/>
        </w:rPr>
        <w:lastRenderedPageBreak/>
        <w:t xml:space="preserve">to) transparency, timeliness, accountability and any necessary arbitration </w:t>
      </w:r>
      <w:r w:rsidR="00286D03">
        <w:rPr>
          <w:rFonts w:cs="Segoe UI"/>
        </w:rPr>
        <w:t>and</w:t>
      </w:r>
      <w:r w:rsidR="00647713" w:rsidRPr="0060150E">
        <w:rPr>
          <w:rFonts w:cs="Segoe UI"/>
        </w:rPr>
        <w:t>/</w:t>
      </w:r>
      <w:r w:rsidR="00286D03">
        <w:rPr>
          <w:rFonts w:cs="Segoe UI"/>
        </w:rPr>
        <w:t>or</w:t>
      </w:r>
      <w:r w:rsidR="00647713" w:rsidRPr="0060150E">
        <w:rPr>
          <w:rFonts w:cs="Segoe UI"/>
        </w:rPr>
        <w:t xml:space="preserve"> mediation protocols to support finalisation of post-HTA processes</w:t>
      </w:r>
      <w:r w:rsidR="003936A2">
        <w:rPr>
          <w:rFonts w:cs="Segoe UI"/>
        </w:rPr>
        <w:t>.</w:t>
      </w:r>
      <w:r w:rsidR="00647713" w:rsidRPr="0060150E">
        <w:rPr>
          <w:rFonts w:cs="Segoe UI"/>
        </w:rPr>
        <w:t xml:space="preserve"> </w:t>
      </w:r>
    </w:p>
    <w:p w14:paraId="75977570" w14:textId="4E19FC89" w:rsidR="00647713" w:rsidRPr="00B61FDC" w:rsidRDefault="00286D03" w:rsidP="006936C2">
      <w:pPr>
        <w:pStyle w:val="ListParagraph"/>
        <w:numPr>
          <w:ilvl w:val="0"/>
          <w:numId w:val="19"/>
        </w:numPr>
        <w:spacing w:after="360"/>
        <w:rPr>
          <w:rFonts w:cs="Segoe UI"/>
          <w:iCs/>
        </w:rPr>
      </w:pPr>
      <w:r>
        <w:rPr>
          <w:rFonts w:cs="Segoe UI"/>
        </w:rPr>
        <w:t>p</w:t>
      </w:r>
      <w:r w:rsidR="002103C3">
        <w:rPr>
          <w:rFonts w:cs="Segoe UI"/>
        </w:rPr>
        <w:t>rovide</w:t>
      </w:r>
      <w:r w:rsidR="007C594C">
        <w:rPr>
          <w:rFonts w:cs="Segoe UI"/>
        </w:rPr>
        <w:t xml:space="preserve"> a</w:t>
      </w:r>
      <w:r w:rsidR="00647713" w:rsidRPr="0060150E">
        <w:rPr>
          <w:rFonts w:cs="Segoe UI"/>
        </w:rPr>
        <w:t>ny necessary resourcing requirements for expanded Commonwealth negotiation capacity and capability, in support of proportiona</w:t>
      </w:r>
      <w:r w:rsidR="000740B9">
        <w:rPr>
          <w:rFonts w:cs="Segoe UI"/>
        </w:rPr>
        <w:t>te</w:t>
      </w:r>
      <w:r w:rsidR="00647713" w:rsidRPr="0060150E">
        <w:rPr>
          <w:rFonts w:cs="Segoe UI"/>
        </w:rPr>
        <w:t xml:space="preserve"> pathways reforms </w:t>
      </w:r>
      <w:r w:rsidR="00647713" w:rsidRPr="00B61FDC">
        <w:rPr>
          <w:rFonts w:cs="Segoe UI"/>
          <w:iCs/>
        </w:rPr>
        <w:t>(</w:t>
      </w:r>
      <w:r w:rsidRPr="00B61FDC">
        <w:rPr>
          <w:rFonts w:cs="Segoe UI"/>
          <w:iCs/>
        </w:rPr>
        <w:t>see</w:t>
      </w:r>
      <w:r w:rsidR="00647713" w:rsidRPr="00B61FDC">
        <w:rPr>
          <w:rFonts w:cs="Segoe UI"/>
          <w:iCs/>
        </w:rPr>
        <w:t xml:space="preserve"> </w:t>
      </w:r>
      <w:r w:rsidR="00EB46C2">
        <w:rPr>
          <w:rFonts w:cs="Segoe UI"/>
          <w:iCs/>
        </w:rPr>
        <w:t>‘</w:t>
      </w:r>
      <w:r w:rsidR="00647713" w:rsidRPr="00B61FDC">
        <w:rPr>
          <w:rFonts w:cs="Segoe UI"/>
          <w:iCs/>
        </w:rPr>
        <w:t xml:space="preserve">Recommendation </w:t>
      </w:r>
      <w:r w:rsidR="00CD23E0" w:rsidRPr="00B61FDC">
        <w:rPr>
          <w:rFonts w:cs="Segoe UI"/>
          <w:iCs/>
        </w:rPr>
        <w:t>3</w:t>
      </w:r>
      <w:r w:rsidR="00EB46C2">
        <w:rPr>
          <w:rFonts w:cs="Segoe UI"/>
          <w:iCs/>
        </w:rPr>
        <w:t xml:space="preserve">. </w:t>
      </w:r>
      <w:r w:rsidR="00EB46C2" w:rsidRPr="00EB46C2">
        <w:rPr>
          <w:rFonts w:cs="Segoe UI"/>
          <w:iCs/>
        </w:rPr>
        <w:t>Overarching recommendations for all health technology assessment funding and assessment pathways and processes</w:t>
      </w:r>
      <w:r w:rsidR="00EB46C2">
        <w:rPr>
          <w:rFonts w:cs="Segoe UI"/>
          <w:iCs/>
        </w:rPr>
        <w:t>’</w:t>
      </w:r>
      <w:r w:rsidR="00647713" w:rsidRPr="00B61FDC">
        <w:rPr>
          <w:rFonts w:cs="Segoe UI"/>
          <w:iCs/>
        </w:rPr>
        <w:t>)</w:t>
      </w:r>
      <w:r w:rsidR="00647713" w:rsidRPr="00EB46C2">
        <w:rPr>
          <w:rFonts w:cs="Segoe UI"/>
        </w:rPr>
        <w:t>.</w:t>
      </w:r>
    </w:p>
    <w:p w14:paraId="4F58D475" w14:textId="55F9E524" w:rsidR="00647713" w:rsidRPr="0060150E" w:rsidRDefault="0000512A" w:rsidP="002B25F3">
      <w:pPr>
        <w:pStyle w:val="Heading2"/>
      </w:pPr>
      <w:bookmarkStart w:id="273" w:name="_Toc164685824"/>
      <w:bookmarkStart w:id="274" w:name="_Toc164691407"/>
      <w:bookmarkStart w:id="275" w:name="_Toc164696205"/>
      <w:bookmarkStart w:id="276" w:name="_Toc164696351"/>
      <w:bookmarkStart w:id="277" w:name="_Toc164767740"/>
      <w:bookmarkStart w:id="278" w:name="_Toc165473677"/>
      <w:bookmarkStart w:id="279" w:name="_Toc171935881"/>
      <w:r>
        <w:t xml:space="preserve">Chapter </w:t>
      </w:r>
      <w:r w:rsidR="00D14813">
        <w:t>5</w:t>
      </w:r>
      <w:r w:rsidR="00647713" w:rsidRPr="0060150E">
        <w:t>.3</w:t>
      </w:r>
      <w:r>
        <w:t>:</w:t>
      </w:r>
      <w:r w:rsidR="00647713" w:rsidRPr="0060150E">
        <w:t xml:space="preserve"> The need for regular reassessment of health technologies</w:t>
      </w:r>
      <w:bookmarkEnd w:id="273"/>
      <w:bookmarkEnd w:id="274"/>
      <w:bookmarkEnd w:id="275"/>
      <w:bookmarkEnd w:id="276"/>
      <w:bookmarkEnd w:id="277"/>
      <w:bookmarkEnd w:id="278"/>
      <w:bookmarkEnd w:id="279"/>
    </w:p>
    <w:p w14:paraId="6FE9441D" w14:textId="71B6E4C9" w:rsidR="001C061E" w:rsidRPr="00621C17" w:rsidRDefault="00D16D80" w:rsidP="00A318F7">
      <w:pPr>
        <w:pStyle w:val="Heading3"/>
      </w:pPr>
      <w:r>
        <w:t>Introduction and context</w:t>
      </w:r>
    </w:p>
    <w:p w14:paraId="041A7958" w14:textId="752D42E8" w:rsidR="00647713" w:rsidRPr="005C019D" w:rsidRDefault="00647713" w:rsidP="001704AE">
      <w:pPr>
        <w:rPr>
          <w:rFonts w:cs="Segoe UI"/>
        </w:rPr>
      </w:pPr>
      <w:r w:rsidRPr="0060150E">
        <w:t>T</w:t>
      </w:r>
      <w:r w:rsidRPr="0060150E">
        <w:rPr>
          <w:rFonts w:cs="Segoe UI"/>
        </w:rPr>
        <w:t>he initial HTA evaluation is important to help stakeholders (principally health</w:t>
      </w:r>
      <w:r w:rsidR="008722C8">
        <w:rPr>
          <w:rFonts w:cs="Segoe UI"/>
        </w:rPr>
        <w:t>care</w:t>
      </w:r>
      <w:r w:rsidRPr="0060150E">
        <w:rPr>
          <w:rFonts w:cs="Segoe UI"/>
        </w:rPr>
        <w:t xml:space="preserve"> payers) understand the clinical place and benefit of a health technology and make equitable and efficient decisions about </w:t>
      </w:r>
      <w:r w:rsidR="00286D03">
        <w:rPr>
          <w:rFonts w:cs="Segoe UI"/>
        </w:rPr>
        <w:t xml:space="preserve">allocating </w:t>
      </w:r>
      <w:r w:rsidRPr="0060150E">
        <w:rPr>
          <w:rFonts w:cs="Segoe UI"/>
        </w:rPr>
        <w:t xml:space="preserve">health resources. </w:t>
      </w:r>
      <w:r w:rsidRPr="005C019D">
        <w:rPr>
          <w:rFonts w:cs="Segoe UI"/>
        </w:rPr>
        <w:t xml:space="preserve">However, the initial HTA evaluation is only a single point-in-time examination of the evidence </w:t>
      </w:r>
      <w:r w:rsidR="00286D03" w:rsidRPr="005C019D">
        <w:rPr>
          <w:rFonts w:cs="Segoe UI"/>
        </w:rPr>
        <w:t xml:space="preserve">presented </w:t>
      </w:r>
      <w:r w:rsidRPr="005C019D">
        <w:rPr>
          <w:rFonts w:cs="Segoe UI"/>
        </w:rPr>
        <w:t>for a health technology.</w:t>
      </w:r>
      <w:r w:rsidR="00453069">
        <w:rPr>
          <w:rFonts w:cs="Segoe UI"/>
        </w:rPr>
        <w:t xml:space="preserve"> </w:t>
      </w:r>
    </w:p>
    <w:p w14:paraId="6ECCFF69" w14:textId="646CACF3" w:rsidR="00647713" w:rsidRPr="005C019D" w:rsidRDefault="00647713" w:rsidP="001704AE">
      <w:pPr>
        <w:rPr>
          <w:rFonts w:cs="Segoe UI"/>
        </w:rPr>
      </w:pPr>
      <w:r w:rsidRPr="005C019D">
        <w:t xml:space="preserve">As new health technologies are introduced into the healthcare marketplace, </w:t>
      </w:r>
      <w:r w:rsidRPr="005C019D">
        <w:rPr>
          <w:rFonts w:cs="Segoe UI"/>
        </w:rPr>
        <w:t xml:space="preserve">the clinical place and healthcare value of these previously evaluated health technologies will evolve, and the uptake and </w:t>
      </w:r>
      <w:bookmarkStart w:id="280" w:name="_Hlk167433524"/>
      <w:r w:rsidRPr="005C019D">
        <w:rPr>
          <w:rFonts w:cs="Segoe UI"/>
        </w:rPr>
        <w:t xml:space="preserve">utilisation rates </w:t>
      </w:r>
      <w:bookmarkEnd w:id="280"/>
      <w:r w:rsidRPr="005C019D">
        <w:rPr>
          <w:rFonts w:cs="Segoe UI"/>
        </w:rPr>
        <w:t xml:space="preserve">will change in response to new approaches in healthcare delivery. Follow-up monitoring may also reveal that some health technologies that showed promise in smaller populations and controlled settings do not improve health outcomes to the same degree when deployed more broadly, or in rare cases may contribute to patient harms (clinically and financially). </w:t>
      </w:r>
    </w:p>
    <w:p w14:paraId="56977C1C" w14:textId="3833CB0F" w:rsidR="00647713" w:rsidRPr="006A5613" w:rsidRDefault="00647713" w:rsidP="001704AE">
      <w:pPr>
        <w:rPr>
          <w:rFonts w:cs="Segoe UI"/>
        </w:rPr>
      </w:pPr>
      <w:r w:rsidRPr="005C019D">
        <w:t xml:space="preserve">This can mean that </w:t>
      </w:r>
      <w:r w:rsidRPr="005C019D">
        <w:rPr>
          <w:rFonts w:cs="Segoe UI"/>
        </w:rPr>
        <w:t>after a period, the initial recommendations arising from the HTA evaluation may no longer be current, as the health technology may be displaced as best practice or rendered obsolete for the clinical indication in question. These circumstances in turn may justify the considered reallocation of finite health resources to improve and support overall patient health outcomes across the population.</w:t>
      </w:r>
    </w:p>
    <w:p w14:paraId="496F5229" w14:textId="5D484353" w:rsidR="00647713" w:rsidRPr="006A5613" w:rsidRDefault="00647713" w:rsidP="001704AE">
      <w:pPr>
        <w:rPr>
          <w:rFonts w:cs="Segoe UI"/>
        </w:rPr>
      </w:pPr>
      <w:r w:rsidRPr="0000512A">
        <w:t>In res</w:t>
      </w:r>
      <w:r w:rsidRPr="006A5613">
        <w:rPr>
          <w:rFonts w:cs="Segoe UI"/>
        </w:rPr>
        <w:t>ponse to this evolving health lifecycle context for a health technology, countries that conduct HTA evaluations in support of health</w:t>
      </w:r>
      <w:r w:rsidR="008722C8">
        <w:rPr>
          <w:rFonts w:cs="Segoe UI"/>
        </w:rPr>
        <w:t>care</w:t>
      </w:r>
      <w:r w:rsidRPr="006A5613">
        <w:rPr>
          <w:rFonts w:cs="Segoe UI"/>
        </w:rPr>
        <w:t xml:space="preserve"> payer reimbursement decisions for new health technologies also have a range of health technology review and/or disinvestment programs in place. The key purpose of these programs is to collect and evaluate current data on previously evaluated health technologies, and update recommendations relating to their quality use</w:t>
      </w:r>
      <w:r w:rsidR="002924C2">
        <w:rPr>
          <w:rFonts w:cs="Segoe UI"/>
        </w:rPr>
        <w:t>. This</w:t>
      </w:r>
      <w:r w:rsidRPr="006A5613">
        <w:rPr>
          <w:rFonts w:cs="Segoe UI"/>
        </w:rPr>
        <w:t xml:space="preserve"> in turn may inform revisions to the appropriate efficient price for those health technologies.</w:t>
      </w:r>
      <w:r w:rsidR="00453069">
        <w:rPr>
          <w:rFonts w:cs="Segoe UI"/>
        </w:rPr>
        <w:t xml:space="preserve"> </w:t>
      </w:r>
    </w:p>
    <w:p w14:paraId="527CBA7D" w14:textId="2702DA1B" w:rsidR="00647713" w:rsidRPr="0000512A" w:rsidRDefault="002924C2" w:rsidP="001704AE">
      <w:r>
        <w:t>I</w:t>
      </w:r>
      <w:r w:rsidR="00647713" w:rsidRPr="0000512A">
        <w:t xml:space="preserve">n Australia, the primary programs supporting review of existing health technologies are the </w:t>
      </w:r>
      <w:r>
        <w:t xml:space="preserve">PBAC </w:t>
      </w:r>
      <w:r w:rsidR="00647713" w:rsidRPr="0000512A">
        <w:t>Drug Utilisation Sub-Committee (DUSC)</w:t>
      </w:r>
      <w:r w:rsidR="00647713" w:rsidRPr="0000512A">
        <w:rPr>
          <w:rStyle w:val="FootnoteReference"/>
          <w:rFonts w:cs="Segoe UI"/>
        </w:rPr>
        <w:footnoteReference w:id="77"/>
      </w:r>
      <w:r w:rsidR="00647713" w:rsidRPr="0000512A">
        <w:t xml:space="preserve"> and the </w:t>
      </w:r>
      <w:bookmarkStart w:id="281" w:name="_Hlk167432828"/>
      <w:r w:rsidR="00647713" w:rsidRPr="0000512A">
        <w:t xml:space="preserve">post-market review </w:t>
      </w:r>
      <w:r w:rsidR="00647713" w:rsidRPr="0000512A">
        <w:lastRenderedPageBreak/>
        <w:t xml:space="preserve">(PMR) </w:t>
      </w:r>
      <w:bookmarkEnd w:id="281"/>
      <w:r w:rsidR="00647713" w:rsidRPr="0000512A">
        <w:t>arrangements</w:t>
      </w:r>
      <w:r>
        <w:t>,</w:t>
      </w:r>
      <w:r w:rsidR="00647713" w:rsidRPr="0000512A">
        <w:rPr>
          <w:rStyle w:val="FootnoteReference"/>
          <w:rFonts w:cs="Segoe UI"/>
        </w:rPr>
        <w:footnoteReference w:id="78"/>
      </w:r>
      <w:r w:rsidR="00647713" w:rsidRPr="0000512A">
        <w:t xml:space="preserve"> which fall under the quality use of medicines </w:t>
      </w:r>
      <w:r w:rsidR="006104DF">
        <w:t xml:space="preserve">objectives </w:t>
      </w:r>
      <w:r w:rsidR="00647713" w:rsidRPr="0000512A">
        <w:t>(</w:t>
      </w:r>
      <w:r>
        <w:t>p</w:t>
      </w:r>
      <w:r w:rsidR="00647713" w:rsidRPr="0000512A">
        <w:t xml:space="preserve">illar 3) in the </w:t>
      </w:r>
      <w:r w:rsidR="006E0405">
        <w:t>NMP</w:t>
      </w:r>
      <w:r>
        <w:t>.</w:t>
      </w:r>
      <w:r w:rsidR="000D784B">
        <w:rPr>
          <w:rStyle w:val="FootnoteReference"/>
        </w:rPr>
        <w:footnoteReference w:id="79"/>
      </w:r>
      <w:r w:rsidR="00647713" w:rsidRPr="0000512A">
        <w:t xml:space="preserve"> </w:t>
      </w:r>
    </w:p>
    <w:p w14:paraId="160B3B42" w14:textId="77777777" w:rsidR="00647713" w:rsidRPr="0000512A" w:rsidRDefault="00647713" w:rsidP="001704AE">
      <w:pPr>
        <w:rPr>
          <w:rFonts w:cs="Segoe UI"/>
        </w:rPr>
      </w:pPr>
      <w:r w:rsidRPr="0000512A">
        <w:rPr>
          <w:rFonts w:cs="Segoe UI"/>
        </w:rPr>
        <w:t>DUSC outcome statements and utilisation analysis reports:</w:t>
      </w:r>
    </w:p>
    <w:p w14:paraId="47ED1164" w14:textId="384BBCCA" w:rsidR="00647713" w:rsidRPr="00DD1C12" w:rsidRDefault="00647713" w:rsidP="00281153">
      <w:pPr>
        <w:pStyle w:val="ListBullet"/>
        <w:numPr>
          <w:ilvl w:val="0"/>
          <w:numId w:val="71"/>
        </w:numPr>
      </w:pPr>
      <w:r w:rsidRPr="00DD1C12">
        <w:t>assist stakeholders, including consumers, health professionals, researchers and pharmaceutical sponsors, to better understand how PBS medicines are being used, the methods DUSC employs to analyse u</w:t>
      </w:r>
      <w:r w:rsidR="002924C2">
        <w:t>se</w:t>
      </w:r>
      <w:r w:rsidRPr="00DD1C12">
        <w:t xml:space="preserve"> of PBS medicines and the PBS data available for these analyses</w:t>
      </w:r>
      <w:r w:rsidR="00453069">
        <w:t xml:space="preserve"> </w:t>
      </w:r>
    </w:p>
    <w:p w14:paraId="6CC10EEE" w14:textId="2E71C2F9" w:rsidR="00647713" w:rsidRPr="00DD1C12" w:rsidRDefault="00647713" w:rsidP="00281153">
      <w:pPr>
        <w:pStyle w:val="ListBullet"/>
        <w:numPr>
          <w:ilvl w:val="0"/>
          <w:numId w:val="71"/>
        </w:numPr>
      </w:pPr>
      <w:r w:rsidRPr="00DD1C12">
        <w:t>outline how the current u</w:t>
      </w:r>
      <w:r w:rsidR="002924C2">
        <w:t>se</w:t>
      </w:r>
      <w:r w:rsidRPr="00DD1C12">
        <w:t xml:space="preserve"> of PBS medicines compares with the use as recommended by the PBAC</w:t>
      </w:r>
    </w:p>
    <w:p w14:paraId="4566A5FD" w14:textId="1C6433F6" w:rsidR="00647713" w:rsidRPr="00D75BAA" w:rsidRDefault="00647713" w:rsidP="00281153">
      <w:pPr>
        <w:pStyle w:val="ListBullet"/>
        <w:numPr>
          <w:ilvl w:val="0"/>
          <w:numId w:val="71"/>
        </w:numPr>
        <w:rPr>
          <w:rFonts w:eastAsia="Times New Roman"/>
          <w:lang w:eastAsia="en-AU"/>
        </w:rPr>
      </w:pPr>
      <w:r w:rsidRPr="00DD1C12">
        <w:t>support</w:t>
      </w:r>
      <w:r w:rsidRPr="0000512A">
        <w:rPr>
          <w:rFonts w:eastAsia="Times New Roman"/>
          <w:lang w:eastAsia="en-AU"/>
        </w:rPr>
        <w:t xml:space="preserve"> the objectives of the </w:t>
      </w:r>
      <w:r w:rsidR="006E0405">
        <w:rPr>
          <w:rFonts w:eastAsia="Times New Roman"/>
          <w:lang w:eastAsia="en-AU"/>
        </w:rPr>
        <w:t>NMP</w:t>
      </w:r>
      <w:r w:rsidRPr="0000512A">
        <w:rPr>
          <w:rFonts w:eastAsia="Times New Roman"/>
          <w:lang w:eastAsia="en-AU"/>
        </w:rPr>
        <w:t xml:space="preserve"> </w:t>
      </w:r>
      <w:r w:rsidR="00833EA3">
        <w:rPr>
          <w:rFonts w:eastAsia="Times New Roman"/>
          <w:lang w:eastAsia="en-AU"/>
        </w:rPr>
        <w:t>for</w:t>
      </w:r>
      <w:r w:rsidRPr="0000512A">
        <w:rPr>
          <w:rFonts w:eastAsia="Times New Roman"/>
          <w:lang w:eastAsia="en-AU"/>
        </w:rPr>
        <w:t xml:space="preserve"> the quality use of medicines, including supporting consumers’ and health practitioners’ understanding of the costs, benefits and risks of medicines</w:t>
      </w:r>
      <w:r w:rsidR="002924C2">
        <w:rPr>
          <w:rFonts w:eastAsia="Times New Roman"/>
          <w:lang w:eastAsia="en-AU"/>
        </w:rPr>
        <w:t>.</w:t>
      </w:r>
      <w:r w:rsidRPr="00D75BAA">
        <w:rPr>
          <w:rStyle w:val="FootnoteReference"/>
          <w:rFonts w:eastAsia="Times New Roman"/>
          <w:lang w:eastAsia="en-AU"/>
        </w:rPr>
        <w:footnoteReference w:id="80"/>
      </w:r>
    </w:p>
    <w:p w14:paraId="0DFAB98C" w14:textId="77777777" w:rsidR="00647713" w:rsidRPr="00D75BAA" w:rsidRDefault="00647713" w:rsidP="001704AE">
      <w:pPr>
        <w:rPr>
          <w:rFonts w:cs="Segoe UI"/>
        </w:rPr>
      </w:pPr>
      <w:r w:rsidRPr="00D75BAA">
        <w:rPr>
          <w:rFonts w:cs="Segoe UI"/>
        </w:rPr>
        <w:t>PMR arrangements are:</w:t>
      </w:r>
    </w:p>
    <w:p w14:paraId="66ACF325" w14:textId="172A8C21" w:rsidR="00647713" w:rsidRPr="000C5623" w:rsidRDefault="002924C2" w:rsidP="001704AE">
      <w:pPr>
        <w:ind w:left="720"/>
        <w:rPr>
          <w:rFonts w:cs="Segoe UI"/>
          <w:iCs/>
        </w:rPr>
      </w:pPr>
      <w:r>
        <w:rPr>
          <w:rFonts w:cs="Segoe UI"/>
          <w:iCs/>
        </w:rPr>
        <w:t>‘</w:t>
      </w:r>
      <w:r w:rsidR="00647713" w:rsidRPr="000C5623">
        <w:rPr>
          <w:rFonts w:cs="Segoe UI"/>
          <w:iCs/>
        </w:rPr>
        <w:t xml:space="preserve">a systematic approach to monitoring medicines following PBS listing, to inform decision-making relating to ongoing access and subsidy. PMRs provide evidence and options to the PBAC to ensure patient safety, quality use of medicines and the ongoing cost-effective use of PBS-listed </w:t>
      </w:r>
      <w:proofErr w:type="gramStart"/>
      <w:r w:rsidR="00647713" w:rsidRPr="000C5623">
        <w:rPr>
          <w:rFonts w:cs="Segoe UI"/>
          <w:iCs/>
        </w:rPr>
        <w:t>medicines</w:t>
      </w:r>
      <w:bookmarkStart w:id="282" w:name="_Ref166152020"/>
      <w:r w:rsidR="000D784B">
        <w:rPr>
          <w:rFonts w:cs="Segoe UI"/>
          <w:iCs/>
        </w:rPr>
        <w:t>’</w:t>
      </w:r>
      <w:proofErr w:type="gramEnd"/>
      <w:r>
        <w:rPr>
          <w:rFonts w:cs="Segoe UI"/>
          <w:iCs/>
        </w:rPr>
        <w:t>.</w:t>
      </w:r>
      <w:r w:rsidR="00647713" w:rsidRPr="000C5623">
        <w:rPr>
          <w:rStyle w:val="FootnoteReference"/>
          <w:rFonts w:cs="Segoe UI"/>
          <w:iCs/>
        </w:rPr>
        <w:footnoteReference w:id="81"/>
      </w:r>
      <w:bookmarkEnd w:id="282"/>
    </w:p>
    <w:p w14:paraId="4FBE06A9" w14:textId="564E7BFE" w:rsidR="00647713" w:rsidRPr="00D75BAA" w:rsidRDefault="00647713" w:rsidP="001704AE">
      <w:pPr>
        <w:rPr>
          <w:rFonts w:cs="Segoe UI"/>
        </w:rPr>
      </w:pPr>
      <w:r w:rsidRPr="00D75BAA">
        <w:rPr>
          <w:rFonts w:cs="Segoe UI"/>
        </w:rPr>
        <w:t xml:space="preserve">While the general principles underpinning the DUSC and PMR arrangements are well accepted, the Review sought to examine (consistent with the </w:t>
      </w:r>
      <w:r w:rsidR="008F6E6D">
        <w:rPr>
          <w:rFonts w:cs="Segoe UI"/>
        </w:rPr>
        <w:fldChar w:fldCharType="begin" w:fldLock="1"/>
      </w:r>
      <w:r w:rsidR="008F6E6D">
        <w:rPr>
          <w:rFonts w:cs="Segoe UI"/>
        </w:rPr>
        <w:instrText xml:space="preserve"> REF _Ref166771697 \h </w:instrText>
      </w:r>
      <w:r w:rsidR="008F6E6D">
        <w:rPr>
          <w:rFonts w:cs="Segoe UI"/>
        </w:rPr>
      </w:r>
      <w:r w:rsidR="008F6E6D">
        <w:rPr>
          <w:rFonts w:cs="Segoe UI"/>
        </w:rPr>
        <w:fldChar w:fldCharType="separate"/>
      </w:r>
      <w:r w:rsidR="008F6E6D">
        <w:t>Terms of Reference</w:t>
      </w:r>
      <w:r w:rsidR="008F6E6D">
        <w:rPr>
          <w:rFonts w:cs="Segoe UI"/>
        </w:rPr>
        <w:fldChar w:fldCharType="end"/>
      </w:r>
      <w:r w:rsidRPr="00D75BAA">
        <w:rPr>
          <w:rFonts w:cs="Segoe UI"/>
        </w:rPr>
        <w:t xml:space="preserve">) whether experiences </w:t>
      </w:r>
      <w:r w:rsidR="002924C2">
        <w:rPr>
          <w:rFonts w:cs="Segoe UI"/>
        </w:rPr>
        <w:t>in</w:t>
      </w:r>
      <w:r w:rsidRPr="00D75BAA">
        <w:rPr>
          <w:rFonts w:cs="Segoe UI"/>
        </w:rPr>
        <w:t xml:space="preserve"> comparable health systems in respect of health technology reassessment arrangements would be relevant and appropriate to Australia, and how any recommendations arising from th</w:t>
      </w:r>
      <w:r w:rsidR="005B4D44">
        <w:rPr>
          <w:rFonts w:cs="Segoe UI"/>
        </w:rPr>
        <w:t>e</w:t>
      </w:r>
      <w:r w:rsidRPr="00D75BAA">
        <w:rPr>
          <w:rFonts w:cs="Segoe UI"/>
        </w:rPr>
        <w:t xml:space="preserve"> Review could build on the recent procedural changes to the PMR Framework</w:t>
      </w:r>
      <w:r w:rsidR="006508A3">
        <w:rPr>
          <w:rStyle w:val="FootnoteReference"/>
          <w:rFonts w:cs="Segoe UI"/>
        </w:rPr>
        <w:footnoteReference w:id="82"/>
      </w:r>
      <w:r w:rsidRPr="00D75BAA">
        <w:rPr>
          <w:rFonts w:cs="Segoe UI"/>
        </w:rPr>
        <w:t xml:space="preserve"> to improve the delivery and operation of such health technology reassessment arrangements. </w:t>
      </w:r>
    </w:p>
    <w:p w14:paraId="19481803" w14:textId="1225008B" w:rsidR="0000512A" w:rsidRDefault="00744A81" w:rsidP="001704AE">
      <w:r w:rsidRPr="008939CB">
        <w:rPr>
          <w:rFonts w:eastAsia="Calibri"/>
          <w:noProof/>
        </w:rPr>
        <w:lastRenderedPageBreak/>
        <mc:AlternateContent>
          <mc:Choice Requires="wps">
            <w:drawing>
              <wp:inline distT="0" distB="0" distL="0" distR="0" wp14:anchorId="30928B7F" wp14:editId="78234C53">
                <wp:extent cx="5731510" cy="3296653"/>
                <wp:effectExtent l="0" t="0" r="21590" b="18415"/>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3296653"/>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4DB1F450" w14:textId="77777777" w:rsidR="00744A81" w:rsidRPr="00D75BAA" w:rsidRDefault="00744A81" w:rsidP="00744A81">
                            <w:pPr>
                              <w:pStyle w:val="Call-outbox"/>
                            </w:pPr>
                            <w:r w:rsidRPr="00D75BAA">
                              <w:t xml:space="preserve">Why </w:t>
                            </w:r>
                            <w:r w:rsidRPr="00D75BAA">
                              <w:t>this matters</w:t>
                            </w:r>
                          </w:p>
                          <w:p w14:paraId="3EF683F8" w14:textId="40ECB461" w:rsidR="00744A81" w:rsidRPr="00D75BAA" w:rsidRDefault="00744A81" w:rsidP="00744A81">
                            <w:pPr>
                              <w:rPr>
                                <w:rFonts w:cs="Segoe UI"/>
                              </w:rPr>
                            </w:pPr>
                            <w:r w:rsidRPr="00D75BAA">
                              <w:rPr>
                                <w:rFonts w:cs="Segoe UI"/>
                              </w:rPr>
                              <w:t>As additional evidence builds over time and new health technologies enter into health</w:t>
                            </w:r>
                            <w:r w:rsidR="00AD398A">
                              <w:rPr>
                                <w:rFonts w:cs="Segoe UI"/>
                              </w:rPr>
                              <w:t xml:space="preserve"> </w:t>
                            </w:r>
                            <w:r w:rsidRPr="00D75BAA">
                              <w:rPr>
                                <w:rFonts w:cs="Segoe UI"/>
                              </w:rPr>
                              <w:t xml:space="preserve">care, the original questions asked </w:t>
                            </w:r>
                            <w:r w:rsidR="00AE43EE">
                              <w:rPr>
                                <w:rFonts w:cs="Segoe UI"/>
                              </w:rPr>
                              <w:t>during</w:t>
                            </w:r>
                            <w:r w:rsidR="00AE43EE" w:rsidRPr="00D75BAA">
                              <w:rPr>
                                <w:rFonts w:cs="Segoe UI"/>
                              </w:rPr>
                              <w:t xml:space="preserve"> </w:t>
                            </w:r>
                            <w:r w:rsidRPr="00D75BAA">
                              <w:rPr>
                                <w:rFonts w:cs="Segoe UI"/>
                              </w:rPr>
                              <w:t>a</w:t>
                            </w:r>
                            <w:r w:rsidR="00AE43EE">
                              <w:rPr>
                                <w:rFonts w:cs="Segoe UI"/>
                              </w:rPr>
                              <w:t>n</w:t>
                            </w:r>
                            <w:r w:rsidRPr="00D75BAA">
                              <w:rPr>
                                <w:rFonts w:cs="Segoe UI"/>
                              </w:rPr>
                              <w:t xml:space="preserve"> HTA evaluation about clinical effectiveness, cost</w:t>
                            </w:r>
                            <w:r w:rsidR="00AE43EE">
                              <w:rPr>
                                <w:rFonts w:cs="Segoe UI"/>
                              </w:rPr>
                              <w:t>-</w:t>
                            </w:r>
                            <w:r w:rsidRPr="00D75BAA">
                              <w:rPr>
                                <w:rFonts w:cs="Segoe UI"/>
                              </w:rPr>
                              <w:t xml:space="preserve">effectiveness, clinical need and value for money may have different answers. </w:t>
                            </w:r>
                          </w:p>
                          <w:p w14:paraId="123191F2" w14:textId="0B6C7334" w:rsidR="00744A81" w:rsidRPr="00D75BAA" w:rsidRDefault="00744A81" w:rsidP="00744A81">
                            <w:pPr>
                              <w:rPr>
                                <w:rFonts w:cs="Segoe UI"/>
                              </w:rPr>
                            </w:pPr>
                            <w:r w:rsidRPr="00D75BAA">
                              <w:rPr>
                                <w:rFonts w:cs="Segoe UI"/>
                              </w:rPr>
                              <w:t>A deliberate and structured process that allows these questions to be asked again (via reassessment) is essential to support optimal and judicious use of health technologies over time</w:t>
                            </w:r>
                            <w:r w:rsidR="007D1706">
                              <w:rPr>
                                <w:rFonts w:cs="Segoe UI"/>
                              </w:rPr>
                              <w:t>. This</w:t>
                            </w:r>
                            <w:r w:rsidRPr="00D75BAA">
                              <w:rPr>
                                <w:rFonts w:cs="Segoe UI"/>
                              </w:rPr>
                              <w:t xml:space="preserve"> may include changes to subsidy arrangements (e.g. relaxation of access conditions or changes in price). </w:t>
                            </w:r>
                          </w:p>
                          <w:p w14:paraId="12B8A405" w14:textId="542AF856" w:rsidR="00744A81" w:rsidRPr="00D75BAA" w:rsidRDefault="00744A81" w:rsidP="00744A81">
                            <w:pPr>
                              <w:rPr>
                                <w:rFonts w:cs="Segoe UI"/>
                              </w:rPr>
                            </w:pPr>
                            <w:r w:rsidRPr="00D75BAA">
                              <w:rPr>
                                <w:rFonts w:cs="Segoe UI"/>
                              </w:rPr>
                              <w:t xml:space="preserve">Structured reassessment processes are therefore an important part of how stakeholders achieve the aims of the </w:t>
                            </w:r>
                            <w:r w:rsidR="006E0405">
                              <w:rPr>
                                <w:rFonts w:cs="Segoe UI"/>
                              </w:rPr>
                              <w:t>NMP</w:t>
                            </w:r>
                            <w:r w:rsidRPr="00D75BAA">
                              <w:rPr>
                                <w:rFonts w:cs="Segoe UI"/>
                              </w:rPr>
                              <w:t xml:space="preserve"> in ensuring equitable, timely, safe and affordable access to health technologies for all Australians. </w:t>
                            </w:r>
                          </w:p>
                          <w:p w14:paraId="507902A5" w14:textId="77777777" w:rsidR="00744A81" w:rsidRPr="008939CB" w:rsidRDefault="00744A81" w:rsidP="00744A81">
                            <w:pPr>
                              <w:rPr>
                                <w:rFonts w:cs="Segoe UI"/>
                              </w:rPr>
                            </w:pPr>
                          </w:p>
                        </w:txbxContent>
                      </wps:txbx>
                      <wps:bodyPr rot="0" vert="horz" wrap="square" lIns="91440" tIns="45720" rIns="91440" bIns="45720" anchor="t" anchorCtr="0">
                        <a:noAutofit/>
                      </wps:bodyPr>
                    </wps:wsp>
                  </a:graphicData>
                </a:graphic>
              </wp:inline>
            </w:drawing>
          </mc:Choice>
          <mc:Fallback>
            <w:pict>
              <v:roundrect w14:anchorId="30928B7F" id="Text Box 9" o:spid="_x0000_s1036" style="width:451.3pt;height:259.6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" fillcolor="white [3201]" strokecolor="#acc02a [3208]" strokeweight="1pt">
                <v:stroke joinstyle="miter"/>
                <v:textbox>
                  <w:txbxContent>
                    <w:p w14:paraId="4DB1F450" w14:textId="77777777" w:rsidR="00744A81" w:rsidRPr="00D75BAA" w:rsidRDefault="00744A81" w:rsidP="00744A81">
                      <w:pPr>
                        <w:pStyle w:val="Call-outbox"/>
                      </w:pPr>
                      <w:r w:rsidRPr="00D75BAA">
                        <w:t>Why this matters</w:t>
                      </w:r>
                    </w:p>
                    <w:p w14:paraId="3EF683F8" w14:textId="40ECB461" w:rsidR="00744A81" w:rsidRPr="00D75BAA" w:rsidRDefault="00744A81" w:rsidP="00744A81">
                      <w:pPr>
                        <w:rPr>
                          <w:rFonts w:cs="Segoe UI"/>
                        </w:rPr>
                      </w:pPr>
                      <w:r w:rsidRPr="00D75BAA">
                        <w:rPr>
                          <w:rFonts w:cs="Segoe UI"/>
                        </w:rPr>
                        <w:t>As additional evidence builds over time and new health technologies enter into health</w:t>
                      </w:r>
                      <w:r w:rsidR="00AD398A">
                        <w:rPr>
                          <w:rFonts w:cs="Segoe UI"/>
                        </w:rPr>
                        <w:t xml:space="preserve"> </w:t>
                      </w:r>
                      <w:r w:rsidRPr="00D75BAA">
                        <w:rPr>
                          <w:rFonts w:cs="Segoe UI"/>
                        </w:rPr>
                        <w:t xml:space="preserve">care, the original questions asked </w:t>
                      </w:r>
                      <w:r w:rsidR="00AE43EE">
                        <w:rPr>
                          <w:rFonts w:cs="Segoe UI"/>
                        </w:rPr>
                        <w:t>during</w:t>
                      </w:r>
                      <w:r w:rsidR="00AE43EE" w:rsidRPr="00D75BAA">
                        <w:rPr>
                          <w:rFonts w:cs="Segoe UI"/>
                        </w:rPr>
                        <w:t xml:space="preserve"> </w:t>
                      </w:r>
                      <w:r w:rsidRPr="00D75BAA">
                        <w:rPr>
                          <w:rFonts w:cs="Segoe UI"/>
                        </w:rPr>
                        <w:t>a</w:t>
                      </w:r>
                      <w:r w:rsidR="00AE43EE">
                        <w:rPr>
                          <w:rFonts w:cs="Segoe UI"/>
                        </w:rPr>
                        <w:t>n</w:t>
                      </w:r>
                      <w:r w:rsidRPr="00D75BAA">
                        <w:rPr>
                          <w:rFonts w:cs="Segoe UI"/>
                        </w:rPr>
                        <w:t xml:space="preserve"> HTA evaluation about clinical effectiveness, cost</w:t>
                      </w:r>
                      <w:r w:rsidR="00AE43EE">
                        <w:rPr>
                          <w:rFonts w:cs="Segoe UI"/>
                        </w:rPr>
                        <w:t>-</w:t>
                      </w:r>
                      <w:r w:rsidRPr="00D75BAA">
                        <w:rPr>
                          <w:rFonts w:cs="Segoe UI"/>
                        </w:rPr>
                        <w:t xml:space="preserve">effectiveness, clinical need and value for money may have different answers. </w:t>
                      </w:r>
                    </w:p>
                    <w:p w14:paraId="123191F2" w14:textId="0B6C7334" w:rsidR="00744A81" w:rsidRPr="00D75BAA" w:rsidRDefault="00744A81" w:rsidP="00744A81">
                      <w:pPr>
                        <w:rPr>
                          <w:rFonts w:cs="Segoe UI"/>
                        </w:rPr>
                      </w:pPr>
                      <w:r w:rsidRPr="00D75BAA">
                        <w:rPr>
                          <w:rFonts w:cs="Segoe UI"/>
                        </w:rPr>
                        <w:t>A deliberate and structured process that allows these questions to be asked again (via reassessment) is essential to support optimal and judicious use of health technologies over time</w:t>
                      </w:r>
                      <w:r w:rsidR="007D1706">
                        <w:rPr>
                          <w:rFonts w:cs="Segoe UI"/>
                        </w:rPr>
                        <w:t>. This</w:t>
                      </w:r>
                      <w:r w:rsidRPr="00D75BAA">
                        <w:rPr>
                          <w:rFonts w:cs="Segoe UI"/>
                        </w:rPr>
                        <w:t xml:space="preserve"> may include changes to subsidy arrangements (e.g. relaxation of access conditions or changes in price). </w:t>
                      </w:r>
                    </w:p>
                    <w:p w14:paraId="12B8A405" w14:textId="542AF856" w:rsidR="00744A81" w:rsidRPr="00D75BAA" w:rsidRDefault="00744A81" w:rsidP="00744A81">
                      <w:pPr>
                        <w:rPr>
                          <w:rFonts w:cs="Segoe UI"/>
                        </w:rPr>
                      </w:pPr>
                      <w:r w:rsidRPr="00D75BAA">
                        <w:rPr>
                          <w:rFonts w:cs="Segoe UI"/>
                        </w:rPr>
                        <w:t xml:space="preserve">Structured reassessment processes are therefore an important part of how stakeholders achieve the aims of the </w:t>
                      </w:r>
                      <w:r w:rsidR="006E0405">
                        <w:rPr>
                          <w:rFonts w:cs="Segoe UI"/>
                        </w:rPr>
                        <w:t>NMP</w:t>
                      </w:r>
                      <w:r w:rsidRPr="00D75BAA">
                        <w:rPr>
                          <w:rFonts w:cs="Segoe UI"/>
                        </w:rPr>
                        <w:t xml:space="preserve"> in ensuring equitable, timely, safe and affordable access to health technologies for all Australians. </w:t>
                      </w:r>
                    </w:p>
                    <w:p w14:paraId="507902A5" w14:textId="77777777" w:rsidR="00744A81" w:rsidRPr="008939CB" w:rsidRDefault="00744A81" w:rsidP="00744A81">
                      <w:pPr>
                        <w:rPr>
                          <w:rFonts w:cs="Segoe UI"/>
                        </w:rPr>
                      </w:pPr>
                    </w:p>
                  </w:txbxContent>
                </v:textbox>
                <w10:anchorlock/>
              </v:roundrect>
            </w:pict>
          </mc:Fallback>
        </mc:AlternateContent>
      </w:r>
    </w:p>
    <w:p w14:paraId="1A194AA8" w14:textId="7893D21C" w:rsidR="00647713" w:rsidRPr="0000512A" w:rsidRDefault="00D16D80" w:rsidP="00A318F7">
      <w:pPr>
        <w:pStyle w:val="Heading3"/>
      </w:pPr>
      <w:bookmarkStart w:id="283" w:name="_Toc164691409"/>
      <w:bookmarkStart w:id="284" w:name="_Toc164696207"/>
      <w:bookmarkStart w:id="285" w:name="_Toc164696353"/>
      <w:bookmarkStart w:id="286" w:name="_Toc164767742"/>
      <w:bookmarkStart w:id="287" w:name="_Toc165473679"/>
      <w:r>
        <w:t>F</w:t>
      </w:r>
      <w:r w:rsidR="00647713" w:rsidRPr="0000512A">
        <w:t>indings</w:t>
      </w:r>
      <w:bookmarkEnd w:id="283"/>
      <w:bookmarkEnd w:id="284"/>
      <w:bookmarkEnd w:id="285"/>
      <w:bookmarkEnd w:id="286"/>
      <w:bookmarkEnd w:id="287"/>
    </w:p>
    <w:p w14:paraId="5751DE4E" w14:textId="1BF7AD58" w:rsidR="00647713" w:rsidRPr="0000512A" w:rsidRDefault="00647713" w:rsidP="001704AE">
      <w:pPr>
        <w:rPr>
          <w:rFonts w:cs="Segoe UI"/>
        </w:rPr>
      </w:pPr>
      <w:r w:rsidRPr="0000512A">
        <w:rPr>
          <w:rFonts w:cs="Segoe UI"/>
        </w:rPr>
        <w:t xml:space="preserve">The Review noted from the </w:t>
      </w:r>
      <w:r w:rsidR="000727C6">
        <w:rPr>
          <w:rFonts w:cs="Segoe UI"/>
        </w:rPr>
        <w:t>p</w:t>
      </w:r>
      <w:r w:rsidR="00A1723F">
        <w:rPr>
          <w:rFonts w:cs="Segoe UI"/>
        </w:rPr>
        <w:t>aper</w:t>
      </w:r>
      <w:r w:rsidRPr="0000512A">
        <w:rPr>
          <w:rFonts w:cs="Segoe UI"/>
        </w:rPr>
        <w:t xml:space="preserve"> </w:t>
      </w:r>
      <w:r w:rsidR="00A1723F">
        <w:rPr>
          <w:rFonts w:cs="Segoe UI"/>
          <w:i/>
          <w:iCs/>
        </w:rPr>
        <w:t>Funding and purchasing decisions and Managing Uncertainty</w:t>
      </w:r>
      <w:r w:rsidRPr="0000512A">
        <w:rPr>
          <w:rStyle w:val="FootnoteReference"/>
          <w:rFonts w:cs="Segoe UI"/>
        </w:rPr>
        <w:footnoteReference w:id="83"/>
      </w:r>
      <w:r w:rsidRPr="0000512A">
        <w:rPr>
          <w:rFonts w:cs="Segoe UI"/>
        </w:rPr>
        <w:t xml:space="preserve"> the different approaches to health technology reassessment internationally, and how reassessment arrangements are used to:</w:t>
      </w:r>
    </w:p>
    <w:p w14:paraId="7ACA36EA" w14:textId="36D3752B" w:rsidR="00647713" w:rsidRPr="007D1706" w:rsidRDefault="0010417D" w:rsidP="00281153">
      <w:pPr>
        <w:pStyle w:val="ListBullet"/>
        <w:numPr>
          <w:ilvl w:val="0"/>
          <w:numId w:val="71"/>
        </w:numPr>
      </w:pPr>
      <w:r>
        <w:t>s</w:t>
      </w:r>
      <w:r w:rsidR="00647713" w:rsidRPr="007D1706">
        <w:t>upport the management of identified uncertainties from an initial HTA evaluation</w:t>
      </w:r>
    </w:p>
    <w:p w14:paraId="3AA9B461" w14:textId="07C1DC4B" w:rsidR="00647713" w:rsidRPr="007D1706" w:rsidRDefault="0010417D" w:rsidP="00281153">
      <w:pPr>
        <w:pStyle w:val="ListBullet"/>
        <w:numPr>
          <w:ilvl w:val="0"/>
          <w:numId w:val="71"/>
        </w:numPr>
      </w:pPr>
      <w:r>
        <w:t>f</w:t>
      </w:r>
      <w:r w:rsidR="00647713" w:rsidRPr="007D1706">
        <w:t>acilitate different outcomes based on the result of the reassessment, including:</w:t>
      </w:r>
    </w:p>
    <w:p w14:paraId="1B79D35E" w14:textId="1C4C71FB" w:rsidR="00647713" w:rsidRPr="0000512A" w:rsidRDefault="0010417D" w:rsidP="00281153">
      <w:pPr>
        <w:pStyle w:val="ListBullet"/>
        <w:numPr>
          <w:ilvl w:val="1"/>
          <w:numId w:val="8"/>
        </w:numPr>
      </w:pPr>
      <w:r>
        <w:t>m</w:t>
      </w:r>
      <w:r w:rsidR="00647713" w:rsidRPr="0000512A">
        <w:t xml:space="preserve">aintaining current funding arrangements </w:t>
      </w:r>
    </w:p>
    <w:p w14:paraId="2BAE86BB" w14:textId="6D6B0F49" w:rsidR="00647713" w:rsidRPr="0000512A" w:rsidRDefault="0010417D" w:rsidP="00281153">
      <w:pPr>
        <w:pStyle w:val="ListBullet"/>
        <w:numPr>
          <w:ilvl w:val="1"/>
          <w:numId w:val="8"/>
        </w:numPr>
      </w:pPr>
      <w:r>
        <w:t>i</w:t>
      </w:r>
      <w:r w:rsidR="00647713" w:rsidRPr="0000512A">
        <w:t xml:space="preserve">ncreasing funding for high-value health technologies </w:t>
      </w:r>
    </w:p>
    <w:p w14:paraId="617375A5" w14:textId="3F364D8B" w:rsidR="00647713" w:rsidRPr="0000512A" w:rsidRDefault="0010417D" w:rsidP="00281153">
      <w:pPr>
        <w:pStyle w:val="ListBullet"/>
        <w:numPr>
          <w:ilvl w:val="1"/>
          <w:numId w:val="8"/>
        </w:numPr>
      </w:pPr>
      <w:r>
        <w:t>r</w:t>
      </w:r>
      <w:r w:rsidR="00647713" w:rsidRPr="0000512A">
        <w:t>educing (or fully withdrawing) funding for low-value or questionable health technologies (i.e. disinvestment</w:t>
      </w:r>
      <w:r w:rsidR="00647713" w:rsidRPr="0000512A">
        <w:rPr>
          <w:rStyle w:val="FootnoteReference"/>
        </w:rPr>
        <w:footnoteReference w:id="84"/>
      </w:r>
      <w:r w:rsidR="00647713" w:rsidRPr="0000512A">
        <w:t>)</w:t>
      </w:r>
      <w:r>
        <w:t>.</w:t>
      </w:r>
    </w:p>
    <w:p w14:paraId="2575203F" w14:textId="332CDC20" w:rsidR="00647713" w:rsidRPr="0000512A" w:rsidRDefault="00647713" w:rsidP="000C5623">
      <w:pPr>
        <w:keepNext/>
        <w:rPr>
          <w:rFonts w:cs="Segoe UI"/>
        </w:rPr>
      </w:pPr>
      <w:r w:rsidRPr="0000512A">
        <w:rPr>
          <w:rFonts w:cs="Segoe UI"/>
        </w:rPr>
        <w:t>The Review also noted how the implementation of reassessment and disinvestment arrangements in different health systems reflected:</w:t>
      </w:r>
    </w:p>
    <w:p w14:paraId="1962DA8B" w14:textId="5B0577EA" w:rsidR="00647713" w:rsidRPr="0000512A" w:rsidRDefault="00647713" w:rsidP="00281153">
      <w:pPr>
        <w:pStyle w:val="ListBullet"/>
        <w:numPr>
          <w:ilvl w:val="0"/>
          <w:numId w:val="71"/>
        </w:numPr>
      </w:pPr>
      <w:r w:rsidRPr="0000512A">
        <w:t>the different risks and challenges associated with implementing reassessment and disinvestment arrangements in the localised health settings, including perception, technical</w:t>
      </w:r>
      <w:r w:rsidR="0010417D">
        <w:t xml:space="preserve"> and</w:t>
      </w:r>
      <w:r w:rsidRPr="0000512A">
        <w:t>/</w:t>
      </w:r>
      <w:r w:rsidR="0010417D">
        <w:t xml:space="preserve">or </w:t>
      </w:r>
      <w:r w:rsidRPr="0000512A">
        <w:t>procedural and organisational barriers</w:t>
      </w:r>
    </w:p>
    <w:p w14:paraId="0066CF2E" w14:textId="7BD62000" w:rsidR="00647713" w:rsidRPr="0000512A" w:rsidRDefault="00647713" w:rsidP="00281153">
      <w:pPr>
        <w:pStyle w:val="ListBullet"/>
        <w:numPr>
          <w:ilvl w:val="0"/>
          <w:numId w:val="71"/>
        </w:numPr>
      </w:pPr>
      <w:r w:rsidRPr="0000512A">
        <w:t xml:space="preserve">the different approaches to achieve passive and active disinvestment, including the use of price adjustment mechanisms, clinical guideline reviews influencing </w:t>
      </w:r>
      <w:r w:rsidRPr="0000512A">
        <w:lastRenderedPageBreak/>
        <w:t xml:space="preserve">service provider and payer behaviours, and regularly scheduled, systematic programs of health technology </w:t>
      </w:r>
      <w:r w:rsidRPr="3A876ED1">
        <w:t>reassessment</w:t>
      </w:r>
      <w:r w:rsidRPr="0000512A">
        <w:t xml:space="preserve">. </w:t>
      </w:r>
    </w:p>
    <w:p w14:paraId="4B1BCA4B" w14:textId="3C7378F5" w:rsidR="00647713" w:rsidRPr="0000512A" w:rsidRDefault="00647713" w:rsidP="001704AE">
      <w:pPr>
        <w:rPr>
          <w:rFonts w:cs="Segoe UI"/>
        </w:rPr>
      </w:pPr>
      <w:r w:rsidRPr="0000512A">
        <w:rPr>
          <w:rFonts w:cs="Segoe UI"/>
        </w:rPr>
        <w:t>In its discussions with clinician and industry stakeholders, the Review also noted that some disinvestment also occurs at an individual health technology and/or localised level</w:t>
      </w:r>
      <w:r w:rsidR="0010417D">
        <w:rPr>
          <w:rFonts w:cs="Segoe UI"/>
        </w:rPr>
        <w:t>. This can be</w:t>
      </w:r>
      <w:r w:rsidRPr="0000512A">
        <w:rPr>
          <w:rFonts w:cs="Segoe UI"/>
        </w:rPr>
        <w:t xml:space="preserve"> through clinical decisions made between patients and clinicians, such as when observational evidence demonstrates that using a health technology has not provided expected patient health outcomes. However, such disinvestment considerations are rarely reported or collated in a consistent manner to support patient, clinician and health</w:t>
      </w:r>
      <w:r w:rsidR="008722C8">
        <w:rPr>
          <w:rFonts w:cs="Segoe UI"/>
        </w:rPr>
        <w:t>care</w:t>
      </w:r>
      <w:r w:rsidRPr="0000512A">
        <w:rPr>
          <w:rFonts w:cs="Segoe UI"/>
        </w:rPr>
        <w:t xml:space="preserve"> payer stakeholders’ decision-making at a broader health system</w:t>
      </w:r>
      <w:r w:rsidR="0010417D">
        <w:rPr>
          <w:rFonts w:cs="Segoe UI"/>
        </w:rPr>
        <w:t xml:space="preserve"> and</w:t>
      </w:r>
      <w:r w:rsidRPr="0000512A">
        <w:rPr>
          <w:rFonts w:cs="Segoe UI"/>
        </w:rPr>
        <w:t>/</w:t>
      </w:r>
      <w:r w:rsidR="0010417D">
        <w:rPr>
          <w:rFonts w:cs="Segoe UI"/>
        </w:rPr>
        <w:t xml:space="preserve">or </w:t>
      </w:r>
      <w:r w:rsidRPr="0000512A">
        <w:rPr>
          <w:rFonts w:cs="Segoe UI"/>
        </w:rPr>
        <w:t>population health level, including via changes to clinical guidelines.</w:t>
      </w:r>
      <w:r w:rsidR="00453069">
        <w:rPr>
          <w:rFonts w:cs="Segoe UI"/>
        </w:rPr>
        <w:t xml:space="preserve"> </w:t>
      </w:r>
    </w:p>
    <w:p w14:paraId="03677571" w14:textId="60969197" w:rsidR="00647713" w:rsidRPr="0000512A" w:rsidRDefault="00647713" w:rsidP="001704AE">
      <w:pPr>
        <w:rPr>
          <w:rFonts w:cs="Segoe UI"/>
        </w:rPr>
      </w:pPr>
      <w:r w:rsidRPr="0000512A">
        <w:rPr>
          <w:rFonts w:cs="Segoe UI"/>
        </w:rPr>
        <w:t xml:space="preserve">The Review tested the merits of introducing a broader and more comprehensive health technology reassessment program (including an explicit disinvestment framework) that would operate at scheduled intervals </w:t>
      </w:r>
      <w:r w:rsidR="0010417D">
        <w:rPr>
          <w:rFonts w:cs="Segoe UI"/>
        </w:rPr>
        <w:t>to</w:t>
      </w:r>
      <w:r w:rsidRPr="0000512A">
        <w:rPr>
          <w:rFonts w:cs="Segoe UI"/>
        </w:rPr>
        <w:t xml:space="preserve"> provid</w:t>
      </w:r>
      <w:r w:rsidR="0010417D">
        <w:rPr>
          <w:rFonts w:cs="Segoe UI"/>
        </w:rPr>
        <w:t>e</w:t>
      </w:r>
      <w:r w:rsidRPr="0000512A">
        <w:rPr>
          <w:rFonts w:cs="Segoe UI"/>
        </w:rPr>
        <w:t xml:space="preserve"> funding and disinvestment advice. </w:t>
      </w:r>
    </w:p>
    <w:p w14:paraId="042C7917" w14:textId="0B5C35C9" w:rsidR="00647713" w:rsidRPr="0000512A" w:rsidRDefault="00647713" w:rsidP="001704AE">
      <w:pPr>
        <w:rPr>
          <w:rFonts w:cs="Segoe UI"/>
        </w:rPr>
      </w:pPr>
      <w:r w:rsidRPr="0000512A">
        <w:rPr>
          <w:rFonts w:cs="Segoe UI"/>
        </w:rPr>
        <w:t>Stakeholders generally agreed on the importance of having mechanisms to reassess the use of health technologies after the initial HTA recommendation, consistent with the current operation of the DUSC and PMR arrangements. Suggested improvements to reassessment arrangements included:</w:t>
      </w:r>
    </w:p>
    <w:p w14:paraId="329ADB9A" w14:textId="6B881105" w:rsidR="00647713" w:rsidRPr="0000512A" w:rsidRDefault="00647713" w:rsidP="00281153">
      <w:pPr>
        <w:pStyle w:val="ListBullet"/>
        <w:numPr>
          <w:ilvl w:val="0"/>
          <w:numId w:val="71"/>
        </w:numPr>
      </w:pPr>
      <w:r w:rsidRPr="0000512A">
        <w:t>introducing additional flexibility on reassessment timing, depending on the disease area and the rate of health technology development in the clinical space</w:t>
      </w:r>
    </w:p>
    <w:p w14:paraId="79E77480" w14:textId="50BA33C7" w:rsidR="00647713" w:rsidRPr="0000512A" w:rsidRDefault="00647713" w:rsidP="00281153">
      <w:pPr>
        <w:pStyle w:val="ListBullet"/>
        <w:numPr>
          <w:ilvl w:val="0"/>
          <w:numId w:val="71"/>
        </w:numPr>
      </w:pPr>
      <w:r w:rsidRPr="0000512A">
        <w:t>exten</w:t>
      </w:r>
      <w:r w:rsidR="0010417D">
        <w:t xml:space="preserve">ding a health technology’s </w:t>
      </w:r>
      <w:r w:rsidRPr="0000512A">
        <w:t xml:space="preserve">scope to consider repurposing </w:t>
      </w:r>
      <w:r w:rsidR="003850FD">
        <w:t>it</w:t>
      </w:r>
      <w:r w:rsidRPr="0000512A">
        <w:t xml:space="preserve"> to address areas of unmet clinical need, and more active</w:t>
      </w:r>
      <w:r w:rsidR="003850FD">
        <w:t>ly</w:t>
      </w:r>
      <w:r w:rsidRPr="0000512A">
        <w:t xml:space="preserve"> consid</w:t>
      </w:r>
      <w:r w:rsidR="003850FD">
        <w:t>ering</w:t>
      </w:r>
      <w:r w:rsidRPr="0000512A">
        <w:t xml:space="preserve"> re-investment to support ongoing access to important health technologies following the initial funding decision.</w:t>
      </w:r>
    </w:p>
    <w:p w14:paraId="3F6D5AFB" w14:textId="104A58E3" w:rsidR="00647713" w:rsidRPr="0000512A" w:rsidRDefault="00647713" w:rsidP="001704AE">
      <w:pPr>
        <w:spacing w:after="120" w:line="240" w:lineRule="auto"/>
        <w:rPr>
          <w:rFonts w:cs="Segoe UI"/>
        </w:rPr>
      </w:pPr>
      <w:r w:rsidRPr="0000512A">
        <w:rPr>
          <w:rFonts w:cs="Segoe UI"/>
        </w:rPr>
        <w:t>However, stakeholders disagreed on the need for a disinvestment framework, or qualified their agreement for a disinvestment framework based on whether:</w:t>
      </w:r>
    </w:p>
    <w:p w14:paraId="614836CF" w14:textId="63D6039D" w:rsidR="00647713" w:rsidRPr="0000512A" w:rsidRDefault="00647713" w:rsidP="00281153">
      <w:pPr>
        <w:pStyle w:val="ListBullet"/>
        <w:numPr>
          <w:ilvl w:val="0"/>
          <w:numId w:val="71"/>
        </w:numPr>
      </w:pPr>
      <w:r w:rsidRPr="0000512A">
        <w:t>they considered the existing DUSC</w:t>
      </w:r>
      <w:r w:rsidR="003850FD">
        <w:t xml:space="preserve"> and </w:t>
      </w:r>
      <w:r w:rsidRPr="0000512A">
        <w:t xml:space="preserve">PMR arrangements were sufficient and appropriate to support these disinvestment considerations by the HTA </w:t>
      </w:r>
      <w:r w:rsidR="00C16518">
        <w:t xml:space="preserve">advisory </w:t>
      </w:r>
      <w:r w:rsidRPr="0000512A">
        <w:t>committee or the health</w:t>
      </w:r>
      <w:r w:rsidR="008722C8">
        <w:t>care</w:t>
      </w:r>
      <w:r w:rsidRPr="0000512A">
        <w:t xml:space="preserve"> payer</w:t>
      </w:r>
    </w:p>
    <w:p w14:paraId="2A6B850F" w14:textId="09BDF846" w:rsidR="00647713" w:rsidRPr="0000512A" w:rsidRDefault="00647713" w:rsidP="00281153">
      <w:pPr>
        <w:pStyle w:val="ListBullet"/>
        <w:numPr>
          <w:ilvl w:val="0"/>
          <w:numId w:val="71"/>
        </w:numPr>
      </w:pPr>
      <w:r w:rsidRPr="0000512A">
        <w:t>the reassessment and disinvestment arrangements would apply to all health technologies, or only some health technologies identified via the application of transparent screening criteria</w:t>
      </w:r>
    </w:p>
    <w:p w14:paraId="79DC4C77" w14:textId="57EA5E42" w:rsidR="00647713" w:rsidRPr="0000512A" w:rsidRDefault="00647713" w:rsidP="00281153">
      <w:pPr>
        <w:pStyle w:val="ListBullet"/>
        <w:numPr>
          <w:ilvl w:val="0"/>
          <w:numId w:val="71"/>
        </w:numPr>
      </w:pPr>
      <w:r w:rsidRPr="0000512A">
        <w:t xml:space="preserve">reassessment and disinvestment arrangements would have the same rigour of analysis and evidence requirements as </w:t>
      </w:r>
      <w:r w:rsidR="003850FD">
        <w:t xml:space="preserve">the </w:t>
      </w:r>
      <w:r w:rsidRPr="0000512A">
        <w:t xml:space="preserve">initial HTA </w:t>
      </w:r>
    </w:p>
    <w:p w14:paraId="136E5E08" w14:textId="23CA63ED" w:rsidR="00647713" w:rsidRPr="0000512A" w:rsidRDefault="00647713" w:rsidP="00281153">
      <w:pPr>
        <w:pStyle w:val="ListBullet"/>
        <w:numPr>
          <w:ilvl w:val="0"/>
          <w:numId w:val="71"/>
        </w:numPr>
      </w:pPr>
      <w:r w:rsidRPr="0000512A">
        <w:lastRenderedPageBreak/>
        <w:t xml:space="preserve">implementation of disinvestment decisions would be sufficiently backed by clear communications and consultations to </w:t>
      </w:r>
      <w:r w:rsidR="003850FD">
        <w:t>give</w:t>
      </w:r>
      <w:r w:rsidR="003850FD" w:rsidRPr="0000512A">
        <w:t xml:space="preserve"> </w:t>
      </w:r>
      <w:r w:rsidRPr="0000512A">
        <w:t>stakeholders confidence in the final decisions.</w:t>
      </w:r>
      <w:r w:rsidRPr="0000512A">
        <w:rPr>
          <w:vertAlign w:val="superscript"/>
        </w:rPr>
        <w:footnoteReference w:id="85"/>
      </w:r>
    </w:p>
    <w:p w14:paraId="0C1A027F" w14:textId="26684487" w:rsidR="00647713" w:rsidRPr="0000512A" w:rsidRDefault="00647713" w:rsidP="00A318F7">
      <w:pPr>
        <w:pStyle w:val="Heading3"/>
      </w:pPr>
      <w:bookmarkStart w:id="288" w:name="_Toc164691410"/>
      <w:bookmarkStart w:id="289" w:name="_Toc164696208"/>
      <w:bookmarkStart w:id="290" w:name="_Toc164696354"/>
      <w:bookmarkStart w:id="291" w:name="_Toc164767743"/>
      <w:bookmarkStart w:id="292" w:name="_Toc165473680"/>
      <w:r w:rsidRPr="0000512A">
        <w:t>Conclusion</w:t>
      </w:r>
      <w:bookmarkEnd w:id="288"/>
      <w:bookmarkEnd w:id="289"/>
      <w:bookmarkEnd w:id="290"/>
      <w:bookmarkEnd w:id="291"/>
      <w:bookmarkEnd w:id="292"/>
    </w:p>
    <w:p w14:paraId="5CDE6E58" w14:textId="0819C7E3" w:rsidR="00647713" w:rsidRPr="00F84D11" w:rsidRDefault="00647713" w:rsidP="001704AE">
      <w:pPr>
        <w:rPr>
          <w:rFonts w:cs="Segoe UI"/>
        </w:rPr>
      </w:pPr>
      <w:r w:rsidRPr="00F84D11">
        <w:rPr>
          <w:rFonts w:cs="Segoe UI"/>
        </w:rPr>
        <w:t xml:space="preserve">The Review acknowledges the extensive feedback and direct engagement </w:t>
      </w:r>
      <w:r w:rsidR="003850FD">
        <w:rPr>
          <w:rFonts w:cs="Segoe UI"/>
        </w:rPr>
        <w:t xml:space="preserve">of </w:t>
      </w:r>
      <w:r w:rsidRPr="00F84D11">
        <w:rPr>
          <w:rFonts w:cs="Segoe UI"/>
        </w:rPr>
        <w:t xml:space="preserve">stakeholders </w:t>
      </w:r>
      <w:r w:rsidR="003850FD">
        <w:rPr>
          <w:rFonts w:cs="Segoe UI"/>
        </w:rPr>
        <w:t>i</w:t>
      </w:r>
      <w:r w:rsidRPr="00F84D11">
        <w:rPr>
          <w:rFonts w:cs="Segoe UI"/>
        </w:rPr>
        <w:t>n this matter throughout th</w:t>
      </w:r>
      <w:r w:rsidR="005B4D44">
        <w:rPr>
          <w:rFonts w:cs="Segoe UI"/>
        </w:rPr>
        <w:t>e</w:t>
      </w:r>
      <w:r w:rsidRPr="00F84D11">
        <w:rPr>
          <w:rFonts w:cs="Segoe UI"/>
        </w:rPr>
        <w:t xml:space="preserve"> </w:t>
      </w:r>
      <w:r w:rsidR="007A5AE6">
        <w:rPr>
          <w:rFonts w:cs="Segoe UI"/>
        </w:rPr>
        <w:t>R</w:t>
      </w:r>
      <w:r w:rsidRPr="00F84D11">
        <w:rPr>
          <w:rFonts w:cs="Segoe UI"/>
        </w:rPr>
        <w:t xml:space="preserve">eview process. </w:t>
      </w:r>
    </w:p>
    <w:p w14:paraId="5C3C0640" w14:textId="552EF918" w:rsidR="00647713" w:rsidRPr="00F84D11" w:rsidRDefault="00647713" w:rsidP="001704AE">
      <w:pPr>
        <w:tabs>
          <w:tab w:val="num" w:pos="720"/>
        </w:tabs>
        <w:rPr>
          <w:rFonts w:cs="Segoe UI"/>
        </w:rPr>
      </w:pPr>
      <w:r w:rsidRPr="00F84D11">
        <w:rPr>
          <w:rFonts w:cs="Segoe UI"/>
        </w:rPr>
        <w:t>The Review reiterates its views (reinforced by stakeholder feedback) that some form of health technology reassessment program is necessary and appropriate for the Australian healthcare context to support:</w:t>
      </w:r>
    </w:p>
    <w:p w14:paraId="05C8AEC1" w14:textId="3F80738C" w:rsidR="00647713" w:rsidRPr="00F84D11" w:rsidRDefault="00647713" w:rsidP="00281153">
      <w:pPr>
        <w:pStyle w:val="ListBullet"/>
        <w:numPr>
          <w:ilvl w:val="0"/>
          <w:numId w:val="71"/>
        </w:numPr>
      </w:pPr>
      <w:r w:rsidRPr="00F84D11">
        <w:t>essential review of new evidence that arises after the initial HTA evaluation (including new clinical data and u</w:t>
      </w:r>
      <w:r w:rsidR="003850FD">
        <w:t>se</w:t>
      </w:r>
      <w:r w:rsidRPr="00F84D11">
        <w:t xml:space="preserve"> statistics) that may inform necessary changes to the original recommendations and decisions to ensure health technology subsidises remain an effective and efficient use of healthcare resources to improve patient health outcomes</w:t>
      </w:r>
    </w:p>
    <w:p w14:paraId="392E12AA" w14:textId="7EC661BF" w:rsidR="00647713" w:rsidRPr="00F84D11" w:rsidRDefault="00647713" w:rsidP="00281153">
      <w:pPr>
        <w:pStyle w:val="ListBullet"/>
        <w:numPr>
          <w:ilvl w:val="0"/>
          <w:numId w:val="71"/>
        </w:numPr>
      </w:pPr>
      <w:r w:rsidRPr="00F84D11">
        <w:t>regular examination of a health technology’s place in subsidised patient health</w:t>
      </w:r>
      <w:r w:rsidR="002D33A5">
        <w:t xml:space="preserve"> </w:t>
      </w:r>
      <w:r w:rsidRPr="00F84D11">
        <w:t>care, including any significant shifts in uptake, u</w:t>
      </w:r>
      <w:r w:rsidR="003850FD">
        <w:t>se</w:t>
      </w:r>
      <w:r w:rsidRPr="00F84D11">
        <w:t xml:space="preserve"> and/or displacement that may have quality use or clinical practice implications. </w:t>
      </w:r>
    </w:p>
    <w:p w14:paraId="2A72E415" w14:textId="0616F5DF" w:rsidR="00647713" w:rsidRPr="0000512A" w:rsidRDefault="00EF72AD" w:rsidP="001704AE">
      <w:pPr>
        <w:tabs>
          <w:tab w:val="num" w:pos="720"/>
        </w:tabs>
        <w:rPr>
          <w:rFonts w:cs="Segoe UI"/>
        </w:rPr>
      </w:pPr>
      <w:r>
        <w:rPr>
          <w:rFonts w:cs="Segoe UI"/>
        </w:rPr>
        <w:t>S</w:t>
      </w:r>
      <w:r w:rsidR="00647713" w:rsidRPr="00F84D11">
        <w:rPr>
          <w:rFonts w:cs="Segoe UI"/>
        </w:rPr>
        <w:t>takeholder support or opposition to health technology reassessment generally reflected different stakeholder perspectives and positions on:</w:t>
      </w:r>
    </w:p>
    <w:p w14:paraId="14A4C995" w14:textId="39E331EC" w:rsidR="00647713" w:rsidRPr="0000512A" w:rsidRDefault="00647713" w:rsidP="00281153">
      <w:pPr>
        <w:pStyle w:val="ListBullet"/>
        <w:numPr>
          <w:ilvl w:val="0"/>
          <w:numId w:val="71"/>
        </w:numPr>
      </w:pPr>
      <w:r w:rsidRPr="0000512A">
        <w:t xml:space="preserve">the purpose of the reassessment (including whether reassessment </w:t>
      </w:r>
      <w:r w:rsidR="003850FD">
        <w:t>wa</w:t>
      </w:r>
      <w:r w:rsidRPr="0000512A">
        <w:t>s for explicit disinvestment and withdrawal of health</w:t>
      </w:r>
      <w:r w:rsidR="008722C8">
        <w:t>care</w:t>
      </w:r>
      <w:r w:rsidRPr="0000512A">
        <w:t xml:space="preserve"> payer funding) </w:t>
      </w:r>
    </w:p>
    <w:p w14:paraId="10D60557" w14:textId="5BFEF044" w:rsidR="00647713" w:rsidRPr="0000512A" w:rsidRDefault="00647713" w:rsidP="00281153">
      <w:pPr>
        <w:pStyle w:val="ListBullet"/>
        <w:numPr>
          <w:ilvl w:val="0"/>
          <w:numId w:val="71"/>
        </w:numPr>
      </w:pPr>
      <w:r w:rsidRPr="0000512A">
        <w:t>whether the core audience of the reassessment outcome is a user, a buyer or a seller of the health technology</w:t>
      </w:r>
    </w:p>
    <w:p w14:paraId="7D979486" w14:textId="5E54501F" w:rsidR="00647713" w:rsidRPr="0000512A" w:rsidRDefault="00647713" w:rsidP="00281153">
      <w:pPr>
        <w:pStyle w:val="ListBullet"/>
        <w:numPr>
          <w:ilvl w:val="0"/>
          <w:numId w:val="71"/>
        </w:numPr>
      </w:pPr>
      <w:r w:rsidRPr="0000512A">
        <w:t>the events or circumstances that have triggered the reassessment process</w:t>
      </w:r>
    </w:p>
    <w:p w14:paraId="3B29C22E" w14:textId="68C4D471" w:rsidR="00647713" w:rsidRPr="0000512A" w:rsidRDefault="00647713" w:rsidP="00281153">
      <w:pPr>
        <w:pStyle w:val="ListBullet"/>
        <w:numPr>
          <w:ilvl w:val="0"/>
          <w:numId w:val="71"/>
        </w:numPr>
      </w:pPr>
      <w:r w:rsidRPr="0000512A">
        <w:t xml:space="preserve">the interpretation of what disinvestment means. </w:t>
      </w:r>
    </w:p>
    <w:p w14:paraId="4C0B2EF5" w14:textId="639292EC" w:rsidR="00647713" w:rsidRPr="0000512A" w:rsidRDefault="00647713" w:rsidP="00405FD7">
      <w:pPr>
        <w:rPr>
          <w:rFonts w:cs="Segoe UI"/>
        </w:rPr>
      </w:pPr>
      <w:r w:rsidRPr="0000512A">
        <w:rPr>
          <w:rFonts w:cs="Segoe UI"/>
        </w:rPr>
        <w:t>In responding to these stakeholder observations, the Review has made recommendations to emphasise</w:t>
      </w:r>
      <w:r w:rsidR="008E5880">
        <w:rPr>
          <w:rFonts w:cs="Segoe UI"/>
        </w:rPr>
        <w:t xml:space="preserve"> </w:t>
      </w:r>
      <w:r w:rsidR="00FF2956" w:rsidRPr="00405FD7">
        <w:t xml:space="preserve">the need for the existing mechanisms </w:t>
      </w:r>
      <w:r w:rsidR="00FF2956">
        <w:t>of</w:t>
      </w:r>
      <w:r w:rsidR="00FF2956" w:rsidRPr="00405FD7">
        <w:t xml:space="preserve"> ongoing review </w:t>
      </w:r>
      <w:r w:rsidR="003563BD">
        <w:t xml:space="preserve">covering matters of </w:t>
      </w:r>
      <w:r w:rsidR="001D3DBD">
        <w:t>clinical need</w:t>
      </w:r>
      <w:r w:rsidR="00FF2956" w:rsidRPr="00405FD7">
        <w:t>, u</w:t>
      </w:r>
      <w:r w:rsidR="003850FD">
        <w:t xml:space="preserve">se </w:t>
      </w:r>
      <w:r w:rsidR="00FF2956" w:rsidRPr="00405FD7">
        <w:t>and review of cost-effectiveness</w:t>
      </w:r>
      <w:r w:rsidR="003B28BD">
        <w:t xml:space="preserve">, as well as </w:t>
      </w:r>
      <w:r w:rsidR="00FF2956" w:rsidRPr="00405FD7">
        <w:t xml:space="preserve">areas where </w:t>
      </w:r>
      <w:r w:rsidR="00BE34D7">
        <w:t>the existing mechanisms</w:t>
      </w:r>
      <w:r w:rsidR="00FF2956">
        <w:t xml:space="preserve"> </w:t>
      </w:r>
      <w:r w:rsidR="00FF2956" w:rsidRPr="00405FD7">
        <w:t xml:space="preserve">can be improved </w:t>
      </w:r>
      <w:r w:rsidR="00E828AD">
        <w:t xml:space="preserve">to </w:t>
      </w:r>
      <w:r w:rsidRPr="0000512A">
        <w:rPr>
          <w:rFonts w:cs="Segoe UI"/>
        </w:rPr>
        <w:t>make a tangible difference</w:t>
      </w:r>
      <w:r w:rsidR="00E25847">
        <w:rPr>
          <w:rFonts w:cs="Segoe UI"/>
        </w:rPr>
        <w:t> </w:t>
      </w:r>
      <w:r w:rsidRPr="0000512A">
        <w:rPr>
          <w:rFonts w:cs="Segoe UI"/>
        </w:rPr>
        <w:t>to:</w:t>
      </w:r>
    </w:p>
    <w:p w14:paraId="378EDD26" w14:textId="091B4386" w:rsidR="00647713" w:rsidRPr="0000512A" w:rsidRDefault="00647713" w:rsidP="00281153">
      <w:pPr>
        <w:pStyle w:val="ListBullet"/>
        <w:numPr>
          <w:ilvl w:val="0"/>
          <w:numId w:val="71"/>
        </w:numPr>
      </w:pPr>
      <w:r w:rsidRPr="0000512A">
        <w:t>the overall operation of the HTA process</w:t>
      </w:r>
      <w:r w:rsidR="005D6A56">
        <w:t xml:space="preserve">es </w:t>
      </w:r>
      <w:r w:rsidRPr="0000512A">
        <w:t xml:space="preserve">(such as information feedback into activities such as horizon scanning and advice on areas of research need) </w:t>
      </w:r>
    </w:p>
    <w:p w14:paraId="22621A94" w14:textId="11065D08" w:rsidR="00647713" w:rsidRPr="0000512A" w:rsidRDefault="00647713" w:rsidP="00281153">
      <w:pPr>
        <w:pStyle w:val="ListBullet"/>
        <w:numPr>
          <w:ilvl w:val="0"/>
          <w:numId w:val="71"/>
        </w:numPr>
      </w:pPr>
      <w:r w:rsidRPr="0000512A">
        <w:t>the utility of health technologies for different purposes later in the lifecycle (especially in the context of repurposing and continu</w:t>
      </w:r>
      <w:r w:rsidR="003850FD">
        <w:t>ing</w:t>
      </w:r>
      <w:r w:rsidRPr="0000512A">
        <w:t xml:space="preserve"> investment to support important availability needs)</w:t>
      </w:r>
    </w:p>
    <w:p w14:paraId="28A26467" w14:textId="75A0357E" w:rsidR="00647713" w:rsidRPr="0000512A" w:rsidRDefault="00647713" w:rsidP="00281153">
      <w:pPr>
        <w:pStyle w:val="ListBullet"/>
        <w:numPr>
          <w:ilvl w:val="0"/>
          <w:numId w:val="71"/>
        </w:numPr>
      </w:pPr>
      <w:r w:rsidRPr="0000512A">
        <w:lastRenderedPageBreak/>
        <w:t xml:space="preserve">the way that stakeholder engagement and participation is encouraged not just before or during the HTA process, but also during the broader health technology lifecycle, as part of joint responsibility and stewardship for the objectives of the </w:t>
      </w:r>
      <w:r w:rsidR="006E0405">
        <w:t>NMP</w:t>
      </w:r>
      <w:r w:rsidR="003850FD">
        <w:t>.</w:t>
      </w:r>
      <w:r w:rsidR="00E25847">
        <w:rPr>
          <w:rStyle w:val="FootnoteReference"/>
        </w:rPr>
        <w:footnoteReference w:id="86"/>
      </w:r>
      <w:r w:rsidRPr="0000512A">
        <w:t xml:space="preserve"> </w:t>
      </w:r>
    </w:p>
    <w:p w14:paraId="78F28594" w14:textId="77777777" w:rsidR="00647713" w:rsidRPr="005932C6" w:rsidRDefault="00647713" w:rsidP="00A318F7">
      <w:pPr>
        <w:pStyle w:val="Heading3"/>
      </w:pPr>
      <w:bookmarkStart w:id="293" w:name="_Toc164691411"/>
      <w:bookmarkStart w:id="294" w:name="_Toc164696209"/>
      <w:bookmarkStart w:id="295" w:name="_Toc164696355"/>
      <w:bookmarkStart w:id="296" w:name="_Toc164767744"/>
      <w:bookmarkStart w:id="297" w:name="_Toc165473681"/>
      <w:r w:rsidRPr="005932C6">
        <w:t>Objectives of recommendations</w:t>
      </w:r>
      <w:bookmarkEnd w:id="293"/>
      <w:bookmarkEnd w:id="294"/>
      <w:bookmarkEnd w:id="295"/>
      <w:bookmarkEnd w:id="296"/>
      <w:bookmarkEnd w:id="297"/>
      <w:r w:rsidRPr="005932C6">
        <w:t xml:space="preserve"> </w:t>
      </w:r>
    </w:p>
    <w:p w14:paraId="69BF0A64" w14:textId="75FA32B5" w:rsidR="00647713" w:rsidRPr="0000512A" w:rsidRDefault="00647713" w:rsidP="001704AE">
      <w:pPr>
        <w:rPr>
          <w:rFonts w:cs="Segoe UI"/>
          <w:b/>
        </w:rPr>
      </w:pPr>
      <w:r w:rsidRPr="005932C6">
        <w:rPr>
          <w:rFonts w:eastAsiaTheme="majorEastAsia" w:cs="Segoe UI"/>
        </w:rPr>
        <w:t>The Review</w:t>
      </w:r>
      <w:r w:rsidR="005932C6">
        <w:rPr>
          <w:rFonts w:eastAsiaTheme="majorEastAsia" w:cs="Segoe UI"/>
        </w:rPr>
        <w:t>’s</w:t>
      </w:r>
      <w:r w:rsidRPr="005932C6">
        <w:rPr>
          <w:rFonts w:eastAsiaTheme="majorEastAsia" w:cs="Segoe UI"/>
        </w:rPr>
        <w:t xml:space="preserve"> recommendations are intended to supplement the existing purposes and principles of the reassessment programs and improve decision</w:t>
      </w:r>
      <w:r w:rsidR="005932C6">
        <w:rPr>
          <w:rFonts w:eastAsiaTheme="majorEastAsia" w:cs="Segoe UI"/>
        </w:rPr>
        <w:t>-</w:t>
      </w:r>
      <w:r w:rsidRPr="005932C6">
        <w:rPr>
          <w:rFonts w:eastAsiaTheme="majorEastAsia" w:cs="Segoe UI"/>
        </w:rPr>
        <w:t xml:space="preserve">making relating to ongoing access </w:t>
      </w:r>
      <w:r w:rsidR="005932C6">
        <w:rPr>
          <w:rFonts w:eastAsiaTheme="majorEastAsia" w:cs="Segoe UI"/>
        </w:rPr>
        <w:t xml:space="preserve">to </w:t>
      </w:r>
      <w:r w:rsidRPr="005932C6">
        <w:rPr>
          <w:rFonts w:eastAsiaTheme="majorEastAsia" w:cs="Segoe UI"/>
        </w:rPr>
        <w:t>and subsid</w:t>
      </w:r>
      <w:r w:rsidR="005932C6">
        <w:rPr>
          <w:rFonts w:eastAsiaTheme="majorEastAsia" w:cs="Segoe UI"/>
        </w:rPr>
        <w:t>isation</w:t>
      </w:r>
      <w:r w:rsidRPr="005932C6">
        <w:rPr>
          <w:rFonts w:eastAsiaTheme="majorEastAsia" w:cs="Segoe UI"/>
        </w:rPr>
        <w:t xml:space="preserve"> of health technologies.</w:t>
      </w:r>
    </w:p>
    <w:p w14:paraId="60FE9D8E" w14:textId="77777777" w:rsidR="00647713" w:rsidRPr="0000512A" w:rsidRDefault="00647713" w:rsidP="00A318F7">
      <w:pPr>
        <w:pStyle w:val="Heading3"/>
      </w:pPr>
      <w:bookmarkStart w:id="298" w:name="_Toc164691412"/>
      <w:bookmarkStart w:id="299" w:name="_Toc164696210"/>
      <w:bookmarkStart w:id="300" w:name="_Toc164696356"/>
      <w:bookmarkStart w:id="301" w:name="_Toc164767745"/>
      <w:bookmarkStart w:id="302" w:name="_Toc165473682"/>
      <w:r w:rsidRPr="0000512A">
        <w:t>Recommendations</w:t>
      </w:r>
      <w:bookmarkEnd w:id="298"/>
      <w:bookmarkEnd w:id="299"/>
      <w:bookmarkEnd w:id="300"/>
      <w:bookmarkEnd w:id="301"/>
      <w:bookmarkEnd w:id="302"/>
      <w:r w:rsidRPr="0000512A">
        <w:t xml:space="preserve"> </w:t>
      </w:r>
    </w:p>
    <w:p w14:paraId="4A50236B" w14:textId="2A892BE8" w:rsidR="000D3688" w:rsidRDefault="00B15715" w:rsidP="00645D5E">
      <w:pPr>
        <w:pStyle w:val="Recommendation1"/>
      </w:pPr>
      <w:bookmarkStart w:id="303" w:name="_Hlk167301976"/>
      <w:r w:rsidRPr="00B15715">
        <w:t>Updated post-</w:t>
      </w:r>
      <w:r w:rsidR="00391BF2">
        <w:t>R</w:t>
      </w:r>
      <w:r w:rsidRPr="00B15715">
        <w:t>eview framework</w:t>
      </w:r>
    </w:p>
    <w:bookmarkEnd w:id="303"/>
    <w:p w14:paraId="22EF3AC3" w14:textId="3EFEA36B" w:rsidR="00647713" w:rsidRPr="001B1FEE" w:rsidRDefault="00647713" w:rsidP="0091498F">
      <w:r w:rsidRPr="00405FD7">
        <w:t xml:space="preserve">The Review recommends </w:t>
      </w:r>
      <w:r w:rsidR="007C48B8">
        <w:t xml:space="preserve">that </w:t>
      </w:r>
      <w:r w:rsidRPr="00405FD7">
        <w:t>the Australian Government</w:t>
      </w:r>
      <w:r w:rsidRPr="001B1FEE">
        <w:t>:</w:t>
      </w:r>
    </w:p>
    <w:p w14:paraId="4EAE0D13" w14:textId="7C8FA0CF" w:rsidR="00647713" w:rsidRPr="0000512A" w:rsidRDefault="005932C6" w:rsidP="00281153">
      <w:pPr>
        <w:pStyle w:val="ListParagraph"/>
        <w:numPr>
          <w:ilvl w:val="0"/>
          <w:numId w:val="38"/>
        </w:numPr>
        <w:rPr>
          <w:rFonts w:cs="Segoe UI"/>
        </w:rPr>
      </w:pPr>
      <w:r>
        <w:rPr>
          <w:rFonts w:eastAsia="Times New Roman" w:cs="Segoe UI"/>
          <w:lang w:eastAsia="en-AU"/>
        </w:rPr>
        <w:t>b</w:t>
      </w:r>
      <w:r w:rsidR="00647713" w:rsidRPr="0000512A">
        <w:rPr>
          <w:rFonts w:eastAsia="Times New Roman" w:cs="Segoe UI"/>
          <w:lang w:eastAsia="en-AU"/>
        </w:rPr>
        <w:t xml:space="preserve">uild on existing health technology review and evaluation arrangements (including the </w:t>
      </w:r>
      <w:r w:rsidR="00AA59FB" w:rsidRPr="00AA59FB">
        <w:rPr>
          <w:rFonts w:eastAsia="Times New Roman" w:cs="Segoe UI"/>
          <w:lang w:eastAsia="en-AU"/>
        </w:rPr>
        <w:t>Drug Utilisation Sub-Committee</w:t>
      </w:r>
      <w:r w:rsidR="006301B3">
        <w:rPr>
          <w:rFonts w:eastAsia="Times New Roman" w:cs="Segoe UI"/>
          <w:lang w:eastAsia="en-AU"/>
        </w:rPr>
        <w:t xml:space="preserve"> (DUSC)</w:t>
      </w:r>
      <w:r w:rsidR="00AA59FB" w:rsidRPr="00AA59FB" w:rsidDel="00AA59FB">
        <w:rPr>
          <w:rFonts w:eastAsia="Times New Roman" w:cs="Segoe UI"/>
          <w:lang w:eastAsia="en-AU"/>
        </w:rPr>
        <w:t xml:space="preserve"> </w:t>
      </w:r>
      <w:r w:rsidR="00647713" w:rsidRPr="0000512A">
        <w:rPr>
          <w:rFonts w:eastAsia="Times New Roman" w:cs="Segoe UI"/>
          <w:lang w:eastAsia="en-AU"/>
        </w:rPr>
        <w:t xml:space="preserve">and </w:t>
      </w:r>
      <w:r w:rsidR="003A3C30" w:rsidRPr="003A3C30">
        <w:rPr>
          <w:rFonts w:eastAsia="Times New Roman" w:cs="Segoe UI"/>
          <w:lang w:eastAsia="en-AU"/>
        </w:rPr>
        <w:t>post-market review</w:t>
      </w:r>
      <w:r w:rsidR="00647713" w:rsidRPr="0000512A">
        <w:rPr>
          <w:rFonts w:eastAsia="Times New Roman" w:cs="Segoe UI"/>
          <w:lang w:eastAsia="en-AU"/>
        </w:rPr>
        <w:t xml:space="preserve"> program) to support regular and periodic examination of the performance, utilisation, displacement and clinical place of a health technology (or health technologies) for a given clinical indication after it has been subsidised by a health</w:t>
      </w:r>
      <w:r w:rsidR="008722C8">
        <w:rPr>
          <w:rFonts w:eastAsia="Times New Roman" w:cs="Segoe UI"/>
          <w:lang w:eastAsia="en-AU"/>
        </w:rPr>
        <w:t>care</w:t>
      </w:r>
      <w:r w:rsidR="00647713" w:rsidRPr="0000512A">
        <w:rPr>
          <w:rFonts w:eastAsia="Times New Roman" w:cs="Segoe UI"/>
          <w:lang w:eastAsia="en-AU"/>
        </w:rPr>
        <w:t xml:space="preserve"> payer</w:t>
      </w:r>
      <w:r w:rsidR="00453069">
        <w:rPr>
          <w:rFonts w:eastAsia="Times New Roman" w:cs="Segoe UI"/>
          <w:lang w:eastAsia="en-AU"/>
        </w:rPr>
        <w:t xml:space="preserve"> </w:t>
      </w:r>
    </w:p>
    <w:p w14:paraId="063881A0" w14:textId="7DE4259A" w:rsidR="00647713" w:rsidRPr="0000512A" w:rsidRDefault="005932C6" w:rsidP="00281153">
      <w:pPr>
        <w:pStyle w:val="ListParagraph"/>
        <w:numPr>
          <w:ilvl w:val="0"/>
          <w:numId w:val="38"/>
        </w:numPr>
        <w:spacing w:after="0" w:line="240" w:lineRule="auto"/>
        <w:textAlignment w:val="baseline"/>
        <w:rPr>
          <w:rFonts w:eastAsia="Times New Roman" w:cs="Segoe UI"/>
          <w:lang w:eastAsia="en-AU"/>
        </w:rPr>
      </w:pPr>
      <w:r>
        <w:rPr>
          <w:rFonts w:eastAsia="Times New Roman" w:cs="Segoe UI"/>
          <w:lang w:eastAsia="en-AU"/>
        </w:rPr>
        <w:t>i</w:t>
      </w:r>
      <w:r w:rsidR="00647713" w:rsidRPr="0000512A">
        <w:rPr>
          <w:rFonts w:eastAsia="Times New Roman" w:cs="Segoe UI"/>
          <w:lang w:eastAsia="en-AU"/>
        </w:rPr>
        <w:t>nclude activities supporting review throughout a health technology’s post-listing utilisation lifecycle, including but not limited to: </w:t>
      </w:r>
    </w:p>
    <w:p w14:paraId="40D183EF" w14:textId="5D91C39E" w:rsidR="00647713" w:rsidRPr="003405A1" w:rsidRDefault="00647713" w:rsidP="00281153">
      <w:pPr>
        <w:numPr>
          <w:ilvl w:val="1"/>
          <w:numId w:val="38"/>
        </w:numPr>
        <w:spacing w:after="0" w:line="240" w:lineRule="auto"/>
        <w:textAlignment w:val="baseline"/>
        <w:rPr>
          <w:rFonts w:eastAsia="Times New Roman" w:cs="Segoe UI"/>
          <w:lang w:eastAsia="en-AU"/>
        </w:rPr>
      </w:pPr>
      <w:r w:rsidRPr="0000512A">
        <w:rPr>
          <w:rFonts w:eastAsia="Times New Roman" w:cs="Segoe UI"/>
          <w:lang w:eastAsia="en-AU"/>
        </w:rPr>
        <w:t>advice on commissioning additional health technology</w:t>
      </w:r>
      <w:r w:rsidR="000D784B">
        <w:rPr>
          <w:rFonts w:eastAsia="Times New Roman" w:cs="Segoe UI"/>
          <w:lang w:eastAsia="en-AU"/>
        </w:rPr>
        <w:t>–</w:t>
      </w:r>
      <w:r w:rsidRPr="0000512A">
        <w:rPr>
          <w:rFonts w:eastAsia="Times New Roman" w:cs="Segoe UI"/>
          <w:lang w:eastAsia="en-AU"/>
        </w:rPr>
        <w:t xml:space="preserve">related research in collaboration with existing </w:t>
      </w:r>
      <w:r w:rsidR="000D784B">
        <w:rPr>
          <w:rFonts w:eastAsia="Times New Roman" w:cs="Segoe UI"/>
          <w:lang w:eastAsia="en-AU"/>
        </w:rPr>
        <w:t>g</w:t>
      </w:r>
      <w:r w:rsidRPr="0000512A">
        <w:rPr>
          <w:rFonts w:eastAsia="Times New Roman" w:cs="Segoe UI"/>
          <w:lang w:eastAsia="en-AU"/>
        </w:rPr>
        <w:t xml:space="preserve">overnment programs such as the </w:t>
      </w:r>
      <w:r w:rsidR="00FF7D36" w:rsidRPr="00FF7D36">
        <w:rPr>
          <w:rFonts w:eastAsia="Times New Roman" w:cs="Segoe UI"/>
          <w:lang w:eastAsia="en-AU"/>
        </w:rPr>
        <w:t>Medical Research Future Fund</w:t>
      </w:r>
      <w:r w:rsidR="006301B3">
        <w:rPr>
          <w:rFonts w:eastAsia="Times New Roman" w:cs="Segoe UI"/>
          <w:lang w:eastAsia="en-AU"/>
        </w:rPr>
        <w:t xml:space="preserve"> (MRFF)</w:t>
      </w:r>
      <w:r w:rsidR="00FF7D36" w:rsidRPr="00FF7D36">
        <w:rPr>
          <w:rFonts w:eastAsia="Times New Roman" w:cs="Segoe UI"/>
          <w:lang w:eastAsia="en-AU"/>
        </w:rPr>
        <w:t xml:space="preserve"> </w:t>
      </w:r>
      <w:r w:rsidRPr="0000512A">
        <w:rPr>
          <w:rFonts w:eastAsia="Times New Roman" w:cs="Segoe UI"/>
          <w:lang w:eastAsia="en-AU"/>
        </w:rPr>
        <w:t xml:space="preserve">or the </w:t>
      </w:r>
      <w:r w:rsidR="005B4236" w:rsidRPr="005B4236">
        <w:rPr>
          <w:rFonts w:eastAsia="Times New Roman" w:cs="Segoe UI"/>
          <w:lang w:eastAsia="en-AU"/>
        </w:rPr>
        <w:t>National Health and Medical Research Council</w:t>
      </w:r>
      <w:r w:rsidR="006301B3">
        <w:rPr>
          <w:rFonts w:eastAsia="Times New Roman" w:cs="Segoe UI"/>
          <w:lang w:eastAsia="en-AU"/>
        </w:rPr>
        <w:t xml:space="preserve"> (NHMRC)</w:t>
      </w:r>
      <w:r w:rsidRPr="0000512A">
        <w:rPr>
          <w:rFonts w:eastAsia="Times New Roman" w:cs="Segoe UI"/>
          <w:lang w:eastAsia="en-AU"/>
        </w:rPr>
        <w:t>, including (but not limited to) examining the clinical place of, and/or the comparative effectiveness/cost-effectiveness of a health technology</w:t>
      </w:r>
      <w:r w:rsidR="00FA396E">
        <w:rPr>
          <w:rFonts w:eastAsia="Times New Roman" w:cs="Segoe UI"/>
          <w:lang w:eastAsia="en-AU"/>
        </w:rPr>
        <w:t xml:space="preserve"> </w:t>
      </w:r>
    </w:p>
    <w:p w14:paraId="40BF3321" w14:textId="02E1769A" w:rsidR="00647713" w:rsidRPr="003405A1" w:rsidRDefault="00652893" w:rsidP="00281153">
      <w:pPr>
        <w:numPr>
          <w:ilvl w:val="1"/>
          <w:numId w:val="38"/>
        </w:numPr>
        <w:spacing w:after="0" w:line="240" w:lineRule="auto"/>
        <w:textAlignment w:val="baseline"/>
        <w:rPr>
          <w:rFonts w:eastAsia="Times New Roman" w:cs="Segoe UI"/>
          <w:lang w:eastAsia="en-AU"/>
        </w:rPr>
      </w:pPr>
      <w:r>
        <w:rPr>
          <w:rFonts w:eastAsia="Times New Roman" w:cs="Segoe UI"/>
          <w:lang w:eastAsia="en-AU"/>
        </w:rPr>
        <w:t>e</w:t>
      </w:r>
      <w:r w:rsidR="00647713" w:rsidRPr="003405A1">
        <w:rPr>
          <w:rFonts w:eastAsia="Times New Roman" w:cs="Segoe UI"/>
          <w:lang w:eastAsia="en-AU"/>
        </w:rPr>
        <w:t>xamination of health technologies for possible repurposing and/or application in other priority sub</w:t>
      </w:r>
      <w:r w:rsidR="00FD671B">
        <w:rPr>
          <w:rFonts w:eastAsia="Times New Roman" w:cs="Segoe UI"/>
          <w:lang w:eastAsia="en-AU"/>
        </w:rPr>
        <w:t>-</w:t>
      </w:r>
      <w:r w:rsidR="00647713" w:rsidRPr="003405A1">
        <w:rPr>
          <w:rFonts w:eastAsia="Times New Roman" w:cs="Segoe UI"/>
          <w:lang w:eastAsia="en-AU"/>
        </w:rPr>
        <w:t xml:space="preserve">populations (including paediatrics) in response to changes in clinical practice, in collaboration with the </w:t>
      </w:r>
      <w:r w:rsidR="00E04126">
        <w:rPr>
          <w:rFonts w:eastAsia="Times New Roman" w:cs="Segoe UI"/>
          <w:lang w:eastAsia="en-AU"/>
        </w:rPr>
        <w:t>T</w:t>
      </w:r>
      <w:r w:rsidR="00E04126" w:rsidRPr="00E04126">
        <w:rPr>
          <w:rFonts w:eastAsia="Times New Roman" w:cs="Segoe UI"/>
          <w:lang w:eastAsia="en-AU"/>
        </w:rPr>
        <w:t>herapeutic Goods Administration</w:t>
      </w:r>
      <w:r w:rsidR="006301B3">
        <w:rPr>
          <w:rFonts w:eastAsia="Times New Roman" w:cs="Segoe UI"/>
          <w:lang w:eastAsia="en-AU"/>
        </w:rPr>
        <w:t xml:space="preserve"> (TGA)</w:t>
      </w:r>
      <w:r w:rsidR="00E04126" w:rsidRPr="00E04126">
        <w:rPr>
          <w:rFonts w:eastAsia="Times New Roman" w:cs="Segoe UI"/>
          <w:lang w:eastAsia="en-AU"/>
        </w:rPr>
        <w:t xml:space="preserve"> </w:t>
      </w:r>
      <w:r w:rsidR="00647713" w:rsidRPr="003405A1">
        <w:rPr>
          <w:rFonts w:eastAsia="Times New Roman" w:cs="Segoe UI"/>
          <w:lang w:eastAsia="en-AU"/>
        </w:rPr>
        <w:t>committee(s) supporting the medicines repurposing arrangements </w:t>
      </w:r>
    </w:p>
    <w:p w14:paraId="02194186" w14:textId="73B5EFD7" w:rsidR="00647713" w:rsidRPr="003405A1" w:rsidRDefault="00A915F0" w:rsidP="00281153">
      <w:pPr>
        <w:numPr>
          <w:ilvl w:val="1"/>
          <w:numId w:val="38"/>
        </w:numPr>
        <w:spacing w:after="0" w:line="240" w:lineRule="auto"/>
        <w:textAlignment w:val="baseline"/>
        <w:rPr>
          <w:rFonts w:eastAsia="Times New Roman" w:cs="Segoe UI"/>
          <w:lang w:eastAsia="en-AU"/>
        </w:rPr>
      </w:pPr>
      <w:r>
        <w:rPr>
          <w:rFonts w:eastAsia="Times New Roman" w:cs="Segoe UI"/>
          <w:lang w:eastAsia="en-AU"/>
        </w:rPr>
        <w:t>c</w:t>
      </w:r>
      <w:r w:rsidR="00647713" w:rsidRPr="003405A1">
        <w:rPr>
          <w:rFonts w:eastAsia="Times New Roman" w:cs="Segoe UI"/>
          <w:lang w:eastAsia="en-AU"/>
        </w:rPr>
        <w:t xml:space="preserve">onsideration of appropriate changes </w:t>
      </w:r>
      <w:r w:rsidR="00F2686A">
        <w:rPr>
          <w:rFonts w:eastAsia="Times New Roman" w:cs="Segoe UI"/>
          <w:lang w:eastAsia="en-AU"/>
        </w:rPr>
        <w:t>to the circumstances required for</w:t>
      </w:r>
      <w:r w:rsidR="00647713" w:rsidRPr="003405A1">
        <w:rPr>
          <w:rFonts w:eastAsia="Times New Roman" w:cs="Segoe UI"/>
          <w:lang w:eastAsia="en-AU"/>
        </w:rPr>
        <w:t xml:space="preserve"> health technolog</w:t>
      </w:r>
      <w:r w:rsidR="00F2686A">
        <w:rPr>
          <w:rFonts w:eastAsia="Times New Roman" w:cs="Segoe UI"/>
          <w:lang w:eastAsia="en-AU"/>
        </w:rPr>
        <w:t>y subsidy</w:t>
      </w:r>
    </w:p>
    <w:p w14:paraId="1DF35E90" w14:textId="03024923" w:rsidR="00647713" w:rsidRPr="003405A1" w:rsidRDefault="00647713" w:rsidP="00281153">
      <w:pPr>
        <w:numPr>
          <w:ilvl w:val="1"/>
          <w:numId w:val="38"/>
        </w:numPr>
        <w:spacing w:after="0" w:line="240" w:lineRule="auto"/>
        <w:textAlignment w:val="baseline"/>
        <w:rPr>
          <w:rFonts w:eastAsia="Times New Roman" w:cs="Segoe UI"/>
          <w:lang w:eastAsia="en-AU"/>
        </w:rPr>
      </w:pPr>
      <w:r w:rsidRPr="003405A1">
        <w:rPr>
          <w:rFonts w:eastAsia="Times New Roman" w:cs="Segoe UI"/>
          <w:lang w:eastAsia="en-AU"/>
        </w:rPr>
        <w:t>inform</w:t>
      </w:r>
      <w:r w:rsidR="00E25847">
        <w:rPr>
          <w:rFonts w:eastAsia="Times New Roman" w:cs="Segoe UI"/>
          <w:lang w:eastAsia="en-AU"/>
        </w:rPr>
        <w:t xml:space="preserve">ation for </w:t>
      </w:r>
      <w:r w:rsidRPr="003405A1">
        <w:rPr>
          <w:rFonts w:eastAsia="Times New Roman" w:cs="Segoe UI"/>
          <w:lang w:eastAsia="en-AU"/>
        </w:rPr>
        <w:t xml:space="preserve">future dialogue with stakeholders on </w:t>
      </w:r>
      <w:r w:rsidR="00E04126" w:rsidRPr="00612943">
        <w:rPr>
          <w:rFonts w:eastAsia="Times New Roman" w:cs="Segoe UI"/>
          <w:lang w:eastAsia="en-AU"/>
        </w:rPr>
        <w:t>Population, Intervention, Comparator, and Outcome</w:t>
      </w:r>
      <w:r w:rsidR="000D40B7">
        <w:rPr>
          <w:rFonts w:eastAsia="Times New Roman" w:cs="Segoe UI"/>
          <w:lang w:eastAsia="en-AU"/>
        </w:rPr>
        <w:t xml:space="preserve"> (PICO)</w:t>
      </w:r>
      <w:r w:rsidRPr="003405A1">
        <w:rPr>
          <w:rFonts w:eastAsia="Times New Roman" w:cs="Segoe UI"/>
          <w:lang w:eastAsia="en-AU"/>
        </w:rPr>
        <w:t xml:space="preserve"> horizon scanning and investment</w:t>
      </w:r>
      <w:r w:rsidR="00E25847">
        <w:rPr>
          <w:rFonts w:eastAsia="Times New Roman" w:cs="Segoe UI"/>
          <w:lang w:eastAsia="en-AU"/>
        </w:rPr>
        <w:t xml:space="preserve"> or </w:t>
      </w:r>
      <w:r w:rsidRPr="003405A1">
        <w:rPr>
          <w:rFonts w:eastAsia="Times New Roman" w:cs="Segoe UI"/>
          <w:lang w:eastAsia="en-AU"/>
        </w:rPr>
        <w:t xml:space="preserve">disinvestment considerations (including changes in restrictions) matters, where recommended by a review and supported by the relevant </w:t>
      </w:r>
      <w:r w:rsidR="001862BD" w:rsidRPr="001862BD">
        <w:rPr>
          <w:rFonts w:eastAsia="Times New Roman" w:cs="Segoe UI"/>
          <w:lang w:eastAsia="en-AU"/>
        </w:rPr>
        <w:t>HTA</w:t>
      </w:r>
      <w:r w:rsidR="001862BD">
        <w:rPr>
          <w:rFonts w:eastAsia="Times New Roman" w:cs="Segoe UI"/>
          <w:lang w:eastAsia="en-AU"/>
        </w:rPr>
        <w:t xml:space="preserve"> </w:t>
      </w:r>
      <w:r w:rsidR="00C16518">
        <w:rPr>
          <w:rFonts w:eastAsia="Times New Roman" w:cs="Segoe UI"/>
          <w:lang w:eastAsia="en-AU"/>
        </w:rPr>
        <w:t>advisory committee</w:t>
      </w:r>
      <w:r w:rsidR="00453069">
        <w:rPr>
          <w:rFonts w:eastAsia="Times New Roman" w:cs="Segoe UI"/>
          <w:lang w:eastAsia="en-AU"/>
        </w:rPr>
        <w:t xml:space="preserve"> </w:t>
      </w:r>
    </w:p>
    <w:p w14:paraId="1C7F8C97" w14:textId="29CEE6F3" w:rsidR="00647713" w:rsidRPr="003405A1" w:rsidRDefault="00647713" w:rsidP="00524D78">
      <w:pPr>
        <w:numPr>
          <w:ilvl w:val="1"/>
          <w:numId w:val="38"/>
        </w:numPr>
        <w:spacing w:after="360" w:line="240" w:lineRule="auto"/>
        <w:textAlignment w:val="baseline"/>
        <w:rPr>
          <w:rFonts w:eastAsia="Times New Roman" w:cs="Segoe UI"/>
          <w:lang w:eastAsia="en-AU"/>
        </w:rPr>
      </w:pPr>
      <w:r w:rsidRPr="003405A1">
        <w:rPr>
          <w:rFonts w:eastAsia="Times New Roman" w:cs="Segoe UI"/>
          <w:lang w:eastAsia="en-AU"/>
        </w:rPr>
        <w:lastRenderedPageBreak/>
        <w:t>updates to clinical guidelines and prescribing recommendations for clinicians.</w:t>
      </w:r>
      <w:r w:rsidR="00453069">
        <w:rPr>
          <w:rFonts w:eastAsia="Times New Roman" w:cs="Segoe UI"/>
          <w:lang w:eastAsia="en-AU"/>
        </w:rPr>
        <w:t xml:space="preserve"> </w:t>
      </w:r>
    </w:p>
    <w:p w14:paraId="34245BD6" w14:textId="6D8AB3E4" w:rsidR="00647713" w:rsidRPr="003405A1" w:rsidRDefault="007A229D" w:rsidP="002B25F3">
      <w:pPr>
        <w:pStyle w:val="Heading2"/>
      </w:pPr>
      <w:bookmarkStart w:id="304" w:name="_Toc164685825"/>
      <w:bookmarkStart w:id="305" w:name="_Toc164691413"/>
      <w:bookmarkStart w:id="306" w:name="_Toc164696211"/>
      <w:bookmarkStart w:id="307" w:name="_Toc164696357"/>
      <w:bookmarkStart w:id="308" w:name="_Toc164767746"/>
      <w:bookmarkStart w:id="309" w:name="_Toc165473683"/>
      <w:bookmarkStart w:id="310" w:name="_Toc171935882"/>
      <w:r>
        <w:t xml:space="preserve">Chapter </w:t>
      </w:r>
      <w:r w:rsidR="00D14813">
        <w:t>5</w:t>
      </w:r>
      <w:r w:rsidR="00647713" w:rsidRPr="003405A1">
        <w:t>.4</w:t>
      </w:r>
      <w:r>
        <w:t>:</w:t>
      </w:r>
      <w:r w:rsidR="00647713" w:rsidRPr="003405A1">
        <w:t xml:space="preserve"> Practical approaches to managing uncertainty and risk, while supporting patient access to health technologies</w:t>
      </w:r>
      <w:bookmarkEnd w:id="304"/>
      <w:bookmarkEnd w:id="305"/>
      <w:bookmarkEnd w:id="306"/>
      <w:bookmarkEnd w:id="307"/>
      <w:bookmarkEnd w:id="308"/>
      <w:bookmarkEnd w:id="309"/>
      <w:bookmarkEnd w:id="310"/>
    </w:p>
    <w:p w14:paraId="4C65A228" w14:textId="2BA0066F" w:rsidR="001C061E" w:rsidRPr="00621C17" w:rsidRDefault="00D16D80" w:rsidP="00A318F7">
      <w:pPr>
        <w:pStyle w:val="Heading3"/>
      </w:pPr>
      <w:r>
        <w:t>Introduction and context</w:t>
      </w:r>
    </w:p>
    <w:p w14:paraId="50872985" w14:textId="77777777" w:rsidR="00647713" w:rsidRPr="003405A1" w:rsidRDefault="00647713" w:rsidP="001704AE">
      <w:pPr>
        <w:rPr>
          <w:rFonts w:cs="Segoe UI"/>
        </w:rPr>
      </w:pPr>
      <w:r w:rsidRPr="003405A1">
        <w:rPr>
          <w:rFonts w:cs="Segoe UI"/>
        </w:rPr>
        <w:t>The HTA process analyses evidence of the benefits, harms and costs of a health technology to determine its value, including consideration and deliberation on:</w:t>
      </w:r>
    </w:p>
    <w:p w14:paraId="6C50A1EA" w14:textId="77777777" w:rsidR="00647713" w:rsidRPr="002D74EE" w:rsidRDefault="00647713" w:rsidP="00281153">
      <w:pPr>
        <w:pStyle w:val="ListBullet"/>
        <w:numPr>
          <w:ilvl w:val="0"/>
          <w:numId w:val="71"/>
        </w:numPr>
      </w:pPr>
      <w:r w:rsidRPr="002D74EE">
        <w:t>clinical effectiveness – does the health technology work?</w:t>
      </w:r>
    </w:p>
    <w:p w14:paraId="6C607C99" w14:textId="77777777" w:rsidR="00647713" w:rsidRPr="002D74EE" w:rsidRDefault="00647713" w:rsidP="00281153">
      <w:pPr>
        <w:pStyle w:val="ListBullet"/>
        <w:numPr>
          <w:ilvl w:val="0"/>
          <w:numId w:val="71"/>
        </w:numPr>
      </w:pPr>
      <w:r w:rsidRPr="002D74EE">
        <w:t>safety – is it safe to use?</w:t>
      </w:r>
    </w:p>
    <w:p w14:paraId="4C98FDAE" w14:textId="77777777" w:rsidR="00647713" w:rsidRPr="002D74EE" w:rsidRDefault="00647713" w:rsidP="00281153">
      <w:pPr>
        <w:pStyle w:val="ListBullet"/>
        <w:numPr>
          <w:ilvl w:val="0"/>
          <w:numId w:val="71"/>
        </w:numPr>
      </w:pPr>
      <w:r w:rsidRPr="002D74EE">
        <w:t>costs – how much will it cost to use?</w:t>
      </w:r>
    </w:p>
    <w:p w14:paraId="2448DF0B" w14:textId="77777777" w:rsidR="00647713" w:rsidRPr="002D74EE" w:rsidRDefault="00647713" w:rsidP="00281153">
      <w:pPr>
        <w:pStyle w:val="ListBullet"/>
        <w:numPr>
          <w:ilvl w:val="0"/>
          <w:numId w:val="71"/>
        </w:numPr>
      </w:pPr>
      <w:r w:rsidRPr="002D74EE">
        <w:t xml:space="preserve">economic implications – is </w:t>
      </w:r>
      <w:bookmarkStart w:id="311" w:name="_Int_agVqf0pr"/>
      <w:proofErr w:type="gramStart"/>
      <w:r w:rsidRPr="002D74EE">
        <w:t>it</w:t>
      </w:r>
      <w:bookmarkEnd w:id="311"/>
      <w:proofErr w:type="gramEnd"/>
      <w:r w:rsidRPr="002D74EE">
        <w:t xml:space="preserve"> good value for money?</w:t>
      </w:r>
    </w:p>
    <w:p w14:paraId="1AA172E1" w14:textId="77777777" w:rsidR="00647713" w:rsidRPr="00505CC2" w:rsidRDefault="00647713" w:rsidP="00281153">
      <w:pPr>
        <w:pStyle w:val="ListBullet"/>
        <w:numPr>
          <w:ilvl w:val="0"/>
          <w:numId w:val="71"/>
        </w:numPr>
        <w:rPr>
          <w:rFonts w:eastAsia="Times New Roman"/>
          <w:lang w:eastAsia="en-AU"/>
        </w:rPr>
      </w:pPr>
      <w:r w:rsidRPr="002D74EE">
        <w:t>other information</w:t>
      </w:r>
      <w:r w:rsidRPr="003405A1">
        <w:rPr>
          <w:rFonts w:eastAsia="Times New Roman"/>
          <w:lang w:eastAsia="en-AU"/>
        </w:rPr>
        <w:t xml:space="preserve"> – what are the relevant clinical needs, or social or ethical </w:t>
      </w:r>
      <w:r w:rsidRPr="00505CC2">
        <w:rPr>
          <w:rFonts w:eastAsia="Times New Roman"/>
          <w:lang w:eastAsia="en-AU"/>
        </w:rPr>
        <w:t>issues?</w:t>
      </w:r>
      <w:r w:rsidRPr="00505CC2">
        <w:rPr>
          <w:rStyle w:val="FootnoteReference"/>
          <w:rFonts w:eastAsia="Times New Roman"/>
          <w:lang w:eastAsia="en-AU"/>
        </w:rPr>
        <w:footnoteReference w:id="87"/>
      </w:r>
    </w:p>
    <w:p w14:paraId="3EC0D8F6" w14:textId="06F83831" w:rsidR="00647713" w:rsidRPr="00505CC2" w:rsidRDefault="00647713" w:rsidP="001704AE">
      <w:pPr>
        <w:rPr>
          <w:rFonts w:cs="Segoe UI"/>
        </w:rPr>
      </w:pPr>
      <w:r w:rsidRPr="00505CC2">
        <w:rPr>
          <w:rFonts w:cs="Segoe UI"/>
        </w:rPr>
        <w:t xml:space="preserve">Due to the very nature of </w:t>
      </w:r>
      <w:r w:rsidR="287F6956" w:rsidRPr="6CC68A72">
        <w:rPr>
          <w:rFonts w:cs="Segoe UI"/>
        </w:rPr>
        <w:t>HTA,</w:t>
      </w:r>
      <w:r w:rsidRPr="00505CC2">
        <w:rPr>
          <w:rFonts w:cs="Segoe UI"/>
        </w:rPr>
        <w:t xml:space="preserve"> the types of questions </w:t>
      </w:r>
      <w:r w:rsidR="00961A1B">
        <w:rPr>
          <w:rFonts w:cs="Segoe UI"/>
        </w:rPr>
        <w:t xml:space="preserve">an </w:t>
      </w:r>
      <w:r w:rsidR="00B27994">
        <w:rPr>
          <w:rFonts w:cs="Segoe UI"/>
        </w:rPr>
        <w:t>HTA</w:t>
      </w:r>
      <w:r w:rsidRPr="00505CC2">
        <w:rPr>
          <w:rFonts w:cs="Segoe UI"/>
        </w:rPr>
        <w:t xml:space="preserve"> tries to answer and the evidence that is available to answer those questions, a level of uncertainty will always exist and </w:t>
      </w:r>
      <w:r w:rsidR="0002354D">
        <w:rPr>
          <w:rFonts w:cs="Segoe UI"/>
        </w:rPr>
        <w:t xml:space="preserve">hence </w:t>
      </w:r>
      <w:r w:rsidRPr="00505CC2">
        <w:rPr>
          <w:rFonts w:cs="Segoe UI"/>
        </w:rPr>
        <w:t xml:space="preserve">influence any advice and decision-making about the use of, and funding for, a health technology. </w:t>
      </w:r>
    </w:p>
    <w:p w14:paraId="07502A31" w14:textId="58B116C8" w:rsidR="00647713" w:rsidRPr="00505CC2" w:rsidRDefault="00647713" w:rsidP="001704AE">
      <w:pPr>
        <w:rPr>
          <w:rFonts w:cs="Segoe UI"/>
        </w:rPr>
      </w:pPr>
      <w:r w:rsidRPr="00505CC2">
        <w:rPr>
          <w:rFonts w:cs="Segoe UI"/>
        </w:rPr>
        <w:t xml:space="preserve">The types of uncertainty that can arise and are most relevant in the HTA context (and consequently need to be considered, addressed and managed by </w:t>
      </w:r>
      <w:r w:rsidR="005E4C96" w:rsidRPr="009C55AF">
        <w:rPr>
          <w:rFonts w:cs="Segoe UI"/>
        </w:rPr>
        <w:t>sponsors</w:t>
      </w:r>
      <w:r w:rsidR="005E4C96">
        <w:rPr>
          <w:rFonts w:cs="Segoe UI"/>
        </w:rPr>
        <w:t xml:space="preserve">, </w:t>
      </w:r>
      <w:r w:rsidRPr="00505CC2">
        <w:rPr>
          <w:rFonts w:cs="Segoe UI"/>
        </w:rPr>
        <w:t xml:space="preserve">HTA </w:t>
      </w:r>
      <w:r w:rsidR="00C16518">
        <w:rPr>
          <w:rFonts w:cs="Segoe UI"/>
        </w:rPr>
        <w:t xml:space="preserve">advisory </w:t>
      </w:r>
      <w:r w:rsidRPr="00505CC2">
        <w:rPr>
          <w:rFonts w:cs="Segoe UI"/>
        </w:rPr>
        <w:t>committees and health</w:t>
      </w:r>
      <w:r w:rsidR="008722C8">
        <w:rPr>
          <w:rFonts w:cs="Segoe UI"/>
        </w:rPr>
        <w:t>care</w:t>
      </w:r>
      <w:r w:rsidRPr="00505CC2">
        <w:rPr>
          <w:rFonts w:cs="Segoe UI"/>
        </w:rPr>
        <w:t xml:space="preserve"> payers) include: </w:t>
      </w:r>
    </w:p>
    <w:p w14:paraId="296F3E98" w14:textId="7EEFE5A8" w:rsidR="00647713" w:rsidRPr="00505CC2" w:rsidRDefault="00961A1B" w:rsidP="00281153">
      <w:pPr>
        <w:pStyle w:val="ListBullet"/>
        <w:numPr>
          <w:ilvl w:val="0"/>
          <w:numId w:val="71"/>
        </w:numPr>
      </w:pPr>
      <w:r>
        <w:rPr>
          <w:b/>
        </w:rPr>
        <w:t>c</w:t>
      </w:r>
      <w:r w:rsidR="00647713" w:rsidRPr="00505CC2">
        <w:rPr>
          <w:b/>
        </w:rPr>
        <w:t>linical uncertainty</w:t>
      </w:r>
      <w:r w:rsidR="00647713" w:rsidRPr="000C5623">
        <w:rPr>
          <w:bCs/>
        </w:rPr>
        <w:t>,</w:t>
      </w:r>
      <w:r w:rsidR="00647713" w:rsidRPr="00505CC2">
        <w:rPr>
          <w:b/>
        </w:rPr>
        <w:t xml:space="preserve"> </w:t>
      </w:r>
      <w:r w:rsidR="00647713" w:rsidRPr="00505CC2">
        <w:t xml:space="preserve">such as how long the clinical benefits of a health technology will last, whether the health technology works as intended in broad clinical practice, and how the health </w:t>
      </w:r>
      <w:r w:rsidR="00647713" w:rsidRPr="00505CC2">
        <w:rPr>
          <w:lang w:val="en-GB"/>
        </w:rPr>
        <w:t xml:space="preserve">technology compares </w:t>
      </w:r>
      <w:r w:rsidR="00647713" w:rsidRPr="002D74EE">
        <w:t>to existing products or alternatives in terms of clinical outcomes</w:t>
      </w:r>
    </w:p>
    <w:p w14:paraId="2BC107D0" w14:textId="50D98EE8" w:rsidR="00647713" w:rsidRPr="00505CC2" w:rsidRDefault="00961A1B" w:rsidP="00281153">
      <w:pPr>
        <w:pStyle w:val="ListBullet"/>
        <w:numPr>
          <w:ilvl w:val="0"/>
          <w:numId w:val="71"/>
        </w:numPr>
      </w:pPr>
      <w:r>
        <w:rPr>
          <w:b/>
          <w:bCs/>
        </w:rPr>
        <w:t>e</w:t>
      </w:r>
      <w:r w:rsidR="00647713" w:rsidRPr="002D74EE">
        <w:rPr>
          <w:b/>
          <w:bCs/>
        </w:rPr>
        <w:t>conomic uncertainty</w:t>
      </w:r>
      <w:r w:rsidR="00647713" w:rsidRPr="002D74EE">
        <w:t xml:space="preserve">, </w:t>
      </w:r>
      <w:r w:rsidR="00647713" w:rsidRPr="00505CC2">
        <w:t>such as the</w:t>
      </w:r>
      <w:r w:rsidR="00647713" w:rsidRPr="002D74EE">
        <w:t xml:space="preserve"> </w:t>
      </w:r>
      <w:r w:rsidR="00647713" w:rsidRPr="00505CC2">
        <w:t>cost-effectiveness of a new health technology (compar</w:t>
      </w:r>
      <w:r>
        <w:t>ed</w:t>
      </w:r>
      <w:r w:rsidR="00647713" w:rsidRPr="00505CC2">
        <w:t xml:space="preserve"> with existing health technologies), how the costs compare to the benefits</w:t>
      </w:r>
      <w:r>
        <w:t>,</w:t>
      </w:r>
      <w:r w:rsidR="00647713" w:rsidRPr="00505CC2">
        <w:t xml:space="preserve"> and whether the cost is justified by the associated improvement in clinical outcomes (quality of life or life expectancy) </w:t>
      </w:r>
    </w:p>
    <w:p w14:paraId="2755920D" w14:textId="06145600" w:rsidR="00647713" w:rsidRPr="00505CC2" w:rsidRDefault="00647713" w:rsidP="00281153">
      <w:pPr>
        <w:pStyle w:val="ListBullet"/>
        <w:numPr>
          <w:ilvl w:val="0"/>
          <w:numId w:val="71"/>
        </w:numPr>
      </w:pPr>
      <w:r w:rsidRPr="002D74EE">
        <w:rPr>
          <w:b/>
          <w:bCs/>
        </w:rPr>
        <w:lastRenderedPageBreak/>
        <w:t>Financial uncertainty</w:t>
      </w:r>
      <w:r w:rsidRPr="002D74EE">
        <w:t xml:space="preserve">, </w:t>
      </w:r>
      <w:r w:rsidRPr="00505CC2">
        <w:t>such as</w:t>
      </w:r>
      <w:r w:rsidRPr="002D74EE">
        <w:t xml:space="preserve"> </w:t>
      </w:r>
      <w:r w:rsidRPr="00505CC2">
        <w:t>the</w:t>
      </w:r>
      <w:r w:rsidRPr="002D74EE">
        <w:t xml:space="preserve"> </w:t>
      </w:r>
      <w:r w:rsidRPr="00505CC2">
        <w:t>budgetary implications of adopting a health technology and paying for its ongoing use in health</w:t>
      </w:r>
      <w:r w:rsidR="002D33A5">
        <w:t xml:space="preserve"> </w:t>
      </w:r>
      <w:r w:rsidRPr="00505CC2">
        <w:t>care when the true patient population may be over- or under-estimated.</w:t>
      </w:r>
      <w:r w:rsidRPr="00505CC2">
        <w:rPr>
          <w:rStyle w:val="FootnoteReference"/>
        </w:rPr>
        <w:footnoteReference w:id="88"/>
      </w:r>
    </w:p>
    <w:p w14:paraId="13A97EDA" w14:textId="454C2848" w:rsidR="00647713" w:rsidRPr="00505CC2" w:rsidRDefault="00647713" w:rsidP="001704AE">
      <w:pPr>
        <w:rPr>
          <w:rFonts w:cs="Segoe UI"/>
        </w:rPr>
      </w:pPr>
      <w:r w:rsidRPr="00505CC2">
        <w:rPr>
          <w:rFonts w:cs="Segoe UI"/>
        </w:rPr>
        <w:t>In many cases, the uncertainties identified through</w:t>
      </w:r>
      <w:r w:rsidRPr="00505CC2" w:rsidDel="00A9489D">
        <w:rPr>
          <w:rFonts w:cs="Segoe UI"/>
        </w:rPr>
        <w:t xml:space="preserve"> </w:t>
      </w:r>
      <w:r w:rsidRPr="00505CC2">
        <w:rPr>
          <w:rFonts w:cs="Segoe UI"/>
        </w:rPr>
        <w:t>HTA process</w:t>
      </w:r>
      <w:r w:rsidR="00A9489D">
        <w:rPr>
          <w:rFonts w:cs="Segoe UI"/>
        </w:rPr>
        <w:t>es</w:t>
      </w:r>
      <w:r w:rsidRPr="00505CC2">
        <w:rPr>
          <w:rFonts w:cs="Segoe UI"/>
        </w:rPr>
        <w:t xml:space="preserve"> are</w:t>
      </w:r>
      <w:r w:rsidR="002546A5">
        <w:rPr>
          <w:rFonts w:cs="Segoe UI"/>
        </w:rPr>
        <w:t xml:space="preserve"> – </w:t>
      </w:r>
      <w:r w:rsidR="002546A5" w:rsidRPr="00505CC2">
        <w:rPr>
          <w:rFonts w:cs="Segoe UI"/>
        </w:rPr>
        <w:t>after deliberation and weighing up available evidence</w:t>
      </w:r>
      <w:r w:rsidR="002546A5">
        <w:rPr>
          <w:rFonts w:cs="Segoe UI"/>
        </w:rPr>
        <w:t xml:space="preserve"> –</w:t>
      </w:r>
      <w:r w:rsidRPr="00505CC2">
        <w:rPr>
          <w:rFonts w:cs="Segoe UI"/>
        </w:rPr>
        <w:t xml:space="preserve"> determined to be relatively low or have limited practical consequence</w:t>
      </w:r>
      <w:r w:rsidR="00A9489D">
        <w:rPr>
          <w:rFonts w:cs="Segoe UI"/>
        </w:rPr>
        <w:t>s</w:t>
      </w:r>
      <w:r w:rsidRPr="00505CC2">
        <w:rPr>
          <w:rFonts w:cs="Segoe UI"/>
        </w:rPr>
        <w:t xml:space="preserve">. Put differently, the impacts of an adverse outcome arising from the different types of uncertainty identified during the HTA evaluation (such as over-expenditure on a health technology, or a health technology either not providing the expected health outcomes when used in a broader patient population or being cost-effective at a given price) </w:t>
      </w:r>
      <w:r w:rsidR="00634E86">
        <w:rPr>
          <w:rFonts w:cs="Segoe UI"/>
        </w:rPr>
        <w:t>may be</w:t>
      </w:r>
      <w:r w:rsidR="00634E86" w:rsidRPr="00505CC2">
        <w:rPr>
          <w:rFonts w:cs="Segoe UI"/>
        </w:rPr>
        <w:t xml:space="preserve"> </w:t>
      </w:r>
      <w:r w:rsidRPr="00505CC2">
        <w:rPr>
          <w:rFonts w:cs="Segoe UI"/>
        </w:rPr>
        <w:t>relatively low, and therefore do</w:t>
      </w:r>
      <w:r w:rsidR="002546A5">
        <w:rPr>
          <w:rFonts w:cs="Segoe UI"/>
        </w:rPr>
        <w:t>es</w:t>
      </w:r>
      <w:r w:rsidRPr="00505CC2">
        <w:rPr>
          <w:rFonts w:cs="Segoe UI"/>
        </w:rPr>
        <w:t xml:space="preserve"> not require specific risk management measures or conditions to be put in place. </w:t>
      </w:r>
    </w:p>
    <w:p w14:paraId="1D851258" w14:textId="2046FCDE" w:rsidR="00647713" w:rsidRPr="00505CC2" w:rsidRDefault="00647713" w:rsidP="001704AE">
      <w:pPr>
        <w:rPr>
          <w:rFonts w:cs="Segoe UI"/>
        </w:rPr>
      </w:pPr>
      <w:r w:rsidRPr="00505CC2">
        <w:rPr>
          <w:rFonts w:cs="Segoe UI"/>
        </w:rPr>
        <w:t>However, for an increasing number of health technologies being introduced into health</w:t>
      </w:r>
      <w:r w:rsidR="002D33A5">
        <w:rPr>
          <w:rFonts w:cs="Segoe UI"/>
        </w:rPr>
        <w:t xml:space="preserve"> </w:t>
      </w:r>
      <w:r w:rsidRPr="00505CC2">
        <w:rPr>
          <w:rFonts w:cs="Segoe UI"/>
        </w:rPr>
        <w:t xml:space="preserve">care and put forward for subsidy consideration, the scale and size of uncertainties </w:t>
      </w:r>
      <w:r w:rsidR="002546A5">
        <w:rPr>
          <w:rFonts w:cs="Segoe UI"/>
        </w:rPr>
        <w:t>is</w:t>
      </w:r>
      <w:r w:rsidR="002546A5" w:rsidRPr="00505CC2">
        <w:rPr>
          <w:rFonts w:cs="Segoe UI"/>
        </w:rPr>
        <w:t xml:space="preserve"> </w:t>
      </w:r>
      <w:r w:rsidRPr="00505CC2">
        <w:rPr>
          <w:rFonts w:cs="Segoe UI"/>
        </w:rPr>
        <w:t xml:space="preserve">much broader and/or can have much more significant adverse consequences if left unmanaged. </w:t>
      </w:r>
      <w:r w:rsidR="002546A5">
        <w:rPr>
          <w:rFonts w:cs="Segoe UI"/>
        </w:rPr>
        <w:t>E</w:t>
      </w:r>
      <w:r w:rsidRPr="00505CC2">
        <w:rPr>
          <w:rFonts w:cs="Segoe UI"/>
        </w:rPr>
        <w:t>xamples include:</w:t>
      </w:r>
    </w:p>
    <w:p w14:paraId="151D6A13" w14:textId="5E5F9C40" w:rsidR="00647713" w:rsidRPr="00505CC2" w:rsidRDefault="00647713" w:rsidP="00281153">
      <w:pPr>
        <w:pStyle w:val="ListBullet"/>
        <w:numPr>
          <w:ilvl w:val="0"/>
          <w:numId w:val="71"/>
        </w:numPr>
      </w:pPr>
      <w:r w:rsidRPr="00505CC2">
        <w:t>health technologies where the quality and/or quantity of evidence available is lower due to smaller patient populations being available for clinical trials. This means the uncertainty of the clinical evidence translating into the broader population is higher, and increases the risk that a health technology will not provide the expected clinical benefits to the patient population</w:t>
      </w:r>
    </w:p>
    <w:p w14:paraId="247B25E8" w14:textId="04C6F1A5" w:rsidR="00647713" w:rsidRPr="00505CC2" w:rsidRDefault="00647713" w:rsidP="00281153">
      <w:pPr>
        <w:pStyle w:val="ListBullet"/>
        <w:numPr>
          <w:ilvl w:val="0"/>
          <w:numId w:val="71"/>
        </w:numPr>
      </w:pPr>
      <w:r w:rsidRPr="00505CC2">
        <w:t>health technologies that, if subsidised by a health</w:t>
      </w:r>
      <w:r w:rsidR="008722C8">
        <w:t>care</w:t>
      </w:r>
      <w:r w:rsidRPr="00505CC2">
        <w:t xml:space="preserve"> payer, will require very high budget appropriations due to large patient population pools being eligible. This means that the financial uncertainty and risk arising from adopti</w:t>
      </w:r>
      <w:r w:rsidR="007A2561">
        <w:t>ng</w:t>
      </w:r>
      <w:r w:rsidRPr="00505CC2">
        <w:t xml:space="preserve"> the health technology is much higher, and could require</w:t>
      </w:r>
      <w:r w:rsidR="007A2561">
        <w:t xml:space="preserve"> the diversion of</w:t>
      </w:r>
      <w:r w:rsidRPr="00505CC2">
        <w:t xml:space="preserve"> funds from other necessary expenditures to meet patient needs</w:t>
      </w:r>
    </w:p>
    <w:p w14:paraId="236A084E" w14:textId="6258FED9" w:rsidR="00647713" w:rsidRPr="00505CC2" w:rsidRDefault="00647713" w:rsidP="00281153">
      <w:pPr>
        <w:pStyle w:val="ListBullet"/>
        <w:numPr>
          <w:ilvl w:val="0"/>
          <w:numId w:val="71"/>
        </w:numPr>
      </w:pPr>
      <w:r w:rsidRPr="00505CC2">
        <w:t xml:space="preserve">health technologies that have high upfront one-off costs and claim to have long-term benefits but have limited follow-up data supporting those claims. This means the clinical and economic uncertainty (i.e. the uncertainty associated with adopting the health technology from </w:t>
      </w:r>
      <w:bookmarkStart w:id="312" w:name="_Int_x2gCWm2L"/>
      <w:r w:rsidRPr="00505CC2">
        <w:t>health outcomes</w:t>
      </w:r>
      <w:bookmarkEnd w:id="312"/>
      <w:r w:rsidRPr="00505CC2">
        <w:t xml:space="preserve"> and </w:t>
      </w:r>
      <w:r w:rsidR="007A2561">
        <w:t>‘</w:t>
      </w:r>
      <w:r w:rsidRPr="00505CC2">
        <w:t>value for money</w:t>
      </w:r>
      <w:r w:rsidR="00765D15">
        <w:t>’</w:t>
      </w:r>
      <w:r w:rsidRPr="00505CC2">
        <w:t xml:space="preserve"> perspective</w:t>
      </w:r>
      <w:r w:rsidR="008F354E">
        <w:t>s</w:t>
      </w:r>
      <w:r w:rsidRPr="00505CC2">
        <w:t xml:space="preserve">) is much </w:t>
      </w:r>
      <w:bookmarkStart w:id="313" w:name="_Int_IDIXeMAs"/>
      <w:proofErr w:type="gramStart"/>
      <w:r w:rsidRPr="00505CC2">
        <w:t>higher, and</w:t>
      </w:r>
      <w:bookmarkEnd w:id="313"/>
      <w:proofErr w:type="gramEnd"/>
      <w:r w:rsidRPr="00505CC2">
        <w:t xml:space="preserve"> could result in a higher-risk decision to fund a health technology that in the long run would end up being an inefficient and inappropriate allocation of </w:t>
      </w:r>
      <w:r w:rsidR="00B82F80">
        <w:t xml:space="preserve">government </w:t>
      </w:r>
      <w:r w:rsidRPr="00505CC2">
        <w:t xml:space="preserve">funding. </w:t>
      </w:r>
    </w:p>
    <w:p w14:paraId="35CD55B4" w14:textId="15B22F5F" w:rsidR="00647713" w:rsidRPr="009C4510" w:rsidRDefault="00647713" w:rsidP="001704AE">
      <w:pPr>
        <w:rPr>
          <w:rFonts w:cs="Segoe UI"/>
        </w:rPr>
      </w:pPr>
      <w:r w:rsidRPr="00505CC2">
        <w:rPr>
          <w:rFonts w:cs="Segoe UI"/>
          <w:lang w:val="en-US"/>
        </w:rPr>
        <w:t xml:space="preserve">Consistent </w:t>
      </w:r>
      <w:r w:rsidRPr="00505CC2">
        <w:rPr>
          <w:rFonts w:cs="Segoe UI"/>
        </w:rPr>
        <w:t xml:space="preserve">stakeholder feedback </w:t>
      </w:r>
      <w:r w:rsidR="00371929">
        <w:rPr>
          <w:rFonts w:cs="Segoe UI"/>
        </w:rPr>
        <w:t>before</w:t>
      </w:r>
      <w:r w:rsidRPr="00505CC2">
        <w:rPr>
          <w:rFonts w:cs="Segoe UI"/>
        </w:rPr>
        <w:t xml:space="preserve"> and during the Review emphasised the importance of having alternative approaches to managing clinical, economic and/or financial impact uncertainties and risks identified during an HTA evaluation. For instance, </w:t>
      </w:r>
      <w:r w:rsidRPr="000C5623">
        <w:rPr>
          <w:rFonts w:cs="Segoe UI"/>
          <w:iCs/>
        </w:rPr>
        <w:t>The New Frontier</w:t>
      </w:r>
      <w:r w:rsidRPr="00505CC2">
        <w:rPr>
          <w:rFonts w:cs="Segoe UI"/>
        </w:rPr>
        <w:t xml:space="preserve"> </w:t>
      </w:r>
      <w:r w:rsidR="00E33E7E">
        <w:rPr>
          <w:rFonts w:cs="Segoe UI"/>
        </w:rPr>
        <w:t>i</w:t>
      </w:r>
      <w:r w:rsidRPr="00505CC2">
        <w:rPr>
          <w:rFonts w:cs="Segoe UI"/>
        </w:rPr>
        <w:t>nquiry discussed at length the u</w:t>
      </w:r>
      <w:r w:rsidR="00C468A7">
        <w:rPr>
          <w:rFonts w:cs="Segoe UI"/>
        </w:rPr>
        <w:t>se</w:t>
      </w:r>
      <w:r w:rsidRPr="00505CC2">
        <w:rPr>
          <w:rFonts w:cs="Segoe UI"/>
        </w:rPr>
        <w:t xml:space="preserve"> and impact of managed </w:t>
      </w:r>
      <w:r w:rsidRPr="00505CC2">
        <w:rPr>
          <w:rFonts w:cs="Segoe UI"/>
        </w:rPr>
        <w:lastRenderedPageBreak/>
        <w:t xml:space="preserve">access programs (defined more broadly in international contexts as </w:t>
      </w:r>
      <w:r w:rsidR="0042793D">
        <w:rPr>
          <w:rFonts w:cs="Segoe UI"/>
        </w:rPr>
        <w:t>m</w:t>
      </w:r>
      <w:r w:rsidRPr="00505CC2">
        <w:rPr>
          <w:rFonts w:cs="Segoe UI"/>
        </w:rPr>
        <w:t xml:space="preserve">anaged </w:t>
      </w:r>
      <w:r w:rsidR="0042793D">
        <w:rPr>
          <w:rFonts w:cs="Segoe UI"/>
        </w:rPr>
        <w:t>e</w:t>
      </w:r>
      <w:r w:rsidRPr="00505CC2">
        <w:rPr>
          <w:rFonts w:cs="Segoe UI"/>
        </w:rPr>
        <w:t xml:space="preserve">ntry </w:t>
      </w:r>
      <w:r w:rsidR="0042793D">
        <w:rPr>
          <w:rFonts w:cs="Segoe UI"/>
        </w:rPr>
        <w:t>agreements</w:t>
      </w:r>
      <w:r w:rsidRPr="00505CC2">
        <w:rPr>
          <w:rFonts w:cs="Segoe UI"/>
        </w:rPr>
        <w:t xml:space="preserve"> (MEAs), discussed further below) as a mechanism to facilitate earlier access to innovative medicines while still ensuring that health</w:t>
      </w:r>
      <w:r w:rsidR="008722C8">
        <w:rPr>
          <w:rFonts w:cs="Segoe UI"/>
        </w:rPr>
        <w:t>care</w:t>
      </w:r>
      <w:r w:rsidRPr="00505CC2">
        <w:rPr>
          <w:rFonts w:cs="Segoe UI"/>
        </w:rPr>
        <w:t xml:space="preserve"> payers can demonstrate efficient and effective use of public funds</w:t>
      </w:r>
      <w:r w:rsidR="00E33E7E">
        <w:rPr>
          <w:rFonts w:cs="Segoe UI"/>
        </w:rPr>
        <w:t>.</w:t>
      </w:r>
      <w:r w:rsidR="00F33A9E">
        <w:rPr>
          <w:rStyle w:val="FootnoteReference"/>
          <w:rFonts w:cs="Segoe UI"/>
        </w:rPr>
        <w:footnoteReference w:id="89"/>
      </w:r>
      <w:r w:rsidRPr="00505CC2">
        <w:rPr>
          <w:rFonts w:cs="Segoe UI"/>
        </w:rPr>
        <w:t xml:space="preserve"> </w:t>
      </w:r>
      <w:r w:rsidRPr="000C5623">
        <w:rPr>
          <w:rFonts w:cs="Segoe UI"/>
          <w:iCs/>
        </w:rPr>
        <w:t>The New Frontier</w:t>
      </w:r>
      <w:r w:rsidRPr="00505CC2">
        <w:rPr>
          <w:rFonts w:cs="Segoe UI"/>
          <w:i/>
        </w:rPr>
        <w:t xml:space="preserve"> </w:t>
      </w:r>
      <w:r w:rsidR="00E33E7E">
        <w:rPr>
          <w:rFonts w:cs="Segoe UI"/>
        </w:rPr>
        <w:t>i</w:t>
      </w:r>
      <w:r w:rsidRPr="00405FD7">
        <w:rPr>
          <w:rFonts w:cs="Segoe UI"/>
        </w:rPr>
        <w:t>nquiry</w:t>
      </w:r>
      <w:r w:rsidRPr="00505CC2">
        <w:rPr>
          <w:rFonts w:cs="Segoe UI"/>
          <w:i/>
        </w:rPr>
        <w:t xml:space="preserve"> </w:t>
      </w:r>
      <w:r w:rsidRPr="00505CC2">
        <w:rPr>
          <w:rFonts w:cs="Segoe UI"/>
        </w:rPr>
        <w:t xml:space="preserve">also </w:t>
      </w:r>
      <w:r w:rsidR="00137F5F">
        <w:rPr>
          <w:rFonts w:cs="Segoe UI"/>
        </w:rPr>
        <w:t xml:space="preserve">recommended that the Review </w:t>
      </w:r>
      <w:r w:rsidRPr="00505CC2">
        <w:rPr>
          <w:rFonts w:cs="Segoe UI"/>
        </w:rPr>
        <w:t>further examin</w:t>
      </w:r>
      <w:r w:rsidR="00137F5F">
        <w:rPr>
          <w:rFonts w:cs="Segoe UI"/>
        </w:rPr>
        <w:t>e</w:t>
      </w:r>
      <w:r w:rsidRPr="00505CC2">
        <w:rPr>
          <w:rFonts w:cs="Segoe UI"/>
        </w:rPr>
        <w:t xml:space="preserve"> the issues</w:t>
      </w:r>
      <w:r w:rsidR="00E33E7E">
        <w:rPr>
          <w:rFonts w:cs="Segoe UI"/>
        </w:rPr>
        <w:t>,</w:t>
      </w:r>
      <w:r w:rsidRPr="00505CC2">
        <w:rPr>
          <w:rStyle w:val="FootnoteReference"/>
          <w:rFonts w:cs="Segoe UI"/>
        </w:rPr>
        <w:footnoteReference w:id="90"/>
      </w:r>
      <w:r w:rsidRPr="00505CC2">
        <w:rPr>
          <w:rFonts w:cs="Segoe UI"/>
        </w:rPr>
        <w:t xml:space="preserve"> a</w:t>
      </w:r>
      <w:r w:rsidR="00FC59F5">
        <w:rPr>
          <w:rFonts w:cs="Segoe UI"/>
        </w:rPr>
        <w:t>nd made</w:t>
      </w:r>
      <w:r w:rsidRPr="00505CC2">
        <w:rPr>
          <w:rFonts w:cs="Segoe UI"/>
        </w:rPr>
        <w:t xml:space="preserve"> specific recommendations relating to the u</w:t>
      </w:r>
      <w:r w:rsidR="00137F5F">
        <w:rPr>
          <w:rFonts w:cs="Segoe UI"/>
        </w:rPr>
        <w:t>se</w:t>
      </w:r>
      <w:r w:rsidR="006C0C39" w:rsidRPr="00505CC2">
        <w:rPr>
          <w:rFonts w:cs="Segoe UI"/>
        </w:rPr>
        <w:t xml:space="preserve"> of MEAs</w:t>
      </w:r>
      <w:r w:rsidR="00F33A9E">
        <w:rPr>
          <w:rFonts w:cs="Segoe UI"/>
        </w:rPr>
        <w:t>.</w:t>
      </w:r>
      <w:r w:rsidRPr="00505CC2">
        <w:rPr>
          <w:rStyle w:val="FootnoteReference"/>
          <w:rFonts w:cs="Segoe UI"/>
        </w:rPr>
        <w:footnoteReference w:id="91"/>
      </w:r>
      <w:r w:rsidRPr="009C4510">
        <w:rPr>
          <w:rFonts w:cs="Segoe UI"/>
        </w:rPr>
        <w:t xml:space="preserve"> </w:t>
      </w:r>
    </w:p>
    <w:p w14:paraId="215DAB2A" w14:textId="77777777" w:rsidR="00647713" w:rsidRPr="009C4510" w:rsidRDefault="00647713" w:rsidP="001704AE">
      <w:pPr>
        <w:rPr>
          <w:rFonts w:cs="Segoe UI"/>
        </w:rPr>
      </w:pPr>
      <w:r w:rsidRPr="009C4510">
        <w:rPr>
          <w:rFonts w:cs="Segoe UI"/>
        </w:rPr>
        <w:t>With this context in mind, the Review examined:</w:t>
      </w:r>
    </w:p>
    <w:p w14:paraId="217C3CC2" w14:textId="51CE9ECE" w:rsidR="00647713" w:rsidRPr="009C4510" w:rsidRDefault="00647713" w:rsidP="00281153">
      <w:pPr>
        <w:pStyle w:val="ListBullet"/>
        <w:numPr>
          <w:ilvl w:val="0"/>
          <w:numId w:val="71"/>
        </w:numPr>
      </w:pPr>
      <w:r w:rsidRPr="009C4510">
        <w:t xml:space="preserve">whether experiences </w:t>
      </w:r>
      <w:r w:rsidR="00137F5F">
        <w:t>in the way</w:t>
      </w:r>
      <w:r w:rsidRPr="009C4510">
        <w:t xml:space="preserve"> comparable health systems </w:t>
      </w:r>
      <w:r w:rsidR="00137F5F">
        <w:t xml:space="preserve">managed </w:t>
      </w:r>
      <w:r w:rsidRPr="009C4510">
        <w:t>HTA</w:t>
      </w:r>
      <w:r w:rsidR="00137F5F">
        <w:noBreakHyphen/>
      </w:r>
      <w:r w:rsidRPr="009C4510">
        <w:t>related uncertainty would be relevant and appropriate to Australia</w:t>
      </w:r>
    </w:p>
    <w:p w14:paraId="3633916E" w14:textId="25F51566" w:rsidR="00647713" w:rsidRPr="009C4510" w:rsidRDefault="00647713" w:rsidP="00281153">
      <w:pPr>
        <w:pStyle w:val="ListBullet"/>
        <w:numPr>
          <w:ilvl w:val="0"/>
          <w:numId w:val="71"/>
        </w:numPr>
      </w:pPr>
      <w:r w:rsidRPr="009C4510">
        <w:t xml:space="preserve">the operation of the existing MEA framework and stakeholder perspectives raised during </w:t>
      </w:r>
      <w:r w:rsidRPr="002D74EE">
        <w:t xml:space="preserve">The New Frontier </w:t>
      </w:r>
      <w:r w:rsidR="00F33A9E">
        <w:t>i</w:t>
      </w:r>
      <w:r w:rsidRPr="009C4510">
        <w:t>nquiry</w:t>
      </w:r>
      <w:r w:rsidR="00F33A9E">
        <w:rPr>
          <w:rStyle w:val="FootnoteReference"/>
        </w:rPr>
        <w:footnoteReference w:id="92"/>
      </w:r>
      <w:r w:rsidRPr="009C4510">
        <w:t xml:space="preserve"> </w:t>
      </w:r>
      <w:r w:rsidR="00137F5F">
        <w:t>about</w:t>
      </w:r>
      <w:r w:rsidRPr="009C4510">
        <w:t xml:space="preserve"> the operation of MEAs</w:t>
      </w:r>
    </w:p>
    <w:p w14:paraId="735EF037" w14:textId="6A6A75B5" w:rsidR="00647713" w:rsidRPr="009C4510" w:rsidRDefault="00647713" w:rsidP="00CD422F">
      <w:pPr>
        <w:pStyle w:val="ListBullet"/>
        <w:numPr>
          <w:ilvl w:val="0"/>
          <w:numId w:val="71"/>
        </w:numPr>
      </w:pPr>
      <w:r w:rsidRPr="009C4510">
        <w:t>the possibility that different approaches to addressing and managing HTA</w:t>
      </w:r>
      <w:r w:rsidR="00137F5F">
        <w:noBreakHyphen/>
      </w:r>
      <w:r w:rsidRPr="009C4510">
        <w:t xml:space="preserve">related uncertainties and risks could </w:t>
      </w:r>
      <w:r w:rsidR="00137F5F">
        <w:t>help</w:t>
      </w:r>
      <w:r w:rsidRPr="009C4510">
        <w:t xml:space="preserve"> balance the needs and expectations of key stakeholders (patients, clinicians, industry and health</w:t>
      </w:r>
      <w:r w:rsidR="008722C8">
        <w:t>care</w:t>
      </w:r>
      <w:r w:rsidRPr="009C4510">
        <w:t xml:space="preserve"> payers), while also improving patient access to critical health technologies.</w:t>
      </w:r>
      <w:r w:rsidR="00453069">
        <w:t xml:space="preserve"> </w:t>
      </w:r>
    </w:p>
    <w:p w14:paraId="372F81A3" w14:textId="719B7C99" w:rsidR="003405A1" w:rsidRPr="003405A1" w:rsidRDefault="00CA3C84" w:rsidP="001704AE">
      <w:r w:rsidRPr="008939CB">
        <w:rPr>
          <w:rFonts w:eastAsia="Calibri"/>
          <w:noProof/>
        </w:rPr>
        <mc:AlternateContent>
          <mc:Choice Requires="wps">
            <w:drawing>
              <wp:inline distT="0" distB="0" distL="0" distR="0" wp14:anchorId="68D91E6F" wp14:editId="73CDBFE1">
                <wp:extent cx="5731510" cy="1484768"/>
                <wp:effectExtent l="0" t="0" r="21590" b="2032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1484768"/>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09F86815" w14:textId="77777777" w:rsidR="00CA3C84" w:rsidRPr="004E0470" w:rsidRDefault="00CA3C84" w:rsidP="00CA3C84">
                            <w:pPr>
                              <w:pStyle w:val="Call-outbox"/>
                            </w:pPr>
                            <w:r w:rsidRPr="009C4510">
                              <w:t xml:space="preserve">Why </w:t>
                            </w:r>
                            <w:r w:rsidRPr="009C4510">
                              <w:t>this matters</w:t>
                            </w:r>
                          </w:p>
                          <w:p w14:paraId="19BDAEE5" w14:textId="188330D2" w:rsidR="00CA3C84" w:rsidRPr="008939CB" w:rsidRDefault="00137F5F" w:rsidP="00F01F45">
                            <w:pPr>
                              <w:ind w:right="111"/>
                              <w:rPr>
                                <w:rFonts w:cs="Segoe UI"/>
                              </w:rPr>
                            </w:pPr>
                            <w:r>
                              <w:rPr>
                                <w:rFonts w:cs="Segoe UI"/>
                              </w:rPr>
                              <w:t>H</w:t>
                            </w:r>
                            <w:r w:rsidR="00CA3C84" w:rsidRPr="009C4510">
                              <w:rPr>
                                <w:rFonts w:cs="Segoe UI"/>
                              </w:rPr>
                              <w:t xml:space="preserve">aving the right </w:t>
                            </w:r>
                            <w:r w:rsidR="00E7086B">
                              <w:rPr>
                                <w:rFonts w:cs="Segoe UI"/>
                              </w:rPr>
                              <w:t xml:space="preserve">uncertainty and risk management </w:t>
                            </w:r>
                            <w:r w:rsidR="00CA3C84" w:rsidRPr="009C4510">
                              <w:rPr>
                                <w:rFonts w:cs="Segoe UI"/>
                              </w:rPr>
                              <w:t xml:space="preserve">tools available and </w:t>
                            </w:r>
                            <w:r>
                              <w:rPr>
                                <w:rFonts w:cs="Segoe UI"/>
                              </w:rPr>
                              <w:t>using them</w:t>
                            </w:r>
                            <w:r w:rsidR="00CA3C84" w:rsidRPr="009C4510">
                              <w:rPr>
                                <w:rFonts w:cs="Segoe UI"/>
                              </w:rPr>
                              <w:t xml:space="preserve"> appropriately can </w:t>
                            </w:r>
                            <w:r>
                              <w:rPr>
                                <w:rFonts w:cs="Segoe UI"/>
                              </w:rPr>
                              <w:t xml:space="preserve">increase the confidence of </w:t>
                            </w:r>
                            <w:r w:rsidR="00CA3C84" w:rsidRPr="009C4510">
                              <w:rPr>
                                <w:rFonts w:cs="Segoe UI"/>
                              </w:rPr>
                              <w:t>health</w:t>
                            </w:r>
                            <w:r w:rsidR="008722C8">
                              <w:rPr>
                                <w:rFonts w:cs="Segoe UI"/>
                              </w:rPr>
                              <w:t>care</w:t>
                            </w:r>
                            <w:r w:rsidR="00CA3C84" w:rsidRPr="009C4510">
                              <w:rPr>
                                <w:rFonts w:cs="Segoe UI"/>
                              </w:rPr>
                              <w:t xml:space="preserve"> payers and industry sponsors translat</w:t>
                            </w:r>
                            <w:r>
                              <w:rPr>
                                <w:rFonts w:cs="Segoe UI"/>
                              </w:rPr>
                              <w:t>ing</w:t>
                            </w:r>
                            <w:r w:rsidR="00CA3C84" w:rsidRPr="009C4510">
                              <w:rPr>
                                <w:rFonts w:cs="Segoe UI"/>
                              </w:rPr>
                              <w:t xml:space="preserve"> HTA recommendations into subsidised access to health technologies for patients and clinicians.</w:t>
                            </w:r>
                          </w:p>
                        </w:txbxContent>
                      </wps:txbx>
                      <wps:bodyPr rot="0" vert="horz" wrap="square" lIns="91440" tIns="45720" rIns="91440" bIns="45720" anchor="t" anchorCtr="0">
                        <a:noAutofit/>
                      </wps:bodyPr>
                    </wps:wsp>
                  </a:graphicData>
                </a:graphic>
              </wp:inline>
            </w:drawing>
          </mc:Choice>
          <mc:Fallback>
            <w:pict>
              <v:roundrect w14:anchorId="68D91E6F" id="Text Box 2" o:spid="_x0000_s1037" style="width:451.3pt;height:116.9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" fillcolor="white [3201]" strokecolor="#acc02a [3208]" strokeweight="1pt">
                <v:stroke joinstyle="miter"/>
                <v:textbox>
                  <w:txbxContent>
                    <w:p w14:paraId="09F86815" w14:textId="77777777" w:rsidR="00CA3C84" w:rsidRPr="004E0470" w:rsidRDefault="00CA3C84" w:rsidP="00CA3C84">
                      <w:pPr>
                        <w:pStyle w:val="Call-outbox"/>
                      </w:pPr>
                      <w:r w:rsidRPr="009C4510">
                        <w:t>Why this matters</w:t>
                      </w:r>
                    </w:p>
                    <w:p w14:paraId="19BDAEE5" w14:textId="188330D2" w:rsidR="00CA3C84" w:rsidRPr="008939CB" w:rsidRDefault="00137F5F" w:rsidP="00F01F45">
                      <w:pPr>
                        <w:ind w:right="111"/>
                        <w:rPr>
                          <w:rFonts w:cs="Segoe UI"/>
                        </w:rPr>
                      </w:pPr>
                      <w:r>
                        <w:rPr>
                          <w:rFonts w:cs="Segoe UI"/>
                        </w:rPr>
                        <w:t>H</w:t>
                      </w:r>
                      <w:r w:rsidR="00CA3C84" w:rsidRPr="009C4510">
                        <w:rPr>
                          <w:rFonts w:cs="Segoe UI"/>
                        </w:rPr>
                        <w:t xml:space="preserve">aving the right </w:t>
                      </w:r>
                      <w:r w:rsidR="00E7086B">
                        <w:rPr>
                          <w:rFonts w:cs="Segoe UI"/>
                        </w:rPr>
                        <w:t xml:space="preserve">uncertainty and risk management </w:t>
                      </w:r>
                      <w:r w:rsidR="00CA3C84" w:rsidRPr="009C4510">
                        <w:rPr>
                          <w:rFonts w:cs="Segoe UI"/>
                        </w:rPr>
                        <w:t xml:space="preserve">tools available and </w:t>
                      </w:r>
                      <w:r>
                        <w:rPr>
                          <w:rFonts w:cs="Segoe UI"/>
                        </w:rPr>
                        <w:t>using them</w:t>
                      </w:r>
                      <w:r w:rsidR="00CA3C84" w:rsidRPr="009C4510">
                        <w:rPr>
                          <w:rFonts w:cs="Segoe UI"/>
                        </w:rPr>
                        <w:t xml:space="preserve"> appropriately can </w:t>
                      </w:r>
                      <w:r>
                        <w:rPr>
                          <w:rFonts w:cs="Segoe UI"/>
                        </w:rPr>
                        <w:t xml:space="preserve">increase the confidence of </w:t>
                      </w:r>
                      <w:r w:rsidR="00CA3C84" w:rsidRPr="009C4510">
                        <w:rPr>
                          <w:rFonts w:cs="Segoe UI"/>
                        </w:rPr>
                        <w:t>health</w:t>
                      </w:r>
                      <w:r w:rsidR="008722C8">
                        <w:rPr>
                          <w:rFonts w:cs="Segoe UI"/>
                        </w:rPr>
                        <w:t>care</w:t>
                      </w:r>
                      <w:r w:rsidR="00CA3C84" w:rsidRPr="009C4510">
                        <w:rPr>
                          <w:rFonts w:cs="Segoe UI"/>
                        </w:rPr>
                        <w:t xml:space="preserve"> payers and industry sponsors translat</w:t>
                      </w:r>
                      <w:r>
                        <w:rPr>
                          <w:rFonts w:cs="Segoe UI"/>
                        </w:rPr>
                        <w:t>ing</w:t>
                      </w:r>
                      <w:r w:rsidR="00CA3C84" w:rsidRPr="009C4510">
                        <w:rPr>
                          <w:rFonts w:cs="Segoe UI"/>
                        </w:rPr>
                        <w:t xml:space="preserve"> HTA recommendations into subsidised access to health technologies for patients and clinicians.</w:t>
                      </w:r>
                    </w:p>
                  </w:txbxContent>
                </v:textbox>
                <w10:anchorlock/>
              </v:roundrect>
            </w:pict>
          </mc:Fallback>
        </mc:AlternateContent>
      </w:r>
    </w:p>
    <w:p w14:paraId="440966B3" w14:textId="70DB245F" w:rsidR="00647713" w:rsidRPr="009C4510" w:rsidRDefault="00D16D80" w:rsidP="00A318F7">
      <w:pPr>
        <w:pStyle w:val="Heading3"/>
      </w:pPr>
      <w:bookmarkStart w:id="314" w:name="_Toc164691415"/>
      <w:bookmarkStart w:id="315" w:name="_Toc164696213"/>
      <w:bookmarkStart w:id="316" w:name="_Toc164696359"/>
      <w:bookmarkStart w:id="317" w:name="_Toc164767748"/>
      <w:bookmarkStart w:id="318" w:name="_Toc165473685"/>
      <w:r>
        <w:t>F</w:t>
      </w:r>
      <w:r w:rsidR="00647713" w:rsidRPr="009C4510">
        <w:t xml:space="preserve">indings </w:t>
      </w:r>
      <w:bookmarkEnd w:id="314"/>
      <w:bookmarkEnd w:id="315"/>
      <w:bookmarkEnd w:id="316"/>
      <w:bookmarkEnd w:id="317"/>
      <w:bookmarkEnd w:id="318"/>
    </w:p>
    <w:p w14:paraId="37B5AC1B" w14:textId="6FD0017C" w:rsidR="00647713" w:rsidRPr="009C4510" w:rsidRDefault="00EE2641" w:rsidP="000C5623">
      <w:pPr>
        <w:keepNext/>
        <w:rPr>
          <w:rFonts w:cs="Segoe UI"/>
        </w:rPr>
      </w:pPr>
      <w:r>
        <w:rPr>
          <w:rFonts w:cs="Segoe UI"/>
        </w:rPr>
        <w:t>An</w:t>
      </w:r>
      <w:r w:rsidR="00647713" w:rsidRPr="009C4510">
        <w:rPr>
          <w:rFonts w:cs="Segoe UI"/>
        </w:rPr>
        <w:t xml:space="preserve"> examin</w:t>
      </w:r>
      <w:r>
        <w:rPr>
          <w:rFonts w:cs="Segoe UI"/>
        </w:rPr>
        <w:t>ation of</w:t>
      </w:r>
      <w:r w:rsidR="00647713" w:rsidRPr="009C4510">
        <w:rPr>
          <w:rFonts w:cs="Segoe UI"/>
        </w:rPr>
        <w:t xml:space="preserve"> international practice and dialogue with HTA stakeholders</w:t>
      </w:r>
      <w:r>
        <w:rPr>
          <w:rFonts w:cs="Segoe UI"/>
        </w:rPr>
        <w:t xml:space="preserve"> identified</w:t>
      </w:r>
      <w:r w:rsidR="00647713" w:rsidRPr="009C4510">
        <w:rPr>
          <w:rFonts w:cs="Segoe UI"/>
        </w:rPr>
        <w:t xml:space="preserve"> two common approaches to addressing and managing uncertainty and risk associated with</w:t>
      </w:r>
      <w:r w:rsidR="00647713" w:rsidRPr="009C4510" w:rsidDel="00EE2641">
        <w:rPr>
          <w:rFonts w:cs="Segoe UI"/>
        </w:rPr>
        <w:t xml:space="preserve"> </w:t>
      </w:r>
      <w:r w:rsidR="00647713" w:rsidRPr="009C4510">
        <w:rPr>
          <w:rFonts w:cs="Segoe UI"/>
        </w:rPr>
        <w:t xml:space="preserve">funding health technologies: </w:t>
      </w:r>
    </w:p>
    <w:p w14:paraId="4F9861CC" w14:textId="6B922594" w:rsidR="00647713" w:rsidRPr="009C4510" w:rsidRDefault="00647713" w:rsidP="00281153">
      <w:pPr>
        <w:pStyle w:val="ListNumber"/>
        <w:numPr>
          <w:ilvl w:val="0"/>
          <w:numId w:val="119"/>
        </w:numPr>
      </w:pPr>
      <w:r w:rsidRPr="009C4510">
        <w:t>at an individual health technology and contract level</w:t>
      </w:r>
      <w:r w:rsidR="00EE2641">
        <w:t xml:space="preserve"> via </w:t>
      </w:r>
      <w:r w:rsidRPr="009C4510">
        <w:t>MEAs</w:t>
      </w:r>
      <w:r w:rsidR="0042793D">
        <w:t xml:space="preserve"> (</w:t>
      </w:r>
      <w:r w:rsidRPr="009C4510">
        <w:t xml:space="preserve">see </w:t>
      </w:r>
      <w:r w:rsidR="00EC4143">
        <w:t xml:space="preserve">Figure </w:t>
      </w:r>
      <w:r w:rsidR="0042793D">
        <w:t>4)</w:t>
      </w:r>
    </w:p>
    <w:p w14:paraId="23ECAEB8" w14:textId="34B3C4B2" w:rsidR="00647713" w:rsidRPr="009C4510" w:rsidRDefault="00647713" w:rsidP="00A318F7">
      <w:pPr>
        <w:pStyle w:val="ListNumber"/>
      </w:pPr>
      <w:r w:rsidRPr="009C4510">
        <w:t>at a broader health program level via</w:t>
      </w:r>
      <w:r w:rsidRPr="009C4510" w:rsidDel="00EE2641">
        <w:t xml:space="preserve"> </w:t>
      </w:r>
      <w:r w:rsidRPr="009C4510">
        <w:t>special funding programs</w:t>
      </w:r>
      <w:r w:rsidR="005214E0">
        <w:t xml:space="preserve"> that sit separate to </w:t>
      </w:r>
      <w:r w:rsidR="00AB6CD6">
        <w:t>standard healthcare expenditures</w:t>
      </w:r>
      <w:r w:rsidRPr="009C4510">
        <w:t>.</w:t>
      </w:r>
    </w:p>
    <w:p w14:paraId="49F799FE" w14:textId="18E75514" w:rsidR="00647713" w:rsidRPr="009C4510" w:rsidRDefault="00647713" w:rsidP="000C5623">
      <w:pPr>
        <w:pStyle w:val="Heading4"/>
        <w:spacing w:before="0"/>
        <w:jc w:val="both"/>
      </w:pPr>
      <w:r w:rsidRPr="009C4510">
        <w:lastRenderedPageBreak/>
        <w:t xml:space="preserve">Observations </w:t>
      </w:r>
      <w:r w:rsidR="00D54525">
        <w:t xml:space="preserve">about </w:t>
      </w:r>
      <w:r w:rsidRPr="009C4510">
        <w:t>MEAs</w:t>
      </w:r>
    </w:p>
    <w:p w14:paraId="3ADB7440" w14:textId="7675040F" w:rsidR="00647713" w:rsidRPr="0031433B" w:rsidRDefault="00D31DD7" w:rsidP="000C5623">
      <w:pPr>
        <w:spacing w:after="120"/>
        <w:rPr>
          <w:rFonts w:cs="Segoe UI"/>
        </w:rPr>
      </w:pPr>
      <w:r>
        <w:rPr>
          <w:rFonts w:cs="Segoe UI"/>
        </w:rPr>
        <w:t>S</w:t>
      </w:r>
      <w:r w:rsidR="005D133B" w:rsidRPr="0031433B">
        <w:rPr>
          <w:rFonts w:cs="Segoe UI"/>
        </w:rPr>
        <w:t xml:space="preserve">ince a formal framework was introduced </w:t>
      </w:r>
      <w:r w:rsidR="005D133B">
        <w:rPr>
          <w:rFonts w:cs="Segoe UI"/>
        </w:rPr>
        <w:t xml:space="preserve">for the PBS </w:t>
      </w:r>
      <w:r w:rsidR="005D133B" w:rsidRPr="0031433B">
        <w:rPr>
          <w:rFonts w:cs="Segoe UI"/>
        </w:rPr>
        <w:t>in 2011</w:t>
      </w:r>
      <w:r w:rsidR="005D133B">
        <w:rPr>
          <w:rFonts w:cs="Segoe UI"/>
        </w:rPr>
        <w:t xml:space="preserve">, </w:t>
      </w:r>
      <w:r w:rsidR="00647713" w:rsidRPr="0031433B">
        <w:rPr>
          <w:rFonts w:cs="Segoe UI"/>
        </w:rPr>
        <w:t>MEAs have been used periodically</w:t>
      </w:r>
      <w:r w:rsidR="00647713" w:rsidRPr="0031433B" w:rsidDel="005D133B">
        <w:rPr>
          <w:rFonts w:cs="Segoe UI"/>
        </w:rPr>
        <w:t xml:space="preserve"> </w:t>
      </w:r>
      <w:r w:rsidR="005D133B">
        <w:rPr>
          <w:rFonts w:cs="Segoe UI"/>
        </w:rPr>
        <w:t>to</w:t>
      </w:r>
      <w:r w:rsidR="008956DD">
        <w:rPr>
          <w:rFonts w:cs="Segoe UI"/>
        </w:rPr>
        <w:t xml:space="preserve"> address clinical and economic uncertainty</w:t>
      </w:r>
      <w:r w:rsidR="001B6DDC">
        <w:rPr>
          <w:rFonts w:cs="Segoe UI"/>
        </w:rPr>
        <w:t>.</w:t>
      </w:r>
      <w:r w:rsidR="00647713" w:rsidRPr="0031433B">
        <w:rPr>
          <w:rStyle w:val="FootnoteReference"/>
          <w:rFonts w:cs="Segoe UI"/>
        </w:rPr>
        <w:footnoteReference w:id="93"/>
      </w:r>
      <w:r w:rsidR="00647713" w:rsidRPr="0031433B">
        <w:rPr>
          <w:rFonts w:cs="Segoe UI"/>
        </w:rPr>
        <w:t xml:space="preserve"> Most</w:t>
      </w:r>
      <w:r w:rsidR="00647713" w:rsidRPr="0031433B" w:rsidDel="00AB3F73">
        <w:rPr>
          <w:rFonts w:cs="Segoe UI"/>
        </w:rPr>
        <w:t xml:space="preserve"> have </w:t>
      </w:r>
      <w:r w:rsidR="00647713" w:rsidRPr="0031433B">
        <w:rPr>
          <w:rFonts w:cs="Segoe UI"/>
        </w:rPr>
        <w:t>been financial arrangements implemented as part of risk</w:t>
      </w:r>
      <w:r w:rsidR="00AB3F73">
        <w:rPr>
          <w:rFonts w:cs="Segoe UI"/>
        </w:rPr>
        <w:t xml:space="preserve"> </w:t>
      </w:r>
      <w:r w:rsidR="00647713" w:rsidRPr="0031433B">
        <w:rPr>
          <w:rFonts w:cs="Segoe UI"/>
        </w:rPr>
        <w:t>shar</w:t>
      </w:r>
      <w:r w:rsidR="005D133B">
        <w:rPr>
          <w:rFonts w:cs="Segoe UI"/>
        </w:rPr>
        <w:t>ing</w:t>
      </w:r>
      <w:r w:rsidR="00647713" w:rsidRPr="0031433B" w:rsidDel="00AB3F73">
        <w:rPr>
          <w:rFonts w:cs="Segoe UI"/>
        </w:rPr>
        <w:t xml:space="preserve"> </w:t>
      </w:r>
      <w:r w:rsidR="00647713" w:rsidRPr="0031433B">
        <w:rPr>
          <w:rFonts w:cs="Segoe UI"/>
        </w:rPr>
        <w:t>between</w:t>
      </w:r>
      <w:r w:rsidR="00647713" w:rsidRPr="0031433B" w:rsidDel="00AB3F73">
        <w:rPr>
          <w:rFonts w:cs="Segoe UI"/>
        </w:rPr>
        <w:t xml:space="preserve"> </w:t>
      </w:r>
      <w:r w:rsidR="00647713" w:rsidRPr="0031433B">
        <w:rPr>
          <w:rFonts w:cs="Segoe UI"/>
        </w:rPr>
        <w:t>health</w:t>
      </w:r>
      <w:r w:rsidR="008722C8">
        <w:rPr>
          <w:rFonts w:cs="Segoe UI"/>
        </w:rPr>
        <w:t>care</w:t>
      </w:r>
      <w:r w:rsidR="00647713" w:rsidRPr="0031433B">
        <w:rPr>
          <w:rFonts w:cs="Segoe UI"/>
        </w:rPr>
        <w:t xml:space="preserve"> payer</w:t>
      </w:r>
      <w:r w:rsidR="00AB3F73">
        <w:rPr>
          <w:rFonts w:cs="Segoe UI"/>
        </w:rPr>
        <w:t>s</w:t>
      </w:r>
      <w:r w:rsidR="00647713" w:rsidRPr="0031433B">
        <w:rPr>
          <w:rFonts w:cs="Segoe UI"/>
        </w:rPr>
        <w:t xml:space="preserve"> and product sponsor</w:t>
      </w:r>
      <w:r w:rsidR="00AB3F73">
        <w:rPr>
          <w:rFonts w:cs="Segoe UI"/>
        </w:rPr>
        <w:t>s</w:t>
      </w:r>
      <w:r w:rsidR="00647713" w:rsidRPr="0031433B">
        <w:rPr>
          <w:rFonts w:cs="Segoe UI"/>
        </w:rPr>
        <w:t>. However, MEAs have been historically underu</w:t>
      </w:r>
      <w:r w:rsidR="00AB3F73">
        <w:rPr>
          <w:rFonts w:cs="Segoe UI"/>
        </w:rPr>
        <w:t xml:space="preserve">sed. This is </w:t>
      </w:r>
      <w:r w:rsidR="00647713" w:rsidRPr="0031433B">
        <w:rPr>
          <w:rFonts w:cs="Segoe UI"/>
        </w:rPr>
        <w:t>part</w:t>
      </w:r>
      <w:r w:rsidR="00AB3F73">
        <w:rPr>
          <w:rFonts w:cs="Segoe UI"/>
        </w:rPr>
        <w:t>ly</w:t>
      </w:r>
      <w:r w:rsidR="00647713" w:rsidRPr="0031433B">
        <w:rPr>
          <w:rFonts w:cs="Segoe UI"/>
        </w:rPr>
        <w:t xml:space="preserve"> due to</w:t>
      </w:r>
      <w:r w:rsidR="00647713" w:rsidRPr="0031433B" w:rsidDel="00AB3F73">
        <w:rPr>
          <w:rFonts w:cs="Segoe UI"/>
        </w:rPr>
        <w:t xml:space="preserve"> </w:t>
      </w:r>
      <w:r w:rsidR="00647713" w:rsidRPr="0031433B">
        <w:rPr>
          <w:rFonts w:cs="Segoe UI"/>
        </w:rPr>
        <w:t xml:space="preserve">industry stakeholder concerns (though this was not a consistent view) about administrative burdens associated with performance-based arrangements (which often can include </w:t>
      </w:r>
      <w:r w:rsidR="00B72B08">
        <w:rPr>
          <w:rFonts w:cs="Segoe UI"/>
        </w:rPr>
        <w:t xml:space="preserve">collecting </w:t>
      </w:r>
      <w:r w:rsidR="00647713" w:rsidRPr="0031433B">
        <w:rPr>
          <w:rFonts w:cs="Segoe UI"/>
        </w:rPr>
        <w:t xml:space="preserve">patient data </w:t>
      </w:r>
      <w:r w:rsidR="00AB3F73">
        <w:rPr>
          <w:rFonts w:cs="Segoe UI"/>
        </w:rPr>
        <w:t xml:space="preserve">to help </w:t>
      </w:r>
      <w:r w:rsidR="00647713" w:rsidRPr="0031433B">
        <w:rPr>
          <w:rFonts w:cs="Segoe UI"/>
        </w:rPr>
        <w:t>address</w:t>
      </w:r>
      <w:r w:rsidR="00AB3F73">
        <w:rPr>
          <w:rFonts w:cs="Segoe UI"/>
        </w:rPr>
        <w:t xml:space="preserve"> </w:t>
      </w:r>
      <w:r w:rsidR="00647713" w:rsidRPr="0031433B">
        <w:rPr>
          <w:rFonts w:cs="Segoe UI"/>
        </w:rPr>
        <w:t>uncertainty and risk)</w:t>
      </w:r>
      <w:r w:rsidR="00B72B08">
        <w:rPr>
          <w:rFonts w:cs="Segoe UI"/>
        </w:rPr>
        <w:t>. Additionally,</w:t>
      </w:r>
      <w:r w:rsidR="00647713" w:rsidRPr="0031433B">
        <w:rPr>
          <w:rFonts w:cs="Segoe UI"/>
        </w:rPr>
        <w:t xml:space="preserve"> price points at the commencement of a</w:t>
      </w:r>
      <w:r w:rsidR="00B72B08">
        <w:rPr>
          <w:rFonts w:cs="Segoe UI"/>
        </w:rPr>
        <w:t>n</w:t>
      </w:r>
      <w:r w:rsidR="00647713" w:rsidRPr="0031433B">
        <w:rPr>
          <w:rFonts w:cs="Segoe UI"/>
        </w:rPr>
        <w:t xml:space="preserve"> MEA are low</w:t>
      </w:r>
      <w:r w:rsidR="00B72B08">
        <w:rPr>
          <w:rFonts w:cs="Segoe UI"/>
        </w:rPr>
        <w:t>,</w:t>
      </w:r>
      <w:r w:rsidR="00647713" w:rsidRPr="0031433B">
        <w:rPr>
          <w:rFonts w:cs="Segoe UI"/>
        </w:rPr>
        <w:t xml:space="preserve"> requir</w:t>
      </w:r>
      <w:r w:rsidR="00B72B08">
        <w:rPr>
          <w:rFonts w:cs="Segoe UI"/>
        </w:rPr>
        <w:t>ing</w:t>
      </w:r>
      <w:r w:rsidR="00647713" w:rsidRPr="0031433B">
        <w:rPr>
          <w:rFonts w:cs="Segoe UI"/>
        </w:rPr>
        <w:t xml:space="preserve"> </w:t>
      </w:r>
      <w:r w:rsidR="00B72B08">
        <w:rPr>
          <w:rFonts w:cs="Segoe UI"/>
        </w:rPr>
        <w:t xml:space="preserve">the sponsor to take a </w:t>
      </w:r>
      <w:r w:rsidR="00647713" w:rsidRPr="0031433B">
        <w:rPr>
          <w:rFonts w:cs="Segoe UI"/>
        </w:rPr>
        <w:t>significant financial risk</w:t>
      </w:r>
      <w:r w:rsidR="00B72B08">
        <w:rPr>
          <w:rFonts w:cs="Segoe UI"/>
        </w:rPr>
        <w:t>.</w:t>
      </w:r>
      <w:r w:rsidR="00647713" w:rsidRPr="0031433B">
        <w:rPr>
          <w:rStyle w:val="FootnoteReference"/>
          <w:rFonts w:cs="Segoe UI"/>
        </w:rPr>
        <w:footnoteReference w:id="94"/>
      </w:r>
      <w:r w:rsidR="00647713" w:rsidRPr="0031433B">
        <w:rPr>
          <w:rFonts w:cs="Segoe UI"/>
        </w:rPr>
        <w:t xml:space="preserve"> </w:t>
      </w:r>
    </w:p>
    <w:p w14:paraId="10077FF6" w14:textId="0229B7C7" w:rsidR="00647713" w:rsidRPr="0031433B" w:rsidRDefault="00647713" w:rsidP="000C5623">
      <w:pPr>
        <w:spacing w:after="120"/>
        <w:rPr>
          <w:rFonts w:cs="Segoe UI"/>
        </w:rPr>
      </w:pPr>
      <w:r w:rsidRPr="0031433B">
        <w:rPr>
          <w:rFonts w:cs="Segoe UI"/>
        </w:rPr>
        <w:t>In</w:t>
      </w:r>
      <w:r w:rsidRPr="0031433B" w:rsidDel="00B72B08">
        <w:rPr>
          <w:rFonts w:cs="Segoe UI"/>
        </w:rPr>
        <w:t xml:space="preserve"> </w:t>
      </w:r>
      <w:r w:rsidRPr="0031433B">
        <w:rPr>
          <w:rFonts w:cs="Segoe UI"/>
        </w:rPr>
        <w:t>additional consultations, there was consistent support for revising the overall framework for MEAs to improve their uptake and allow for the creative sharing of risk</w:t>
      </w:r>
      <w:r w:rsidR="00B72B08">
        <w:rPr>
          <w:rFonts w:cs="Segoe UI"/>
        </w:rPr>
        <w:t>.</w:t>
      </w:r>
      <w:r w:rsidRPr="0031433B">
        <w:rPr>
          <w:rStyle w:val="FootnoteReference"/>
          <w:rFonts w:cs="Segoe UI"/>
        </w:rPr>
        <w:footnoteReference w:id="95"/>
      </w:r>
      <w:r w:rsidR="00B72B08">
        <w:rPr>
          <w:rFonts w:cs="Segoe UI"/>
        </w:rPr>
        <w:t xml:space="preserve"> However, </w:t>
      </w:r>
      <w:r w:rsidRPr="0031433B">
        <w:rPr>
          <w:rFonts w:cs="Segoe UI"/>
        </w:rPr>
        <w:t>this</w:t>
      </w:r>
      <w:r w:rsidR="00B72B08">
        <w:rPr>
          <w:rFonts w:cs="Segoe UI"/>
        </w:rPr>
        <w:t xml:space="preserve"> view</w:t>
      </w:r>
      <w:r w:rsidRPr="0031433B">
        <w:rPr>
          <w:rFonts w:cs="Segoe UI"/>
        </w:rPr>
        <w:t xml:space="preserve"> was tempered by observations from a small subset of industry and</w:t>
      </w:r>
      <w:r w:rsidR="00AE7205">
        <w:rPr>
          <w:rFonts w:cs="Segoe UI"/>
        </w:rPr>
        <w:t>/or</w:t>
      </w:r>
      <w:r w:rsidRPr="0031433B">
        <w:rPr>
          <w:rFonts w:cs="Segoe UI"/>
        </w:rPr>
        <w:t xml:space="preserve"> health practitioner stakeholders:</w:t>
      </w:r>
    </w:p>
    <w:p w14:paraId="0AC4C980" w14:textId="37AD8F07" w:rsidR="00647713" w:rsidRPr="0031433B" w:rsidRDefault="00AE7205" w:rsidP="00274AA9">
      <w:pPr>
        <w:pStyle w:val="ListBullet"/>
      </w:pPr>
      <w:r>
        <w:t xml:space="preserve">Both types of </w:t>
      </w:r>
      <w:proofErr w:type="gramStart"/>
      <w:r>
        <w:t>stakeholder</w:t>
      </w:r>
      <w:proofErr w:type="gramEnd"/>
      <w:r>
        <w:t xml:space="preserve"> raised </w:t>
      </w:r>
      <w:r w:rsidR="00647713" w:rsidRPr="0031433B">
        <w:t xml:space="preserve">the </w:t>
      </w:r>
      <w:r w:rsidR="00647713" w:rsidRPr="00B72B08">
        <w:t>unintended</w:t>
      </w:r>
      <w:r w:rsidR="00647713" w:rsidRPr="0031433B">
        <w:t xml:space="preserve"> consequence</w:t>
      </w:r>
      <w:r>
        <w:t>s</w:t>
      </w:r>
      <w:r w:rsidR="00647713" w:rsidRPr="0031433B">
        <w:t xml:space="preserve"> of increased complexity in administering MEAs and their effect on patient access to treatments</w:t>
      </w:r>
      <w:r>
        <w:t>.</w:t>
      </w:r>
      <w:r w:rsidR="00647713" w:rsidRPr="0031433B">
        <w:t xml:space="preserve"> </w:t>
      </w:r>
    </w:p>
    <w:p w14:paraId="01212644" w14:textId="69DD36FF" w:rsidR="00B15054" w:rsidRDefault="00AE7205" w:rsidP="00CD422F">
      <w:pPr>
        <w:pStyle w:val="ListBullet"/>
        <w:rPr>
          <w:rStyle w:val="IntenseEmphasis"/>
          <w:rFonts w:eastAsia="Calibri" w:cs="Calibri"/>
          <w:b/>
          <w:bCs/>
          <w:szCs w:val="22"/>
        </w:rPr>
      </w:pPr>
      <w:r>
        <w:t>I</w:t>
      </w:r>
      <w:r w:rsidRPr="0031433B">
        <w:t xml:space="preserve">ndustry stakeholders </w:t>
      </w:r>
      <w:r>
        <w:t xml:space="preserve">thought </w:t>
      </w:r>
      <w:r w:rsidRPr="0031433B">
        <w:t>the key parties (i.e. health</w:t>
      </w:r>
      <w:r>
        <w:t>care</w:t>
      </w:r>
      <w:r w:rsidRPr="0031433B">
        <w:t xml:space="preserve"> payers and industry sponsors)</w:t>
      </w:r>
      <w:r>
        <w:t xml:space="preserve"> should share</w:t>
      </w:r>
      <w:r w:rsidR="00647713" w:rsidRPr="0031433B">
        <w:t xml:space="preserve"> </w:t>
      </w:r>
      <w:r>
        <w:t>risk</w:t>
      </w:r>
      <w:r w:rsidR="00647713" w:rsidRPr="0031433B">
        <w:t>.</w:t>
      </w:r>
      <w:r w:rsidR="00647713" w:rsidRPr="0031433B">
        <w:rPr>
          <w:rStyle w:val="FootnoteReference"/>
        </w:rPr>
        <w:footnoteReference w:id="96"/>
      </w:r>
      <w:r w:rsidR="00647713" w:rsidRPr="0031433B">
        <w:t xml:space="preserve"> </w:t>
      </w:r>
    </w:p>
    <w:p w14:paraId="553CE46C" w14:textId="77777777" w:rsidR="00FA396E" w:rsidRDefault="00B15054" w:rsidP="006259AD">
      <w:pPr>
        <w:pStyle w:val="Figurecaption"/>
        <w:spacing w:after="120"/>
      </w:pPr>
      <w:r w:rsidRPr="002C353F">
        <w:rPr>
          <w:noProof/>
        </w:rPr>
        <w:drawing>
          <wp:inline distT="0" distB="0" distL="0" distR="0" wp14:anchorId="38899B55" wp14:editId="3B26DE00">
            <wp:extent cx="5744424" cy="3206014"/>
            <wp:effectExtent l="0" t="0" r="0" b="0"/>
            <wp:docPr id="11" name="Picture 11" descr="Diagram of how managed entry agreements (MEAs) are structured. The structure is broken down into three levels: first is type (performance or financial), then level (patient or population level) then desig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 of how managed entry agreements (MEAs) are structured. The structure is broken down into three levels: first is type (performance or financial), then level (patient or population level) then design.&#10;"/>
                    <pic:cNvPicPr/>
                  </pic:nvPicPr>
                  <pic:blipFill rotWithShape="1">
                    <a:blip r:embed="rId25"/>
                    <a:srcRect r="7430"/>
                    <a:stretch/>
                  </pic:blipFill>
                  <pic:spPr bwMode="auto">
                    <a:xfrm>
                      <a:off x="0" y="0"/>
                      <a:ext cx="5784324" cy="3228283"/>
                    </a:xfrm>
                    <a:prstGeom prst="rect">
                      <a:avLst/>
                    </a:prstGeom>
                    <a:ln>
                      <a:noFill/>
                    </a:ln>
                    <a:extLst>
                      <a:ext uri="{53640926-AAD7-44D8-BBD7-CCE9431645EC}">
                        <a14:shadowObscured xmlns:a14="http://schemas.microsoft.com/office/drawing/2010/main"/>
                      </a:ext>
                    </a:extLst>
                  </pic:spPr>
                </pic:pic>
              </a:graphicData>
            </a:graphic>
          </wp:inline>
        </w:drawing>
      </w:r>
    </w:p>
    <w:p w14:paraId="07EFECDF" w14:textId="2D426457" w:rsidR="00B15054" w:rsidRDefault="00FA396E" w:rsidP="009A4F16">
      <w:pPr>
        <w:pStyle w:val="Caption"/>
      </w:pPr>
      <w:bookmarkStart w:id="319" w:name="_Toc171935092"/>
      <w:r>
        <w:lastRenderedPageBreak/>
        <w:t xml:space="preserve">Figure </w:t>
      </w:r>
      <w:r w:rsidR="008D36F7">
        <w:fldChar w:fldCharType="begin" w:fldLock="1"/>
      </w:r>
      <w:r w:rsidR="008D36F7">
        <w:instrText xml:space="preserve"> SEQ Figure \* ARABIC </w:instrText>
      </w:r>
      <w:r w:rsidR="008D36F7">
        <w:fldChar w:fldCharType="separate"/>
      </w:r>
      <w:r>
        <w:rPr>
          <w:noProof/>
        </w:rPr>
        <w:t>4</w:t>
      </w:r>
      <w:r w:rsidR="008D36F7">
        <w:rPr>
          <w:noProof/>
        </w:rPr>
        <w:fldChar w:fldCharType="end"/>
      </w:r>
      <w:r>
        <w:t xml:space="preserve">: </w:t>
      </w:r>
      <w:r w:rsidRPr="00DF721F">
        <w:t>Managed entry agreements – OECD (Wenzl and Chapman, 2019)</w:t>
      </w:r>
      <w:bookmarkEnd w:id="319"/>
    </w:p>
    <w:p w14:paraId="39263C74" w14:textId="177E880A" w:rsidR="00647713" w:rsidRPr="00405FD7" w:rsidRDefault="005B2056" w:rsidP="00CB6545">
      <w:pPr>
        <w:pStyle w:val="Figurecaption"/>
        <w:rPr>
          <w:rStyle w:val="normaltextrun"/>
          <w:rFonts w:cs="Segoe UI"/>
        </w:rPr>
      </w:pPr>
      <w:r w:rsidRPr="00405FD7">
        <w:rPr>
          <w:rStyle w:val="normaltextrun"/>
          <w:rFonts w:cs="Segoe UI"/>
          <w:noProof/>
        </w:rPr>
        <mc:AlternateContent>
          <mc:Choice Requires="wps">
            <w:drawing>
              <wp:inline distT="0" distB="0" distL="0" distR="0" wp14:anchorId="0EB27CFA" wp14:editId="6BE7C773">
                <wp:extent cx="5695950" cy="5130140"/>
                <wp:effectExtent l="0" t="0" r="0" b="0"/>
                <wp:docPr id="682" name="Text Box 6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5130140"/>
                        </a:xfrm>
                        <a:prstGeom prst="rect">
                          <a:avLst/>
                        </a:prstGeom>
                        <a:solidFill>
                          <a:schemeClr val="bg1">
                            <a:lumMod val="95000"/>
                          </a:schemeClr>
                        </a:solidFill>
                        <a:ln>
                          <a:noFill/>
                          <a:headEnd/>
                          <a:tailEnd/>
                        </a:ln>
                      </wps:spPr>
                      <wps:style>
                        <a:lnRef idx="2">
                          <a:schemeClr val="accent5"/>
                        </a:lnRef>
                        <a:fillRef idx="1">
                          <a:schemeClr val="lt1"/>
                        </a:fillRef>
                        <a:effectRef idx="0">
                          <a:schemeClr val="accent5"/>
                        </a:effectRef>
                        <a:fontRef idx="minor">
                          <a:schemeClr val="dk1"/>
                        </a:fontRef>
                      </wps:style>
                      <wps:txbx>
                        <w:txbxContent>
                          <w:p w14:paraId="139FAD57" w14:textId="64849546" w:rsidR="005B2056" w:rsidRPr="0092646C" w:rsidRDefault="005B2056" w:rsidP="00BD34D3">
                            <w:pPr>
                              <w:rPr>
                                <w:b/>
                                <w:i/>
                                <w:color w:val="0E6C9B"/>
                                <w:sz w:val="28"/>
                                <w:szCs w:val="28"/>
                              </w:rPr>
                            </w:pPr>
                            <w:bookmarkStart w:id="320" w:name="_Hlk165382147"/>
                            <w:r w:rsidRPr="0092646C">
                              <w:rPr>
                                <w:color w:val="0E6C9B"/>
                                <w:sz w:val="28"/>
                                <w:szCs w:val="28"/>
                              </w:rPr>
                              <w:t xml:space="preserve">Managed </w:t>
                            </w:r>
                            <w:r w:rsidR="001E3060" w:rsidRPr="0092646C">
                              <w:rPr>
                                <w:color w:val="0E6C9B"/>
                                <w:sz w:val="28"/>
                                <w:szCs w:val="28"/>
                              </w:rPr>
                              <w:t>e</w:t>
                            </w:r>
                            <w:r w:rsidRPr="0092646C">
                              <w:rPr>
                                <w:color w:val="0E6C9B"/>
                                <w:sz w:val="28"/>
                                <w:szCs w:val="28"/>
                              </w:rPr>
                              <w:t xml:space="preserve">ntry </w:t>
                            </w:r>
                            <w:r w:rsidR="001E3060" w:rsidRPr="0092646C">
                              <w:rPr>
                                <w:color w:val="0E6C9B"/>
                                <w:sz w:val="28"/>
                                <w:szCs w:val="28"/>
                              </w:rPr>
                              <w:t>agreements</w:t>
                            </w:r>
                          </w:p>
                          <w:bookmarkEnd w:id="320"/>
                          <w:p w14:paraId="6FC98C1D" w14:textId="3E41B5AA" w:rsidR="005B2056" w:rsidRPr="00237B70" w:rsidRDefault="005B2056" w:rsidP="00405FD7">
                            <w:pPr>
                              <w:rPr>
                                <w:rFonts w:cs="Segoe UI"/>
                                <w:i/>
                              </w:rPr>
                            </w:pPr>
                            <w:r w:rsidRPr="00237B70">
                              <w:rPr>
                                <w:rFonts w:cs="Segoe UI"/>
                                <w:color w:val="000000"/>
                                <w:position w:val="2"/>
                                <w:lang w:val="en-GB"/>
                              </w:rPr>
                              <w:t xml:space="preserve">MEAs </w:t>
                            </w:r>
                            <w:r w:rsidRPr="00237B70">
                              <w:rPr>
                                <w:rFonts w:cs="Segoe UI"/>
                              </w:rPr>
                              <w:t xml:space="preserve">are strategic arrangements between payers and sponsors to ensure timely patient access to advanced healthcare treatments, particularly when there is uncertainty about their clinical </w:t>
                            </w:r>
                            <w:r w:rsidR="009923D2">
                              <w:rPr>
                                <w:rFonts w:cs="Segoe UI"/>
                              </w:rPr>
                              <w:t xml:space="preserve">effectiveness </w:t>
                            </w:r>
                            <w:r w:rsidRPr="00237B70">
                              <w:rPr>
                                <w:rFonts w:cs="Segoe UI"/>
                              </w:rPr>
                              <w:t>or cost-effectiveness. MEAs</w:t>
                            </w:r>
                            <w:r w:rsidRPr="00237B70" w:rsidDel="0011777F">
                              <w:rPr>
                                <w:rFonts w:cs="Segoe UI"/>
                              </w:rPr>
                              <w:t xml:space="preserve"> </w:t>
                            </w:r>
                            <w:r w:rsidRPr="00237B70">
                              <w:rPr>
                                <w:rFonts w:cs="Segoe UI"/>
                              </w:rPr>
                              <w:t xml:space="preserve">address uncertainties </w:t>
                            </w:r>
                            <w:r w:rsidR="0011777F">
                              <w:rPr>
                                <w:rFonts w:cs="Segoe UI"/>
                              </w:rPr>
                              <w:t>about</w:t>
                            </w:r>
                            <w:r w:rsidR="0011777F" w:rsidRPr="00237B70">
                              <w:rPr>
                                <w:rFonts w:cs="Segoe UI"/>
                              </w:rPr>
                              <w:t xml:space="preserve"> </w:t>
                            </w:r>
                            <w:r w:rsidRPr="00237B70">
                              <w:rPr>
                                <w:rFonts w:cs="Segoe UI"/>
                              </w:rPr>
                              <w:t>the value, uptake and performance of emerging technologies through conditional or managed reimbursement</w:t>
                            </w:r>
                            <w:r w:rsidR="0011777F">
                              <w:rPr>
                                <w:rFonts w:cs="Segoe UI"/>
                              </w:rPr>
                              <w:t>. This mean</w:t>
                            </w:r>
                            <w:r w:rsidR="00CD465F">
                              <w:rPr>
                                <w:rFonts w:cs="Segoe UI"/>
                              </w:rPr>
                              <w:t>s</w:t>
                            </w:r>
                            <w:r w:rsidR="0011777F">
                              <w:rPr>
                                <w:rFonts w:cs="Segoe UI"/>
                              </w:rPr>
                              <w:t xml:space="preserve"> they serve</w:t>
                            </w:r>
                            <w:r w:rsidRPr="00237B70">
                              <w:rPr>
                                <w:rFonts w:cs="Segoe UI"/>
                              </w:rPr>
                              <w:t xml:space="preserve"> to manage financial risks and other challenges associated with </w:t>
                            </w:r>
                            <w:r w:rsidR="0011777F">
                              <w:rPr>
                                <w:rFonts w:cs="Segoe UI"/>
                              </w:rPr>
                              <w:t>using</w:t>
                            </w:r>
                            <w:r w:rsidRPr="00237B70">
                              <w:rPr>
                                <w:rFonts w:cs="Segoe UI"/>
                              </w:rPr>
                              <w:t xml:space="preserve"> such treatments, providing a framework for balancing expedited access </w:t>
                            </w:r>
                            <w:r w:rsidR="0011777F">
                              <w:rPr>
                                <w:rFonts w:cs="Segoe UI"/>
                              </w:rPr>
                              <w:t>with</w:t>
                            </w:r>
                            <w:r w:rsidR="0011777F" w:rsidRPr="00237B70">
                              <w:rPr>
                                <w:rFonts w:cs="Segoe UI"/>
                              </w:rPr>
                              <w:t xml:space="preserve"> </w:t>
                            </w:r>
                            <w:r w:rsidRPr="00237B70">
                              <w:rPr>
                                <w:rFonts w:cs="Segoe UI"/>
                              </w:rPr>
                              <w:t>efficient resource allocation.</w:t>
                            </w:r>
                          </w:p>
                          <w:p w14:paraId="22112681" w14:textId="5E9FF712" w:rsidR="005B2056" w:rsidRPr="0011777F" w:rsidRDefault="005B2056" w:rsidP="001704AE">
                            <w:pPr>
                              <w:spacing w:after="0"/>
                              <w:rPr>
                                <w:rFonts w:cs="Segoe UI"/>
                                <w:iCs/>
                              </w:rPr>
                            </w:pPr>
                            <w:r w:rsidRPr="00237B70">
                              <w:rPr>
                                <w:rFonts w:cs="Segoe UI"/>
                              </w:rPr>
                              <w:t xml:space="preserve">MEAs generally adhere to a three-tier </w:t>
                            </w:r>
                            <w:r w:rsidRPr="000C5623">
                              <w:rPr>
                                <w:rFonts w:cs="Segoe UI"/>
                                <w:iCs/>
                              </w:rPr>
                              <w:t>taxonomy (</w:t>
                            </w:r>
                            <w:r w:rsidR="0011777F" w:rsidRPr="000C5623">
                              <w:rPr>
                                <w:rFonts w:cs="Segoe UI"/>
                                <w:iCs/>
                              </w:rPr>
                              <w:t xml:space="preserve">see </w:t>
                            </w:r>
                            <w:r w:rsidR="00964BE5" w:rsidRPr="000C5623">
                              <w:rPr>
                                <w:rFonts w:cs="Segoe UI"/>
                                <w:iCs/>
                              </w:rPr>
                              <w:fldChar w:fldCharType="begin"/>
                            </w:r>
                            <w:r w:rsidR="00964BE5" w:rsidRPr="000C5623">
                              <w:rPr>
                                <w:rFonts w:cs="Segoe UI"/>
                                <w:iCs/>
                              </w:rPr>
                              <w:instrText xml:space="preserve"> REF _Ref165617253 \h  \* MERGEFORMAT </w:instrText>
                            </w:r>
                            <w:r w:rsidR="00964BE5" w:rsidRPr="000C5623">
                              <w:rPr>
                                <w:rFonts w:cs="Segoe UI"/>
                                <w:iCs/>
                              </w:rPr>
                            </w:r>
                            <w:r w:rsidR="00964BE5" w:rsidRPr="000C5623">
                              <w:rPr>
                                <w:rFonts w:cs="Segoe UI"/>
                                <w:iCs/>
                              </w:rPr>
                              <w:fldChar w:fldCharType="separate"/>
                            </w:r>
                            <w:r w:rsidR="00964BE5" w:rsidRPr="000C5623">
                              <w:rPr>
                                <w:rFonts w:cs="Segoe UI"/>
                                <w:iCs/>
                              </w:rPr>
                              <w:t xml:space="preserve">Figure </w:t>
                            </w:r>
                            <w:r w:rsidR="00964BE5" w:rsidRPr="000C5623">
                              <w:rPr>
                                <w:rFonts w:cs="Segoe UI"/>
                                <w:iCs/>
                                <w:noProof/>
                              </w:rPr>
                              <w:t>4</w:t>
                            </w:r>
                            <w:r w:rsidR="00964BE5" w:rsidRPr="000C5623">
                              <w:rPr>
                                <w:rFonts w:cs="Segoe UI"/>
                                <w:iCs/>
                              </w:rPr>
                              <w:fldChar w:fldCharType="end"/>
                            </w:r>
                            <w:r w:rsidRPr="000C5623">
                              <w:rPr>
                                <w:rFonts w:cs="Segoe UI"/>
                                <w:iCs/>
                              </w:rPr>
                              <w:t>):</w:t>
                            </w:r>
                          </w:p>
                          <w:p w14:paraId="06FEE0FC" w14:textId="16D0CC4F" w:rsidR="005B2056" w:rsidRPr="00237B70" w:rsidRDefault="005B2056" w:rsidP="00274AA9">
                            <w:pPr>
                              <w:pStyle w:val="ListBullet"/>
                              <w:rPr>
                                <w:i/>
                              </w:rPr>
                            </w:pPr>
                            <w:r w:rsidRPr="00237B70">
                              <w:t xml:space="preserve">Tier 1 (green) specifies the broad </w:t>
                            </w:r>
                            <w:r w:rsidRPr="00237B70">
                              <w:rPr>
                                <w:b/>
                              </w:rPr>
                              <w:t>type</w:t>
                            </w:r>
                            <w:r w:rsidRPr="00237B70">
                              <w:t xml:space="preserve"> of agreement (i.e. performance-based or financial-based), </w:t>
                            </w:r>
                            <w:r w:rsidR="0011777F">
                              <w:t>based on</w:t>
                            </w:r>
                            <w:r w:rsidRPr="00237B70">
                              <w:t xml:space="preserve"> the uncertainty and/or risk to be addressed. </w:t>
                            </w:r>
                          </w:p>
                          <w:p w14:paraId="7B09C6E9" w14:textId="5EF13C65" w:rsidR="005B2056" w:rsidRPr="00237B70" w:rsidRDefault="005B2056" w:rsidP="00274AA9">
                            <w:pPr>
                              <w:pStyle w:val="ListBullet"/>
                              <w:rPr>
                                <w:i/>
                              </w:rPr>
                            </w:pPr>
                            <w:r w:rsidRPr="00237B70">
                              <w:t xml:space="preserve">Tier 2 (grey) categorises the </w:t>
                            </w:r>
                            <w:r w:rsidRPr="00237B70">
                              <w:rPr>
                                <w:b/>
                              </w:rPr>
                              <w:t>level</w:t>
                            </w:r>
                            <w:r w:rsidRPr="00237B70">
                              <w:t xml:space="preserve"> of information that will be analysed and monitored </w:t>
                            </w:r>
                            <w:r w:rsidR="0011777F">
                              <w:t>to</w:t>
                            </w:r>
                            <w:r w:rsidRPr="00237B70">
                              <w:t xml:space="preserve"> address the uncertainty and/or risk set out in the agreement (i.e. at an individual patient level, or at an aggregate population level)</w:t>
                            </w:r>
                            <w:r w:rsidR="0011777F">
                              <w:t>.</w:t>
                            </w:r>
                          </w:p>
                          <w:p w14:paraId="3D1B826D" w14:textId="67A6CAC7" w:rsidR="005B2056" w:rsidRPr="00237B70" w:rsidRDefault="005B2056" w:rsidP="00274AA9">
                            <w:pPr>
                              <w:pStyle w:val="ListBullet"/>
                              <w:rPr>
                                <w:color w:val="000000"/>
                                <w:position w:val="2"/>
                                <w:lang w:val="en-GB"/>
                              </w:rPr>
                            </w:pPr>
                            <w:r w:rsidRPr="00237B70">
                              <w:t xml:space="preserve">Tier 3 (yellow) defines the </w:t>
                            </w:r>
                            <w:r w:rsidRPr="00237B70">
                              <w:rPr>
                                <w:b/>
                              </w:rPr>
                              <w:t>design</w:t>
                            </w:r>
                            <w:r w:rsidRPr="00237B70">
                              <w:t xml:space="preserve"> of the financial or performance instrument that will be used to manage the uncertainty or risk itself</w:t>
                            </w:r>
                            <w:r w:rsidR="0011777F">
                              <w:t>. The instrument can be</w:t>
                            </w:r>
                            <w:r w:rsidRPr="00237B70">
                              <w:t xml:space="preserve"> payments conditional on patient clinical response</w:t>
                            </w:r>
                            <w:r w:rsidR="0011777F">
                              <w:t>s</w:t>
                            </w:r>
                            <w:r w:rsidRPr="00237B70">
                              <w:t>, discounts and rebates on the agreed price, or specific volume or expenditure caps (above which additional product is supplied at a different price or at no additional charge).</w:t>
                            </w:r>
                            <w:r w:rsidRPr="00237B70">
                              <w:rPr>
                                <w:i/>
                              </w:rPr>
                              <w:t xml:space="preserve"> </w:t>
                            </w:r>
                          </w:p>
                        </w:txbxContent>
                      </wps:txbx>
                      <wps:bodyPr rot="0" vert="horz" wrap="square" lIns="91440" tIns="45720" rIns="91440" bIns="45720" anchor="t" anchorCtr="0">
                        <a:noAutofit/>
                      </wps:bodyPr>
                    </wps:wsp>
                  </a:graphicData>
                </a:graphic>
              </wp:inline>
            </w:drawing>
          </mc:Choice>
          <mc:Fallback>
            <w:pict>
              <v:shape w14:anchorId="0EB27CFA" id="Text Box 682" o:spid="_x0000_s1038" type="#_x0000_t202" style="width:448.5pt;height:403.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" fillcolor="#f2f2f2 [3052]" stroked="f" strokeweight="1pt">
                <v:textbox>
                  <w:txbxContent>
                    <w:p w14:paraId="139FAD57" w14:textId="64849546" w:rsidR="005B2056" w:rsidRPr="0092646C" w:rsidRDefault="005B2056" w:rsidP="00BD34D3">
                      <w:pPr>
                        <w:rPr>
                          <w:b/>
                          <w:i/>
                          <w:color w:val="0E6C9B"/>
                          <w:sz w:val="28"/>
                          <w:szCs w:val="28"/>
                        </w:rPr>
                      </w:pPr>
                      <w:bookmarkStart w:id="321" w:name="_Hlk165382147"/>
                      <w:r w:rsidRPr="0092646C">
                        <w:rPr>
                          <w:color w:val="0E6C9B"/>
                          <w:sz w:val="28"/>
                          <w:szCs w:val="28"/>
                        </w:rPr>
                        <w:t xml:space="preserve">Managed </w:t>
                      </w:r>
                      <w:r w:rsidR="001E3060" w:rsidRPr="0092646C">
                        <w:rPr>
                          <w:color w:val="0E6C9B"/>
                          <w:sz w:val="28"/>
                          <w:szCs w:val="28"/>
                        </w:rPr>
                        <w:t>e</w:t>
                      </w:r>
                      <w:r w:rsidRPr="0092646C">
                        <w:rPr>
                          <w:color w:val="0E6C9B"/>
                          <w:sz w:val="28"/>
                          <w:szCs w:val="28"/>
                        </w:rPr>
                        <w:t xml:space="preserve">ntry </w:t>
                      </w:r>
                      <w:r w:rsidR="001E3060" w:rsidRPr="0092646C">
                        <w:rPr>
                          <w:color w:val="0E6C9B"/>
                          <w:sz w:val="28"/>
                          <w:szCs w:val="28"/>
                        </w:rPr>
                        <w:t>agreements</w:t>
                      </w:r>
                    </w:p>
                    <w:bookmarkEnd w:id="321"/>
                    <w:p w14:paraId="6FC98C1D" w14:textId="3E41B5AA" w:rsidR="005B2056" w:rsidRPr="00237B70" w:rsidRDefault="005B2056" w:rsidP="00405FD7">
                      <w:pPr>
                        <w:rPr>
                          <w:rFonts w:cs="Segoe UI"/>
                          <w:i/>
                        </w:rPr>
                      </w:pPr>
                      <w:r w:rsidRPr="00237B70">
                        <w:rPr>
                          <w:rFonts w:cs="Segoe UI"/>
                          <w:color w:val="000000"/>
                          <w:position w:val="2"/>
                          <w:lang w:val="en-GB"/>
                        </w:rPr>
                        <w:t xml:space="preserve">MEAs </w:t>
                      </w:r>
                      <w:r w:rsidRPr="00237B70">
                        <w:rPr>
                          <w:rFonts w:cs="Segoe UI"/>
                        </w:rPr>
                        <w:t xml:space="preserve">are strategic arrangements between payers and sponsors to ensure timely patient access to advanced healthcare treatments, particularly when there is uncertainty about their clinical </w:t>
                      </w:r>
                      <w:r w:rsidR="009923D2">
                        <w:rPr>
                          <w:rFonts w:cs="Segoe UI"/>
                        </w:rPr>
                        <w:t xml:space="preserve">effectiveness </w:t>
                      </w:r>
                      <w:r w:rsidRPr="00237B70">
                        <w:rPr>
                          <w:rFonts w:cs="Segoe UI"/>
                        </w:rPr>
                        <w:t>or cost-effectiveness. MEAs</w:t>
                      </w:r>
                      <w:r w:rsidRPr="00237B70" w:rsidDel="0011777F">
                        <w:rPr>
                          <w:rFonts w:cs="Segoe UI"/>
                        </w:rPr>
                        <w:t xml:space="preserve"> </w:t>
                      </w:r>
                      <w:r w:rsidRPr="00237B70">
                        <w:rPr>
                          <w:rFonts w:cs="Segoe UI"/>
                        </w:rPr>
                        <w:t xml:space="preserve">address uncertainties </w:t>
                      </w:r>
                      <w:r w:rsidR="0011777F">
                        <w:rPr>
                          <w:rFonts w:cs="Segoe UI"/>
                        </w:rPr>
                        <w:t>about</w:t>
                      </w:r>
                      <w:r w:rsidR="0011777F" w:rsidRPr="00237B70">
                        <w:rPr>
                          <w:rFonts w:cs="Segoe UI"/>
                        </w:rPr>
                        <w:t xml:space="preserve"> </w:t>
                      </w:r>
                      <w:r w:rsidRPr="00237B70">
                        <w:rPr>
                          <w:rFonts w:cs="Segoe UI"/>
                        </w:rPr>
                        <w:t>the value, uptake and performance of emerging technologies through conditional or managed reimbursement</w:t>
                      </w:r>
                      <w:r w:rsidR="0011777F">
                        <w:rPr>
                          <w:rFonts w:cs="Segoe UI"/>
                        </w:rPr>
                        <w:t>. This mean</w:t>
                      </w:r>
                      <w:r w:rsidR="00CD465F">
                        <w:rPr>
                          <w:rFonts w:cs="Segoe UI"/>
                        </w:rPr>
                        <w:t>s</w:t>
                      </w:r>
                      <w:r w:rsidR="0011777F">
                        <w:rPr>
                          <w:rFonts w:cs="Segoe UI"/>
                        </w:rPr>
                        <w:t xml:space="preserve"> they serve</w:t>
                      </w:r>
                      <w:r w:rsidRPr="00237B70">
                        <w:rPr>
                          <w:rFonts w:cs="Segoe UI"/>
                        </w:rPr>
                        <w:t xml:space="preserve"> to manage financial risks and other challenges associated with </w:t>
                      </w:r>
                      <w:r w:rsidR="0011777F">
                        <w:rPr>
                          <w:rFonts w:cs="Segoe UI"/>
                        </w:rPr>
                        <w:t>using</w:t>
                      </w:r>
                      <w:r w:rsidRPr="00237B70">
                        <w:rPr>
                          <w:rFonts w:cs="Segoe UI"/>
                        </w:rPr>
                        <w:t xml:space="preserve"> such treatments, providing a framework for balancing expedited access </w:t>
                      </w:r>
                      <w:r w:rsidR="0011777F">
                        <w:rPr>
                          <w:rFonts w:cs="Segoe UI"/>
                        </w:rPr>
                        <w:t>with</w:t>
                      </w:r>
                      <w:r w:rsidR="0011777F" w:rsidRPr="00237B70">
                        <w:rPr>
                          <w:rFonts w:cs="Segoe UI"/>
                        </w:rPr>
                        <w:t xml:space="preserve"> </w:t>
                      </w:r>
                      <w:r w:rsidRPr="00237B70">
                        <w:rPr>
                          <w:rFonts w:cs="Segoe UI"/>
                        </w:rPr>
                        <w:t>efficient resource allocation.</w:t>
                      </w:r>
                    </w:p>
                    <w:p w14:paraId="22112681" w14:textId="5E9FF712" w:rsidR="005B2056" w:rsidRPr="0011777F" w:rsidRDefault="005B2056" w:rsidP="001704AE">
                      <w:pPr>
                        <w:spacing w:after="0"/>
                        <w:rPr>
                          <w:rFonts w:cs="Segoe UI"/>
                          <w:iCs/>
                        </w:rPr>
                      </w:pPr>
                      <w:r w:rsidRPr="00237B70">
                        <w:rPr>
                          <w:rFonts w:cs="Segoe UI"/>
                        </w:rPr>
                        <w:t xml:space="preserve">MEAs generally adhere to a three-tier </w:t>
                      </w:r>
                      <w:r w:rsidRPr="000C5623">
                        <w:rPr>
                          <w:rFonts w:cs="Segoe UI"/>
                          <w:iCs/>
                        </w:rPr>
                        <w:t>taxonomy (</w:t>
                      </w:r>
                      <w:r w:rsidR="0011777F" w:rsidRPr="000C5623">
                        <w:rPr>
                          <w:rFonts w:cs="Segoe UI"/>
                          <w:iCs/>
                        </w:rPr>
                        <w:t xml:space="preserve">see </w:t>
                      </w:r>
                      <w:r w:rsidR="00964BE5" w:rsidRPr="000C5623">
                        <w:rPr>
                          <w:rFonts w:cs="Segoe UI"/>
                          <w:iCs/>
                        </w:rPr>
                        <w:fldChar w:fldCharType="begin"/>
                      </w:r>
                      <w:r w:rsidR="00964BE5" w:rsidRPr="000C5623">
                        <w:rPr>
                          <w:rFonts w:cs="Segoe UI"/>
                          <w:iCs/>
                        </w:rPr>
                        <w:instrText xml:space="preserve"> REF _Ref165617253 \h  \* MERGEFORMAT </w:instrText>
                      </w:r>
                      <w:r w:rsidR="00964BE5" w:rsidRPr="000C5623">
                        <w:rPr>
                          <w:rFonts w:cs="Segoe UI"/>
                          <w:iCs/>
                        </w:rPr>
                      </w:r>
                      <w:r w:rsidR="00964BE5" w:rsidRPr="000C5623">
                        <w:rPr>
                          <w:rFonts w:cs="Segoe UI"/>
                          <w:iCs/>
                        </w:rPr>
                        <w:fldChar w:fldCharType="separate"/>
                      </w:r>
                      <w:r w:rsidR="00964BE5" w:rsidRPr="000C5623">
                        <w:rPr>
                          <w:rFonts w:cs="Segoe UI"/>
                          <w:iCs/>
                        </w:rPr>
                        <w:t xml:space="preserve">Figure </w:t>
                      </w:r>
                      <w:r w:rsidR="00964BE5" w:rsidRPr="000C5623">
                        <w:rPr>
                          <w:rFonts w:cs="Segoe UI"/>
                          <w:iCs/>
                          <w:noProof/>
                        </w:rPr>
                        <w:t>4</w:t>
                      </w:r>
                      <w:r w:rsidR="00964BE5" w:rsidRPr="000C5623">
                        <w:rPr>
                          <w:rFonts w:cs="Segoe UI"/>
                          <w:iCs/>
                        </w:rPr>
                        <w:fldChar w:fldCharType="end"/>
                      </w:r>
                      <w:r w:rsidRPr="000C5623">
                        <w:rPr>
                          <w:rFonts w:cs="Segoe UI"/>
                          <w:iCs/>
                        </w:rPr>
                        <w:t>):</w:t>
                      </w:r>
                    </w:p>
                    <w:p w14:paraId="06FEE0FC" w14:textId="16D0CC4F" w:rsidR="005B2056" w:rsidRPr="00237B70" w:rsidRDefault="005B2056" w:rsidP="00274AA9">
                      <w:pPr>
                        <w:pStyle w:val="ListBullet"/>
                        <w:rPr>
                          <w:i/>
                        </w:rPr>
                      </w:pPr>
                      <w:r w:rsidRPr="00237B70">
                        <w:t xml:space="preserve">Tier 1 (green) specifies the broad </w:t>
                      </w:r>
                      <w:r w:rsidRPr="00237B70">
                        <w:rPr>
                          <w:b/>
                        </w:rPr>
                        <w:t>type</w:t>
                      </w:r>
                      <w:r w:rsidRPr="00237B70">
                        <w:t xml:space="preserve"> of agreement (i.e. performance-based or financial-based), </w:t>
                      </w:r>
                      <w:r w:rsidR="0011777F">
                        <w:t>based on</w:t>
                      </w:r>
                      <w:r w:rsidRPr="00237B70">
                        <w:t xml:space="preserve"> the uncertainty and/or risk to be addressed. </w:t>
                      </w:r>
                    </w:p>
                    <w:p w14:paraId="7B09C6E9" w14:textId="5EF13C65" w:rsidR="005B2056" w:rsidRPr="00237B70" w:rsidRDefault="005B2056" w:rsidP="00274AA9">
                      <w:pPr>
                        <w:pStyle w:val="ListBullet"/>
                        <w:rPr>
                          <w:i/>
                        </w:rPr>
                      </w:pPr>
                      <w:r w:rsidRPr="00237B70">
                        <w:t xml:space="preserve">Tier 2 (grey) categorises the </w:t>
                      </w:r>
                      <w:r w:rsidRPr="00237B70">
                        <w:rPr>
                          <w:b/>
                        </w:rPr>
                        <w:t>level</w:t>
                      </w:r>
                      <w:r w:rsidRPr="00237B70">
                        <w:t xml:space="preserve"> of information that will be analysed and monitored </w:t>
                      </w:r>
                      <w:r w:rsidR="0011777F">
                        <w:t>to</w:t>
                      </w:r>
                      <w:r w:rsidRPr="00237B70">
                        <w:t xml:space="preserve"> address the uncertainty and/or risk set out in the agreement (i.e. at an individual patient level, or at an aggregate population level)</w:t>
                      </w:r>
                      <w:r w:rsidR="0011777F">
                        <w:t>.</w:t>
                      </w:r>
                    </w:p>
                    <w:p w14:paraId="3D1B826D" w14:textId="67A6CAC7" w:rsidR="005B2056" w:rsidRPr="00237B70" w:rsidRDefault="005B2056" w:rsidP="00274AA9">
                      <w:pPr>
                        <w:pStyle w:val="ListBullet"/>
                        <w:rPr>
                          <w:color w:val="000000"/>
                          <w:position w:val="2"/>
                          <w:lang w:val="en-GB"/>
                        </w:rPr>
                      </w:pPr>
                      <w:r w:rsidRPr="00237B70">
                        <w:t xml:space="preserve">Tier 3 (yellow) defines the </w:t>
                      </w:r>
                      <w:r w:rsidRPr="00237B70">
                        <w:rPr>
                          <w:b/>
                        </w:rPr>
                        <w:t>design</w:t>
                      </w:r>
                      <w:r w:rsidRPr="00237B70">
                        <w:t xml:space="preserve"> of the financial or performance instrument that will be used to manage the uncertainty or risk itself</w:t>
                      </w:r>
                      <w:r w:rsidR="0011777F">
                        <w:t>. The instrument can be</w:t>
                      </w:r>
                      <w:r w:rsidRPr="00237B70">
                        <w:t xml:space="preserve"> payments conditional on patient clinical response</w:t>
                      </w:r>
                      <w:r w:rsidR="0011777F">
                        <w:t>s</w:t>
                      </w:r>
                      <w:r w:rsidRPr="00237B70">
                        <w:t>, discounts and rebates on the agreed price, or specific volume or expenditure caps (above which additional product is supplied at a different price or at no additional charge).</w:t>
                      </w:r>
                      <w:r w:rsidRPr="00237B70">
                        <w:rPr>
                          <w:i/>
                        </w:rPr>
                        <w:t xml:space="preserve"> </w:t>
                      </w:r>
                    </w:p>
                  </w:txbxContent>
                </v:textbox>
                <w10:anchorlock/>
              </v:shape>
            </w:pict>
          </mc:Fallback>
        </mc:AlternateContent>
      </w:r>
    </w:p>
    <w:p w14:paraId="31DA2BAF" w14:textId="4F4C659D" w:rsidR="00647713" w:rsidRPr="00741AC7" w:rsidRDefault="00647713" w:rsidP="00D60DBF">
      <w:pPr>
        <w:pStyle w:val="Heading4"/>
      </w:pPr>
      <w:r w:rsidRPr="00741AC7">
        <w:t xml:space="preserve">Observations </w:t>
      </w:r>
      <w:r w:rsidR="00833EA3">
        <w:t>about</w:t>
      </w:r>
      <w:r w:rsidRPr="00741AC7">
        <w:t xml:space="preserve"> special funding programs</w:t>
      </w:r>
    </w:p>
    <w:p w14:paraId="19CA9BF0" w14:textId="030C71C9" w:rsidR="00647713" w:rsidRPr="00741AC7" w:rsidRDefault="00647713" w:rsidP="00F21679">
      <w:pPr>
        <w:rPr>
          <w:rFonts w:cs="Segoe UI"/>
        </w:rPr>
      </w:pPr>
      <w:r w:rsidRPr="00741AC7">
        <w:rPr>
          <w:rFonts w:cs="Segoe UI"/>
        </w:rPr>
        <w:t xml:space="preserve">A number of Western European countries have established special funding programs </w:t>
      </w:r>
      <w:r w:rsidR="00285B05" w:rsidRPr="00741AC7">
        <w:rPr>
          <w:rFonts w:cs="Segoe UI"/>
        </w:rPr>
        <w:t>(compared to standard funding, and reimbursement and commissioning approaches for health technologies)</w:t>
      </w:r>
      <w:r w:rsidR="00285B05">
        <w:rPr>
          <w:rFonts w:cs="Segoe UI"/>
        </w:rPr>
        <w:t xml:space="preserve"> </w:t>
      </w:r>
      <w:r w:rsidR="0011777F">
        <w:rPr>
          <w:rFonts w:cs="Segoe UI"/>
        </w:rPr>
        <w:t>to provide</w:t>
      </w:r>
      <w:r w:rsidRPr="00741AC7">
        <w:rPr>
          <w:rFonts w:cs="Segoe UI"/>
        </w:rPr>
        <w:t xml:space="preserve"> earlier access to promising health technologies that address a clear unmet </w:t>
      </w:r>
      <w:proofErr w:type="gramStart"/>
      <w:r w:rsidRPr="00741AC7">
        <w:rPr>
          <w:rFonts w:cs="Segoe UI"/>
        </w:rPr>
        <w:t>need, but</w:t>
      </w:r>
      <w:proofErr w:type="gramEnd"/>
      <w:r w:rsidRPr="00741AC7">
        <w:rPr>
          <w:rFonts w:cs="Segoe UI"/>
        </w:rPr>
        <w:t xml:space="preserve"> have identified uncertainties. T</w:t>
      </w:r>
      <w:r w:rsidR="00285B05">
        <w:rPr>
          <w:rFonts w:cs="Segoe UI"/>
        </w:rPr>
        <w:t>ypically, t</w:t>
      </w:r>
      <w:r w:rsidRPr="00741AC7">
        <w:rPr>
          <w:rFonts w:cs="Segoe UI"/>
        </w:rPr>
        <w:t>hese funding programs have qualifying conditions</w:t>
      </w:r>
      <w:r w:rsidR="00AB6CD6">
        <w:rPr>
          <w:rFonts w:cs="Segoe UI"/>
        </w:rPr>
        <w:t xml:space="preserve">, </w:t>
      </w:r>
      <w:r w:rsidR="00492F26">
        <w:rPr>
          <w:rFonts w:cs="Segoe UI"/>
        </w:rPr>
        <w:t xml:space="preserve">or </w:t>
      </w:r>
      <w:r w:rsidR="00AB6CD6">
        <w:rPr>
          <w:rFonts w:cs="Segoe UI"/>
        </w:rPr>
        <w:t>capped</w:t>
      </w:r>
      <w:r w:rsidR="00AB6CD6" w:rsidDel="00285B05">
        <w:rPr>
          <w:rFonts w:cs="Segoe UI"/>
        </w:rPr>
        <w:t xml:space="preserve"> </w:t>
      </w:r>
      <w:r w:rsidR="00AB6CD6">
        <w:rPr>
          <w:rFonts w:cs="Segoe UI"/>
        </w:rPr>
        <w:t xml:space="preserve">expenditures and/or </w:t>
      </w:r>
      <w:bookmarkStart w:id="321" w:name="_Int_eLoCz8mo"/>
      <w:r w:rsidR="00AB6CD6">
        <w:rPr>
          <w:rFonts w:cs="Segoe UI"/>
        </w:rPr>
        <w:t>appropriations,</w:t>
      </w:r>
      <w:r w:rsidRPr="00741AC7">
        <w:rPr>
          <w:rFonts w:cs="Segoe UI"/>
        </w:rPr>
        <w:t xml:space="preserve"> and</w:t>
      </w:r>
      <w:bookmarkEnd w:id="321"/>
      <w:r w:rsidRPr="00741AC7">
        <w:rPr>
          <w:rFonts w:cs="Segoe UI"/>
        </w:rPr>
        <w:t xml:space="preserve"> are often restricted to certain health technologies and/or clinical indications (the UK Cancer Drugs Fund and Innovative Medicines Fund are examples of these programs</w:t>
      </w:r>
      <w:r w:rsidRPr="00741AC7">
        <w:rPr>
          <w:rStyle w:val="FootnoteReference"/>
          <w:rFonts w:cs="Segoe UI"/>
        </w:rPr>
        <w:footnoteReference w:id="97"/>
      </w:r>
      <w:r w:rsidRPr="00741AC7">
        <w:rPr>
          <w:rFonts w:cs="Segoe UI"/>
        </w:rPr>
        <w:t xml:space="preserve">). </w:t>
      </w:r>
    </w:p>
    <w:p w14:paraId="0CCD04FB" w14:textId="253F0553" w:rsidR="00647713" w:rsidRPr="00741AC7" w:rsidRDefault="00032971" w:rsidP="000C5623">
      <w:pPr>
        <w:keepNext/>
        <w:rPr>
          <w:rFonts w:cs="Segoe UI"/>
        </w:rPr>
      </w:pPr>
      <w:r>
        <w:rPr>
          <w:rFonts w:cs="Segoe UI"/>
        </w:rPr>
        <w:lastRenderedPageBreak/>
        <w:t>T</w:t>
      </w:r>
      <w:r w:rsidR="00647713" w:rsidRPr="00741AC7">
        <w:rPr>
          <w:rFonts w:cs="Segoe UI"/>
        </w:rPr>
        <w:t>hese special funding programs</w:t>
      </w:r>
      <w:r>
        <w:rPr>
          <w:rFonts w:cs="Segoe UI"/>
        </w:rPr>
        <w:t xml:space="preserve"> aim</w:t>
      </w:r>
      <w:r w:rsidR="00647713" w:rsidRPr="00741AC7" w:rsidDel="00032971">
        <w:rPr>
          <w:rFonts w:cs="Segoe UI"/>
        </w:rPr>
        <w:t xml:space="preserve"> </w:t>
      </w:r>
      <w:r w:rsidR="00647713" w:rsidRPr="00741AC7">
        <w:rPr>
          <w:rFonts w:cs="Segoe UI"/>
        </w:rPr>
        <w:t>to:</w:t>
      </w:r>
    </w:p>
    <w:p w14:paraId="3044CCE7" w14:textId="0A7F4D83" w:rsidR="00647713" w:rsidRPr="00741AC7" w:rsidRDefault="00647713" w:rsidP="00281153">
      <w:pPr>
        <w:pStyle w:val="ListBullet"/>
        <w:numPr>
          <w:ilvl w:val="0"/>
          <w:numId w:val="72"/>
        </w:numPr>
      </w:pPr>
      <w:r w:rsidRPr="00741AC7">
        <w:t xml:space="preserve">balance the need to manage the mix of uncertainty and risk identified during the HTA process at a more general health expenditure level (through funding </w:t>
      </w:r>
      <w:r w:rsidR="00032971">
        <w:t xml:space="preserve">that is </w:t>
      </w:r>
      <w:r w:rsidRPr="00741AC7">
        <w:t>distinct from standard healthcare expenditure arrangements)</w:t>
      </w:r>
    </w:p>
    <w:p w14:paraId="687429FD" w14:textId="19D5F82C" w:rsidR="00647713" w:rsidRPr="00741AC7" w:rsidRDefault="00647713" w:rsidP="00281153">
      <w:pPr>
        <w:pStyle w:val="ListBullet"/>
        <w:numPr>
          <w:ilvl w:val="0"/>
          <w:numId w:val="72"/>
        </w:numPr>
      </w:pPr>
      <w:r w:rsidRPr="00741AC7">
        <w:t>provid</w:t>
      </w:r>
      <w:r w:rsidR="0051795A">
        <w:t>e</w:t>
      </w:r>
      <w:r w:rsidRPr="00741AC7">
        <w:t xml:space="preserve"> an avenue for health technologies of high clinical significance to reach patients earlier than standard access approaches (to improve health equity outcomes) while identified uncertainties are resolved as part of further evaluation, stakeholder negotiation or data collection.</w:t>
      </w:r>
    </w:p>
    <w:p w14:paraId="6A5C3A89" w14:textId="19499087" w:rsidR="00647713" w:rsidRPr="00741AC7" w:rsidRDefault="00647713" w:rsidP="00F21679">
      <w:pPr>
        <w:rPr>
          <w:rFonts w:cs="Segoe UI"/>
        </w:rPr>
      </w:pPr>
      <w:r w:rsidRPr="00741AC7">
        <w:rPr>
          <w:rFonts w:cs="Segoe UI"/>
        </w:rPr>
        <w:t xml:space="preserve">Australia </w:t>
      </w:r>
      <w:r w:rsidRPr="000C5623">
        <w:rPr>
          <w:rFonts w:cs="Segoe UI"/>
          <w:b/>
          <w:bCs/>
        </w:rPr>
        <w:t>does</w:t>
      </w:r>
      <w:r w:rsidRPr="00741AC7">
        <w:rPr>
          <w:rFonts w:cs="Segoe UI"/>
        </w:rPr>
        <w:t xml:space="preserve"> </w:t>
      </w:r>
      <w:r w:rsidRPr="00741AC7">
        <w:rPr>
          <w:rFonts w:cs="Segoe UI"/>
          <w:b/>
        </w:rPr>
        <w:t>not</w:t>
      </w:r>
      <w:r w:rsidRPr="00741AC7">
        <w:rPr>
          <w:rFonts w:cs="Segoe UI"/>
        </w:rPr>
        <w:t xml:space="preserve"> have </w:t>
      </w:r>
      <w:r w:rsidR="009D7661">
        <w:rPr>
          <w:rFonts w:cs="Segoe UI"/>
        </w:rPr>
        <w:t xml:space="preserve">these types of </w:t>
      </w:r>
      <w:r w:rsidRPr="00741AC7">
        <w:rPr>
          <w:rFonts w:cs="Segoe UI"/>
        </w:rPr>
        <w:t xml:space="preserve">special funding programs </w:t>
      </w:r>
      <w:r w:rsidR="009D7661">
        <w:rPr>
          <w:rFonts w:cs="Segoe UI"/>
        </w:rPr>
        <w:t>to</w:t>
      </w:r>
      <w:r w:rsidRPr="00741AC7">
        <w:rPr>
          <w:rFonts w:cs="Segoe UI"/>
        </w:rPr>
        <w:t xml:space="preserve"> address these general objectives. </w:t>
      </w:r>
    </w:p>
    <w:p w14:paraId="6F3E9134" w14:textId="409E68DB" w:rsidR="00647713" w:rsidRPr="00741AC7" w:rsidRDefault="00D31DD7" w:rsidP="00F21679">
      <w:pPr>
        <w:rPr>
          <w:rFonts w:cs="Segoe UI"/>
        </w:rPr>
      </w:pPr>
      <w:r>
        <w:rPr>
          <w:rFonts w:cs="Segoe UI"/>
        </w:rPr>
        <w:t>A</w:t>
      </w:r>
      <w:r w:rsidR="00647713" w:rsidRPr="00741AC7">
        <w:rPr>
          <w:rFonts w:cs="Segoe UI"/>
        </w:rPr>
        <w:t xml:space="preserve"> small set of universal health systems </w:t>
      </w:r>
      <w:r w:rsidR="10D0AF69" w:rsidRPr="6CC68A72">
        <w:rPr>
          <w:rFonts w:cs="Segoe UI"/>
        </w:rPr>
        <w:t>internationally</w:t>
      </w:r>
      <w:r w:rsidR="00647713" w:rsidRPr="00741AC7">
        <w:rPr>
          <w:rFonts w:cs="Segoe UI"/>
        </w:rPr>
        <w:t xml:space="preserve"> manage risk differently</w:t>
      </w:r>
      <w:r w:rsidR="009D7661">
        <w:rPr>
          <w:rFonts w:cs="Segoe UI"/>
        </w:rPr>
        <w:t>,</w:t>
      </w:r>
      <w:r w:rsidR="00647713" w:rsidRPr="00741AC7" w:rsidDel="009D7661">
        <w:rPr>
          <w:rFonts w:cs="Segoe UI"/>
        </w:rPr>
        <w:t xml:space="preserve"> </w:t>
      </w:r>
      <w:r w:rsidR="00647713" w:rsidRPr="00741AC7">
        <w:rPr>
          <w:rFonts w:cs="Segoe UI"/>
        </w:rPr>
        <w:t>avoid</w:t>
      </w:r>
      <w:r w:rsidR="009D7661">
        <w:rPr>
          <w:rFonts w:cs="Segoe UI"/>
        </w:rPr>
        <w:t>ing</w:t>
      </w:r>
      <w:r w:rsidR="00647713" w:rsidRPr="00741AC7">
        <w:rPr>
          <w:rFonts w:cs="Segoe UI"/>
        </w:rPr>
        <w:t xml:space="preserve"> the need for (and use of) special funding programs by sequencing their HTA activities and the timing of access to subsidised health technologies differently. These health systems (</w:t>
      </w:r>
      <w:r w:rsidR="009D7661">
        <w:rPr>
          <w:rFonts w:cs="Segoe UI"/>
        </w:rPr>
        <w:t xml:space="preserve">e.g. in </w:t>
      </w:r>
      <w:r w:rsidR="00647713" w:rsidRPr="00741AC7">
        <w:rPr>
          <w:rFonts w:cs="Segoe UI"/>
        </w:rPr>
        <w:t>Germany and Japan)</w:t>
      </w:r>
      <w:r w:rsidR="00647713" w:rsidRPr="00741AC7" w:rsidDel="005B3E98">
        <w:rPr>
          <w:rFonts w:cs="Segoe UI"/>
        </w:rPr>
        <w:t xml:space="preserve"> </w:t>
      </w:r>
      <w:r w:rsidR="00647713" w:rsidRPr="00741AC7">
        <w:rPr>
          <w:rFonts w:cs="Segoe UI"/>
        </w:rPr>
        <w:t xml:space="preserve">support subsidised patient access to a broad range of health technologies at free market prices for a temporary period </w:t>
      </w:r>
      <w:r w:rsidR="005B3E98">
        <w:rPr>
          <w:rFonts w:cs="Segoe UI"/>
        </w:rPr>
        <w:t>before an</w:t>
      </w:r>
      <w:r w:rsidR="00647713" w:rsidRPr="00741AC7">
        <w:rPr>
          <w:rFonts w:cs="Segoe UI"/>
        </w:rPr>
        <w:t xml:space="preserve"> HTA evaluation (and subsequent price negotiation, access adjustments and introduction of uncertainty and risk management instruments). </w:t>
      </w:r>
    </w:p>
    <w:p w14:paraId="4E556642" w14:textId="12A1890A" w:rsidR="00647713" w:rsidRPr="00741AC7" w:rsidRDefault="00647713" w:rsidP="00F21679">
      <w:pPr>
        <w:rPr>
          <w:rFonts w:cs="Segoe UI"/>
        </w:rPr>
      </w:pPr>
      <w:r w:rsidRPr="00741AC7">
        <w:rPr>
          <w:rFonts w:cs="Segoe UI"/>
        </w:rPr>
        <w:t>The Review</w:t>
      </w:r>
      <w:r w:rsidRPr="00741AC7" w:rsidDel="006E02BF">
        <w:rPr>
          <w:rFonts w:cs="Segoe UI"/>
        </w:rPr>
        <w:t xml:space="preserve"> </w:t>
      </w:r>
      <w:r w:rsidR="006E02BF">
        <w:rPr>
          <w:rFonts w:cs="Segoe UI"/>
        </w:rPr>
        <w:t>examined</w:t>
      </w:r>
      <w:r w:rsidR="006E02BF" w:rsidRPr="00741AC7">
        <w:rPr>
          <w:rFonts w:cs="Segoe UI"/>
        </w:rPr>
        <w:t xml:space="preserve"> </w:t>
      </w:r>
      <w:r w:rsidRPr="00741AC7">
        <w:rPr>
          <w:rFonts w:cs="Segoe UI"/>
        </w:rPr>
        <w:t xml:space="preserve">the translatability and applicability of similar arrangements for the Australian healthcare context. </w:t>
      </w:r>
      <w:r w:rsidR="006E02BF">
        <w:rPr>
          <w:rFonts w:cs="Segoe UI"/>
        </w:rPr>
        <w:t>It</w:t>
      </w:r>
      <w:r w:rsidRPr="00741AC7">
        <w:rPr>
          <w:rFonts w:cs="Segoe UI"/>
        </w:rPr>
        <w:t xml:space="preserve"> noted that those systems operate under very different healthcare financing and health system delivery structures (being non-profit private health insurance schemes contracting with private entities, operating within a government-defined regulatory framework). They also have distinct social policy, legislative and health system governance structures that prescribe the way price and access to health technologies are negotiated. The differences </w:t>
      </w:r>
      <w:r w:rsidR="005B3E98">
        <w:rPr>
          <w:rFonts w:cs="Segoe UI"/>
        </w:rPr>
        <w:t xml:space="preserve">compared to the Australian health system </w:t>
      </w:r>
      <w:r w:rsidRPr="00741AC7">
        <w:rPr>
          <w:rFonts w:cs="Segoe UI"/>
        </w:rPr>
        <w:t xml:space="preserve">make the transferability of such concepts much more complex and potentially inappropriate without </w:t>
      </w:r>
      <w:r w:rsidR="005B3E98">
        <w:rPr>
          <w:rFonts w:cs="Segoe UI"/>
        </w:rPr>
        <w:t xml:space="preserve">changing </w:t>
      </w:r>
      <w:r w:rsidR="00877BA2">
        <w:rPr>
          <w:rFonts w:cs="Segoe UI"/>
        </w:rPr>
        <w:t>Australia’s</w:t>
      </w:r>
      <w:r w:rsidRPr="00741AC7">
        <w:rPr>
          <w:rFonts w:cs="Segoe UI"/>
        </w:rPr>
        <w:t xml:space="preserve"> fundamental approach to health insurance, healthcare financing and health technology access more generally</w:t>
      </w:r>
      <w:r w:rsidR="00877BA2">
        <w:rPr>
          <w:rFonts w:cs="Segoe UI"/>
        </w:rPr>
        <w:t>. Th</w:t>
      </w:r>
      <w:r w:rsidR="00492F26">
        <w:rPr>
          <w:rFonts w:cs="Segoe UI"/>
        </w:rPr>
        <w:t>ese</w:t>
      </w:r>
      <w:r w:rsidR="00877BA2">
        <w:rPr>
          <w:rFonts w:cs="Segoe UI"/>
        </w:rPr>
        <w:t xml:space="preserve"> issues</w:t>
      </w:r>
      <w:r w:rsidRPr="00741AC7">
        <w:rPr>
          <w:rFonts w:cs="Segoe UI"/>
        </w:rPr>
        <w:t xml:space="preserve"> are beyond the scope of this Review. </w:t>
      </w:r>
    </w:p>
    <w:p w14:paraId="3D40E13F" w14:textId="40C8CD24" w:rsidR="00647713" w:rsidRPr="00741AC7" w:rsidRDefault="00647713" w:rsidP="00F21679">
      <w:pPr>
        <w:rPr>
          <w:rFonts w:cs="Segoe UI"/>
        </w:rPr>
      </w:pPr>
      <w:r w:rsidRPr="00741AC7">
        <w:rPr>
          <w:rFonts w:cs="Segoe UI"/>
        </w:rPr>
        <w:t>Stakeholder consultations on introducing special bridging funding arrangements in Australia to improve access to health technologies revealed strong support across all key stakeholder groups</w:t>
      </w:r>
      <w:r w:rsidR="00877BA2">
        <w:rPr>
          <w:rFonts w:cs="Segoe UI"/>
        </w:rPr>
        <w:t>. However</w:t>
      </w:r>
      <w:r w:rsidRPr="00741AC7">
        <w:rPr>
          <w:rFonts w:cs="Segoe UI"/>
        </w:rPr>
        <w:t xml:space="preserve">, there was some industry and consultant opposition to </w:t>
      </w:r>
      <w:r w:rsidR="00877BA2">
        <w:rPr>
          <w:rFonts w:cs="Segoe UI"/>
        </w:rPr>
        <w:t>providing</w:t>
      </w:r>
      <w:r w:rsidRPr="00741AC7">
        <w:rPr>
          <w:rFonts w:cs="Segoe UI"/>
        </w:rPr>
        <w:t xml:space="preserve"> bridging funding via legislated conditional listings arrangements</w:t>
      </w:r>
      <w:r w:rsidR="00877BA2">
        <w:rPr>
          <w:rFonts w:cs="Segoe UI"/>
        </w:rPr>
        <w:t>. This was</w:t>
      </w:r>
      <w:r w:rsidRPr="00741AC7">
        <w:rPr>
          <w:rFonts w:cs="Segoe UI"/>
        </w:rPr>
        <w:t xml:space="preserve"> due to concerns </w:t>
      </w:r>
      <w:r w:rsidR="00CD2740">
        <w:rPr>
          <w:rFonts w:cs="Segoe UI"/>
        </w:rPr>
        <w:t xml:space="preserve">that </w:t>
      </w:r>
      <w:r w:rsidR="00431800">
        <w:rPr>
          <w:rFonts w:cs="Segoe UI"/>
        </w:rPr>
        <w:t xml:space="preserve">designation of conditional listings would be </w:t>
      </w:r>
      <w:r w:rsidR="00926A06">
        <w:rPr>
          <w:rFonts w:cs="Segoe UI"/>
        </w:rPr>
        <w:t xml:space="preserve">applied </w:t>
      </w:r>
      <w:r w:rsidR="008D7329">
        <w:rPr>
          <w:rFonts w:cs="Segoe UI"/>
        </w:rPr>
        <w:t xml:space="preserve">to other health technologies </w:t>
      </w:r>
      <w:r w:rsidR="00184D8B">
        <w:rPr>
          <w:rFonts w:cs="Segoe UI"/>
        </w:rPr>
        <w:t>in situations</w:t>
      </w:r>
      <w:r w:rsidR="008D7329">
        <w:rPr>
          <w:rFonts w:cs="Segoe UI"/>
        </w:rPr>
        <w:t xml:space="preserve"> outside the bridging fund </w:t>
      </w:r>
      <w:r w:rsidR="00CC618D">
        <w:rPr>
          <w:rFonts w:cs="Segoe UI"/>
        </w:rPr>
        <w:t>context</w:t>
      </w:r>
      <w:r w:rsidR="00BB0BA5">
        <w:rPr>
          <w:rFonts w:cs="Segoe UI"/>
        </w:rPr>
        <w:t>.</w:t>
      </w:r>
      <w:r w:rsidRPr="00741AC7">
        <w:rPr>
          <w:rStyle w:val="FootnoteReference"/>
          <w:rFonts w:cs="Segoe UI"/>
        </w:rPr>
        <w:footnoteReference w:id="98"/>
      </w:r>
    </w:p>
    <w:p w14:paraId="7D0DFD9B" w14:textId="77777777" w:rsidR="00647713" w:rsidRPr="00741AC7" w:rsidRDefault="00647713" w:rsidP="000C5623">
      <w:pPr>
        <w:keepNext/>
        <w:rPr>
          <w:rFonts w:cs="Segoe UI"/>
        </w:rPr>
      </w:pPr>
      <w:r w:rsidRPr="00741AC7">
        <w:rPr>
          <w:rFonts w:cs="Segoe UI"/>
        </w:rPr>
        <w:lastRenderedPageBreak/>
        <w:t>Additionally, a small subset of health practitioner and industry stakeholders recommended:</w:t>
      </w:r>
    </w:p>
    <w:p w14:paraId="1CC72DB4" w14:textId="5A12F5B6" w:rsidR="00647713" w:rsidRPr="00741AC7" w:rsidRDefault="00E82775" w:rsidP="00281153">
      <w:pPr>
        <w:pStyle w:val="ListBullet"/>
        <w:numPr>
          <w:ilvl w:val="0"/>
          <w:numId w:val="73"/>
        </w:numPr>
      </w:pPr>
      <w:r>
        <w:t xml:space="preserve">ensuring </w:t>
      </w:r>
      <w:r w:rsidR="00647713" w:rsidRPr="00741AC7">
        <w:t>careful consideration and design of the specific eligibility criteria (especially regarding time</w:t>
      </w:r>
      <w:r w:rsidR="004574C7">
        <w:t xml:space="preserve"> </w:t>
      </w:r>
      <w:r w:rsidR="00647713" w:rsidRPr="00741AC7">
        <w:t>frames, data collection requirements and health technology</w:t>
      </w:r>
      <w:r>
        <w:t xml:space="preserve"> and</w:t>
      </w:r>
      <w:r w:rsidR="00647713" w:rsidRPr="00741AC7">
        <w:t>/</w:t>
      </w:r>
      <w:r>
        <w:t xml:space="preserve">or </w:t>
      </w:r>
      <w:r w:rsidR="00647713" w:rsidRPr="00741AC7">
        <w:t xml:space="preserve">clinical indication types) to allow sufficient flexibility for important treatments to be eligible for the </w:t>
      </w:r>
      <w:r>
        <w:t xml:space="preserve">bridging </w:t>
      </w:r>
      <w:r w:rsidR="00647713" w:rsidRPr="00741AC7">
        <w:t>fund and to limit risks of increased health inequity arising from the selection of eligible health technologies</w:t>
      </w:r>
      <w:r w:rsidR="00647713" w:rsidRPr="00741AC7">
        <w:rPr>
          <w:rStyle w:val="FootnoteReference"/>
        </w:rPr>
        <w:footnoteReference w:id="99"/>
      </w:r>
    </w:p>
    <w:p w14:paraId="203118C0" w14:textId="4E039666" w:rsidR="00647713" w:rsidRPr="00741AC7" w:rsidRDefault="00E82775" w:rsidP="00281153">
      <w:pPr>
        <w:pStyle w:val="ListBullet"/>
        <w:numPr>
          <w:ilvl w:val="0"/>
          <w:numId w:val="73"/>
        </w:numPr>
      </w:pPr>
      <w:r>
        <w:t xml:space="preserve">having </w:t>
      </w:r>
      <w:r w:rsidR="00647713" w:rsidRPr="00741AC7">
        <w:t>additional design conversations to clarify aspects of operational detail, including how uncertainty and risk would be managed where health technologies exit</w:t>
      </w:r>
      <w:r>
        <w:t xml:space="preserve"> </w:t>
      </w:r>
      <w:r w:rsidR="00647713" w:rsidRPr="00741AC7">
        <w:t>from a bridging fund, and the timing of funding commencement for health technologies in</w:t>
      </w:r>
      <w:r w:rsidR="00647713" w:rsidRPr="00741AC7" w:rsidDel="00E82775">
        <w:t xml:space="preserve"> </w:t>
      </w:r>
      <w:r>
        <w:t>a</w:t>
      </w:r>
      <w:r w:rsidRPr="00741AC7">
        <w:t xml:space="preserve"> </w:t>
      </w:r>
      <w:r w:rsidR="00647713" w:rsidRPr="00741AC7">
        <w:t>bridging fund</w:t>
      </w:r>
      <w:r>
        <w:t>.</w:t>
      </w:r>
      <w:r w:rsidR="00647713" w:rsidRPr="00741AC7">
        <w:rPr>
          <w:rStyle w:val="FootnoteReference"/>
        </w:rPr>
        <w:footnoteReference w:id="100"/>
      </w:r>
      <w:r w:rsidR="00647713" w:rsidRPr="00741AC7">
        <w:t xml:space="preserve"> </w:t>
      </w:r>
    </w:p>
    <w:p w14:paraId="168F46BC" w14:textId="7AADAC34" w:rsidR="00647713" w:rsidRPr="00016BBD" w:rsidRDefault="00647713" w:rsidP="00A318F7">
      <w:pPr>
        <w:pStyle w:val="Heading3"/>
        <w:rPr>
          <w:lang w:val="en-US"/>
        </w:rPr>
      </w:pPr>
      <w:bookmarkStart w:id="322" w:name="_Toc164691416"/>
      <w:bookmarkStart w:id="323" w:name="_Toc164696214"/>
      <w:bookmarkStart w:id="324" w:name="_Toc164696360"/>
      <w:bookmarkStart w:id="325" w:name="_Toc164767749"/>
      <w:bookmarkStart w:id="326" w:name="_Toc165473686"/>
      <w:r w:rsidRPr="00016BBD">
        <w:rPr>
          <w:lang w:val="en-US"/>
        </w:rPr>
        <w:t>Conclusion</w:t>
      </w:r>
      <w:bookmarkEnd w:id="322"/>
      <w:bookmarkEnd w:id="323"/>
      <w:bookmarkEnd w:id="324"/>
      <w:bookmarkEnd w:id="325"/>
      <w:bookmarkEnd w:id="326"/>
    </w:p>
    <w:p w14:paraId="11994AA1" w14:textId="77777777" w:rsidR="00647713" w:rsidRPr="00016BBD" w:rsidRDefault="00647713" w:rsidP="00F21679">
      <w:pPr>
        <w:rPr>
          <w:rFonts w:cs="Segoe UI"/>
        </w:rPr>
      </w:pPr>
      <w:r w:rsidRPr="00016BBD">
        <w:rPr>
          <w:rFonts w:cs="Segoe UI"/>
        </w:rPr>
        <w:t xml:space="preserve">The Review is grateful for the feedback and direct engagement on this particularly tricky issue. </w:t>
      </w:r>
    </w:p>
    <w:p w14:paraId="40D0BC09" w14:textId="18296E3B" w:rsidR="00647713" w:rsidRPr="00016BBD" w:rsidRDefault="00647713" w:rsidP="00F21679">
      <w:pPr>
        <w:rPr>
          <w:rFonts w:cs="Segoe UI"/>
        </w:rPr>
      </w:pPr>
      <w:r w:rsidRPr="00016BBD">
        <w:rPr>
          <w:rFonts w:cs="Segoe UI"/>
        </w:rPr>
        <w:t>Stakeholder feedback from patients, industry, clinician groups and healthcare payers consistently emphasised the importance of alternative approaches to managing clinical, economic and/or budget impact uncertainties identified during an HTA evaluation</w:t>
      </w:r>
      <w:r w:rsidR="00E82775">
        <w:rPr>
          <w:rFonts w:cs="Segoe UI"/>
        </w:rPr>
        <w:t>. This would enable timely and efficient</w:t>
      </w:r>
      <w:r w:rsidRPr="00016BBD">
        <w:rPr>
          <w:rFonts w:cs="Segoe UI"/>
        </w:rPr>
        <w:t xml:space="preserve"> access to health technologies that address priority health needs.</w:t>
      </w:r>
    </w:p>
    <w:p w14:paraId="4B7BC2F9" w14:textId="08768AA7" w:rsidR="00647713" w:rsidRPr="00016BBD" w:rsidRDefault="00647713" w:rsidP="00F21679">
      <w:pPr>
        <w:rPr>
          <w:rFonts w:cs="Segoe UI"/>
        </w:rPr>
      </w:pPr>
      <w:r w:rsidRPr="00016BBD">
        <w:rPr>
          <w:rFonts w:cs="Segoe UI"/>
        </w:rPr>
        <w:t xml:space="preserve">However, managing uncertainty </w:t>
      </w:r>
      <w:r w:rsidR="007A289E">
        <w:rPr>
          <w:rFonts w:cs="Segoe UI"/>
        </w:rPr>
        <w:t xml:space="preserve">may </w:t>
      </w:r>
      <w:r w:rsidRPr="00016BBD">
        <w:rPr>
          <w:rFonts w:cs="Segoe UI"/>
        </w:rPr>
        <w:t xml:space="preserve">require </w:t>
      </w:r>
      <w:r w:rsidR="00F37476">
        <w:rPr>
          <w:rFonts w:cs="Segoe UI"/>
        </w:rPr>
        <w:t>a change in risk posture and</w:t>
      </w:r>
      <w:r w:rsidRPr="00016BBD">
        <w:rPr>
          <w:rFonts w:cs="Segoe UI"/>
        </w:rPr>
        <w:t xml:space="preserve"> engaging with risk in a manner that </w:t>
      </w:r>
      <w:r w:rsidR="006C2603">
        <w:rPr>
          <w:rFonts w:cs="Segoe UI"/>
        </w:rPr>
        <w:t>may</w:t>
      </w:r>
      <w:r w:rsidR="006C2603" w:rsidRPr="00016BBD">
        <w:rPr>
          <w:rFonts w:cs="Segoe UI"/>
        </w:rPr>
        <w:t xml:space="preserve"> </w:t>
      </w:r>
      <w:r w:rsidRPr="00016BBD">
        <w:rPr>
          <w:rFonts w:cs="Segoe UI"/>
        </w:rPr>
        <w:t xml:space="preserve">be unusual and outside the normally conservative posture the health system and its key stakeholders typically adopt. This is particularly so, given the significant medical, legal and reputational consequences that can result for individuals (illness, injury and death) and the health system overall (inefficient use of limited resources). </w:t>
      </w:r>
    </w:p>
    <w:p w14:paraId="4A9B47F3" w14:textId="3DCAF664" w:rsidR="00647713" w:rsidRPr="007C2BD9" w:rsidRDefault="00647713" w:rsidP="00F21679">
      <w:pPr>
        <w:rPr>
          <w:rFonts w:cs="Segoe UI"/>
        </w:rPr>
      </w:pPr>
      <w:r w:rsidRPr="007C2BD9">
        <w:rPr>
          <w:rFonts w:cs="Segoe UI"/>
        </w:rPr>
        <w:t>The</w:t>
      </w:r>
      <w:r w:rsidRPr="007C2BD9" w:rsidDel="006F39BB">
        <w:rPr>
          <w:rFonts w:cs="Segoe UI"/>
        </w:rPr>
        <w:t xml:space="preserve"> </w:t>
      </w:r>
      <w:r w:rsidRPr="007C2BD9">
        <w:rPr>
          <w:rFonts w:cs="Segoe UI"/>
        </w:rPr>
        <w:t>success of any arrangements that try to address uncertainty post-HTA evaluation would require:</w:t>
      </w:r>
    </w:p>
    <w:p w14:paraId="422421D9" w14:textId="7D7CB550" w:rsidR="00647713" w:rsidRPr="007C2BD9" w:rsidRDefault="00647713" w:rsidP="00274AA9">
      <w:pPr>
        <w:pStyle w:val="ListBullet"/>
      </w:pPr>
      <w:r w:rsidRPr="007C2BD9">
        <w:t>having the right set of contractual or program instruments to manage the different types of uncertainty and address risks, and the willingness to use them creatively given the divers</w:t>
      </w:r>
      <w:r w:rsidR="006C2603">
        <w:t>e</w:t>
      </w:r>
      <w:r w:rsidRPr="007C2BD9">
        <w:t xml:space="preserve"> uncertainties that can arise for any given health technology</w:t>
      </w:r>
    </w:p>
    <w:p w14:paraId="7F33633C" w14:textId="0E42377A" w:rsidR="00647713" w:rsidRPr="007C2BD9" w:rsidRDefault="00647713" w:rsidP="00274AA9">
      <w:pPr>
        <w:pStyle w:val="ListBullet"/>
      </w:pPr>
      <w:r w:rsidRPr="007C2BD9">
        <w:t xml:space="preserve">stakeholder willingness to negotiate and participate in managed entry and exit terms and conditions in good </w:t>
      </w:r>
      <w:proofErr w:type="gramStart"/>
      <w:r w:rsidRPr="007C2BD9">
        <w:t>faith</w:t>
      </w:r>
      <w:r w:rsidR="00F77645">
        <w:t>,</w:t>
      </w:r>
      <w:r w:rsidRPr="007C2BD9">
        <w:t xml:space="preserve"> and</w:t>
      </w:r>
      <w:proofErr w:type="gramEnd"/>
      <w:r w:rsidRPr="007C2BD9">
        <w:t xml:space="preserve"> deliver on agreed responsibilities and obligations in a timely and efficient manner. </w:t>
      </w:r>
    </w:p>
    <w:p w14:paraId="7172FA17" w14:textId="4FEBEDA8" w:rsidR="00647713" w:rsidRPr="007C2BD9" w:rsidRDefault="00647713" w:rsidP="00F21679">
      <w:pPr>
        <w:spacing w:before="40" w:after="0"/>
        <w:rPr>
          <w:rFonts w:cs="Segoe UI"/>
        </w:rPr>
      </w:pPr>
      <w:r w:rsidRPr="007C2BD9">
        <w:rPr>
          <w:rFonts w:cs="Segoe UI"/>
        </w:rPr>
        <w:lastRenderedPageBreak/>
        <w:t>The</w:t>
      </w:r>
      <w:r w:rsidR="00EF72AD">
        <w:rPr>
          <w:rFonts w:cs="Segoe UI"/>
        </w:rPr>
        <w:t>re was</w:t>
      </w:r>
      <w:r w:rsidRPr="007C2BD9">
        <w:rPr>
          <w:rFonts w:cs="Segoe UI"/>
        </w:rPr>
        <w:t xml:space="preserve"> cautious but generally positive response to options released for consultation that support the management of identified uncertainties</w:t>
      </w:r>
      <w:r w:rsidR="00997703">
        <w:rPr>
          <w:rFonts w:cs="Segoe UI"/>
        </w:rPr>
        <w:t xml:space="preserve">. These </w:t>
      </w:r>
      <w:r w:rsidRPr="007C2BD9">
        <w:rPr>
          <w:rFonts w:cs="Segoe UI"/>
        </w:rPr>
        <w:t>includ</w:t>
      </w:r>
      <w:r w:rsidR="00997703">
        <w:rPr>
          <w:rFonts w:cs="Segoe UI"/>
        </w:rPr>
        <w:t>e</w:t>
      </w:r>
      <w:r w:rsidRPr="007C2BD9">
        <w:rPr>
          <w:rFonts w:cs="Segoe UI"/>
        </w:rPr>
        <w:t>:</w:t>
      </w:r>
    </w:p>
    <w:p w14:paraId="62F149F3" w14:textId="5DB14F93" w:rsidR="00647713" w:rsidRPr="007C2BD9" w:rsidRDefault="00647713" w:rsidP="00274AA9">
      <w:pPr>
        <w:pStyle w:val="ListBullet"/>
      </w:pPr>
      <w:r w:rsidRPr="007C2BD9">
        <w:t>creati</w:t>
      </w:r>
      <w:r w:rsidR="006C2603">
        <w:t xml:space="preserve">ng </w:t>
      </w:r>
      <w:r w:rsidRPr="007C2BD9">
        <w:t>a separate bridging fund to support earlier access to exceptionally promising, time-critical therapies</w:t>
      </w:r>
    </w:p>
    <w:p w14:paraId="5DAEEA62" w14:textId="1027385E" w:rsidR="00647713" w:rsidRPr="007C2BD9" w:rsidRDefault="00647713" w:rsidP="00274AA9">
      <w:pPr>
        <w:pStyle w:val="ListBullet"/>
      </w:pPr>
      <w:r w:rsidRPr="007C2BD9">
        <w:t>chang</w:t>
      </w:r>
      <w:r w:rsidR="006C2603">
        <w:t>ing</w:t>
      </w:r>
      <w:r w:rsidRPr="007C2BD9">
        <w:t xml:space="preserve"> the policy and guidance surrounding the use of MEA instruments (including adopti</w:t>
      </w:r>
      <w:r w:rsidR="00997703">
        <w:t>ng</w:t>
      </w:r>
      <w:r w:rsidRPr="007C2BD9">
        <w:t xml:space="preserve"> more creative options to address different forms of uncertainty and risk for health technologies</w:t>
      </w:r>
      <w:r w:rsidR="00997703">
        <w:t>,</w:t>
      </w:r>
      <w:r w:rsidRPr="007C2BD9">
        <w:t xml:space="preserve"> where appropriate). </w:t>
      </w:r>
    </w:p>
    <w:p w14:paraId="1A629C27" w14:textId="21F8AEB7" w:rsidR="00647713" w:rsidRPr="00016BBD" w:rsidRDefault="000727C6" w:rsidP="000C5623">
      <w:pPr>
        <w:widowControl w:val="0"/>
        <w:spacing w:after="0"/>
        <w:rPr>
          <w:rFonts w:cs="Segoe UI"/>
        </w:rPr>
      </w:pPr>
      <w:r>
        <w:rPr>
          <w:rFonts w:cs="Segoe UI"/>
        </w:rPr>
        <w:t>I</w:t>
      </w:r>
      <w:r w:rsidR="00647713" w:rsidRPr="007C2BD9">
        <w:rPr>
          <w:rFonts w:cs="Segoe UI"/>
        </w:rPr>
        <w:t>nternational</w:t>
      </w:r>
      <w:r>
        <w:rPr>
          <w:rFonts w:cs="Segoe UI"/>
        </w:rPr>
        <w:t>ly,</w:t>
      </w:r>
      <w:r w:rsidR="00647713" w:rsidRPr="007C2BD9">
        <w:rPr>
          <w:rFonts w:cs="Segoe UI"/>
        </w:rPr>
        <w:t xml:space="preserve"> special funding programs are sometimes paired with defined </w:t>
      </w:r>
      <w:r w:rsidR="00FD1CF7">
        <w:rPr>
          <w:rFonts w:cs="Segoe UI"/>
        </w:rPr>
        <w:t xml:space="preserve">mechanisms for </w:t>
      </w:r>
      <w:r w:rsidR="00647713" w:rsidRPr="007C2BD9">
        <w:rPr>
          <w:rFonts w:cs="Segoe UI"/>
        </w:rPr>
        <w:t>managed entry</w:t>
      </w:r>
      <w:r w:rsidR="00997703">
        <w:rPr>
          <w:rFonts w:cs="Segoe UI"/>
        </w:rPr>
        <w:t xml:space="preserve"> and</w:t>
      </w:r>
      <w:r w:rsidR="00FD1CF7">
        <w:rPr>
          <w:rFonts w:cs="Segoe UI"/>
        </w:rPr>
        <w:t>/or</w:t>
      </w:r>
      <w:r w:rsidR="00997703">
        <w:rPr>
          <w:rFonts w:cs="Segoe UI"/>
        </w:rPr>
        <w:t xml:space="preserve"> </w:t>
      </w:r>
      <w:r w:rsidR="00647713" w:rsidRPr="007C2BD9">
        <w:rPr>
          <w:rFonts w:cs="Segoe UI"/>
        </w:rPr>
        <w:t>exit arrangement</w:t>
      </w:r>
      <w:r w:rsidR="00FD1CF7">
        <w:rPr>
          <w:rFonts w:cs="Segoe UI"/>
        </w:rPr>
        <w:t>s</w:t>
      </w:r>
      <w:r w:rsidR="00647713" w:rsidRPr="007C2BD9" w:rsidDel="00FD1CF7">
        <w:rPr>
          <w:rFonts w:cs="Segoe UI"/>
        </w:rPr>
        <w:t xml:space="preserve"> </w:t>
      </w:r>
      <w:r w:rsidR="00647713" w:rsidRPr="007C2BD9">
        <w:rPr>
          <w:rFonts w:cs="Segoe UI"/>
        </w:rPr>
        <w:t>(</w:t>
      </w:r>
      <w:r w:rsidR="00DB7855">
        <w:rPr>
          <w:rFonts w:cs="Segoe UI"/>
        </w:rPr>
        <w:t>linked to</w:t>
      </w:r>
      <w:r w:rsidR="00647713" w:rsidRPr="007C2BD9">
        <w:rPr>
          <w:rFonts w:cs="Segoe UI"/>
        </w:rPr>
        <w:t xml:space="preserve"> financ</w:t>
      </w:r>
      <w:r w:rsidR="00DB7855">
        <w:rPr>
          <w:rFonts w:cs="Segoe UI"/>
        </w:rPr>
        <w:t>e</w:t>
      </w:r>
      <w:r w:rsidR="00647713" w:rsidRPr="007C2BD9">
        <w:rPr>
          <w:rFonts w:cs="Segoe UI"/>
        </w:rPr>
        <w:t xml:space="preserve"> and performance</w:t>
      </w:r>
      <w:r w:rsidR="00DB7855">
        <w:rPr>
          <w:rFonts w:cs="Segoe UI"/>
        </w:rPr>
        <w:t>,</w:t>
      </w:r>
      <w:r w:rsidR="00647713" w:rsidRPr="007C2BD9">
        <w:rPr>
          <w:rFonts w:cs="Segoe UI"/>
        </w:rPr>
        <w:t xml:space="preserve"> as described in the commissioned research papers and summarised </w:t>
      </w:r>
      <w:r w:rsidR="00DB7855">
        <w:rPr>
          <w:rFonts w:cs="Segoe UI"/>
        </w:rPr>
        <w:t xml:space="preserve">earlier </w:t>
      </w:r>
      <w:r w:rsidR="00647713" w:rsidRPr="007C2BD9">
        <w:rPr>
          <w:rFonts w:cs="Segoe UI"/>
        </w:rPr>
        <w:t>in th</w:t>
      </w:r>
      <w:r w:rsidR="00DB7855">
        <w:rPr>
          <w:rFonts w:cs="Segoe UI"/>
        </w:rPr>
        <w:t>is c</w:t>
      </w:r>
      <w:r w:rsidR="002B2ED9">
        <w:rPr>
          <w:rFonts w:cs="Segoe UI"/>
        </w:rPr>
        <w:t>hapter</w:t>
      </w:r>
      <w:r w:rsidR="00647713" w:rsidRPr="007C2BD9">
        <w:rPr>
          <w:rFonts w:cs="Segoe UI"/>
        </w:rPr>
        <w:t>). Stakeholder visibility and understanding of such mechanisms</w:t>
      </w:r>
      <w:r w:rsidR="00DB7855">
        <w:rPr>
          <w:rFonts w:cs="Segoe UI"/>
        </w:rPr>
        <w:t>,</w:t>
      </w:r>
      <w:r w:rsidR="00647713" w:rsidRPr="007C2BD9">
        <w:rPr>
          <w:rFonts w:cs="Segoe UI"/>
        </w:rPr>
        <w:t xml:space="preserve"> general</w:t>
      </w:r>
      <w:r w:rsidR="00DB7855">
        <w:rPr>
          <w:rFonts w:cs="Segoe UI"/>
        </w:rPr>
        <w:t>ly and at a</w:t>
      </w:r>
      <w:r w:rsidR="00647713" w:rsidRPr="007C2BD9" w:rsidDel="00DB7855">
        <w:rPr>
          <w:rFonts w:cs="Segoe UI"/>
        </w:rPr>
        <w:t xml:space="preserve"> </w:t>
      </w:r>
      <w:r w:rsidR="00647713" w:rsidRPr="007C2BD9">
        <w:rPr>
          <w:rFonts w:cs="Segoe UI"/>
        </w:rPr>
        <w:t>health technology</w:t>
      </w:r>
      <w:r w:rsidR="00DB7855">
        <w:rPr>
          <w:rFonts w:cs="Segoe UI"/>
        </w:rPr>
        <w:t>–</w:t>
      </w:r>
      <w:r w:rsidR="00647713" w:rsidRPr="007C2BD9">
        <w:rPr>
          <w:rFonts w:cs="Segoe UI"/>
        </w:rPr>
        <w:t>specific level</w:t>
      </w:r>
      <w:r w:rsidR="00DB7855">
        <w:rPr>
          <w:rFonts w:cs="Segoe UI"/>
        </w:rPr>
        <w:t>,</w:t>
      </w:r>
      <w:r w:rsidR="00647713" w:rsidRPr="007C2BD9">
        <w:rPr>
          <w:rFonts w:cs="Segoe UI"/>
        </w:rPr>
        <w:t xml:space="preserve"> are essential t</w:t>
      </w:r>
      <w:r w:rsidR="00647713" w:rsidRPr="00016BBD">
        <w:rPr>
          <w:rFonts w:cs="Segoe UI"/>
        </w:rPr>
        <w:t>o:</w:t>
      </w:r>
    </w:p>
    <w:p w14:paraId="540D42E2" w14:textId="290935C0" w:rsidR="00647713" w:rsidRPr="00016BBD" w:rsidRDefault="00647713" w:rsidP="00281153">
      <w:pPr>
        <w:pStyle w:val="ListBullet"/>
        <w:numPr>
          <w:ilvl w:val="0"/>
          <w:numId w:val="74"/>
        </w:numPr>
      </w:pPr>
      <w:r w:rsidRPr="00016BBD">
        <w:t>be transparent about the dynamic tension between:</w:t>
      </w:r>
    </w:p>
    <w:p w14:paraId="1BCBB338" w14:textId="46B1EB81" w:rsidR="00647713" w:rsidRPr="00016BBD" w:rsidRDefault="00647713" w:rsidP="00281153">
      <w:pPr>
        <w:pStyle w:val="ListBullet"/>
        <w:numPr>
          <w:ilvl w:val="1"/>
          <w:numId w:val="8"/>
        </w:numPr>
      </w:pPr>
      <w:r w:rsidRPr="00016BBD">
        <w:t>providing temporary patient access to promising treatments to improve health outcomes and health equity across a spread of clinical indications (</w:t>
      </w:r>
      <w:r w:rsidR="00EA4233">
        <w:t xml:space="preserve">and </w:t>
      </w:r>
      <w:r w:rsidRPr="00016BBD">
        <w:t xml:space="preserve">not just </w:t>
      </w:r>
      <w:r w:rsidR="00EA4233">
        <w:t xml:space="preserve">high-profile diseases </w:t>
      </w:r>
      <w:r w:rsidR="00DB7855">
        <w:t>such as</w:t>
      </w:r>
      <w:r w:rsidR="00EA4233">
        <w:t xml:space="preserve"> </w:t>
      </w:r>
      <w:r w:rsidR="00161F68">
        <w:t xml:space="preserve">some </w:t>
      </w:r>
      <w:r w:rsidR="00EA4233">
        <w:t>cancer</w:t>
      </w:r>
      <w:r w:rsidR="00161F68">
        <w:t>s</w:t>
      </w:r>
      <w:r w:rsidRPr="00016BBD">
        <w:t xml:space="preserve">) </w:t>
      </w:r>
    </w:p>
    <w:p w14:paraId="70A71A05" w14:textId="53A37C64" w:rsidR="00647713" w:rsidRPr="00016BBD" w:rsidRDefault="00647713" w:rsidP="00281153">
      <w:pPr>
        <w:pStyle w:val="ListBullet"/>
        <w:numPr>
          <w:ilvl w:val="1"/>
          <w:numId w:val="8"/>
        </w:numPr>
      </w:pPr>
      <w:r w:rsidRPr="00016BBD">
        <w:t>timely re-review of the HTA recommendation to determine if a health technology should move to, or out of, health</w:t>
      </w:r>
      <w:r w:rsidR="008722C8">
        <w:t>care</w:t>
      </w:r>
      <w:r w:rsidRPr="00016BBD">
        <w:t xml:space="preserve"> payer subsidy arrangements so that health resources can be allocated appropriately</w:t>
      </w:r>
    </w:p>
    <w:p w14:paraId="559E383D" w14:textId="41E7DF18" w:rsidR="00647713" w:rsidRPr="00016BBD" w:rsidRDefault="00647713" w:rsidP="00281153">
      <w:pPr>
        <w:pStyle w:val="ListBullet"/>
        <w:numPr>
          <w:ilvl w:val="1"/>
          <w:numId w:val="8"/>
        </w:numPr>
      </w:pPr>
      <w:r w:rsidRPr="00016BBD">
        <w:t xml:space="preserve">possible clinical, financial and reputational risks to different stakeholders that may arise if </w:t>
      </w:r>
      <w:r w:rsidR="00DB7855">
        <w:t xml:space="preserve">a </w:t>
      </w:r>
      <w:r w:rsidRPr="00016BBD">
        <w:t>temporary health</w:t>
      </w:r>
      <w:r w:rsidR="008722C8">
        <w:t>care</w:t>
      </w:r>
      <w:r w:rsidRPr="00016BBD">
        <w:t xml:space="preserve"> payer subsidy is withdrawn due to a final negative HTA recommendation </w:t>
      </w:r>
    </w:p>
    <w:p w14:paraId="31E050E8" w14:textId="05B5FCD3" w:rsidR="00647713" w:rsidRPr="00016BBD" w:rsidRDefault="00647713" w:rsidP="00281153">
      <w:pPr>
        <w:pStyle w:val="ListBullet"/>
        <w:numPr>
          <w:ilvl w:val="0"/>
          <w:numId w:val="74"/>
        </w:numPr>
      </w:pPr>
      <w:r w:rsidRPr="00016BBD">
        <w:t xml:space="preserve">support stakeholder confidence in the operation (and resulting outcomes) of the programs, </w:t>
      </w:r>
      <w:r w:rsidR="009556BD">
        <w:t xml:space="preserve">and </w:t>
      </w:r>
      <w:r w:rsidR="00DB7855">
        <w:t>improve</w:t>
      </w:r>
      <w:r w:rsidR="00DB7855" w:rsidRPr="00016BBD">
        <w:t xml:space="preserve"> </w:t>
      </w:r>
      <w:r w:rsidRPr="00016BBD" w:rsidDel="00DB7855">
        <w:t xml:space="preserve">visibility of </w:t>
      </w:r>
      <w:r w:rsidR="00392D8F">
        <w:t>uncertainty</w:t>
      </w:r>
      <w:r w:rsidRPr="00016BBD">
        <w:t xml:space="preserve"> and </w:t>
      </w:r>
      <w:r w:rsidR="00392D8F">
        <w:t>understanding</w:t>
      </w:r>
      <w:r w:rsidRPr="00016BBD">
        <w:t xml:space="preserve"> of </w:t>
      </w:r>
      <w:r w:rsidR="00392D8F">
        <w:t>why it is</w:t>
      </w:r>
      <w:r w:rsidRPr="00016BBD">
        <w:t xml:space="preserve"> importan</w:t>
      </w:r>
      <w:r w:rsidR="00392D8F">
        <w:t>t to</w:t>
      </w:r>
      <w:r w:rsidRPr="00016BBD">
        <w:t xml:space="preserve"> managing </w:t>
      </w:r>
      <w:r w:rsidR="000927A1">
        <w:t>it</w:t>
      </w:r>
    </w:p>
    <w:p w14:paraId="058C9878" w14:textId="31B0CD32" w:rsidR="00647713" w:rsidRPr="00436D85" w:rsidRDefault="00647713" w:rsidP="00281153">
      <w:pPr>
        <w:pStyle w:val="ListBullet"/>
        <w:numPr>
          <w:ilvl w:val="0"/>
          <w:numId w:val="74"/>
        </w:numPr>
      </w:pPr>
      <w:r w:rsidRPr="00016BBD">
        <w:t xml:space="preserve">ensure the resources required to support </w:t>
      </w:r>
      <w:r w:rsidR="00CD465F">
        <w:t xml:space="preserve">the </w:t>
      </w:r>
      <w:r w:rsidRPr="00016BBD">
        <w:t xml:space="preserve">implementation of MEAs and collect </w:t>
      </w:r>
      <w:r w:rsidRPr="00436D85">
        <w:t>any necessary evidence are proportionate to the uncertainty being managed and addressed, so that participation in these special funding programs</w:t>
      </w:r>
      <w:r w:rsidR="00CD465F">
        <w:t> </w:t>
      </w:r>
      <w:r w:rsidRPr="00436D85">
        <w:t>is:</w:t>
      </w:r>
    </w:p>
    <w:p w14:paraId="7DC1F24E" w14:textId="7326D67E" w:rsidR="00647713" w:rsidRPr="00436D85" w:rsidRDefault="009556BD" w:rsidP="00281153">
      <w:pPr>
        <w:pStyle w:val="ListBullet"/>
        <w:numPr>
          <w:ilvl w:val="1"/>
          <w:numId w:val="8"/>
        </w:numPr>
      </w:pPr>
      <w:r w:rsidRPr="000C5623">
        <w:rPr>
          <w:bCs/>
        </w:rPr>
        <w:t>an</w:t>
      </w:r>
      <w:r>
        <w:rPr>
          <w:b/>
        </w:rPr>
        <w:t xml:space="preserve"> </w:t>
      </w:r>
      <w:r w:rsidR="00647713" w:rsidRPr="00436D85">
        <w:rPr>
          <w:b/>
        </w:rPr>
        <w:t>administratively viable</w:t>
      </w:r>
      <w:r w:rsidR="00647713" w:rsidRPr="00436D85">
        <w:t xml:space="preserve"> alternative path for sponsors and health</w:t>
      </w:r>
      <w:r w:rsidR="008722C8">
        <w:t>care</w:t>
      </w:r>
      <w:r w:rsidR="00647713" w:rsidRPr="00436D85">
        <w:t xml:space="preserve"> payers to resolve identified issues, in contrast to the </w:t>
      </w:r>
      <w:r w:rsidR="00647713" w:rsidRPr="000C5623">
        <w:rPr>
          <w:iCs/>
        </w:rPr>
        <w:t>status quo</w:t>
      </w:r>
      <w:r w:rsidR="00647713" w:rsidRPr="00436D85">
        <w:rPr>
          <w:i/>
        </w:rPr>
        <w:t xml:space="preserve"> </w:t>
      </w:r>
      <w:r w:rsidR="00647713" w:rsidRPr="00436D85">
        <w:t xml:space="preserve">of addressing issues via multiple HTA resubmissions </w:t>
      </w:r>
    </w:p>
    <w:p w14:paraId="14799BD1" w14:textId="32A48E9A" w:rsidR="00647713" w:rsidRPr="00436D85" w:rsidRDefault="009556BD" w:rsidP="00281153">
      <w:pPr>
        <w:pStyle w:val="ListBullet"/>
        <w:numPr>
          <w:ilvl w:val="1"/>
          <w:numId w:val="8"/>
        </w:numPr>
      </w:pPr>
      <w:r w:rsidRPr="000C5623">
        <w:rPr>
          <w:bCs/>
        </w:rPr>
        <w:t>a</w:t>
      </w:r>
      <w:r>
        <w:rPr>
          <w:b/>
        </w:rPr>
        <w:t xml:space="preserve"> </w:t>
      </w:r>
      <w:r w:rsidR="00647713" w:rsidRPr="00436D85">
        <w:rPr>
          <w:b/>
        </w:rPr>
        <w:t>practical</w:t>
      </w:r>
      <w:r w:rsidR="00647713" w:rsidRPr="00436D85">
        <w:t xml:space="preserve"> means of improving timely patient access to high added therapeutic value health technologies for critical patient needs </w:t>
      </w:r>
    </w:p>
    <w:p w14:paraId="185B4F9C" w14:textId="32668471" w:rsidR="00647713" w:rsidRPr="00436D85" w:rsidRDefault="00647713" w:rsidP="00281153">
      <w:pPr>
        <w:pStyle w:val="ListBullet"/>
        <w:numPr>
          <w:ilvl w:val="1"/>
          <w:numId w:val="8"/>
        </w:numPr>
      </w:pPr>
      <w:r w:rsidRPr="00436D85">
        <w:rPr>
          <w:b/>
        </w:rPr>
        <w:t>sustainable</w:t>
      </w:r>
      <w:r w:rsidRPr="00436D85">
        <w:t xml:space="preserve">, in that final decisions on health technologies are made efficiently to provide stakeholders with the necessary clarity and certainty regarding the use, and funding of, managed health technologies </w:t>
      </w:r>
    </w:p>
    <w:p w14:paraId="4D1863BE" w14:textId="61E40590" w:rsidR="00647713" w:rsidRPr="009C552C" w:rsidRDefault="00647713" w:rsidP="00281153">
      <w:pPr>
        <w:pStyle w:val="ListBullet"/>
        <w:numPr>
          <w:ilvl w:val="1"/>
          <w:numId w:val="8"/>
        </w:numPr>
      </w:pPr>
      <w:bookmarkStart w:id="327" w:name="_Int_ikKfgNi2"/>
      <w:r w:rsidRPr="009C552C">
        <w:rPr>
          <w:b/>
        </w:rPr>
        <w:t>well</w:t>
      </w:r>
      <w:bookmarkEnd w:id="327"/>
      <w:r w:rsidRPr="009C552C">
        <w:rPr>
          <w:b/>
        </w:rPr>
        <w:t xml:space="preserve"> supported by stakeholders</w:t>
      </w:r>
      <w:r w:rsidRPr="009C552C">
        <w:t xml:space="preserve">, as both active participants and responsible partners in supporting the objectives and outcomes of the MEA (whether they </w:t>
      </w:r>
      <w:r w:rsidR="009556BD">
        <w:t xml:space="preserve">result in </w:t>
      </w:r>
      <w:r w:rsidRPr="009C552C">
        <w:t>positive or negative</w:t>
      </w:r>
      <w:r w:rsidR="009556BD">
        <w:t xml:space="preserve"> outcomes</w:t>
      </w:r>
      <w:r w:rsidRPr="009C552C">
        <w:t xml:space="preserve"> in terms of health technology access). </w:t>
      </w:r>
    </w:p>
    <w:p w14:paraId="3BB74CA3" w14:textId="75F5B591" w:rsidR="00647713" w:rsidRPr="009C552C" w:rsidRDefault="00647713" w:rsidP="003A7906">
      <w:pPr>
        <w:spacing w:before="240"/>
        <w:rPr>
          <w:rFonts w:cs="Segoe UI"/>
        </w:rPr>
      </w:pPr>
      <w:r w:rsidRPr="009C552C">
        <w:rPr>
          <w:rFonts w:cs="Segoe UI"/>
        </w:rPr>
        <w:lastRenderedPageBreak/>
        <w:t xml:space="preserve">Some stakeholders may </w:t>
      </w:r>
      <w:r w:rsidR="00FA607F">
        <w:rPr>
          <w:rFonts w:cs="Segoe UI"/>
        </w:rPr>
        <w:t>be</w:t>
      </w:r>
      <w:r w:rsidR="00FA607F" w:rsidRPr="009C552C">
        <w:rPr>
          <w:rFonts w:cs="Segoe UI"/>
        </w:rPr>
        <w:t xml:space="preserve"> </w:t>
      </w:r>
      <w:r w:rsidRPr="009C552C">
        <w:rPr>
          <w:rFonts w:cs="Segoe UI"/>
        </w:rPr>
        <w:t>disappoint</w:t>
      </w:r>
      <w:r w:rsidR="00FA607F">
        <w:rPr>
          <w:rFonts w:cs="Segoe UI"/>
        </w:rPr>
        <w:t>ed</w:t>
      </w:r>
      <w:r w:rsidRPr="009C552C">
        <w:rPr>
          <w:rFonts w:cs="Segoe UI"/>
        </w:rPr>
        <w:t xml:space="preserve"> at the lack of prescriptive detail from the Review </w:t>
      </w:r>
      <w:r w:rsidR="00FA607F">
        <w:rPr>
          <w:rFonts w:cs="Segoe UI"/>
        </w:rPr>
        <w:t>about</w:t>
      </w:r>
      <w:r w:rsidRPr="009C552C">
        <w:rPr>
          <w:rFonts w:cs="Segoe UI"/>
        </w:rPr>
        <w:t xml:space="preserve"> bridging funding program design and operational principles for the revised MEA arrangements. However, the Review:</w:t>
      </w:r>
    </w:p>
    <w:p w14:paraId="65F3B228" w14:textId="40198E2A" w:rsidR="00647713" w:rsidRPr="009C552C" w:rsidRDefault="00647713" w:rsidP="00281153">
      <w:pPr>
        <w:pStyle w:val="ListBullet"/>
        <w:numPr>
          <w:ilvl w:val="0"/>
          <w:numId w:val="74"/>
        </w:numPr>
      </w:pPr>
      <w:r w:rsidRPr="009C552C">
        <w:t xml:space="preserve">did not identify a clear ‘best practice’ design approach </w:t>
      </w:r>
      <w:r w:rsidR="00FA607F">
        <w:t>for</w:t>
      </w:r>
      <w:r w:rsidRPr="009C552C" w:rsidDel="00FA607F">
        <w:t xml:space="preserve"> </w:t>
      </w:r>
      <w:r w:rsidRPr="009C552C">
        <w:t>operati</w:t>
      </w:r>
      <w:r w:rsidR="00FA607F">
        <w:t>ng and using</w:t>
      </w:r>
      <w:r w:rsidRPr="009C552C">
        <w:t xml:space="preserve"> a bridging fund for health technologies, as each comparable program experience internationally was established and evolved after extensive consultation and design work to identify the right set of eligibility and operational criteria for the given healthcare context</w:t>
      </w:r>
    </w:p>
    <w:p w14:paraId="42755183" w14:textId="03C2D120" w:rsidR="00647713" w:rsidRPr="009C552C" w:rsidRDefault="00647713" w:rsidP="00281153">
      <w:pPr>
        <w:pStyle w:val="ListBullet"/>
        <w:numPr>
          <w:ilvl w:val="0"/>
          <w:numId w:val="74"/>
        </w:numPr>
      </w:pPr>
      <w:r w:rsidRPr="009C552C">
        <w:t xml:space="preserve">considers that how MEAs are contextually applied and used </w:t>
      </w:r>
      <w:r w:rsidR="00FA607F">
        <w:t>will</w:t>
      </w:r>
      <w:r w:rsidRPr="009C552C">
        <w:t xml:space="preserve"> depend on the uncertainties associated with possible adoption of a health technology; the different approaches that individual health</w:t>
      </w:r>
      <w:r w:rsidR="008722C8">
        <w:t>care</w:t>
      </w:r>
      <w:r w:rsidRPr="009C552C">
        <w:t xml:space="preserve"> payers or industry sponsors have in engaging with risk; and any other unique commercial or operational implications that are beyond the scope of the Review to examine in detail. </w:t>
      </w:r>
    </w:p>
    <w:p w14:paraId="2815E8DB" w14:textId="63DD64E8" w:rsidR="00647713" w:rsidRPr="009C552C" w:rsidRDefault="00647713" w:rsidP="00F21679">
      <w:pPr>
        <w:rPr>
          <w:rFonts w:cs="Segoe UI"/>
        </w:rPr>
      </w:pPr>
      <w:r w:rsidRPr="009C552C">
        <w:rPr>
          <w:rFonts w:cs="Segoe UI"/>
        </w:rPr>
        <w:t>However, in response to stakeholder feedback requesting additional detail, the Review has included additional design principles as signposting elements where</w:t>
      </w:r>
      <w:r w:rsidR="00FA607F">
        <w:rPr>
          <w:rFonts w:cs="Segoe UI"/>
        </w:rPr>
        <w:t xml:space="preserve"> it identified</w:t>
      </w:r>
      <w:r w:rsidRPr="009C552C">
        <w:rPr>
          <w:rFonts w:cs="Segoe UI"/>
        </w:rPr>
        <w:t xml:space="preserve"> commonalities across international programs. Some of these principles may be relevant for the Australian Government as it considers its response to these recommendations and consults further with stakeholders. </w:t>
      </w:r>
    </w:p>
    <w:p w14:paraId="6B92ED1A" w14:textId="6DFF8282" w:rsidR="00647713" w:rsidRPr="00016BBD" w:rsidRDefault="00647713" w:rsidP="00F21679">
      <w:pPr>
        <w:rPr>
          <w:rFonts w:cs="Segoe UI"/>
          <w:i/>
          <w:u w:val="single"/>
          <w:lang w:val="en-US"/>
        </w:rPr>
      </w:pPr>
      <w:r w:rsidRPr="009C552C">
        <w:rPr>
          <w:rFonts w:cs="Segoe UI"/>
        </w:rPr>
        <w:t>In making its recommendations, the Review anticipates that further, ongoing adjustments to the operational principles supporting a revised MEA framework and the operation of a bridging fund will be necessary to account for stakeholder feedback and experience. International experience with the operation of comparable programs demonstrates that</w:t>
      </w:r>
      <w:r w:rsidRPr="00016BBD">
        <w:rPr>
          <w:rFonts w:cs="Segoe UI"/>
        </w:rPr>
        <w:t xml:space="preserve"> such negotiations and adjustments to program parameters are clearly possible</w:t>
      </w:r>
      <w:r w:rsidR="00FA607F">
        <w:rPr>
          <w:rFonts w:cs="Segoe UI"/>
        </w:rPr>
        <w:t>. T</w:t>
      </w:r>
      <w:r w:rsidRPr="00016BBD">
        <w:rPr>
          <w:rFonts w:cs="Segoe UI"/>
        </w:rPr>
        <w:t xml:space="preserve">he Review encourages stakeholders to engage constructively on these matters, as the complexities </w:t>
      </w:r>
      <w:r w:rsidR="00FA607F">
        <w:rPr>
          <w:rFonts w:cs="Segoe UI"/>
        </w:rPr>
        <w:t>of</w:t>
      </w:r>
      <w:r w:rsidRPr="00016BBD">
        <w:rPr>
          <w:rFonts w:cs="Segoe UI"/>
        </w:rPr>
        <w:t xml:space="preserve"> managing uncertainty are expected to increase in the future. </w:t>
      </w:r>
    </w:p>
    <w:p w14:paraId="7E9EEC96" w14:textId="77777777" w:rsidR="00647713" w:rsidRPr="00016BBD" w:rsidRDefault="00647713" w:rsidP="00A318F7">
      <w:pPr>
        <w:pStyle w:val="Heading3"/>
      </w:pPr>
      <w:bookmarkStart w:id="328" w:name="_Toc164691417"/>
      <w:bookmarkStart w:id="329" w:name="_Toc164696215"/>
      <w:bookmarkStart w:id="330" w:name="_Toc164696361"/>
      <w:bookmarkStart w:id="331" w:name="_Toc164767750"/>
      <w:bookmarkStart w:id="332" w:name="_Toc165473687"/>
      <w:r w:rsidRPr="00016BBD">
        <w:t>Objectives of recommendations</w:t>
      </w:r>
      <w:bookmarkEnd w:id="328"/>
      <w:bookmarkEnd w:id="329"/>
      <w:bookmarkEnd w:id="330"/>
      <w:bookmarkEnd w:id="331"/>
      <w:bookmarkEnd w:id="332"/>
      <w:r w:rsidRPr="00016BBD">
        <w:t xml:space="preserve"> </w:t>
      </w:r>
    </w:p>
    <w:p w14:paraId="31E7374C" w14:textId="3E228220" w:rsidR="00647713" w:rsidRPr="00016BBD" w:rsidRDefault="00647713" w:rsidP="00F21679">
      <w:pPr>
        <w:rPr>
          <w:rFonts w:eastAsiaTheme="majorEastAsia" w:cs="Segoe UI"/>
        </w:rPr>
      </w:pPr>
      <w:r w:rsidRPr="00016BBD">
        <w:rPr>
          <w:rFonts w:eastAsiaTheme="majorEastAsia" w:cs="Segoe UI"/>
        </w:rPr>
        <w:t>The Review</w:t>
      </w:r>
      <w:r w:rsidR="00E75822">
        <w:rPr>
          <w:rFonts w:eastAsiaTheme="majorEastAsia" w:cs="Segoe UI"/>
        </w:rPr>
        <w:t>’s</w:t>
      </w:r>
      <w:r w:rsidRPr="00016BBD">
        <w:rPr>
          <w:rFonts w:eastAsiaTheme="majorEastAsia" w:cs="Segoe UI"/>
        </w:rPr>
        <w:t xml:space="preserve"> recommendations are intended to support stakeholders engaging </w:t>
      </w:r>
      <w:r w:rsidR="7B5A6F80" w:rsidRPr="6CC68A72">
        <w:rPr>
          <w:rFonts w:eastAsiaTheme="majorEastAsia" w:cs="Segoe UI"/>
        </w:rPr>
        <w:t>with</w:t>
      </w:r>
      <w:r w:rsidR="00BB0BA5">
        <w:rPr>
          <w:rFonts w:eastAsiaTheme="majorEastAsia" w:cs="Segoe UI"/>
        </w:rPr>
        <w:t>,</w:t>
      </w:r>
      <w:r w:rsidR="7B5A6F80" w:rsidRPr="6CC68A72">
        <w:rPr>
          <w:rFonts w:eastAsiaTheme="majorEastAsia" w:cs="Segoe UI"/>
        </w:rPr>
        <w:t xml:space="preserve"> and</w:t>
      </w:r>
      <w:r w:rsidRPr="00016BBD">
        <w:rPr>
          <w:rFonts w:eastAsiaTheme="majorEastAsia" w:cs="Segoe UI"/>
        </w:rPr>
        <w:t xml:space="preserve"> managing</w:t>
      </w:r>
      <w:r w:rsidR="00D855EA">
        <w:rPr>
          <w:rFonts w:eastAsiaTheme="majorEastAsia" w:cs="Segoe UI"/>
        </w:rPr>
        <w:t>,</w:t>
      </w:r>
      <w:r w:rsidRPr="00016BBD">
        <w:rPr>
          <w:rFonts w:eastAsiaTheme="majorEastAsia" w:cs="Segoe UI"/>
        </w:rPr>
        <w:t xml:space="preserve"> uncertainty and risk differently in health technology negotiation</w:t>
      </w:r>
      <w:r w:rsidR="00060E85">
        <w:rPr>
          <w:rFonts w:eastAsiaTheme="majorEastAsia" w:cs="Segoe UI"/>
        </w:rPr>
        <w:t>s</w:t>
      </w:r>
      <w:r w:rsidRPr="00016BBD">
        <w:rPr>
          <w:rFonts w:eastAsiaTheme="majorEastAsia" w:cs="Segoe UI"/>
        </w:rPr>
        <w:t xml:space="preserve"> and access, so </w:t>
      </w:r>
      <w:r w:rsidR="00060E85">
        <w:rPr>
          <w:rFonts w:eastAsiaTheme="majorEastAsia" w:cs="Segoe UI"/>
        </w:rPr>
        <w:t xml:space="preserve">that </w:t>
      </w:r>
      <w:r w:rsidRPr="00016BBD">
        <w:rPr>
          <w:rFonts w:eastAsiaTheme="majorEastAsia" w:cs="Segoe UI"/>
        </w:rPr>
        <w:t xml:space="preserve">the process and approach is not a barrier to more timely patient access to important health technologies. </w:t>
      </w:r>
    </w:p>
    <w:p w14:paraId="72C417A0" w14:textId="4D8D7A3F" w:rsidR="00647713" w:rsidRPr="00016BBD" w:rsidRDefault="00647713" w:rsidP="00A318F7">
      <w:pPr>
        <w:pStyle w:val="Heading3"/>
      </w:pPr>
      <w:bookmarkStart w:id="333" w:name="_Toc164691418"/>
      <w:bookmarkStart w:id="334" w:name="_Toc164767751"/>
      <w:bookmarkStart w:id="335" w:name="_Toc165473688"/>
      <w:bookmarkStart w:id="336" w:name="_Toc164696216"/>
      <w:bookmarkStart w:id="337" w:name="_Toc164696362"/>
      <w:r w:rsidRPr="00016BBD">
        <w:t>Recommendations</w:t>
      </w:r>
      <w:bookmarkEnd w:id="333"/>
      <w:bookmarkEnd w:id="334"/>
      <w:bookmarkEnd w:id="335"/>
      <w:r w:rsidRPr="00016BBD">
        <w:t xml:space="preserve"> </w:t>
      </w:r>
      <w:bookmarkEnd w:id="336"/>
      <w:bookmarkEnd w:id="337"/>
    </w:p>
    <w:p w14:paraId="67CB4896" w14:textId="58F7AAD4" w:rsidR="00647713" w:rsidRPr="00016BBD" w:rsidRDefault="00647713" w:rsidP="00645D5E">
      <w:pPr>
        <w:pStyle w:val="Recommendation1"/>
      </w:pPr>
      <w:bookmarkStart w:id="338" w:name="_Hlk167301997"/>
      <w:r w:rsidRPr="00016BBD">
        <w:t xml:space="preserve">Managed </w:t>
      </w:r>
      <w:r w:rsidR="001E3060">
        <w:t>e</w:t>
      </w:r>
      <w:r w:rsidRPr="00016BBD">
        <w:t xml:space="preserve">ntry </w:t>
      </w:r>
      <w:r w:rsidR="001E3060">
        <w:t>agreements</w:t>
      </w:r>
      <w:bookmarkEnd w:id="338"/>
    </w:p>
    <w:p w14:paraId="7CAC9F3F" w14:textId="2A1754FB" w:rsidR="00647713" w:rsidRPr="00016BBD" w:rsidRDefault="00647713" w:rsidP="0091498F">
      <w:pPr>
        <w:spacing w:before="240"/>
        <w:rPr>
          <w:rFonts w:cs="Segoe UI"/>
        </w:rPr>
      </w:pPr>
      <w:r w:rsidRPr="00405FD7">
        <w:rPr>
          <w:rFonts w:cs="Segoe UI"/>
        </w:rPr>
        <w:t xml:space="preserve">The Review recommends </w:t>
      </w:r>
      <w:r w:rsidR="00060E85">
        <w:rPr>
          <w:rFonts w:cs="Segoe UI"/>
        </w:rPr>
        <w:t xml:space="preserve">that </w:t>
      </w:r>
      <w:r w:rsidRPr="00405FD7">
        <w:rPr>
          <w:rFonts w:cs="Segoe UI"/>
        </w:rPr>
        <w:t>the Australian Government</w:t>
      </w:r>
      <w:r w:rsidRPr="00016BBD">
        <w:rPr>
          <w:rFonts w:cs="Segoe UI"/>
        </w:rPr>
        <w:t>:</w:t>
      </w:r>
    </w:p>
    <w:p w14:paraId="05661E4A" w14:textId="4F2BF482" w:rsidR="00647713" w:rsidRPr="00016BBD" w:rsidRDefault="00060E85" w:rsidP="00281153">
      <w:pPr>
        <w:pStyle w:val="ListParagraph"/>
        <w:numPr>
          <w:ilvl w:val="0"/>
          <w:numId w:val="103"/>
        </w:numPr>
        <w:spacing w:before="120" w:after="120"/>
        <w:rPr>
          <w:rFonts w:cs="Segoe UI"/>
        </w:rPr>
      </w:pPr>
      <w:r>
        <w:rPr>
          <w:rFonts w:cs="Segoe UI"/>
        </w:rPr>
        <w:t>r</w:t>
      </w:r>
      <w:r w:rsidR="00647713" w:rsidRPr="00016BBD">
        <w:rPr>
          <w:rFonts w:cs="Segoe UI"/>
        </w:rPr>
        <w:t>evise the</w:t>
      </w:r>
      <w:r w:rsidR="00647713" w:rsidRPr="00016BBD" w:rsidDel="00E04A25">
        <w:rPr>
          <w:rFonts w:cs="Segoe UI"/>
        </w:rPr>
        <w:t xml:space="preserve"> </w:t>
      </w:r>
      <w:r w:rsidR="00647713" w:rsidRPr="00016BBD">
        <w:rPr>
          <w:rFonts w:cs="Segoe UI"/>
        </w:rPr>
        <w:t>policy and guidance framework (after consulti</w:t>
      </w:r>
      <w:r>
        <w:rPr>
          <w:rFonts w:cs="Segoe UI"/>
        </w:rPr>
        <w:t>ng</w:t>
      </w:r>
      <w:r w:rsidR="00647713" w:rsidRPr="00016BBD">
        <w:rPr>
          <w:rFonts w:cs="Segoe UI"/>
        </w:rPr>
        <w:t xml:space="preserve"> with stakeholders) </w:t>
      </w:r>
      <w:r w:rsidR="00833EA3">
        <w:rPr>
          <w:rFonts w:cs="Segoe UI"/>
        </w:rPr>
        <w:t xml:space="preserve">for </w:t>
      </w:r>
      <w:r w:rsidR="00647713" w:rsidRPr="00016BBD">
        <w:rPr>
          <w:rFonts w:cs="Segoe UI"/>
        </w:rPr>
        <w:t>managed entry a</w:t>
      </w:r>
      <w:r w:rsidR="001E3060">
        <w:rPr>
          <w:rFonts w:cs="Segoe UI"/>
        </w:rPr>
        <w:t>greements</w:t>
      </w:r>
      <w:r w:rsidR="00647713" w:rsidRPr="00016BBD">
        <w:rPr>
          <w:rFonts w:cs="Segoe UI"/>
        </w:rPr>
        <w:t xml:space="preserve"> (MEAs), to provide more flexibility for sponsors </w:t>
      </w:r>
      <w:r w:rsidR="00647713" w:rsidRPr="00016BBD">
        <w:rPr>
          <w:rFonts w:cs="Segoe UI"/>
        </w:rPr>
        <w:lastRenderedPageBreak/>
        <w:t xml:space="preserve">and the </w:t>
      </w:r>
      <w:r w:rsidR="00CD465F">
        <w:rPr>
          <w:rFonts w:cs="Segoe UI"/>
        </w:rPr>
        <w:t>Australian Government</w:t>
      </w:r>
      <w:r w:rsidR="00CD465F" w:rsidRPr="00016BBD">
        <w:rPr>
          <w:rFonts w:cs="Segoe UI"/>
        </w:rPr>
        <w:t xml:space="preserve"> </w:t>
      </w:r>
      <w:r w:rsidR="00647713" w:rsidRPr="00016BBD">
        <w:rPr>
          <w:rFonts w:cs="Segoe UI"/>
        </w:rPr>
        <w:t>to address identified uncertainties while better supporting timely access to health technologies for patients</w:t>
      </w:r>
    </w:p>
    <w:p w14:paraId="39A4ADA9" w14:textId="644FF145" w:rsidR="00647713" w:rsidRPr="00016BBD" w:rsidRDefault="00060E85" w:rsidP="00281153">
      <w:pPr>
        <w:pStyle w:val="ListParagraph"/>
        <w:numPr>
          <w:ilvl w:val="0"/>
          <w:numId w:val="103"/>
        </w:numPr>
        <w:spacing w:before="120" w:after="120"/>
        <w:rPr>
          <w:rFonts w:cs="Segoe UI"/>
        </w:rPr>
      </w:pPr>
      <w:r>
        <w:rPr>
          <w:rFonts w:cs="Segoe UI"/>
        </w:rPr>
        <w:t>r</w:t>
      </w:r>
      <w:r w:rsidR="00647713" w:rsidRPr="00016BBD">
        <w:rPr>
          <w:rFonts w:cs="Segoe UI"/>
        </w:rPr>
        <w:t>evise the MEA framework</w:t>
      </w:r>
      <w:r w:rsidR="00647713" w:rsidRPr="00016BBD" w:rsidDel="00060E85">
        <w:rPr>
          <w:rFonts w:cs="Segoe UI"/>
        </w:rPr>
        <w:t xml:space="preserve"> </w:t>
      </w:r>
      <w:r>
        <w:rPr>
          <w:rFonts w:cs="Segoe UI"/>
        </w:rPr>
        <w:t>to</w:t>
      </w:r>
      <w:r w:rsidR="00647713" w:rsidRPr="00016BBD">
        <w:rPr>
          <w:rFonts w:eastAsia="Times New Roman" w:cs="Segoe UI"/>
          <w:lang w:eastAsia="en-AU"/>
        </w:rPr>
        <w:t>:</w:t>
      </w:r>
    </w:p>
    <w:p w14:paraId="7DA70FBF" w14:textId="5405321F" w:rsidR="00647713" w:rsidRPr="00016BBD" w:rsidRDefault="00060E85" w:rsidP="00281153">
      <w:pPr>
        <w:pStyle w:val="ListParagraph"/>
        <w:numPr>
          <w:ilvl w:val="1"/>
          <w:numId w:val="103"/>
        </w:numPr>
        <w:spacing w:before="120" w:after="120"/>
        <w:rPr>
          <w:rFonts w:cs="Segoe UI"/>
        </w:rPr>
      </w:pPr>
      <w:r>
        <w:rPr>
          <w:rFonts w:cs="Segoe UI"/>
        </w:rPr>
        <w:t>p</w:t>
      </w:r>
      <w:r w:rsidR="00647713" w:rsidRPr="00016BBD">
        <w:rPr>
          <w:rFonts w:cs="Segoe UI"/>
        </w:rPr>
        <w:t>rovid</w:t>
      </w:r>
      <w:r>
        <w:rPr>
          <w:rFonts w:cs="Segoe UI"/>
        </w:rPr>
        <w:t>e</w:t>
      </w:r>
      <w:r w:rsidR="00647713" w:rsidRPr="00016BBD">
        <w:rPr>
          <w:rFonts w:cs="Segoe UI"/>
        </w:rPr>
        <w:t xml:space="preserve"> stakeholders with clarity </w:t>
      </w:r>
      <w:r w:rsidR="00140C11">
        <w:rPr>
          <w:rFonts w:cs="Segoe UI"/>
        </w:rPr>
        <w:t>about</w:t>
      </w:r>
      <w:r w:rsidR="00C73A7C">
        <w:rPr>
          <w:rFonts w:cs="Segoe UI"/>
        </w:rPr>
        <w:t xml:space="preserve"> </w:t>
      </w:r>
      <w:proofErr w:type="gramStart"/>
      <w:r w:rsidR="00C73A7C">
        <w:rPr>
          <w:rFonts w:cs="Segoe UI"/>
        </w:rPr>
        <w:t>processes</w:t>
      </w:r>
      <w:r w:rsidR="00140C11">
        <w:rPr>
          <w:rFonts w:cs="Segoe UI"/>
        </w:rPr>
        <w:t>;</w:t>
      </w:r>
      <w:proofErr w:type="gramEnd"/>
      <w:r w:rsidR="00140C11">
        <w:rPr>
          <w:rFonts w:cs="Segoe UI"/>
        </w:rPr>
        <w:t xml:space="preserve"> </w:t>
      </w:r>
      <w:r>
        <w:rPr>
          <w:rFonts w:cs="Segoe UI"/>
        </w:rPr>
        <w:t>for example</w:t>
      </w:r>
      <w:r w:rsidR="00647713" w:rsidRPr="00016BBD">
        <w:rPr>
          <w:rFonts w:cs="Segoe UI"/>
        </w:rPr>
        <w:t>:</w:t>
      </w:r>
    </w:p>
    <w:p w14:paraId="0D140D0C" w14:textId="50BDEBA3" w:rsidR="00647713" w:rsidRPr="00016BBD" w:rsidRDefault="00060E85" w:rsidP="00281153">
      <w:pPr>
        <w:pStyle w:val="ListParagraph"/>
        <w:numPr>
          <w:ilvl w:val="2"/>
          <w:numId w:val="103"/>
        </w:numPr>
        <w:spacing w:before="120" w:after="120"/>
        <w:rPr>
          <w:rFonts w:cs="Segoe UI"/>
        </w:rPr>
      </w:pPr>
      <w:r>
        <w:rPr>
          <w:rFonts w:cs="Segoe UI"/>
        </w:rPr>
        <w:t xml:space="preserve">the </w:t>
      </w:r>
      <w:r w:rsidR="00647713" w:rsidRPr="00016BBD">
        <w:rPr>
          <w:rFonts w:cs="Segoe UI"/>
        </w:rPr>
        <w:t xml:space="preserve">timing of, and processes related to, </w:t>
      </w:r>
      <w:r w:rsidR="009B0690">
        <w:rPr>
          <w:rFonts w:cs="Segoe UI"/>
        </w:rPr>
        <w:t xml:space="preserve">the </w:t>
      </w:r>
      <w:r w:rsidR="007F348C" w:rsidRPr="007F348C">
        <w:rPr>
          <w:rFonts w:cs="Segoe UI"/>
        </w:rPr>
        <w:t>Therapeutic Goods Administration</w:t>
      </w:r>
      <w:r w:rsidR="00AD05E5">
        <w:rPr>
          <w:rFonts w:cs="Segoe UI"/>
        </w:rPr>
        <w:t xml:space="preserve"> (TGA)</w:t>
      </w:r>
      <w:r w:rsidR="007F348C" w:rsidRPr="007F348C" w:rsidDel="007F348C">
        <w:rPr>
          <w:rFonts w:cs="Segoe UI"/>
        </w:rPr>
        <w:t xml:space="preserve"> </w:t>
      </w:r>
      <w:r w:rsidR="009B0690">
        <w:rPr>
          <w:rFonts w:cs="Segoe UI"/>
        </w:rPr>
        <w:t xml:space="preserve">and </w:t>
      </w:r>
      <w:r w:rsidR="008031B6" w:rsidRPr="008031B6">
        <w:rPr>
          <w:rFonts w:cs="Segoe UI"/>
        </w:rPr>
        <w:t>Pharmaceutical Benefits Advisory Committee</w:t>
      </w:r>
      <w:r w:rsidR="00AD05E5">
        <w:rPr>
          <w:rFonts w:cs="Segoe UI"/>
        </w:rPr>
        <w:t xml:space="preserve"> (PBAC)</w:t>
      </w:r>
      <w:r w:rsidR="008031B6" w:rsidRPr="008031B6">
        <w:rPr>
          <w:rFonts w:cs="Segoe UI"/>
        </w:rPr>
        <w:t xml:space="preserve"> </w:t>
      </w:r>
      <w:r w:rsidR="00647713" w:rsidRPr="00016BBD">
        <w:rPr>
          <w:rFonts w:cs="Segoe UI"/>
        </w:rPr>
        <w:t xml:space="preserve">parallel </w:t>
      </w:r>
      <w:r w:rsidR="009B0690">
        <w:rPr>
          <w:rFonts w:cs="Segoe UI"/>
        </w:rPr>
        <w:t>processing pathway</w:t>
      </w:r>
      <w:r w:rsidR="00647713" w:rsidRPr="00016BBD">
        <w:rPr>
          <w:rFonts w:cs="Segoe UI"/>
        </w:rPr>
        <w:t xml:space="preserve"> </w:t>
      </w:r>
    </w:p>
    <w:p w14:paraId="5545462C" w14:textId="5D05B54A" w:rsidR="00647713" w:rsidRPr="00016BBD" w:rsidRDefault="00647713" w:rsidP="00281153">
      <w:pPr>
        <w:pStyle w:val="ListParagraph"/>
        <w:numPr>
          <w:ilvl w:val="2"/>
          <w:numId w:val="103"/>
        </w:numPr>
        <w:spacing w:before="120" w:after="120"/>
        <w:rPr>
          <w:rFonts w:cs="Segoe UI"/>
        </w:rPr>
      </w:pPr>
      <w:r w:rsidRPr="00016BBD">
        <w:rPr>
          <w:rFonts w:cs="Segoe UI"/>
        </w:rPr>
        <w:t>pricing and negotiation policies that need to be considered as part of settling MEA terms and conditions</w:t>
      </w:r>
      <w:r w:rsidR="007C7D7A">
        <w:rPr>
          <w:rFonts w:cs="Segoe UI"/>
        </w:rPr>
        <w:t>.</w:t>
      </w:r>
      <w:r w:rsidRPr="00016BBD">
        <w:rPr>
          <w:rFonts w:cs="Segoe UI"/>
        </w:rPr>
        <w:t xml:space="preserve"> </w:t>
      </w:r>
    </w:p>
    <w:p w14:paraId="5DA1E464" w14:textId="7E3EA9E3" w:rsidR="00647713" w:rsidRPr="00016BBD" w:rsidRDefault="00DF13BA" w:rsidP="00281153">
      <w:pPr>
        <w:pStyle w:val="ListParagraph"/>
        <w:numPr>
          <w:ilvl w:val="1"/>
          <w:numId w:val="103"/>
        </w:numPr>
        <w:spacing w:before="120" w:after="120"/>
        <w:rPr>
          <w:rFonts w:cs="Segoe UI"/>
        </w:rPr>
      </w:pPr>
      <w:r>
        <w:rPr>
          <w:rFonts w:cs="Segoe UI"/>
        </w:rPr>
        <w:t>ensure that the MEA s</w:t>
      </w:r>
      <w:r w:rsidR="00647713" w:rsidRPr="00016BBD">
        <w:rPr>
          <w:rFonts w:cs="Segoe UI"/>
        </w:rPr>
        <w:t>elect</w:t>
      </w:r>
      <w:r>
        <w:rPr>
          <w:rFonts w:cs="Segoe UI"/>
        </w:rPr>
        <w:t>ed</w:t>
      </w:r>
      <w:r w:rsidR="00647713" w:rsidRPr="00016BBD">
        <w:rPr>
          <w:rFonts w:cs="Segoe UI"/>
        </w:rPr>
        <w:t xml:space="preserve"> for a given health technology consider</w:t>
      </w:r>
      <w:r>
        <w:rPr>
          <w:rFonts w:cs="Segoe UI"/>
        </w:rPr>
        <w:t>s</w:t>
      </w:r>
      <w:r w:rsidR="00647713" w:rsidRPr="00016BBD">
        <w:rPr>
          <w:rFonts w:cs="Segoe UI"/>
        </w:rPr>
        <w:t xml:space="preserve"> the complexity of any ongoing monitoring, management and stakeholder engagement by the key parties, and </w:t>
      </w:r>
      <w:r>
        <w:rPr>
          <w:rFonts w:cs="Segoe UI"/>
        </w:rPr>
        <w:t>provide</w:t>
      </w:r>
      <w:r w:rsidR="00492F26">
        <w:rPr>
          <w:rFonts w:cs="Segoe UI"/>
        </w:rPr>
        <w:t>s</w:t>
      </w:r>
      <w:r>
        <w:rPr>
          <w:rFonts w:cs="Segoe UI"/>
        </w:rPr>
        <w:t xml:space="preserve"> </w:t>
      </w:r>
      <w:r w:rsidR="00647713" w:rsidRPr="00016BBD">
        <w:rPr>
          <w:rFonts w:cs="Segoe UI"/>
        </w:rPr>
        <w:t xml:space="preserve">the resourcing </w:t>
      </w:r>
      <w:r w:rsidRPr="00016BBD">
        <w:rPr>
          <w:rFonts w:cs="Segoe UI"/>
        </w:rPr>
        <w:t>necessary</w:t>
      </w:r>
      <w:r w:rsidRPr="00016BBD" w:rsidDel="00DF13BA">
        <w:rPr>
          <w:rFonts w:cs="Segoe UI"/>
        </w:rPr>
        <w:t xml:space="preserve"> </w:t>
      </w:r>
      <w:r w:rsidR="00647713" w:rsidRPr="00016BBD">
        <w:rPr>
          <w:rFonts w:cs="Segoe UI"/>
        </w:rPr>
        <w:t>to support negotiation, administration and communication of the MEA</w:t>
      </w:r>
    </w:p>
    <w:p w14:paraId="26C3CB70" w14:textId="450862A0" w:rsidR="00647713" w:rsidRPr="00016BBD" w:rsidRDefault="00FF2886" w:rsidP="00281153">
      <w:pPr>
        <w:pStyle w:val="ListParagraph"/>
        <w:numPr>
          <w:ilvl w:val="1"/>
          <w:numId w:val="103"/>
        </w:numPr>
        <w:spacing w:before="120" w:after="120"/>
        <w:rPr>
          <w:rFonts w:cs="Segoe UI"/>
        </w:rPr>
      </w:pPr>
      <w:r>
        <w:rPr>
          <w:rFonts w:cs="Segoe UI"/>
        </w:rPr>
        <w:t>ensure t</w:t>
      </w:r>
      <w:r w:rsidR="00647713" w:rsidRPr="00016BBD">
        <w:rPr>
          <w:rFonts w:cs="Segoe UI"/>
        </w:rPr>
        <w:t>ransparency and dialogue with stakeholders, including patients and clinicians, on specific access conditions</w:t>
      </w:r>
      <w:r>
        <w:rPr>
          <w:rFonts w:cs="Segoe UI"/>
        </w:rPr>
        <w:t>;</w:t>
      </w:r>
      <w:r w:rsidR="00647713" w:rsidRPr="00016BBD">
        <w:rPr>
          <w:rFonts w:cs="Segoe UI"/>
        </w:rPr>
        <w:t xml:space="preserve"> evidence collection requirements to address clinical, economic and/or financial uncertainties about a health technology identified during the HTA process</w:t>
      </w:r>
      <w:r>
        <w:rPr>
          <w:rFonts w:cs="Segoe UI"/>
        </w:rPr>
        <w:t>;</w:t>
      </w:r>
      <w:r w:rsidR="00647713" w:rsidRPr="00016BBD">
        <w:rPr>
          <w:rFonts w:cs="Segoe UI"/>
        </w:rPr>
        <w:t xml:space="preserve"> stopping rules</w:t>
      </w:r>
      <w:r>
        <w:rPr>
          <w:rFonts w:cs="Segoe UI"/>
        </w:rPr>
        <w:t>;</w:t>
      </w:r>
      <w:r w:rsidR="00647713" w:rsidRPr="00016BBD">
        <w:rPr>
          <w:rFonts w:cs="Segoe UI"/>
        </w:rPr>
        <w:t xml:space="preserve"> and transition processes</w:t>
      </w:r>
    </w:p>
    <w:p w14:paraId="40604BDF" w14:textId="0BF60657" w:rsidR="00647713" w:rsidRPr="00016BBD" w:rsidRDefault="00FF2886" w:rsidP="00281153">
      <w:pPr>
        <w:pStyle w:val="ListParagraph"/>
        <w:numPr>
          <w:ilvl w:val="1"/>
          <w:numId w:val="103"/>
        </w:numPr>
        <w:spacing w:before="120" w:after="120"/>
        <w:rPr>
          <w:rFonts w:cs="Segoe UI"/>
        </w:rPr>
      </w:pPr>
      <w:r>
        <w:rPr>
          <w:rFonts w:cs="Segoe UI"/>
        </w:rPr>
        <w:t>publish k</w:t>
      </w:r>
      <w:r w:rsidR="00647713" w:rsidRPr="00016BBD">
        <w:rPr>
          <w:rFonts w:cs="Segoe UI"/>
        </w:rPr>
        <w:t xml:space="preserve">ey details of the MEA (after necessary redactions) to support </w:t>
      </w:r>
      <w:r>
        <w:rPr>
          <w:rFonts w:cs="Segoe UI"/>
        </w:rPr>
        <w:t>transparency</w:t>
      </w:r>
      <w:r w:rsidRPr="00016BBD">
        <w:rPr>
          <w:rFonts w:cs="Segoe UI"/>
        </w:rPr>
        <w:t xml:space="preserve"> </w:t>
      </w:r>
      <w:r w:rsidR="00647713" w:rsidRPr="00016BBD">
        <w:rPr>
          <w:rFonts w:cs="Segoe UI"/>
        </w:rPr>
        <w:t>of the agreement(s) and stakeholder engagement</w:t>
      </w:r>
      <w:r w:rsidR="007C7D7A">
        <w:rPr>
          <w:rFonts w:cs="Segoe UI"/>
        </w:rPr>
        <w:t>.</w:t>
      </w:r>
      <w:r w:rsidR="00453069">
        <w:rPr>
          <w:rFonts w:cs="Segoe UI"/>
        </w:rPr>
        <w:t xml:space="preserve"> </w:t>
      </w:r>
    </w:p>
    <w:p w14:paraId="72BD4077" w14:textId="40EB7891" w:rsidR="00647713" w:rsidRPr="00596A09" w:rsidRDefault="00FF2886" w:rsidP="00281153">
      <w:pPr>
        <w:pStyle w:val="ListParagraph"/>
        <w:numPr>
          <w:ilvl w:val="0"/>
          <w:numId w:val="103"/>
        </w:numPr>
        <w:spacing w:before="120" w:after="120"/>
        <w:rPr>
          <w:rFonts w:cs="Segoe UI"/>
        </w:rPr>
      </w:pPr>
      <w:r>
        <w:rPr>
          <w:rFonts w:cs="Segoe UI"/>
        </w:rPr>
        <w:t>i</w:t>
      </w:r>
      <w:r w:rsidR="00647713" w:rsidRPr="00016BBD">
        <w:rPr>
          <w:rFonts w:cs="Segoe UI"/>
        </w:rPr>
        <w:t xml:space="preserve">f required, </w:t>
      </w:r>
      <w:r w:rsidR="00F36AE5">
        <w:rPr>
          <w:rFonts w:cs="Segoe UI"/>
        </w:rPr>
        <w:t xml:space="preserve">seek amendments </w:t>
      </w:r>
      <w:r w:rsidR="00647713" w:rsidRPr="00016BBD">
        <w:rPr>
          <w:rFonts w:cs="Segoe UI"/>
        </w:rPr>
        <w:t xml:space="preserve">to legislation and/or regulations to ensure governance and accountability for the MEAs have an appropriate legal basis as recommended </w:t>
      </w:r>
      <w:r w:rsidR="00F33A9E">
        <w:rPr>
          <w:rFonts w:cs="Segoe UI"/>
        </w:rPr>
        <w:t>by</w:t>
      </w:r>
      <w:r w:rsidR="00F33A9E" w:rsidRPr="00016BBD">
        <w:rPr>
          <w:rFonts w:cs="Segoe UI"/>
        </w:rPr>
        <w:t xml:space="preserve"> </w:t>
      </w:r>
      <w:r w:rsidR="00647713" w:rsidRPr="000C5623">
        <w:rPr>
          <w:rFonts w:cs="Segoe UI"/>
          <w:iCs/>
        </w:rPr>
        <w:t>The New Frontier</w:t>
      </w:r>
      <w:r w:rsidR="00647713" w:rsidRPr="00016BBD">
        <w:rPr>
          <w:rFonts w:cs="Segoe UI"/>
          <w:i/>
        </w:rPr>
        <w:t xml:space="preserve"> </w:t>
      </w:r>
      <w:r w:rsidR="00F33A9E">
        <w:rPr>
          <w:rFonts w:cs="Segoe UI"/>
        </w:rPr>
        <w:t>i</w:t>
      </w:r>
      <w:r w:rsidR="00647713" w:rsidRPr="00016BBD">
        <w:rPr>
          <w:rFonts w:cs="Segoe UI"/>
        </w:rPr>
        <w:t xml:space="preserve">nquiry. </w:t>
      </w:r>
    </w:p>
    <w:p w14:paraId="615F10A3" w14:textId="247D16B6" w:rsidR="00647713" w:rsidRPr="00016BBD" w:rsidRDefault="00647713" w:rsidP="00645D5E">
      <w:pPr>
        <w:pStyle w:val="Recommendation1"/>
      </w:pPr>
      <w:bookmarkStart w:id="339" w:name="_Hlk167302041"/>
      <w:r w:rsidRPr="00016BBD">
        <w:t xml:space="preserve">Bridging </w:t>
      </w:r>
      <w:r w:rsidR="00284FDD">
        <w:t>f</w:t>
      </w:r>
      <w:r w:rsidRPr="00016BBD">
        <w:t>unding program</w:t>
      </w:r>
    </w:p>
    <w:bookmarkEnd w:id="339"/>
    <w:p w14:paraId="170E1D5A" w14:textId="4A1F07C0" w:rsidR="00647713" w:rsidRPr="00405FD7" w:rsidRDefault="00647713" w:rsidP="0091498F">
      <w:pPr>
        <w:spacing w:before="120" w:after="120"/>
        <w:rPr>
          <w:rFonts w:cs="Segoe UI"/>
        </w:rPr>
      </w:pPr>
      <w:r w:rsidRPr="00405FD7">
        <w:rPr>
          <w:rFonts w:cs="Segoe UI"/>
        </w:rPr>
        <w:t xml:space="preserve">The Review recommends </w:t>
      </w:r>
      <w:r w:rsidR="00FF2886">
        <w:rPr>
          <w:rFonts w:cs="Segoe UI"/>
        </w:rPr>
        <w:t xml:space="preserve">that </w:t>
      </w:r>
      <w:r w:rsidRPr="00405FD7">
        <w:rPr>
          <w:rFonts w:cs="Segoe UI"/>
        </w:rPr>
        <w:t>the Australian Government:</w:t>
      </w:r>
    </w:p>
    <w:p w14:paraId="1388BAE6" w14:textId="1616DAC6" w:rsidR="00647713" w:rsidRPr="00016BBD" w:rsidRDefault="009D08B6" w:rsidP="00281153">
      <w:pPr>
        <w:pStyle w:val="ListParagraph"/>
        <w:numPr>
          <w:ilvl w:val="0"/>
          <w:numId w:val="50"/>
        </w:numPr>
        <w:spacing w:before="120" w:after="120"/>
        <w:rPr>
          <w:rFonts w:eastAsia="Times New Roman" w:cs="Segoe UI"/>
          <w:lang w:eastAsia="en-AU"/>
        </w:rPr>
      </w:pPr>
      <w:r>
        <w:rPr>
          <w:rFonts w:eastAsia="Times New Roman" w:cs="Segoe UI"/>
          <w:lang w:eastAsia="en-AU"/>
        </w:rPr>
        <w:t>e</w:t>
      </w:r>
      <w:r w:rsidR="00647713" w:rsidRPr="00016BBD">
        <w:rPr>
          <w:rFonts w:eastAsia="Times New Roman" w:cs="Segoe UI"/>
          <w:lang w:eastAsia="en-AU"/>
        </w:rPr>
        <w:t xml:space="preserve">stablish (after follow-up stakeholder consultations) a bridging funding program to facilitate earlier, temporary subsidised access to promising, time-critical, therapies of high added therapeutic value </w:t>
      </w:r>
      <w:r>
        <w:rPr>
          <w:rFonts w:eastAsia="Times New Roman" w:cs="Segoe UI"/>
          <w:lang w:eastAsia="en-AU"/>
        </w:rPr>
        <w:t>that</w:t>
      </w:r>
      <w:r w:rsidRPr="00016BBD">
        <w:rPr>
          <w:rFonts w:eastAsia="Times New Roman" w:cs="Segoe UI"/>
          <w:lang w:eastAsia="en-AU"/>
        </w:rPr>
        <w:t xml:space="preserve"> </w:t>
      </w:r>
      <w:r w:rsidR="00647713" w:rsidRPr="00016BBD">
        <w:rPr>
          <w:rFonts w:eastAsia="Times New Roman" w:cs="Segoe UI"/>
          <w:lang w:eastAsia="en-AU"/>
        </w:rPr>
        <w:t xml:space="preserve">address </w:t>
      </w:r>
      <w:bookmarkStart w:id="340" w:name="_Hlk167375515"/>
      <w:r w:rsidR="00647713" w:rsidRPr="00016BBD">
        <w:rPr>
          <w:rFonts w:eastAsia="Times New Roman" w:cs="Segoe UI"/>
          <w:lang w:eastAsia="en-AU"/>
        </w:rPr>
        <w:t>high unmet clinical need</w:t>
      </w:r>
      <w:r w:rsidR="00142120">
        <w:rPr>
          <w:rFonts w:eastAsia="Times New Roman" w:cs="Segoe UI"/>
          <w:lang w:eastAsia="en-AU"/>
        </w:rPr>
        <w:t xml:space="preserve"> (HUCN)</w:t>
      </w:r>
      <w:r w:rsidR="00647713" w:rsidRPr="00016BBD">
        <w:rPr>
          <w:rFonts w:eastAsia="Times New Roman" w:cs="Segoe UI"/>
          <w:lang w:eastAsia="en-AU"/>
        </w:rPr>
        <w:t xml:space="preserve"> </w:t>
      </w:r>
      <w:bookmarkEnd w:id="340"/>
      <w:r w:rsidR="00647713" w:rsidRPr="00016BBD">
        <w:rPr>
          <w:rFonts w:eastAsia="Times New Roman" w:cs="Segoe UI"/>
          <w:lang w:eastAsia="en-AU"/>
        </w:rPr>
        <w:t>for patients</w:t>
      </w:r>
    </w:p>
    <w:p w14:paraId="7F76BBAE" w14:textId="5ED39469" w:rsidR="00647713" w:rsidRPr="00016BBD" w:rsidRDefault="009D08B6" w:rsidP="00281153">
      <w:pPr>
        <w:pStyle w:val="ListParagraph"/>
        <w:numPr>
          <w:ilvl w:val="0"/>
          <w:numId w:val="50"/>
        </w:numPr>
        <w:spacing w:before="120" w:after="120"/>
        <w:rPr>
          <w:rFonts w:cs="Segoe UI"/>
        </w:rPr>
      </w:pPr>
      <w:r>
        <w:rPr>
          <w:rFonts w:cs="Segoe UI"/>
          <w:lang w:eastAsia="en-AU"/>
        </w:rPr>
        <w:t>d</w:t>
      </w:r>
      <w:r w:rsidR="00647713" w:rsidRPr="00016BBD">
        <w:rPr>
          <w:rFonts w:cs="Segoe UI"/>
          <w:lang w:eastAsia="en-AU"/>
        </w:rPr>
        <w:t xml:space="preserve">esign the program in a way that does not introduce unnecessary complexity into the system, nor create unintended consequences that would prolong assessment, negotiations or implementation of agreed terms and conditions between stakeholders </w:t>
      </w:r>
    </w:p>
    <w:p w14:paraId="090AEFE9" w14:textId="1A049BEC" w:rsidR="00647713" w:rsidRPr="00016BBD" w:rsidRDefault="009D08B6" w:rsidP="00281153">
      <w:pPr>
        <w:pStyle w:val="ListParagraph"/>
        <w:numPr>
          <w:ilvl w:val="0"/>
          <w:numId w:val="50"/>
        </w:numPr>
        <w:spacing w:before="120" w:after="120"/>
        <w:rPr>
          <w:rFonts w:cs="Segoe UI"/>
        </w:rPr>
      </w:pPr>
      <w:r>
        <w:rPr>
          <w:rFonts w:eastAsia="Times New Roman" w:cs="Segoe UI"/>
          <w:lang w:eastAsia="en-AU"/>
        </w:rPr>
        <w:t>i</w:t>
      </w:r>
      <w:r w:rsidR="00647713" w:rsidRPr="00016BBD">
        <w:rPr>
          <w:rFonts w:eastAsia="Times New Roman" w:cs="Segoe UI"/>
          <w:lang w:eastAsia="en-AU"/>
        </w:rPr>
        <w:t xml:space="preserve">n line with international examples, consider establishing a dedicated but separate budgetary allocation for this program, distinct from baseline </w:t>
      </w:r>
      <w:r w:rsidR="00CD465F">
        <w:rPr>
          <w:rFonts w:eastAsia="Times New Roman" w:cs="Segoe UI"/>
          <w:lang w:eastAsia="en-AU"/>
        </w:rPr>
        <w:t>Australian Government</w:t>
      </w:r>
      <w:r w:rsidR="00CD465F" w:rsidRPr="00016BBD">
        <w:rPr>
          <w:rFonts w:eastAsia="Times New Roman" w:cs="Segoe UI"/>
          <w:lang w:eastAsia="en-AU"/>
        </w:rPr>
        <w:t xml:space="preserve"> </w:t>
      </w:r>
      <w:r w:rsidR="00647713" w:rsidRPr="00016BBD">
        <w:rPr>
          <w:rFonts w:eastAsia="Times New Roman" w:cs="Segoe UI"/>
          <w:lang w:eastAsia="en-AU"/>
        </w:rPr>
        <w:t>healthcare funding arrangements (</w:t>
      </w:r>
      <w:r>
        <w:rPr>
          <w:rFonts w:eastAsia="Times New Roman" w:cs="Segoe UI"/>
          <w:lang w:eastAsia="en-AU"/>
        </w:rPr>
        <w:t>e.g.</w:t>
      </w:r>
      <w:r w:rsidR="00647713" w:rsidRPr="00016BBD">
        <w:rPr>
          <w:rFonts w:eastAsia="Times New Roman" w:cs="Segoe UI"/>
          <w:lang w:eastAsia="en-AU"/>
        </w:rPr>
        <w:t xml:space="preserve"> the </w:t>
      </w:r>
      <w:r w:rsidR="00EA0494" w:rsidRPr="00EA0494">
        <w:rPr>
          <w:rFonts w:eastAsia="Times New Roman" w:cs="Segoe UI"/>
          <w:lang w:eastAsia="en-AU"/>
        </w:rPr>
        <w:t>Pharmaceutical Benefits Scheme</w:t>
      </w:r>
      <w:r w:rsidR="00C77D6E">
        <w:rPr>
          <w:rFonts w:eastAsia="Times New Roman" w:cs="Segoe UI"/>
          <w:lang w:eastAsia="en-AU"/>
        </w:rPr>
        <w:t xml:space="preserve"> (PBS)</w:t>
      </w:r>
      <w:r>
        <w:rPr>
          <w:rFonts w:eastAsia="Times New Roman" w:cs="Segoe UI"/>
          <w:lang w:eastAsia="en-AU"/>
        </w:rPr>
        <w:t xml:space="preserve"> and</w:t>
      </w:r>
      <w:r w:rsidR="00EA0494" w:rsidRPr="00EA0494" w:rsidDel="009D08B6">
        <w:t xml:space="preserve"> </w:t>
      </w:r>
      <w:r w:rsidR="00EA0494" w:rsidRPr="00EA0494">
        <w:rPr>
          <w:rFonts w:eastAsia="Times New Roman" w:cs="Segoe UI"/>
          <w:lang w:eastAsia="en-AU"/>
        </w:rPr>
        <w:t>Medicare Benefits Schedule</w:t>
      </w:r>
      <w:r w:rsidR="007A373C">
        <w:rPr>
          <w:rFonts w:eastAsia="Times New Roman" w:cs="Segoe UI"/>
          <w:lang w:eastAsia="en-AU"/>
        </w:rPr>
        <w:t xml:space="preserve"> </w:t>
      </w:r>
      <w:r w:rsidR="00C77D6E">
        <w:rPr>
          <w:rFonts w:eastAsia="Times New Roman" w:cs="Segoe UI"/>
          <w:lang w:eastAsia="en-AU"/>
        </w:rPr>
        <w:t>(MBS)</w:t>
      </w:r>
      <w:r w:rsidR="00647713" w:rsidRPr="00016BBD">
        <w:rPr>
          <w:rFonts w:eastAsia="Times New Roman" w:cs="Segoe UI"/>
          <w:lang w:eastAsia="en-AU"/>
        </w:rPr>
        <w:t>)</w:t>
      </w:r>
    </w:p>
    <w:p w14:paraId="03A26E21" w14:textId="33A378BF" w:rsidR="00647713" w:rsidRPr="00016BBD" w:rsidRDefault="009D08B6" w:rsidP="00281153">
      <w:pPr>
        <w:pStyle w:val="ListParagraph"/>
        <w:numPr>
          <w:ilvl w:val="0"/>
          <w:numId w:val="50"/>
        </w:numPr>
        <w:spacing w:before="120" w:after="120"/>
        <w:rPr>
          <w:rFonts w:cs="Segoe UI"/>
        </w:rPr>
      </w:pPr>
      <w:r>
        <w:rPr>
          <w:rFonts w:cs="Segoe UI"/>
        </w:rPr>
        <w:t>i</w:t>
      </w:r>
      <w:r w:rsidR="00647713" w:rsidRPr="00016BBD">
        <w:rPr>
          <w:rFonts w:cs="Segoe UI"/>
        </w:rPr>
        <w:t xml:space="preserve">nclude in the program design specific eligibility requirements that health technologies </w:t>
      </w:r>
      <w:r>
        <w:rPr>
          <w:rFonts w:cs="Segoe UI"/>
        </w:rPr>
        <w:t>must</w:t>
      </w:r>
      <w:r w:rsidR="00647713" w:rsidRPr="00016BBD">
        <w:rPr>
          <w:rFonts w:cs="Segoe UI"/>
        </w:rPr>
        <w:t xml:space="preserve"> meet to qualify for temporary bridging funding from this program</w:t>
      </w:r>
      <w:r>
        <w:rPr>
          <w:rFonts w:cs="Segoe UI"/>
        </w:rPr>
        <w:t>,</w:t>
      </w:r>
      <w:r w:rsidR="00647713" w:rsidRPr="00016BBD">
        <w:rPr>
          <w:rFonts w:cs="Segoe UI"/>
        </w:rPr>
        <w:t xml:space="preserve"> in consultation with key stakeholders, including:</w:t>
      </w:r>
    </w:p>
    <w:p w14:paraId="0967891C" w14:textId="7B76A046" w:rsidR="00647713" w:rsidRPr="00016BBD" w:rsidRDefault="009D08B6" w:rsidP="00281153">
      <w:pPr>
        <w:pStyle w:val="ListParagraph"/>
        <w:numPr>
          <w:ilvl w:val="1"/>
          <w:numId w:val="50"/>
        </w:numPr>
        <w:spacing w:before="120" w:after="120"/>
        <w:rPr>
          <w:rFonts w:cs="Segoe UI"/>
        </w:rPr>
      </w:pPr>
      <w:r>
        <w:rPr>
          <w:rFonts w:cs="Segoe UI"/>
          <w:bCs/>
        </w:rPr>
        <w:lastRenderedPageBreak/>
        <w:t>p</w:t>
      </w:r>
      <w:r w:rsidR="00647713" w:rsidRPr="00283DE8">
        <w:rPr>
          <w:rFonts w:cs="Segoe UI"/>
          <w:bCs/>
        </w:rPr>
        <w:t>rocess-related qualifying requirements</w:t>
      </w:r>
      <w:r w:rsidR="001F7915">
        <w:rPr>
          <w:rFonts w:cs="Segoe UI"/>
          <w:bCs/>
        </w:rPr>
        <w:t xml:space="preserve"> –</w:t>
      </w:r>
      <w:r w:rsidR="00647713" w:rsidRPr="00016BBD">
        <w:rPr>
          <w:rFonts w:cs="Segoe UI"/>
        </w:rPr>
        <w:t xml:space="preserve"> such as earlier submission of health technologies for evaluation via the </w:t>
      </w:r>
      <w:r w:rsidR="00B13537" w:rsidRPr="00B13537">
        <w:rPr>
          <w:rFonts w:cs="Segoe UI"/>
        </w:rPr>
        <w:t xml:space="preserve">Therapeutic Goods Administration </w:t>
      </w:r>
      <w:r>
        <w:rPr>
          <w:rFonts w:cs="Segoe UI"/>
        </w:rPr>
        <w:t>and</w:t>
      </w:r>
      <w:r w:rsidR="00A72F2E">
        <w:rPr>
          <w:rFonts w:cs="Segoe UI"/>
        </w:rPr>
        <w:t xml:space="preserve"> </w:t>
      </w:r>
      <w:r w:rsidR="00B13537" w:rsidRPr="00B13537">
        <w:rPr>
          <w:rFonts w:cs="Segoe UI"/>
        </w:rPr>
        <w:t>HTA</w:t>
      </w:r>
      <w:r w:rsidR="00B13537">
        <w:rPr>
          <w:rFonts w:cs="Segoe UI"/>
        </w:rPr>
        <w:t xml:space="preserve"> </w:t>
      </w:r>
      <w:r w:rsidR="00647713" w:rsidRPr="00016BBD">
        <w:rPr>
          <w:rFonts w:cs="Segoe UI"/>
        </w:rPr>
        <w:t>parallel submission process</w:t>
      </w:r>
      <w:r w:rsidR="001F7915">
        <w:rPr>
          <w:rFonts w:cs="Segoe UI"/>
        </w:rPr>
        <w:t xml:space="preserve"> –</w:t>
      </w:r>
      <w:r w:rsidR="00647713" w:rsidRPr="00016BBD">
        <w:rPr>
          <w:rFonts w:cs="Segoe UI"/>
        </w:rPr>
        <w:t xml:space="preserve"> within a defined period after</w:t>
      </w:r>
      <w:r w:rsidR="001F7915">
        <w:rPr>
          <w:rFonts w:cs="Segoe UI"/>
        </w:rPr>
        <w:t xml:space="preserve"> the</w:t>
      </w:r>
      <w:r w:rsidR="00647713" w:rsidRPr="00016BBD">
        <w:rPr>
          <w:rFonts w:cs="Segoe UI"/>
          <w:b/>
        </w:rPr>
        <w:t xml:space="preserve"> </w:t>
      </w:r>
      <w:r w:rsidR="00647713" w:rsidRPr="00016BBD">
        <w:rPr>
          <w:rFonts w:cs="Segoe UI"/>
        </w:rPr>
        <w:t>first major international regulatory approval (e.g. no later than 6</w:t>
      </w:r>
      <w:r w:rsidR="001F7915">
        <w:rPr>
          <w:rFonts w:cs="Segoe UI"/>
        </w:rPr>
        <w:t xml:space="preserve"> months to </w:t>
      </w:r>
      <w:r w:rsidR="00647713" w:rsidRPr="00016BBD">
        <w:rPr>
          <w:rFonts w:cs="Segoe UI"/>
        </w:rPr>
        <w:t>9 months after</w:t>
      </w:r>
      <w:r w:rsidR="001F7915">
        <w:rPr>
          <w:rFonts w:cs="Segoe UI"/>
        </w:rPr>
        <w:t xml:space="preserve"> US</w:t>
      </w:r>
      <w:r w:rsidR="00647713" w:rsidRPr="00016BBD">
        <w:rPr>
          <w:rFonts w:cs="Segoe UI"/>
        </w:rPr>
        <w:t xml:space="preserve"> </w:t>
      </w:r>
      <w:r w:rsidR="00DC0EA3" w:rsidRPr="00DC0EA3">
        <w:rPr>
          <w:rFonts w:cs="Segoe UI"/>
        </w:rPr>
        <w:t xml:space="preserve">Food and Drug Administration </w:t>
      </w:r>
      <w:r w:rsidR="001F7915">
        <w:rPr>
          <w:rFonts w:cs="Segoe UI"/>
        </w:rPr>
        <w:t xml:space="preserve">or </w:t>
      </w:r>
      <w:r w:rsidR="00CE71C1" w:rsidRPr="00CE71C1">
        <w:rPr>
          <w:rFonts w:cs="Segoe UI"/>
        </w:rPr>
        <w:t xml:space="preserve">European Medicines Agency </w:t>
      </w:r>
      <w:r w:rsidR="00647713" w:rsidRPr="00016BBD">
        <w:rPr>
          <w:rFonts w:cs="Segoe UI"/>
        </w:rPr>
        <w:t xml:space="preserve">marketing authorisation; or within </w:t>
      </w:r>
      <w:r w:rsidR="00A25A40">
        <w:rPr>
          <w:rFonts w:cs="Segoe UI"/>
        </w:rPr>
        <w:t>a defined period</w:t>
      </w:r>
      <w:r w:rsidR="00647713" w:rsidRPr="00016BBD">
        <w:rPr>
          <w:rFonts w:cs="Segoe UI"/>
        </w:rPr>
        <w:t xml:space="preserve"> after identification as part of the </w:t>
      </w:r>
      <w:r w:rsidR="00142120">
        <w:rPr>
          <w:rFonts w:cs="Segoe UI"/>
        </w:rPr>
        <w:t>HUCN</w:t>
      </w:r>
      <w:r w:rsidR="00647713" w:rsidRPr="00016BBD">
        <w:rPr>
          <w:rFonts w:cs="Segoe UI"/>
        </w:rPr>
        <w:t xml:space="preserve"> identification process (</w:t>
      </w:r>
      <w:r w:rsidR="001F7915">
        <w:rPr>
          <w:rFonts w:cs="Segoe UI"/>
        </w:rPr>
        <w:t xml:space="preserve">see </w:t>
      </w:r>
      <w:r w:rsidR="00647713" w:rsidRPr="000C5623">
        <w:rPr>
          <w:rFonts w:cs="Segoe UI"/>
          <w:iCs/>
        </w:rPr>
        <w:t xml:space="preserve">Chapter </w:t>
      </w:r>
      <w:r w:rsidR="00A25A40" w:rsidRPr="000C5623">
        <w:rPr>
          <w:rFonts w:cs="Segoe UI"/>
          <w:iCs/>
        </w:rPr>
        <w:t>9</w:t>
      </w:r>
      <w:r w:rsidR="00647713" w:rsidRPr="000C5623">
        <w:rPr>
          <w:rFonts w:cs="Segoe UI"/>
          <w:iCs/>
        </w:rPr>
        <w:t>.1</w:t>
      </w:r>
      <w:r w:rsidR="00647713" w:rsidRPr="00016BBD">
        <w:rPr>
          <w:rFonts w:cs="Segoe UI"/>
        </w:rPr>
        <w:t>)</w:t>
      </w:r>
    </w:p>
    <w:p w14:paraId="6403B596" w14:textId="59CD987F" w:rsidR="00647713" w:rsidRPr="00016BBD" w:rsidRDefault="001F7915" w:rsidP="00281153">
      <w:pPr>
        <w:pStyle w:val="ListParagraph"/>
        <w:numPr>
          <w:ilvl w:val="1"/>
          <w:numId w:val="50"/>
        </w:numPr>
        <w:spacing w:before="120" w:after="120"/>
        <w:rPr>
          <w:rFonts w:cs="Segoe UI"/>
        </w:rPr>
      </w:pPr>
      <w:r>
        <w:rPr>
          <w:rFonts w:cs="Segoe UI"/>
          <w:bCs/>
        </w:rPr>
        <w:t>s</w:t>
      </w:r>
      <w:r w:rsidR="00647713" w:rsidRPr="00283DE8">
        <w:rPr>
          <w:rFonts w:cs="Segoe UI"/>
          <w:bCs/>
        </w:rPr>
        <w:t xml:space="preserve">pecific </w:t>
      </w:r>
      <w:r>
        <w:rPr>
          <w:rFonts w:cs="Segoe UI"/>
          <w:bCs/>
        </w:rPr>
        <w:t>conditions</w:t>
      </w:r>
      <w:r w:rsidR="00647713" w:rsidRPr="00016BBD">
        <w:rPr>
          <w:rFonts w:cs="Segoe UI"/>
        </w:rPr>
        <w:t xml:space="preserve"> a qualifying health technology </w:t>
      </w:r>
      <w:r>
        <w:rPr>
          <w:rFonts w:cs="Segoe UI"/>
        </w:rPr>
        <w:t>must</w:t>
      </w:r>
      <w:r w:rsidR="00647713" w:rsidRPr="00016BBD">
        <w:rPr>
          <w:rFonts w:cs="Segoe UI"/>
        </w:rPr>
        <w:t xml:space="preserve"> meet </w:t>
      </w:r>
      <w:r>
        <w:rPr>
          <w:rFonts w:cs="Segoe UI"/>
        </w:rPr>
        <w:t xml:space="preserve">and that </w:t>
      </w:r>
      <w:r w:rsidR="00647713" w:rsidRPr="00016BBD">
        <w:rPr>
          <w:rFonts w:cs="Segoe UI"/>
        </w:rPr>
        <w:t>ar</w:t>
      </w:r>
      <w:r>
        <w:rPr>
          <w:rFonts w:cs="Segoe UI"/>
        </w:rPr>
        <w:t>ose</w:t>
      </w:r>
      <w:r w:rsidR="00647713" w:rsidRPr="00016BBD">
        <w:rPr>
          <w:rFonts w:cs="Segoe UI"/>
        </w:rPr>
        <w:t xml:space="preserve"> from </w:t>
      </w:r>
      <w:r>
        <w:rPr>
          <w:rFonts w:cs="Segoe UI"/>
        </w:rPr>
        <w:t>an</w:t>
      </w:r>
      <w:r w:rsidRPr="00016BBD">
        <w:rPr>
          <w:rFonts w:cs="Segoe UI"/>
        </w:rPr>
        <w:t xml:space="preserve"> </w:t>
      </w:r>
      <w:r w:rsidR="00647713" w:rsidRPr="00016BBD">
        <w:rPr>
          <w:rFonts w:cs="Segoe UI"/>
        </w:rPr>
        <w:t>HTA</w:t>
      </w:r>
      <w:r>
        <w:rPr>
          <w:rFonts w:cs="Segoe UI"/>
        </w:rPr>
        <w:t>; for example</w:t>
      </w:r>
      <w:r w:rsidR="00647713" w:rsidRPr="00016BBD">
        <w:rPr>
          <w:rFonts w:cs="Segoe UI"/>
        </w:rPr>
        <w:t xml:space="preserve">, </w:t>
      </w:r>
      <w:r w:rsidR="009A3331">
        <w:rPr>
          <w:rFonts w:cs="Segoe UI"/>
        </w:rPr>
        <w:t>where the</w:t>
      </w:r>
      <w:r w:rsidR="00647713" w:rsidRPr="00016BBD">
        <w:rPr>
          <w:rFonts w:cs="Segoe UI"/>
        </w:rPr>
        <w:t xml:space="preserve"> HTA </w:t>
      </w:r>
      <w:r w:rsidR="00C16518">
        <w:rPr>
          <w:rFonts w:cs="Segoe UI"/>
        </w:rPr>
        <w:t xml:space="preserve">advisory </w:t>
      </w:r>
      <w:r w:rsidR="00647713" w:rsidRPr="00016BBD">
        <w:rPr>
          <w:rFonts w:cs="Segoe UI"/>
        </w:rPr>
        <w:t>committee</w:t>
      </w:r>
      <w:r w:rsidR="00AE4B29">
        <w:rPr>
          <w:rFonts w:cs="Segoe UI"/>
        </w:rPr>
        <w:t xml:space="preserve"> </w:t>
      </w:r>
      <w:r w:rsidR="00DA043F">
        <w:rPr>
          <w:rFonts w:cs="Segoe UI"/>
        </w:rPr>
        <w:t xml:space="preserve">has </w:t>
      </w:r>
      <w:r w:rsidR="00AE4B29">
        <w:rPr>
          <w:rFonts w:cs="Segoe UI"/>
        </w:rPr>
        <w:t>recommend</w:t>
      </w:r>
      <w:r w:rsidR="007608B9">
        <w:rPr>
          <w:rFonts w:cs="Segoe UI"/>
        </w:rPr>
        <w:t>ed</w:t>
      </w:r>
      <w:r w:rsidR="00647713" w:rsidRPr="00016BBD">
        <w:rPr>
          <w:rFonts w:cs="Segoe UI"/>
        </w:rPr>
        <w:t xml:space="preserve">: </w:t>
      </w:r>
    </w:p>
    <w:p w14:paraId="7D5A2117" w14:textId="10EFA5BA" w:rsidR="00647713" w:rsidRPr="00016BBD" w:rsidRDefault="00647713" w:rsidP="00281153">
      <w:pPr>
        <w:pStyle w:val="ListParagraph"/>
        <w:numPr>
          <w:ilvl w:val="2"/>
          <w:numId w:val="50"/>
        </w:numPr>
        <w:spacing w:before="120" w:after="120"/>
        <w:rPr>
          <w:rFonts w:cs="Segoe UI"/>
        </w:rPr>
      </w:pPr>
      <w:r w:rsidRPr="00016BBD">
        <w:rPr>
          <w:rFonts w:cs="Segoe UI"/>
        </w:rPr>
        <w:t>a cost-effective health technology that requires</w:t>
      </w:r>
      <w:r w:rsidR="001F7915">
        <w:rPr>
          <w:rFonts w:cs="Segoe UI"/>
        </w:rPr>
        <w:t xml:space="preserve"> completion of</w:t>
      </w:r>
      <w:r w:rsidRPr="00016BBD">
        <w:rPr>
          <w:rFonts w:cs="Segoe UI"/>
        </w:rPr>
        <w:t xml:space="preserve"> final negotiations and listings processes </w:t>
      </w:r>
    </w:p>
    <w:p w14:paraId="05B47B40" w14:textId="54ED7721" w:rsidR="00647713" w:rsidRPr="00016BBD" w:rsidRDefault="00647713" w:rsidP="00281153">
      <w:pPr>
        <w:pStyle w:val="ListParagraph"/>
        <w:numPr>
          <w:ilvl w:val="2"/>
          <w:numId w:val="50"/>
        </w:numPr>
        <w:spacing w:before="120" w:after="120"/>
        <w:rPr>
          <w:rFonts w:cs="Segoe UI"/>
        </w:rPr>
      </w:pPr>
      <w:r w:rsidRPr="00016BBD">
        <w:rPr>
          <w:rFonts w:cs="Segoe UI"/>
        </w:rPr>
        <w:t xml:space="preserve">a health technology </w:t>
      </w:r>
      <w:r w:rsidR="001F7915">
        <w:rPr>
          <w:rFonts w:cs="Segoe UI"/>
        </w:rPr>
        <w:t>with outstanding issues (</w:t>
      </w:r>
      <w:r w:rsidRPr="00016BBD">
        <w:rPr>
          <w:rFonts w:cs="Segoe UI"/>
        </w:rPr>
        <w:t>re</w:t>
      </w:r>
      <w:r w:rsidR="001F7915">
        <w:rPr>
          <w:rFonts w:cs="Segoe UI"/>
        </w:rPr>
        <w:t>sulting in</w:t>
      </w:r>
      <w:r w:rsidRPr="00016BBD">
        <w:rPr>
          <w:rFonts w:cs="Segoe UI"/>
        </w:rPr>
        <w:t xml:space="preserve"> a negative HTA recommendation due to economic evaluation and/or cost-effectiveness</w:t>
      </w:r>
      <w:r w:rsidR="001F7915">
        <w:rPr>
          <w:rFonts w:cs="Segoe UI"/>
        </w:rPr>
        <w:t>)</w:t>
      </w:r>
      <w:r w:rsidRPr="00016BBD" w:rsidDel="001F7915">
        <w:rPr>
          <w:rFonts w:cs="Segoe UI"/>
        </w:rPr>
        <w:t xml:space="preserve"> </w:t>
      </w:r>
      <w:r w:rsidR="001F7915">
        <w:rPr>
          <w:rFonts w:cs="Segoe UI"/>
        </w:rPr>
        <w:t>that</w:t>
      </w:r>
      <w:r w:rsidRPr="00016BBD">
        <w:rPr>
          <w:rFonts w:cs="Segoe UI"/>
        </w:rPr>
        <w:t xml:space="preserve"> can likely be resolved quickly</w:t>
      </w:r>
      <w:r w:rsidR="001F7915">
        <w:rPr>
          <w:rFonts w:cs="Segoe UI"/>
        </w:rPr>
        <w:t>,</w:t>
      </w:r>
      <w:r w:rsidRPr="00016BBD">
        <w:rPr>
          <w:rFonts w:cs="Segoe UI"/>
        </w:rPr>
        <w:t xml:space="preserve"> consistent with facilitated</w:t>
      </w:r>
      <w:r w:rsidR="001F7915">
        <w:rPr>
          <w:rFonts w:cs="Segoe UI"/>
        </w:rPr>
        <w:t xml:space="preserve"> and</w:t>
      </w:r>
      <w:r w:rsidRPr="00016BBD">
        <w:rPr>
          <w:rFonts w:cs="Segoe UI"/>
        </w:rPr>
        <w:t>/</w:t>
      </w:r>
      <w:r w:rsidR="001F7915">
        <w:rPr>
          <w:rFonts w:cs="Segoe UI"/>
        </w:rPr>
        <w:t xml:space="preserve">or </w:t>
      </w:r>
      <w:r w:rsidRPr="00016BBD">
        <w:rPr>
          <w:rFonts w:cs="Segoe UI"/>
        </w:rPr>
        <w:t>early resolution pathway principles</w:t>
      </w:r>
    </w:p>
    <w:p w14:paraId="77E8FE85" w14:textId="790CA2D3" w:rsidR="00647713" w:rsidRPr="00016BBD" w:rsidRDefault="00647713" w:rsidP="00281153">
      <w:pPr>
        <w:pStyle w:val="ListParagraph"/>
        <w:numPr>
          <w:ilvl w:val="2"/>
          <w:numId w:val="50"/>
        </w:numPr>
        <w:spacing w:before="120" w:after="120"/>
        <w:rPr>
          <w:rFonts w:cs="Segoe UI"/>
        </w:rPr>
      </w:pPr>
      <w:r w:rsidRPr="00283DE8">
        <w:rPr>
          <w:rFonts w:cs="Segoe UI"/>
          <w:bCs/>
        </w:rPr>
        <w:t>post-HTA recommendation milestones and conditions,</w:t>
      </w:r>
      <w:r w:rsidRPr="00016BBD">
        <w:rPr>
          <w:rFonts w:cs="Segoe UI"/>
        </w:rPr>
        <w:t xml:space="preserve"> such as:</w:t>
      </w:r>
    </w:p>
    <w:p w14:paraId="40791DF7" w14:textId="7DCE4F66" w:rsidR="00647713" w:rsidRPr="00016BBD" w:rsidRDefault="00647713" w:rsidP="00281153">
      <w:pPr>
        <w:pStyle w:val="ListParagraph"/>
        <w:numPr>
          <w:ilvl w:val="3"/>
          <w:numId w:val="50"/>
        </w:numPr>
        <w:spacing w:before="120" w:after="120"/>
        <w:rPr>
          <w:rFonts w:cs="Segoe UI"/>
        </w:rPr>
      </w:pPr>
      <w:r w:rsidRPr="00016BBD">
        <w:rPr>
          <w:rFonts w:cs="Segoe UI"/>
        </w:rPr>
        <w:t xml:space="preserve">(if required) provision of additional information that may address identified uncertainties and risks from the HTA evaluation </w:t>
      </w:r>
    </w:p>
    <w:p w14:paraId="017F6B12" w14:textId="673206BE" w:rsidR="00647713" w:rsidRPr="00016BBD" w:rsidRDefault="00647713" w:rsidP="00281153">
      <w:pPr>
        <w:pStyle w:val="ListParagraph"/>
        <w:numPr>
          <w:ilvl w:val="3"/>
          <w:numId w:val="50"/>
        </w:numPr>
        <w:spacing w:before="120" w:after="120"/>
        <w:rPr>
          <w:rFonts w:cs="Segoe UI"/>
        </w:rPr>
      </w:pPr>
      <w:r w:rsidRPr="00016BBD">
        <w:rPr>
          <w:rFonts w:cs="Segoe UI"/>
        </w:rPr>
        <w:t xml:space="preserve">agreement on the costs and duration of bridging funding, to ensure the available appropriation allocations are not exceeded </w:t>
      </w:r>
    </w:p>
    <w:p w14:paraId="103B38F4" w14:textId="05398C41" w:rsidR="00647713" w:rsidRPr="00016BBD" w:rsidRDefault="00647713" w:rsidP="00281153">
      <w:pPr>
        <w:pStyle w:val="ListParagraph"/>
        <w:numPr>
          <w:ilvl w:val="3"/>
          <w:numId w:val="50"/>
        </w:numPr>
        <w:spacing w:before="120" w:after="120"/>
        <w:rPr>
          <w:rFonts w:cs="Segoe UI"/>
        </w:rPr>
      </w:pPr>
      <w:r w:rsidRPr="00016BBD">
        <w:rPr>
          <w:rFonts w:cs="Segoe UI"/>
        </w:rPr>
        <w:t xml:space="preserve">clear transition pathways and processes (including stakeholder communications) for </w:t>
      </w:r>
      <w:r w:rsidR="00AE4B29">
        <w:rPr>
          <w:rFonts w:cs="Segoe UI"/>
        </w:rPr>
        <w:t>the</w:t>
      </w:r>
      <w:r w:rsidRPr="00016BBD">
        <w:rPr>
          <w:rFonts w:cs="Segoe UI"/>
        </w:rPr>
        <w:t xml:space="preserve"> health technology to either</w:t>
      </w:r>
      <w:r w:rsidR="00AE4B29">
        <w:rPr>
          <w:rFonts w:cs="Segoe UI"/>
        </w:rPr>
        <w:t>:</w:t>
      </w:r>
    </w:p>
    <w:p w14:paraId="4B04B0F2" w14:textId="5325D1EC" w:rsidR="00647713" w:rsidRPr="00016BBD" w:rsidRDefault="00647713" w:rsidP="00281153">
      <w:pPr>
        <w:pStyle w:val="ListParagraph"/>
        <w:numPr>
          <w:ilvl w:val="4"/>
          <w:numId w:val="50"/>
        </w:numPr>
        <w:spacing w:before="120" w:after="120"/>
        <w:rPr>
          <w:rFonts w:cs="Segoe UI"/>
        </w:rPr>
      </w:pPr>
      <w:r w:rsidRPr="00016BBD">
        <w:rPr>
          <w:rFonts w:cs="Segoe UI"/>
        </w:rPr>
        <w:t>transition onto standard subsidy arrangements in the case of a positive HTA recommendation and after agreed conditions are fulfilled</w:t>
      </w:r>
      <w:r w:rsidR="008A18A9">
        <w:rPr>
          <w:rFonts w:cs="Segoe UI"/>
        </w:rPr>
        <w:t>,</w:t>
      </w:r>
      <w:r w:rsidRPr="00016BBD">
        <w:rPr>
          <w:rFonts w:cs="Segoe UI"/>
        </w:rPr>
        <w:t xml:space="preserve"> or</w:t>
      </w:r>
    </w:p>
    <w:p w14:paraId="0E05241F" w14:textId="4E3C48EC" w:rsidR="00647713" w:rsidRPr="00016BBD" w:rsidRDefault="00647713" w:rsidP="00281153">
      <w:pPr>
        <w:pStyle w:val="ListParagraph"/>
        <w:numPr>
          <w:ilvl w:val="4"/>
          <w:numId w:val="50"/>
        </w:numPr>
        <w:spacing w:before="120" w:after="120"/>
        <w:rPr>
          <w:rFonts w:cs="Segoe UI"/>
        </w:rPr>
      </w:pPr>
      <w:r w:rsidRPr="00016BBD">
        <w:rPr>
          <w:rFonts w:cs="Segoe UI"/>
        </w:rPr>
        <w:t>exit from the bridging program, including details on how residual patient needs for the health technology will be met in the absence of further health</w:t>
      </w:r>
      <w:r w:rsidR="008722C8">
        <w:rPr>
          <w:rFonts w:cs="Segoe UI"/>
        </w:rPr>
        <w:t>care</w:t>
      </w:r>
      <w:r w:rsidRPr="00016BBD">
        <w:rPr>
          <w:rFonts w:cs="Segoe UI"/>
        </w:rPr>
        <w:t xml:space="preserve"> payer subsidy, if a final HTA evaluation results in a negative recommendation</w:t>
      </w:r>
      <w:r w:rsidR="00F36165">
        <w:rPr>
          <w:rFonts w:cs="Segoe UI"/>
        </w:rPr>
        <w:t>.</w:t>
      </w:r>
    </w:p>
    <w:p w14:paraId="76478024" w14:textId="77777777" w:rsidR="00647713" w:rsidRPr="00016BBD" w:rsidRDefault="00647713" w:rsidP="00281153">
      <w:pPr>
        <w:pStyle w:val="ListParagraph"/>
        <w:numPr>
          <w:ilvl w:val="3"/>
          <w:numId w:val="50"/>
        </w:numPr>
        <w:spacing w:before="120" w:after="120"/>
        <w:rPr>
          <w:rFonts w:cs="Segoe UI"/>
        </w:rPr>
      </w:pPr>
      <w:r w:rsidRPr="00016BBD">
        <w:rPr>
          <w:rFonts w:cs="Segoe UI"/>
        </w:rPr>
        <w:t>publication (after consultations and necessary redactions) of key terms and conditions for health technologies funded by the bridging program to:</w:t>
      </w:r>
    </w:p>
    <w:p w14:paraId="300BDED7" w14:textId="647006BC" w:rsidR="00647713" w:rsidRPr="00016BBD" w:rsidRDefault="00647713" w:rsidP="00281153">
      <w:pPr>
        <w:pStyle w:val="ListParagraph"/>
        <w:numPr>
          <w:ilvl w:val="4"/>
          <w:numId w:val="50"/>
        </w:numPr>
        <w:spacing w:before="120" w:after="120"/>
        <w:rPr>
          <w:rFonts w:cs="Segoe UI"/>
        </w:rPr>
      </w:pPr>
      <w:r w:rsidRPr="00016BBD">
        <w:rPr>
          <w:rFonts w:cs="Segoe UI"/>
        </w:rPr>
        <w:t>support visibility of the arrangements and better stakeholder engagement</w:t>
      </w:r>
    </w:p>
    <w:p w14:paraId="52709806" w14:textId="7C265083" w:rsidR="00647713" w:rsidRPr="00016BBD" w:rsidRDefault="00647713" w:rsidP="00281153">
      <w:pPr>
        <w:pStyle w:val="ListParagraph"/>
        <w:numPr>
          <w:ilvl w:val="4"/>
          <w:numId w:val="50"/>
        </w:numPr>
        <w:spacing w:before="120" w:after="120"/>
        <w:rPr>
          <w:rFonts w:cs="Segoe UI"/>
        </w:rPr>
      </w:pPr>
      <w:r w:rsidRPr="00016BBD">
        <w:rPr>
          <w:rFonts w:cs="Segoe UI"/>
        </w:rPr>
        <w:t>improve patient and clinician participation in addressing specific milestones and conditions</w:t>
      </w:r>
      <w:r w:rsidR="00F36165">
        <w:rPr>
          <w:rFonts w:cs="Segoe UI"/>
        </w:rPr>
        <w:t>.</w:t>
      </w:r>
    </w:p>
    <w:p w14:paraId="75A4C733" w14:textId="2C9166B8" w:rsidR="00AC58CE" w:rsidRDefault="00AE4B29" w:rsidP="00281153">
      <w:pPr>
        <w:pStyle w:val="ListParagraph"/>
        <w:numPr>
          <w:ilvl w:val="0"/>
          <w:numId w:val="50"/>
        </w:numPr>
        <w:spacing w:before="120" w:after="120"/>
      </w:pPr>
      <w:r>
        <w:rPr>
          <w:rFonts w:eastAsia="Times New Roman" w:cs="Segoe UI"/>
          <w:lang w:eastAsia="en-AU"/>
        </w:rPr>
        <w:t>d</w:t>
      </w:r>
      <w:r w:rsidR="00647713" w:rsidRPr="00016BBD">
        <w:rPr>
          <w:rFonts w:eastAsia="Times New Roman" w:cs="Segoe UI"/>
          <w:lang w:eastAsia="en-AU"/>
        </w:rPr>
        <w:t>evelop appropriate governance arrangements for the bridging funding program, including a scheduled program evaluation to examine whether the program is addressing key objectives.</w:t>
      </w:r>
      <w:r w:rsidR="00AC58CE">
        <w:br w:type="page"/>
      </w:r>
    </w:p>
    <w:p w14:paraId="43DDFC2E" w14:textId="35001F8E" w:rsidR="00AC58CE" w:rsidRPr="00612943" w:rsidRDefault="00AC58CE" w:rsidP="00AC58CE">
      <w:pPr>
        <w:pStyle w:val="Heading2"/>
      </w:pPr>
      <w:bookmarkStart w:id="341" w:name="_Toc165473689"/>
      <w:bookmarkStart w:id="342" w:name="_Toc171935883"/>
      <w:r w:rsidRPr="00612943">
        <w:lastRenderedPageBreak/>
        <w:t xml:space="preserve">Chapter </w:t>
      </w:r>
      <w:r w:rsidR="00D14813" w:rsidRPr="00612943">
        <w:t>5</w:t>
      </w:r>
      <w:r w:rsidRPr="00612943">
        <w:t xml:space="preserve">.5: Antimicrobial health technologies </w:t>
      </w:r>
      <w:r w:rsidR="007F2034" w:rsidRPr="00612943">
        <w:t xml:space="preserve">– a </w:t>
      </w:r>
      <w:r w:rsidRPr="00612943">
        <w:t xml:space="preserve">multifaceted approach to funding, purchasing and managing </w:t>
      </w:r>
      <w:r w:rsidRPr="00B61FDC">
        <w:t xml:space="preserve">uncertainty </w:t>
      </w:r>
      <w:r w:rsidRPr="00612943">
        <w:t>to improve patient access and availability</w:t>
      </w:r>
      <w:bookmarkEnd w:id="341"/>
      <w:bookmarkEnd w:id="342"/>
    </w:p>
    <w:p w14:paraId="362049F4" w14:textId="37F69529" w:rsidR="00AC58CE" w:rsidRDefault="00AC58CE" w:rsidP="00AC58CE">
      <w:pPr>
        <w:pStyle w:val="Heading3"/>
      </w:pPr>
      <w:bookmarkStart w:id="343" w:name="_Toc165473690"/>
      <w:r w:rsidRPr="00612943">
        <w:t>Introduction</w:t>
      </w:r>
      <w:bookmarkEnd w:id="343"/>
      <w:r>
        <w:t xml:space="preserve"> </w:t>
      </w:r>
      <w:r w:rsidR="00D16D80">
        <w:t>and context</w:t>
      </w:r>
    </w:p>
    <w:p w14:paraId="0FC1D5EF" w14:textId="7A833C65" w:rsidR="00AC58CE" w:rsidRPr="00DF20E7" w:rsidRDefault="00AC58CE" w:rsidP="00F21679">
      <w:bookmarkStart w:id="344" w:name="_Hlk167527115"/>
      <w:r w:rsidRPr="0066627C">
        <w:t>Antimicrobial resistance (AMR)</w:t>
      </w:r>
      <w:bookmarkEnd w:id="344"/>
      <w:r w:rsidRPr="0066627C">
        <w:t xml:space="preserve"> has been recognised by the World Health Organization (WHO) as one of the top 10 global public health threats facing humanity</w:t>
      </w:r>
      <w:r w:rsidR="00816750">
        <w:t>.</w:t>
      </w:r>
      <w:r>
        <w:rPr>
          <w:rStyle w:val="FootnoteReference"/>
        </w:rPr>
        <w:footnoteReference w:id="101"/>
      </w:r>
      <w:r w:rsidRPr="0066627C">
        <w:t xml:space="preserve"> </w:t>
      </w:r>
      <w:r w:rsidRPr="00DF20E7">
        <w:t xml:space="preserve">The rise of AMR has a significant detrimental effect on disease burden and poses a threat to the financial sustainability of health systems and the broader economy globally. While the development of new antimicrobials is critical in addressing AMR, health systems have acknowledged </w:t>
      </w:r>
      <w:r w:rsidRPr="00DF20E7" w:rsidDel="00CE7C03">
        <w:t xml:space="preserve">the </w:t>
      </w:r>
      <w:r w:rsidRPr="00DF20E7">
        <w:t xml:space="preserve">market failure </w:t>
      </w:r>
      <w:r w:rsidR="006A5A29">
        <w:t xml:space="preserve">in </w:t>
      </w:r>
      <w:r w:rsidRPr="00DF20E7">
        <w:t xml:space="preserve">new antimicrobials globally due to low return on investment through existing reimbursement methods. Consequently, several large pharmaceutical companies have left antimicrobial </w:t>
      </w:r>
      <w:r w:rsidR="00BF7860">
        <w:t>R&amp;D</w:t>
      </w:r>
      <w:r w:rsidRPr="00DF20E7">
        <w:t xml:space="preserve">. </w:t>
      </w:r>
    </w:p>
    <w:p w14:paraId="1A38DF75" w14:textId="2FE7D421" w:rsidR="00AC58CE" w:rsidRPr="00DF20E7" w:rsidRDefault="00AC58CE" w:rsidP="00F21679">
      <w:r w:rsidRPr="00DF20E7">
        <w:t xml:space="preserve">A WHO review and analysis of antibacterial pipelines in 2021 concluded that recently approved antibacterial agents, and those in the different stages of clinical development, </w:t>
      </w:r>
      <w:r w:rsidR="00816750">
        <w:t>we</w:t>
      </w:r>
      <w:r w:rsidRPr="00DF20E7">
        <w:t xml:space="preserve">re still insufficient to address </w:t>
      </w:r>
      <w:r w:rsidR="00816750">
        <w:t xml:space="preserve">the emergence and spread of </w:t>
      </w:r>
      <w:r w:rsidRPr="00DF20E7">
        <w:t>antimicrobial-resistant infection</w:t>
      </w:r>
      <w:r w:rsidR="00816750">
        <w:t>s.</w:t>
      </w:r>
      <w:r>
        <w:rPr>
          <w:rStyle w:val="FootnoteReference"/>
        </w:rPr>
        <w:footnoteReference w:id="102"/>
      </w:r>
    </w:p>
    <w:p w14:paraId="12E156BC" w14:textId="1E574BF2" w:rsidR="00AC58CE" w:rsidRPr="002F5DF1" w:rsidRDefault="00AC58CE" w:rsidP="00F21679">
      <w:r w:rsidRPr="00DF20E7">
        <w:t xml:space="preserve">In recent years, </w:t>
      </w:r>
      <w:r w:rsidR="00D57E51">
        <w:t>Group of Seven</w:t>
      </w:r>
      <w:r w:rsidRPr="00DF20E7">
        <w:t xml:space="preserve"> countries have engaged in </w:t>
      </w:r>
      <w:proofErr w:type="gramStart"/>
      <w:r w:rsidRPr="00DF20E7">
        <w:t>a number of</w:t>
      </w:r>
      <w:proofErr w:type="gramEnd"/>
      <w:r w:rsidRPr="00DF20E7">
        <w:t xml:space="preserve"> initiatives to create economic conditions to preserve existing antibiotics and their access, strengthen antimicrobial </w:t>
      </w:r>
      <w:r w:rsidR="00BF7860">
        <w:t>R&amp;D</w:t>
      </w:r>
      <w:r w:rsidRPr="00DF20E7">
        <w:t>, and bring new drugs to market.</w:t>
      </w:r>
      <w:r w:rsidRPr="00326590">
        <w:t xml:space="preserve"> </w:t>
      </w:r>
      <w:r>
        <w:t>UK</w:t>
      </w:r>
      <w:r w:rsidRPr="0066627C">
        <w:t xml:space="preserve"> </w:t>
      </w:r>
      <w:r w:rsidR="005A477A">
        <w:t xml:space="preserve">countries </w:t>
      </w:r>
      <w:r w:rsidRPr="0066627C">
        <w:t>became the first in the world to implement a fully delinked price</w:t>
      </w:r>
      <w:r>
        <w:noBreakHyphen/>
      </w:r>
      <w:r w:rsidRPr="0066627C">
        <w:t xml:space="preserve">volume payment model for antimicrobials following </w:t>
      </w:r>
      <w:r w:rsidR="00492F26">
        <w:t xml:space="preserve">the </w:t>
      </w:r>
      <w:r w:rsidRPr="0066627C">
        <w:t>implementation of a pilot subscription model for two antimicrobials in 2022. Several other countries are at various stages of evaluating and implementing models for encouraging market entry and sustained market availability of high-value antimicrobials</w:t>
      </w:r>
      <w:r w:rsidR="00816750">
        <w:t>.</w:t>
      </w:r>
      <w:r>
        <w:rPr>
          <w:rStyle w:val="FootnoteReference"/>
        </w:rPr>
        <w:footnoteReference w:id="103"/>
      </w:r>
    </w:p>
    <w:p w14:paraId="69C92BDB" w14:textId="640B098D" w:rsidR="00AC58CE" w:rsidRPr="002F5DF1" w:rsidRDefault="00AC58CE" w:rsidP="00F21679">
      <w:r w:rsidRPr="006A4D22">
        <w:t>There has generally been limited guidance from HTA agencies on evaluating antibiotic agents, antimicrobial agents, communicable diseases and infectious diseases</w:t>
      </w:r>
      <w:bookmarkStart w:id="345" w:name="_Ref166779422"/>
      <w:r w:rsidR="00816750">
        <w:t>.</w:t>
      </w:r>
      <w:r>
        <w:rPr>
          <w:rStyle w:val="FootnoteReference"/>
        </w:rPr>
        <w:footnoteReference w:id="104"/>
      </w:r>
      <w:bookmarkEnd w:id="345"/>
      <w:r w:rsidRPr="006A4D22">
        <w:t xml:space="preserve"> In relation to antimicrobials, the PBAC </w:t>
      </w:r>
      <w:r w:rsidR="00BA4CDE">
        <w:t>G</w:t>
      </w:r>
      <w:r w:rsidRPr="006A4D22">
        <w:t>uidelines specif</w:t>
      </w:r>
      <w:r w:rsidR="00BA4CDE">
        <w:t>y</w:t>
      </w:r>
      <w:r w:rsidRPr="006A4D22">
        <w:t xml:space="preserve"> that submissions consider the </w:t>
      </w:r>
      <w:r w:rsidRPr="006A4D22">
        <w:lastRenderedPageBreak/>
        <w:t xml:space="preserve">government-endorsed prudent-use principles proposed </w:t>
      </w:r>
      <w:r w:rsidR="00816750">
        <w:t>in</w:t>
      </w:r>
      <w:r w:rsidRPr="006A4D22">
        <w:t xml:space="preserve"> the 1999 report of the Joint Expert </w:t>
      </w:r>
      <w:r w:rsidR="00816750">
        <w:t xml:space="preserve">Technical </w:t>
      </w:r>
      <w:r w:rsidRPr="006A4D22">
        <w:t xml:space="preserve">Advisory Committee on Antibiotic Resistance and the ‘General principles of antimicrobial use’ contained in </w:t>
      </w:r>
      <w:r w:rsidRPr="000C5623">
        <w:rPr>
          <w:i/>
          <w:iCs/>
        </w:rPr>
        <w:t>Therapeutic guidelines: antibiotic</w:t>
      </w:r>
      <w:r w:rsidR="00C14247">
        <w:rPr>
          <w:rStyle w:val="FootnoteReference"/>
          <w:i/>
          <w:iCs/>
        </w:rPr>
        <w:footnoteReference w:id="105"/>
      </w:r>
      <w:r w:rsidRPr="006A4D22">
        <w:t xml:space="preserve"> when considering target populations.</w:t>
      </w:r>
      <w:r w:rsidR="002F2027">
        <w:rPr>
          <w:rStyle w:val="FootnoteReference"/>
        </w:rPr>
        <w:footnoteReference w:id="106"/>
      </w:r>
    </w:p>
    <w:p w14:paraId="65A46E49" w14:textId="7206D558" w:rsidR="00AC58CE" w:rsidRPr="005F091B" w:rsidRDefault="006F165A" w:rsidP="00F21679">
      <w:pPr>
        <w:rPr>
          <w:rFonts w:eastAsia="Calibri"/>
        </w:rPr>
      </w:pPr>
      <w:proofErr w:type="gramStart"/>
      <w:r>
        <w:rPr>
          <w:rFonts w:eastAsia="Calibri"/>
        </w:rPr>
        <w:t xml:space="preserve">A </w:t>
      </w:r>
      <w:r w:rsidR="00AC58CE" w:rsidRPr="005F091B">
        <w:rPr>
          <w:rFonts w:eastAsia="Calibri"/>
        </w:rPr>
        <w:t>number of</w:t>
      </w:r>
      <w:proofErr w:type="gramEnd"/>
      <w:r w:rsidR="00AC58CE" w:rsidRPr="005F091B">
        <w:rPr>
          <w:rFonts w:eastAsia="Calibri"/>
        </w:rPr>
        <w:t xml:space="preserve"> considerations </w:t>
      </w:r>
      <w:r>
        <w:rPr>
          <w:rFonts w:eastAsia="Calibri"/>
        </w:rPr>
        <w:t>for</w:t>
      </w:r>
      <w:r w:rsidR="00AC58CE" w:rsidRPr="005F091B">
        <w:rPr>
          <w:rFonts w:eastAsia="Calibri"/>
        </w:rPr>
        <w:t xml:space="preserve"> HTA</w:t>
      </w:r>
      <w:r>
        <w:rPr>
          <w:rFonts w:eastAsia="Calibri"/>
        </w:rPr>
        <w:t>s</w:t>
      </w:r>
      <w:r w:rsidR="00AC58CE" w:rsidRPr="005F091B">
        <w:rPr>
          <w:rFonts w:eastAsia="Calibri"/>
        </w:rPr>
        <w:t xml:space="preserve"> for antimicrobials have potential implications for HTA process</w:t>
      </w:r>
      <w:r w:rsidR="00BB1141">
        <w:rPr>
          <w:rFonts w:eastAsia="Calibri"/>
        </w:rPr>
        <w:t>es</w:t>
      </w:r>
      <w:r w:rsidR="00AC58CE" w:rsidRPr="005F091B">
        <w:rPr>
          <w:rFonts w:eastAsia="Calibri"/>
        </w:rPr>
        <w:t xml:space="preserve"> and polic</w:t>
      </w:r>
      <w:r w:rsidR="00BB1141">
        <w:rPr>
          <w:rFonts w:eastAsia="Calibri"/>
        </w:rPr>
        <w:t>ies,</w:t>
      </w:r>
      <w:r w:rsidR="00AC58CE" w:rsidRPr="005F091B">
        <w:rPr>
          <w:rFonts w:eastAsia="Calibri"/>
        </w:rPr>
        <w:t xml:space="preserve"> </w:t>
      </w:r>
      <w:r w:rsidR="00AC58CE" w:rsidRPr="005A610A">
        <w:rPr>
          <w:rFonts w:eastAsia="Calibri"/>
        </w:rPr>
        <w:t>including captur</w:t>
      </w:r>
      <w:r w:rsidR="00BB1141" w:rsidRPr="005A610A">
        <w:rPr>
          <w:rFonts w:eastAsia="Calibri"/>
        </w:rPr>
        <w:t>ing</w:t>
      </w:r>
      <w:r w:rsidR="00AC58CE" w:rsidRPr="005A610A">
        <w:rPr>
          <w:rFonts w:eastAsia="Calibri"/>
        </w:rPr>
        <w:t xml:space="preserve"> community externalities associated with antimicrobial </w:t>
      </w:r>
      <w:r w:rsidR="005A610A" w:rsidRPr="000C5623">
        <w:rPr>
          <w:rFonts w:eastAsia="Calibri"/>
        </w:rPr>
        <w:t xml:space="preserve">agents </w:t>
      </w:r>
      <w:r w:rsidR="00AC58CE" w:rsidRPr="005A610A">
        <w:rPr>
          <w:rFonts w:eastAsia="Calibri"/>
        </w:rPr>
        <w:t>and other infectious diseases</w:t>
      </w:r>
      <w:r>
        <w:rPr>
          <w:rFonts w:eastAsia="Calibri"/>
        </w:rPr>
        <w:t>. These considerations include</w:t>
      </w:r>
      <w:r w:rsidR="00AC58CE" w:rsidRPr="005F091B">
        <w:rPr>
          <w:rFonts w:eastAsia="Calibri"/>
        </w:rPr>
        <w:t xml:space="preserve"> accounting for reduced transmission rates, </w:t>
      </w:r>
      <w:r w:rsidR="005A610A">
        <w:rPr>
          <w:rFonts w:eastAsia="Calibri"/>
        </w:rPr>
        <w:t xml:space="preserve">the </w:t>
      </w:r>
      <w:r w:rsidR="00AC58CE" w:rsidRPr="005F091B">
        <w:rPr>
          <w:rFonts w:eastAsia="Calibri"/>
        </w:rPr>
        <w:t xml:space="preserve">costs of treating resistant cases and </w:t>
      </w:r>
      <w:r w:rsidR="005A610A">
        <w:rPr>
          <w:rFonts w:eastAsia="Calibri"/>
        </w:rPr>
        <w:t xml:space="preserve">the </w:t>
      </w:r>
      <w:r w:rsidR="00AC58CE" w:rsidRPr="005F091B">
        <w:rPr>
          <w:rFonts w:eastAsia="Calibri"/>
        </w:rPr>
        <w:t>quality</w:t>
      </w:r>
      <w:r>
        <w:rPr>
          <w:rFonts w:eastAsia="Calibri"/>
        </w:rPr>
        <w:t>-</w:t>
      </w:r>
      <w:r w:rsidR="00AC58CE" w:rsidRPr="005F091B">
        <w:rPr>
          <w:rFonts w:eastAsia="Calibri"/>
        </w:rPr>
        <w:t>adjusted life</w:t>
      </w:r>
      <w:r>
        <w:rPr>
          <w:rFonts w:eastAsia="Calibri"/>
        </w:rPr>
        <w:t xml:space="preserve"> </w:t>
      </w:r>
      <w:r w:rsidR="00AC58CE" w:rsidRPr="005F091B">
        <w:rPr>
          <w:rFonts w:eastAsia="Calibri"/>
        </w:rPr>
        <w:t>year</w:t>
      </w:r>
      <w:r w:rsidR="005A610A">
        <w:rPr>
          <w:rFonts w:eastAsia="Calibri"/>
        </w:rPr>
        <w:t xml:space="preserve"> (QALY)</w:t>
      </w:r>
      <w:r w:rsidR="00AC58CE" w:rsidRPr="005F091B">
        <w:rPr>
          <w:rFonts w:eastAsia="Calibri"/>
        </w:rPr>
        <w:t xml:space="preserve"> gain</w:t>
      </w:r>
      <w:r w:rsidR="005A610A">
        <w:rPr>
          <w:rFonts w:eastAsia="Calibri"/>
        </w:rPr>
        <w:t>s</w:t>
      </w:r>
      <w:r w:rsidR="00AC58CE" w:rsidRPr="005F091B">
        <w:rPr>
          <w:rFonts w:eastAsia="Calibri"/>
        </w:rPr>
        <w:t xml:space="preserve"> from avoiding infection.</w:t>
      </w:r>
    </w:p>
    <w:p w14:paraId="7027DEC7" w14:textId="107AC8F3" w:rsidR="00AC58CE" w:rsidRPr="005F091B" w:rsidRDefault="00AC58CE" w:rsidP="00F21679">
      <w:pPr>
        <w:rPr>
          <w:rFonts w:eastAsia="Calibri"/>
        </w:rPr>
      </w:pPr>
      <w:r w:rsidRPr="005F091B">
        <w:rPr>
          <w:rFonts w:eastAsia="Calibri"/>
        </w:rPr>
        <w:t>In addition to the pilot program for a delinked price-volume payment model for antimicrobials, the UK also trialled a broader value framework</w:t>
      </w:r>
      <w:r w:rsidR="00E56288">
        <w:rPr>
          <w:rFonts w:eastAsia="Calibri"/>
        </w:rPr>
        <w:t xml:space="preserve"> –</w:t>
      </w:r>
      <w:r w:rsidR="00F454AB">
        <w:rPr>
          <w:rFonts w:eastAsia="Calibri"/>
        </w:rPr>
        <w:t xml:space="preserve"> </w:t>
      </w:r>
      <w:r w:rsidR="00E56288">
        <w:rPr>
          <w:rFonts w:eastAsia="Calibri"/>
        </w:rPr>
        <w:t>S</w:t>
      </w:r>
      <w:r w:rsidR="00E56288" w:rsidRPr="00E56288">
        <w:rPr>
          <w:rFonts w:eastAsia="Calibri"/>
        </w:rPr>
        <w:t xml:space="preserve">pectrum, </w:t>
      </w:r>
      <w:r w:rsidR="00E56288">
        <w:rPr>
          <w:rFonts w:eastAsia="Calibri"/>
        </w:rPr>
        <w:t>T</w:t>
      </w:r>
      <w:r w:rsidR="00E56288" w:rsidRPr="00E56288">
        <w:rPr>
          <w:rFonts w:eastAsia="Calibri"/>
        </w:rPr>
        <w:t xml:space="preserve">ransmission, </w:t>
      </w:r>
      <w:r w:rsidR="00E56288">
        <w:rPr>
          <w:rFonts w:eastAsia="Calibri"/>
        </w:rPr>
        <w:t>E</w:t>
      </w:r>
      <w:r w:rsidR="00E56288" w:rsidRPr="00E56288">
        <w:rPr>
          <w:rFonts w:eastAsia="Calibri"/>
        </w:rPr>
        <w:t xml:space="preserve">nablement, </w:t>
      </w:r>
      <w:r w:rsidR="00E56288">
        <w:rPr>
          <w:rFonts w:eastAsia="Calibri"/>
        </w:rPr>
        <w:t>D</w:t>
      </w:r>
      <w:r w:rsidR="00E56288" w:rsidRPr="00E56288">
        <w:rPr>
          <w:rFonts w:eastAsia="Calibri"/>
        </w:rPr>
        <w:t xml:space="preserve">iversity and </w:t>
      </w:r>
      <w:r w:rsidR="00E56288">
        <w:rPr>
          <w:rFonts w:eastAsia="Calibri"/>
        </w:rPr>
        <w:t>I</w:t>
      </w:r>
      <w:r w:rsidR="00E56288" w:rsidRPr="00E56288">
        <w:rPr>
          <w:rFonts w:eastAsia="Calibri"/>
        </w:rPr>
        <w:t xml:space="preserve">nsurance </w:t>
      </w:r>
      <w:r w:rsidR="00E56288">
        <w:rPr>
          <w:rFonts w:eastAsia="Calibri"/>
        </w:rPr>
        <w:t>V</w:t>
      </w:r>
      <w:r w:rsidR="00E56288" w:rsidRPr="00E56288">
        <w:rPr>
          <w:rFonts w:eastAsia="Calibri"/>
        </w:rPr>
        <w:t xml:space="preserve">alue </w:t>
      </w:r>
      <w:r w:rsidR="00E56288">
        <w:rPr>
          <w:rFonts w:eastAsia="Calibri"/>
        </w:rPr>
        <w:t>(</w:t>
      </w:r>
      <w:r w:rsidR="00F454AB" w:rsidRPr="005F091B">
        <w:rPr>
          <w:rFonts w:eastAsia="Calibri"/>
        </w:rPr>
        <w:t>STEDI</w:t>
      </w:r>
      <w:r w:rsidR="00E56288">
        <w:rPr>
          <w:rFonts w:eastAsia="Calibri"/>
        </w:rPr>
        <w:t>) –</w:t>
      </w:r>
      <w:r w:rsidRPr="005F091B">
        <w:rPr>
          <w:rFonts w:eastAsia="Calibri"/>
        </w:rPr>
        <w:t xml:space="preserve"> for evaluating antimicrobials</w:t>
      </w:r>
      <w:r w:rsidR="00F454AB">
        <w:rPr>
          <w:rFonts w:eastAsia="Calibri"/>
        </w:rPr>
        <w:t xml:space="preserve">. </w:t>
      </w:r>
      <w:r w:rsidRPr="005F091B">
        <w:rPr>
          <w:rFonts w:eastAsia="Calibri"/>
        </w:rPr>
        <w:t>STEDI</w:t>
      </w:r>
      <w:r w:rsidR="00F454AB">
        <w:rPr>
          <w:rFonts w:eastAsia="Calibri"/>
        </w:rPr>
        <w:t xml:space="preserve"> is</w:t>
      </w:r>
      <w:r w:rsidRPr="005F091B" w:rsidDel="00E56288">
        <w:rPr>
          <w:rFonts w:eastAsia="Calibri"/>
        </w:rPr>
        <w:t xml:space="preserve"> </w:t>
      </w:r>
      <w:r w:rsidRPr="005F091B">
        <w:rPr>
          <w:rFonts w:eastAsia="Calibri"/>
        </w:rPr>
        <w:t>combined with standard HTA dimensions in the UK context (such as clinical effectiveness, costs</w:t>
      </w:r>
      <w:r w:rsidR="008F0617">
        <w:rPr>
          <w:rFonts w:eastAsia="Calibri"/>
        </w:rPr>
        <w:t xml:space="preserve"> and</w:t>
      </w:r>
      <w:r w:rsidRPr="005F091B">
        <w:rPr>
          <w:rFonts w:eastAsia="Calibri"/>
        </w:rPr>
        <w:t xml:space="preserve"> safety). This broader value framework was u</w:t>
      </w:r>
      <w:r w:rsidR="008F0617">
        <w:rPr>
          <w:rFonts w:eastAsia="Calibri"/>
        </w:rPr>
        <w:t>sed</w:t>
      </w:r>
      <w:r w:rsidRPr="005F091B">
        <w:rPr>
          <w:rFonts w:eastAsia="Calibri"/>
        </w:rPr>
        <w:t xml:space="preserve"> in the appraisal of the antimicrobials in the delinked price-volume payment model pilot</w:t>
      </w:r>
      <w:r w:rsidR="008F0617">
        <w:rPr>
          <w:rFonts w:eastAsia="Calibri"/>
        </w:rPr>
        <w:t>.</w:t>
      </w:r>
      <w:r>
        <w:rPr>
          <w:rStyle w:val="FootnoteReference"/>
          <w:rFonts w:eastAsia="Calibri"/>
        </w:rPr>
        <w:footnoteReference w:id="107"/>
      </w:r>
      <w:r w:rsidRPr="005F091B">
        <w:rPr>
          <w:rFonts w:eastAsia="Calibri"/>
        </w:rPr>
        <w:t xml:space="preserve"> </w:t>
      </w:r>
    </w:p>
    <w:p w14:paraId="449A6696" w14:textId="6D9DC983" w:rsidR="00AC58CE" w:rsidRPr="005F091B" w:rsidRDefault="008F0B58" w:rsidP="00F21679">
      <w:pPr>
        <w:rPr>
          <w:rFonts w:eastAsia="Calibri"/>
        </w:rPr>
      </w:pPr>
      <w:r>
        <w:rPr>
          <w:rFonts w:eastAsia="Calibri"/>
        </w:rPr>
        <w:t>A</w:t>
      </w:r>
      <w:r w:rsidRPr="005F091B">
        <w:rPr>
          <w:rFonts w:eastAsia="Calibri"/>
        </w:rPr>
        <w:t>s part of its documentation supporting the antimicrobial HTA pilot</w:t>
      </w:r>
      <w:r>
        <w:rPr>
          <w:rFonts w:eastAsia="Calibri"/>
        </w:rPr>
        <w:t>, t</w:t>
      </w:r>
      <w:r w:rsidR="00AC58CE" w:rsidRPr="005F091B">
        <w:rPr>
          <w:rFonts w:eastAsia="Calibri"/>
        </w:rPr>
        <w:t xml:space="preserve">he UK’s </w:t>
      </w:r>
      <w:r w:rsidR="008F0617">
        <w:rPr>
          <w:rFonts w:eastAsia="Calibri"/>
        </w:rPr>
        <w:t>National Institute for Health and Care Excellence (</w:t>
      </w:r>
      <w:r w:rsidR="00AC58CE" w:rsidRPr="005F091B">
        <w:rPr>
          <w:rFonts w:eastAsia="Calibri"/>
        </w:rPr>
        <w:t>NICE</w:t>
      </w:r>
      <w:r w:rsidR="008F0617">
        <w:rPr>
          <w:rFonts w:eastAsia="Calibri"/>
        </w:rPr>
        <w:t>)</w:t>
      </w:r>
      <w:r w:rsidR="00AC58CE" w:rsidRPr="005F091B">
        <w:rPr>
          <w:rFonts w:eastAsia="Calibri"/>
        </w:rPr>
        <w:t xml:space="preserve"> noted: </w:t>
      </w:r>
    </w:p>
    <w:p w14:paraId="725E70B7" w14:textId="52C9305A" w:rsidR="00AC58CE" w:rsidRPr="005F091B" w:rsidRDefault="00AC58CE" w:rsidP="00281153">
      <w:pPr>
        <w:pStyle w:val="ListBullet"/>
        <w:numPr>
          <w:ilvl w:val="0"/>
          <w:numId w:val="75"/>
        </w:numPr>
        <w:rPr>
          <w:rFonts w:eastAsia="Calibri"/>
        </w:rPr>
      </w:pPr>
      <w:r w:rsidRPr="005F091B">
        <w:rPr>
          <w:rFonts w:eastAsia="Calibri"/>
        </w:rPr>
        <w:t xml:space="preserve">There can be difficulties in defining the relevant population and subgroups for antimicrobials, as market authorisation may focus on pathogens rather than clinical indications. </w:t>
      </w:r>
    </w:p>
    <w:p w14:paraId="2C170FB9" w14:textId="7ED6AAA5" w:rsidR="00AC58CE" w:rsidRPr="005F091B" w:rsidRDefault="00AC58CE" w:rsidP="00281153">
      <w:pPr>
        <w:pStyle w:val="ListBullet"/>
        <w:numPr>
          <w:ilvl w:val="0"/>
          <w:numId w:val="75"/>
        </w:numPr>
        <w:rPr>
          <w:rFonts w:eastAsia="Calibri"/>
        </w:rPr>
      </w:pPr>
      <w:r w:rsidRPr="005F091B">
        <w:rPr>
          <w:rFonts w:eastAsia="Calibri"/>
        </w:rPr>
        <w:t xml:space="preserve">In determining the population for antimicrobial </w:t>
      </w:r>
      <w:r w:rsidRPr="005F091B" w:rsidDel="008F0617">
        <w:rPr>
          <w:rFonts w:eastAsia="Calibri"/>
        </w:rPr>
        <w:t>use</w:t>
      </w:r>
      <w:r w:rsidRPr="005F091B">
        <w:rPr>
          <w:rFonts w:eastAsia="Calibri"/>
        </w:rPr>
        <w:t>, the setting</w:t>
      </w:r>
      <w:r w:rsidRPr="005F091B" w:rsidDel="008F0617">
        <w:rPr>
          <w:rFonts w:eastAsia="Calibri"/>
        </w:rPr>
        <w:t xml:space="preserve"> </w:t>
      </w:r>
      <w:r w:rsidRPr="005F091B">
        <w:rPr>
          <w:rFonts w:eastAsia="Calibri"/>
        </w:rPr>
        <w:t>(community, hospital or restricted to intensive care use)</w:t>
      </w:r>
      <w:r w:rsidR="008F0617">
        <w:rPr>
          <w:rFonts w:eastAsia="Calibri"/>
        </w:rPr>
        <w:t xml:space="preserve"> should be considered</w:t>
      </w:r>
      <w:r w:rsidRPr="005F091B">
        <w:rPr>
          <w:rFonts w:eastAsia="Calibri"/>
        </w:rPr>
        <w:t>, as the rate of infections and transmission dynamics will differ based on th</w:t>
      </w:r>
      <w:r w:rsidR="008F0617">
        <w:rPr>
          <w:rFonts w:eastAsia="Calibri"/>
        </w:rPr>
        <w:t>is</w:t>
      </w:r>
      <w:r w:rsidRPr="005F091B">
        <w:rPr>
          <w:rFonts w:eastAsia="Calibri"/>
        </w:rPr>
        <w:t xml:space="preserve">. </w:t>
      </w:r>
    </w:p>
    <w:p w14:paraId="0BC2EDC6" w14:textId="6C831886" w:rsidR="00AC58CE" w:rsidRPr="008803A4" w:rsidRDefault="00AC58CE" w:rsidP="00281153">
      <w:pPr>
        <w:pStyle w:val="ListBullet"/>
        <w:numPr>
          <w:ilvl w:val="0"/>
          <w:numId w:val="75"/>
        </w:numPr>
        <w:rPr>
          <w:rFonts w:eastAsia="Calibri"/>
        </w:rPr>
      </w:pPr>
      <w:r w:rsidRPr="008803A4">
        <w:rPr>
          <w:rFonts w:eastAsia="Calibri"/>
        </w:rPr>
        <w:t xml:space="preserve">The benefits of antimicrobials can extend beyond the patients treated to the wider population, so the </w:t>
      </w:r>
      <w:r w:rsidR="00DB3AC9">
        <w:rPr>
          <w:rFonts w:eastAsia="Calibri"/>
        </w:rPr>
        <w:t>outcomes considered</w:t>
      </w:r>
      <w:r w:rsidRPr="008803A4" w:rsidDel="008F0617">
        <w:rPr>
          <w:rFonts w:eastAsia="Calibri"/>
        </w:rPr>
        <w:t xml:space="preserve"> </w:t>
      </w:r>
      <w:r w:rsidR="008F0617" w:rsidRPr="008803A4">
        <w:rPr>
          <w:rFonts w:eastAsia="Calibri"/>
        </w:rPr>
        <w:t xml:space="preserve">for each </w:t>
      </w:r>
      <w:r w:rsidRPr="008803A4">
        <w:rPr>
          <w:rFonts w:eastAsia="Calibri"/>
        </w:rPr>
        <w:t xml:space="preserve">HTA evaluation need to be explicit. </w:t>
      </w:r>
    </w:p>
    <w:p w14:paraId="502875EF" w14:textId="6CEDE57A" w:rsidR="00AC58CE" w:rsidRPr="005F091B" w:rsidRDefault="00AC58CE" w:rsidP="00281153">
      <w:pPr>
        <w:pStyle w:val="ListBullet"/>
        <w:numPr>
          <w:ilvl w:val="0"/>
          <w:numId w:val="75"/>
        </w:numPr>
        <w:rPr>
          <w:rFonts w:eastAsia="Calibri"/>
        </w:rPr>
      </w:pPr>
      <w:r w:rsidRPr="005F091B">
        <w:rPr>
          <w:rFonts w:eastAsia="Calibri"/>
        </w:rPr>
        <w:t xml:space="preserve">As antimicrobials may be used for a wide range of different indications, there can be a variety of comparators based on the infection site, pathogen and mechanism of resistance, and whether the treatment is used in the microbiology-directed or empiric setting (i.e. after testing the susceptibility of </w:t>
      </w:r>
      <w:r w:rsidRPr="005F091B">
        <w:rPr>
          <w:rFonts w:eastAsia="Calibri"/>
        </w:rPr>
        <w:lastRenderedPageBreak/>
        <w:t xml:space="preserve">the </w:t>
      </w:r>
      <w:proofErr w:type="gramStart"/>
      <w:r w:rsidRPr="005F091B">
        <w:rPr>
          <w:rFonts w:eastAsia="Calibri"/>
        </w:rPr>
        <w:t>pathogen, or</w:t>
      </w:r>
      <w:proofErr w:type="gramEnd"/>
      <w:r w:rsidRPr="005F091B">
        <w:rPr>
          <w:rFonts w:eastAsia="Calibri"/>
        </w:rPr>
        <w:t xml:space="preserve"> </w:t>
      </w:r>
      <w:r w:rsidR="000066AA">
        <w:rPr>
          <w:rFonts w:eastAsia="Calibri"/>
        </w:rPr>
        <w:t xml:space="preserve">based </w:t>
      </w:r>
      <w:r w:rsidRPr="005F091B">
        <w:rPr>
          <w:rFonts w:eastAsia="Calibri"/>
        </w:rPr>
        <w:t>on clinical suspicion of the pathogen and its mechanism of resistance). </w:t>
      </w:r>
    </w:p>
    <w:p w14:paraId="3B4123B9" w14:textId="04B15706" w:rsidR="00AC58CE" w:rsidRPr="00405FD7" w:rsidRDefault="00AC58CE" w:rsidP="00F21679">
      <w:pPr>
        <w:rPr>
          <w:rFonts w:eastAsia="Calibri"/>
        </w:rPr>
      </w:pPr>
      <w:r w:rsidRPr="00405FD7">
        <w:rPr>
          <w:rFonts w:eastAsia="Calibri"/>
        </w:rPr>
        <w:t>Taken together, these observations from the UK pilot are consistent with the general view that providing access to new antimicrobial health technologies in health</w:t>
      </w:r>
      <w:r w:rsidR="002D33A5">
        <w:rPr>
          <w:rFonts w:eastAsia="Calibri"/>
        </w:rPr>
        <w:t xml:space="preserve"> </w:t>
      </w:r>
      <w:r w:rsidRPr="00405FD7">
        <w:rPr>
          <w:rFonts w:eastAsia="Calibri"/>
        </w:rPr>
        <w:t xml:space="preserve">care </w:t>
      </w:r>
      <w:r w:rsidR="006C5B70">
        <w:rPr>
          <w:rFonts w:eastAsia="Calibri"/>
        </w:rPr>
        <w:t>is</w:t>
      </w:r>
      <w:r w:rsidRPr="00405FD7">
        <w:rPr>
          <w:rFonts w:eastAsia="Calibri"/>
        </w:rPr>
        <w:t xml:space="preserve"> likely to require a multifaceted and distinct approach to HTA evaluation, managing uncertainty, negotiations (on price and specific contractual terms and conditions) and subsequent reassessment activities (in response to resistance and transmission dynamics at different points in time) compared to other health technologies. </w:t>
      </w:r>
    </w:p>
    <w:p w14:paraId="35EA7EF1" w14:textId="2264279F" w:rsidR="00AC58CE" w:rsidRDefault="00AC58CE" w:rsidP="00F21679">
      <w:pPr>
        <w:rPr>
          <w:rFonts w:cs="Segoe UI"/>
        </w:rPr>
      </w:pPr>
      <w:r w:rsidRPr="00E31300">
        <w:rPr>
          <w:rFonts w:cs="Segoe UI"/>
        </w:rPr>
        <w:t xml:space="preserve">The Australian Government has released </w:t>
      </w:r>
      <w:r w:rsidRPr="000C5623">
        <w:rPr>
          <w:rFonts w:cs="Segoe UI"/>
          <w:i/>
          <w:iCs/>
        </w:rPr>
        <w:t xml:space="preserve">Australia’s National Antimicrobial Resistance Strategy </w:t>
      </w:r>
      <w:r w:rsidR="006C5B70">
        <w:rPr>
          <w:rFonts w:cs="Segoe UI"/>
          <w:i/>
          <w:iCs/>
        </w:rPr>
        <w:t>–</w:t>
      </w:r>
      <w:r w:rsidRPr="000C5623">
        <w:rPr>
          <w:rFonts w:cs="Segoe UI"/>
          <w:i/>
          <w:iCs/>
        </w:rPr>
        <w:t xml:space="preserve"> 2020 and Beyond</w:t>
      </w:r>
      <w:r w:rsidRPr="00E31300">
        <w:rPr>
          <w:rFonts w:cs="Segoe UI"/>
        </w:rPr>
        <w:t xml:space="preserve"> (</w:t>
      </w:r>
      <w:r>
        <w:rPr>
          <w:rFonts w:cs="Segoe UI"/>
        </w:rPr>
        <w:t xml:space="preserve">2020 </w:t>
      </w:r>
      <w:r w:rsidRPr="00E31300">
        <w:rPr>
          <w:rFonts w:cs="Segoe UI"/>
        </w:rPr>
        <w:t xml:space="preserve">Strategy), which was endorsed by the Council of Australian Governments on 13 March 2020. </w:t>
      </w:r>
      <w:r w:rsidR="006C5B70">
        <w:rPr>
          <w:rFonts w:cs="Segoe UI"/>
        </w:rPr>
        <w:t>It</w:t>
      </w:r>
      <w:r w:rsidRPr="00E31300">
        <w:rPr>
          <w:rFonts w:cs="Segoe UI"/>
        </w:rPr>
        <w:t xml:space="preserve"> sets a 20</w:t>
      </w:r>
      <w:r>
        <w:rPr>
          <w:rFonts w:cs="Segoe UI"/>
        </w:rPr>
        <w:noBreakHyphen/>
      </w:r>
      <w:r w:rsidRPr="00E31300">
        <w:rPr>
          <w:rFonts w:cs="Segoe UI"/>
        </w:rPr>
        <w:t>year vision to protect the health of humans, animals and the environment through minimising the development and spread of AMR while continuing to have effective antimicrobials available</w:t>
      </w:r>
      <w:bookmarkStart w:id="346" w:name="_Ref165624797"/>
      <w:r w:rsidR="006C5B70">
        <w:rPr>
          <w:rFonts w:cs="Segoe UI"/>
        </w:rPr>
        <w:t>.</w:t>
      </w:r>
      <w:r>
        <w:rPr>
          <w:rStyle w:val="FootnoteReference"/>
          <w:rFonts w:cs="Segoe UI"/>
        </w:rPr>
        <w:footnoteReference w:id="108"/>
      </w:r>
      <w:bookmarkEnd w:id="346"/>
      <w:r w:rsidRPr="00E31300">
        <w:rPr>
          <w:rFonts w:cs="Segoe UI"/>
        </w:rPr>
        <w:t xml:space="preserve"> </w:t>
      </w:r>
    </w:p>
    <w:p w14:paraId="0014B06E" w14:textId="5647F00E" w:rsidR="00AC58CE" w:rsidRPr="00B73829" w:rsidRDefault="00AC58CE" w:rsidP="00F21679">
      <w:pPr>
        <w:rPr>
          <w:rFonts w:cs="Segoe UI"/>
        </w:rPr>
      </w:pPr>
      <w:r w:rsidRPr="6CC68A72">
        <w:rPr>
          <w:rFonts w:cs="Segoe UI"/>
        </w:rPr>
        <w:t xml:space="preserve">The 2020 </w:t>
      </w:r>
      <w:r>
        <w:rPr>
          <w:rFonts w:cs="Segoe UI"/>
        </w:rPr>
        <w:t>S</w:t>
      </w:r>
      <w:r w:rsidRPr="6CC68A72">
        <w:rPr>
          <w:rFonts w:cs="Segoe UI"/>
        </w:rPr>
        <w:t xml:space="preserve">trategy recognises that stewardship </w:t>
      </w:r>
      <w:r w:rsidRPr="007B1A90">
        <w:rPr>
          <w:rFonts w:cs="Segoe UI"/>
        </w:rPr>
        <w:t>practi</w:t>
      </w:r>
      <w:r>
        <w:rPr>
          <w:rFonts w:cs="Segoe UI"/>
        </w:rPr>
        <w:t>c</w:t>
      </w:r>
      <w:r w:rsidRPr="007B1A90">
        <w:rPr>
          <w:rFonts w:cs="Segoe UI"/>
        </w:rPr>
        <w:t>es</w:t>
      </w:r>
      <w:r w:rsidRPr="6CC68A72">
        <w:rPr>
          <w:rFonts w:cs="Segoe UI"/>
        </w:rPr>
        <w:t xml:space="preserve"> have reduced the demand for antibiotics worldwide</w:t>
      </w:r>
      <w:r w:rsidR="006C5B70">
        <w:rPr>
          <w:rFonts w:cs="Segoe UI"/>
        </w:rPr>
        <w:t>;</w:t>
      </w:r>
      <w:r w:rsidRPr="6CC68A72">
        <w:rPr>
          <w:rFonts w:cs="Segoe UI"/>
        </w:rPr>
        <w:t xml:space="preserve"> however</w:t>
      </w:r>
      <w:r w:rsidR="006C5B70">
        <w:rPr>
          <w:rFonts w:cs="Segoe UI"/>
        </w:rPr>
        <w:t>,</w:t>
      </w:r>
      <w:r w:rsidRPr="6CC68A72">
        <w:rPr>
          <w:rFonts w:cs="Segoe UI"/>
        </w:rPr>
        <w:t xml:space="preserve"> this has also contributed to the lack of supply of new antibiotics as there is a lack of incentive (financial) for pharmaceutical companies to develop them relative to other medicines. The 2020 Strategy recommended funding and subsidy approaches that incentivise the development of new antibiotics while maintaining responsible stewardship (i.e. restricting their use </w:t>
      </w:r>
      <w:r w:rsidR="004813B0">
        <w:rPr>
          <w:rFonts w:cs="Segoe UI"/>
        </w:rPr>
        <w:t xml:space="preserve">to </w:t>
      </w:r>
      <w:r w:rsidRPr="6CC68A72">
        <w:rPr>
          <w:rFonts w:cs="Segoe UI"/>
        </w:rPr>
        <w:t xml:space="preserve">appropriate use). There are opportunities across the HTA continuum to explore options to incentivise development, including </w:t>
      </w:r>
      <w:r w:rsidR="0082492F">
        <w:rPr>
          <w:rFonts w:cs="Segoe UI"/>
        </w:rPr>
        <w:t xml:space="preserve">in areas such as </w:t>
      </w:r>
      <w:r w:rsidRPr="6CC68A72">
        <w:rPr>
          <w:rFonts w:cs="Segoe UI"/>
        </w:rPr>
        <w:t>how government assesses, funds and subsidises new antimicrobials.</w:t>
      </w:r>
    </w:p>
    <w:p w14:paraId="34C12D60" w14:textId="120A91B6" w:rsidR="00AC58CE" w:rsidRPr="005B3DAA" w:rsidRDefault="00AC58CE" w:rsidP="00F21679">
      <w:pPr>
        <w:rPr>
          <w:rFonts w:cs="Segoe UI"/>
        </w:rPr>
      </w:pPr>
      <w:r>
        <w:rPr>
          <w:rFonts w:cs="Segoe UI"/>
        </w:rPr>
        <w:t>T</w:t>
      </w:r>
      <w:r w:rsidRPr="005B3DAA">
        <w:rPr>
          <w:rFonts w:cs="Segoe UI"/>
        </w:rPr>
        <w:t xml:space="preserve">he </w:t>
      </w:r>
      <w:r w:rsidR="00373BC1">
        <w:rPr>
          <w:rFonts w:cs="Segoe UI"/>
        </w:rPr>
        <w:t>Government’s response</w:t>
      </w:r>
      <w:r w:rsidR="00F4426A">
        <w:rPr>
          <w:rStyle w:val="FootnoteReference"/>
          <w:rFonts w:cs="Segoe UI"/>
        </w:rPr>
        <w:footnoteReference w:id="109"/>
      </w:r>
      <w:r w:rsidR="00373BC1">
        <w:rPr>
          <w:rFonts w:cs="Segoe UI"/>
        </w:rPr>
        <w:t xml:space="preserve"> </w:t>
      </w:r>
      <w:r w:rsidRPr="005B3DAA">
        <w:rPr>
          <w:rFonts w:cs="Segoe UI"/>
        </w:rPr>
        <w:t xml:space="preserve">to </w:t>
      </w:r>
      <w:r w:rsidRPr="000C5623">
        <w:rPr>
          <w:rFonts w:cs="Segoe UI"/>
        </w:rPr>
        <w:t>The New Frontier</w:t>
      </w:r>
      <w:r>
        <w:rPr>
          <w:rFonts w:cs="Segoe UI"/>
          <w:i/>
          <w:iCs/>
        </w:rPr>
        <w:t xml:space="preserve"> </w:t>
      </w:r>
      <w:r w:rsidR="001B43AE">
        <w:rPr>
          <w:rFonts w:cs="Segoe UI"/>
        </w:rPr>
        <w:t>i</w:t>
      </w:r>
      <w:r>
        <w:rPr>
          <w:rFonts w:cs="Segoe UI"/>
        </w:rPr>
        <w:t>nquiry</w:t>
      </w:r>
      <w:r w:rsidRPr="00FE1718">
        <w:rPr>
          <w:rFonts w:eastAsia="Segoe UI" w:cs="Segoe UI"/>
        </w:rPr>
        <w:t xml:space="preserve"> </w:t>
      </w:r>
      <w:r>
        <w:rPr>
          <w:rFonts w:cs="Segoe UI"/>
          <w:i/>
        </w:rPr>
        <w:fldChar w:fldCharType="begin" w:fldLock="1"/>
      </w:r>
      <w:r>
        <w:rPr>
          <w:rFonts w:cs="Segoe UI"/>
          <w:i/>
        </w:rPr>
        <w:fldChar w:fldCharType="separate"/>
      </w:r>
      <w:r w:rsidRPr="0019054D">
        <w:rPr>
          <w:rStyle w:val="Hyperlink"/>
          <w:rFonts w:cs="Segoe UI"/>
          <w:i/>
        </w:rPr>
        <w:t xml:space="preserve">New Frontier </w:t>
      </w:r>
      <w:r w:rsidRPr="00E91155">
        <w:rPr>
          <w:rStyle w:val="Hyperlink"/>
          <w:rFonts w:cs="Segoe UI"/>
          <w:i/>
          <w:iCs/>
        </w:rPr>
        <w:t>Report</w:t>
      </w:r>
      <w:r>
        <w:rPr>
          <w:rFonts w:cs="Segoe UI"/>
          <w:i/>
        </w:rPr>
        <w:fldChar w:fldCharType="end"/>
      </w:r>
      <w:r>
        <w:rPr>
          <w:rFonts w:cs="Segoe UI"/>
        </w:rPr>
        <w:t>noted</w:t>
      </w:r>
      <w:r w:rsidRPr="005B3DAA">
        <w:rPr>
          <w:rFonts w:cs="Segoe UI"/>
        </w:rPr>
        <w:t xml:space="preserve"> </w:t>
      </w:r>
      <w:r w:rsidR="0082492F">
        <w:rPr>
          <w:rFonts w:cs="Segoe UI"/>
        </w:rPr>
        <w:t xml:space="preserve">that </w:t>
      </w:r>
      <w:r w:rsidRPr="005B3DAA">
        <w:rPr>
          <w:rFonts w:cs="Segoe UI"/>
        </w:rPr>
        <w:t>the Department has commenced work towards identifying and scoping potential funding mechanisms and economic models to incentivise market availability of antimicrobial products in</w:t>
      </w:r>
      <w:r w:rsidR="0082492F">
        <w:rPr>
          <w:rFonts w:cs="Segoe UI"/>
        </w:rPr>
        <w:t> </w:t>
      </w:r>
      <w:r w:rsidRPr="005B3DAA">
        <w:rPr>
          <w:rFonts w:cs="Segoe UI"/>
        </w:rPr>
        <w:t>Australia</w:t>
      </w:r>
      <w:r>
        <w:rPr>
          <w:rFonts w:cs="Segoe UI"/>
        </w:rPr>
        <w:t>.</w:t>
      </w:r>
      <w:r w:rsidRPr="005B3DAA">
        <w:rPr>
          <w:rFonts w:cs="Segoe UI"/>
        </w:rPr>
        <w:t xml:space="preserve"> </w:t>
      </w:r>
    </w:p>
    <w:p w14:paraId="71F6854E" w14:textId="7750B934" w:rsidR="00AC58CE" w:rsidRPr="00EC4966" w:rsidRDefault="00AC58CE" w:rsidP="00F21679">
      <w:pPr>
        <w:rPr>
          <w:rStyle w:val="normaltextrun"/>
          <w:rFonts w:cs="Segoe UI"/>
        </w:rPr>
      </w:pPr>
      <w:r>
        <w:rPr>
          <w:rFonts w:cs="Segoe UI"/>
        </w:rPr>
        <w:t>In 2015</w:t>
      </w:r>
      <w:r w:rsidR="0082492F">
        <w:rPr>
          <w:rFonts w:cs="Segoe UI"/>
        </w:rPr>
        <w:t>,</w:t>
      </w:r>
      <w:r>
        <w:rPr>
          <w:rFonts w:cs="Segoe UI"/>
        </w:rPr>
        <w:t xml:space="preserve"> the </w:t>
      </w:r>
      <w:r w:rsidRPr="00400363">
        <w:rPr>
          <w:rFonts w:cs="Segoe UI"/>
        </w:rPr>
        <w:t xml:space="preserve">OECD </w:t>
      </w:r>
      <w:r>
        <w:rPr>
          <w:rFonts w:cs="Segoe UI"/>
        </w:rPr>
        <w:t xml:space="preserve">released a paper </w:t>
      </w:r>
      <w:r w:rsidR="0082492F">
        <w:rPr>
          <w:rFonts w:cs="Segoe UI"/>
        </w:rPr>
        <w:t xml:space="preserve">on </w:t>
      </w:r>
      <w:r>
        <w:rPr>
          <w:rFonts w:cs="Segoe UI"/>
        </w:rPr>
        <w:t xml:space="preserve">the rise in AMR in G7 nations and the </w:t>
      </w:r>
      <w:r w:rsidR="0082492F">
        <w:rPr>
          <w:rFonts w:cs="Segoe UI"/>
        </w:rPr>
        <w:t xml:space="preserve">associated </w:t>
      </w:r>
      <w:r w:rsidRPr="00091C3B">
        <w:rPr>
          <w:rFonts w:cs="Segoe UI"/>
        </w:rPr>
        <w:t>po</w:t>
      </w:r>
      <w:r>
        <w:rPr>
          <w:rFonts w:cs="Segoe UI"/>
        </w:rPr>
        <w:t xml:space="preserve">pulation </w:t>
      </w:r>
      <w:r w:rsidRPr="00091C3B">
        <w:rPr>
          <w:rFonts w:cs="Segoe UI"/>
        </w:rPr>
        <w:t>health, social and economic consequences.</w:t>
      </w:r>
      <w:r w:rsidRPr="00091C3B">
        <w:rPr>
          <w:rStyle w:val="FootnoteReference"/>
          <w:rFonts w:cs="Segoe UI"/>
        </w:rPr>
        <w:footnoteReference w:id="110"/>
      </w:r>
      <w:r w:rsidR="00453069">
        <w:rPr>
          <w:rFonts w:cs="Segoe UI"/>
        </w:rPr>
        <w:t xml:space="preserve"> </w:t>
      </w:r>
      <w:r>
        <w:rPr>
          <w:rFonts w:cs="Segoe UI"/>
        </w:rPr>
        <w:t>The paper</w:t>
      </w:r>
      <w:r w:rsidRPr="00091C3B">
        <w:rPr>
          <w:rFonts w:cs="Segoe UI"/>
        </w:rPr>
        <w:t xml:space="preserve"> express</w:t>
      </w:r>
      <w:r>
        <w:rPr>
          <w:rFonts w:cs="Segoe UI"/>
        </w:rPr>
        <w:t>ed</w:t>
      </w:r>
      <w:r w:rsidRPr="00091C3B">
        <w:rPr>
          <w:rFonts w:cs="Segoe UI"/>
        </w:rPr>
        <w:t xml:space="preserve"> concerns </w:t>
      </w:r>
      <w:r w:rsidR="0082492F">
        <w:rPr>
          <w:rFonts w:cs="Segoe UI"/>
        </w:rPr>
        <w:t>about</w:t>
      </w:r>
      <w:r w:rsidR="0082492F" w:rsidRPr="00091C3B">
        <w:rPr>
          <w:rFonts w:cs="Segoe UI"/>
        </w:rPr>
        <w:t xml:space="preserve"> </w:t>
      </w:r>
      <w:r>
        <w:rPr>
          <w:rFonts w:cs="Segoe UI"/>
        </w:rPr>
        <w:t xml:space="preserve">AMR as a global health challenge requiring </w:t>
      </w:r>
      <w:r w:rsidR="0082492F">
        <w:rPr>
          <w:rFonts w:cs="Segoe UI"/>
        </w:rPr>
        <w:t xml:space="preserve">a </w:t>
      </w:r>
      <w:r>
        <w:rPr>
          <w:rFonts w:cs="Segoe UI"/>
        </w:rPr>
        <w:t xml:space="preserve">global, coordinated effort to implement comprehensive action plans. The OECD recommended </w:t>
      </w:r>
      <w:r w:rsidR="0082492F">
        <w:rPr>
          <w:rFonts w:cs="Segoe UI"/>
        </w:rPr>
        <w:t>taking an</w:t>
      </w:r>
      <w:r>
        <w:rPr>
          <w:rFonts w:cs="Segoe UI"/>
        </w:rPr>
        <w:t xml:space="preserve"> </w:t>
      </w:r>
      <w:r w:rsidRPr="005C4565">
        <w:rPr>
          <w:rFonts w:cs="Segoe UI"/>
        </w:rPr>
        <w:t>international approach to foster innovation and lower barriers that hinder R&amp;D in the antimicrobial sector and to increase the productivity of research</w:t>
      </w:r>
      <w:r w:rsidRPr="005C4565" w:rsidDel="0082492F">
        <w:rPr>
          <w:rFonts w:cs="Segoe UI"/>
        </w:rPr>
        <w:t xml:space="preserve"> </w:t>
      </w:r>
      <w:r w:rsidRPr="005C4565">
        <w:rPr>
          <w:rFonts w:cs="Segoe UI"/>
        </w:rPr>
        <w:t>global</w:t>
      </w:r>
      <w:r w:rsidR="0082492F">
        <w:rPr>
          <w:rFonts w:cs="Segoe UI"/>
        </w:rPr>
        <w:t>ly</w:t>
      </w:r>
      <w:r w:rsidRPr="005C4565">
        <w:rPr>
          <w:rFonts w:cs="Segoe UI"/>
        </w:rPr>
        <w:t xml:space="preserve">. The paper recommended </w:t>
      </w:r>
      <w:r w:rsidR="0082492F">
        <w:rPr>
          <w:rFonts w:cs="Segoe UI"/>
        </w:rPr>
        <w:t xml:space="preserve">that </w:t>
      </w:r>
      <w:r w:rsidRPr="005C4565">
        <w:rPr>
          <w:rFonts w:cs="Segoe UI"/>
        </w:rPr>
        <w:t xml:space="preserve">this approach </w:t>
      </w:r>
      <w:r w:rsidRPr="00EC4966">
        <w:rPr>
          <w:rStyle w:val="normaltextrun"/>
          <w:rFonts w:cs="Segoe UI"/>
        </w:rPr>
        <w:t xml:space="preserve">combine upstream and downstream economic </w:t>
      </w:r>
      <w:r w:rsidRPr="00EC4966">
        <w:rPr>
          <w:rStyle w:val="normaltextrun"/>
          <w:rFonts w:cs="Segoe UI"/>
        </w:rPr>
        <w:lastRenderedPageBreak/>
        <w:t>incentives</w:t>
      </w:r>
      <w:r>
        <w:rPr>
          <w:rStyle w:val="normaltextrun"/>
          <w:rFonts w:cs="Segoe UI"/>
        </w:rPr>
        <w:t xml:space="preserve"> </w:t>
      </w:r>
      <w:r w:rsidRPr="00EC4966">
        <w:rPr>
          <w:rStyle w:val="normaltextrun"/>
          <w:rFonts w:cs="Segoe UI"/>
        </w:rPr>
        <w:t xml:space="preserve">to delink development incentives from </w:t>
      </w:r>
      <w:proofErr w:type="gramStart"/>
      <w:r w:rsidRPr="00EC4966">
        <w:rPr>
          <w:rStyle w:val="normaltextrun"/>
          <w:rFonts w:cs="Segoe UI"/>
        </w:rPr>
        <w:t>sales, and</w:t>
      </w:r>
      <w:proofErr w:type="gramEnd"/>
      <w:r w:rsidRPr="00EC4966">
        <w:rPr>
          <w:rStyle w:val="normaltextrun"/>
          <w:rFonts w:cs="Segoe UI"/>
        </w:rPr>
        <w:t xml:space="preserve"> encourage the participation of small to medium</w:t>
      </w:r>
      <w:r w:rsidR="00492F26">
        <w:rPr>
          <w:rStyle w:val="normaltextrun"/>
          <w:rFonts w:cs="Segoe UI"/>
        </w:rPr>
        <w:t>-sized</w:t>
      </w:r>
      <w:r w:rsidRPr="00EC4966">
        <w:rPr>
          <w:rStyle w:val="normaltextrun"/>
          <w:rFonts w:cs="Segoe UI"/>
        </w:rPr>
        <w:t xml:space="preserve"> enterprises in R&amp;D efforts.</w:t>
      </w:r>
    </w:p>
    <w:p w14:paraId="1964E91D" w14:textId="3E714A46" w:rsidR="00AC58CE" w:rsidRDefault="0082492F" w:rsidP="00F21679">
      <w:pPr>
        <w:rPr>
          <w:rFonts w:cs="Segoe UI"/>
        </w:rPr>
      </w:pPr>
      <w:r>
        <w:rPr>
          <w:rFonts w:cs="Segoe UI"/>
        </w:rPr>
        <w:t>T</w:t>
      </w:r>
      <w:r w:rsidR="00AC58CE" w:rsidRPr="00091C3B">
        <w:rPr>
          <w:rFonts w:cs="Segoe UI"/>
        </w:rPr>
        <w:t>he availability of antimicrobial health technologies in the Australian market</w:t>
      </w:r>
      <w:r>
        <w:rPr>
          <w:rFonts w:cs="Segoe UI"/>
        </w:rPr>
        <w:t xml:space="preserve"> was relevant to the Review</w:t>
      </w:r>
      <w:r w:rsidR="00AC58CE">
        <w:rPr>
          <w:rFonts w:cs="Segoe UI"/>
        </w:rPr>
        <w:t xml:space="preserve">. </w:t>
      </w:r>
      <w:r>
        <w:rPr>
          <w:rFonts w:cs="Segoe UI"/>
        </w:rPr>
        <w:t>It</w:t>
      </w:r>
      <w:r w:rsidR="00AC58CE" w:rsidRPr="004028F6">
        <w:rPr>
          <w:rFonts w:cs="Segoe UI"/>
        </w:rPr>
        <w:t xml:space="preserve"> found opportunities across HTA processes and policies </w:t>
      </w:r>
      <w:r>
        <w:rPr>
          <w:rFonts w:cs="Segoe UI"/>
        </w:rPr>
        <w:t>that</w:t>
      </w:r>
      <w:r w:rsidR="00AC58CE" w:rsidRPr="004028F6">
        <w:rPr>
          <w:rFonts w:cs="Segoe UI"/>
        </w:rPr>
        <w:t xml:space="preserve"> could be change</w:t>
      </w:r>
      <w:r>
        <w:rPr>
          <w:rFonts w:cs="Segoe UI"/>
        </w:rPr>
        <w:t>d</w:t>
      </w:r>
      <w:r w:rsidR="00AC58CE" w:rsidRPr="004028F6">
        <w:rPr>
          <w:rFonts w:cs="Segoe UI"/>
        </w:rPr>
        <w:t xml:space="preserve"> to support greater investment and remove barriers in the evaluation of such health technologies for market authorisation and public subsidy.</w:t>
      </w:r>
      <w:r w:rsidR="00AC58CE" w:rsidRPr="00091C3B">
        <w:rPr>
          <w:rFonts w:cs="Segoe UI"/>
        </w:rPr>
        <w:t xml:space="preserve"> </w:t>
      </w:r>
    </w:p>
    <w:p w14:paraId="4F4FC70A" w14:textId="3D1B0E11" w:rsidR="00AC58CE" w:rsidRPr="00D80266" w:rsidRDefault="00AC58CE" w:rsidP="00F21679">
      <w:pPr>
        <w:pStyle w:val="paragraph"/>
        <w:spacing w:before="0" w:beforeAutospacing="0" w:after="160" w:afterAutospacing="0" w:line="259" w:lineRule="auto"/>
        <w:textAlignment w:val="baseline"/>
      </w:pPr>
      <w:r>
        <w:rPr>
          <w:rStyle w:val="normaltextrun"/>
          <w:rFonts w:ascii="Segoe UI" w:hAnsi="Segoe UI" w:cs="Segoe UI"/>
        </w:rPr>
        <w:t>R</w:t>
      </w:r>
      <w:r w:rsidRPr="006849A9">
        <w:rPr>
          <w:rStyle w:val="normaltextrun"/>
          <w:rFonts w:ascii="Segoe UI" w:hAnsi="Segoe UI" w:cs="Segoe UI"/>
        </w:rPr>
        <w:t>ecent academic papers have also argued for revisions to HTA guidance documents to emphasise the consideration of community externalities associated with antimicrobial agents and other infectious diseases</w:t>
      </w:r>
      <w:r w:rsidR="0082492F">
        <w:rPr>
          <w:rStyle w:val="normaltextrun"/>
          <w:rFonts w:ascii="Segoe UI" w:hAnsi="Segoe UI" w:cs="Segoe UI"/>
        </w:rPr>
        <w:t>. These</w:t>
      </w:r>
      <w:r w:rsidRPr="006849A9">
        <w:rPr>
          <w:rStyle w:val="normaltextrun"/>
          <w:rFonts w:ascii="Segoe UI" w:hAnsi="Segoe UI" w:cs="Segoe UI"/>
        </w:rPr>
        <w:t xml:space="preserve"> includ</w:t>
      </w:r>
      <w:r w:rsidR="0082492F">
        <w:rPr>
          <w:rStyle w:val="normaltextrun"/>
          <w:rFonts w:ascii="Segoe UI" w:hAnsi="Segoe UI" w:cs="Segoe UI"/>
        </w:rPr>
        <w:t>e</w:t>
      </w:r>
      <w:r>
        <w:rPr>
          <w:rStyle w:val="normaltextrun"/>
          <w:rFonts w:ascii="Segoe UI" w:hAnsi="Segoe UI" w:cs="Segoe UI"/>
        </w:rPr>
        <w:t xml:space="preserve"> </w:t>
      </w:r>
      <w:r w:rsidRPr="006849A9">
        <w:rPr>
          <w:rStyle w:val="normaltextrun"/>
          <w:rFonts w:ascii="Segoe UI" w:hAnsi="Segoe UI" w:cs="Segoe UI"/>
        </w:rPr>
        <w:t>accounting for reduced transmission rates</w:t>
      </w:r>
      <w:r>
        <w:rPr>
          <w:rStyle w:val="eop"/>
          <w:rFonts w:ascii="Segoe UI" w:hAnsi="Segoe UI" w:cs="Segoe UI"/>
        </w:rPr>
        <w:t xml:space="preserve">, the </w:t>
      </w:r>
      <w:r w:rsidRPr="006849A9">
        <w:rPr>
          <w:rStyle w:val="normaltextrun"/>
          <w:rFonts w:ascii="Segoe UI" w:hAnsi="Segoe UI" w:cs="Segoe UI"/>
        </w:rPr>
        <w:t>costs of treating resistant cases</w:t>
      </w:r>
      <w:r>
        <w:rPr>
          <w:rStyle w:val="eop"/>
          <w:rFonts w:ascii="Segoe UI" w:hAnsi="Segoe UI" w:cs="Segoe UI"/>
        </w:rPr>
        <w:t xml:space="preserve">, the </w:t>
      </w:r>
      <w:bookmarkStart w:id="347" w:name="_Hlk167531479"/>
      <w:r w:rsidRPr="008F52B7">
        <w:rPr>
          <w:rStyle w:val="normaltextrun"/>
          <w:rFonts w:ascii="Segoe UI" w:hAnsi="Segoe UI" w:cs="Segoe UI"/>
        </w:rPr>
        <w:t>QALY</w:t>
      </w:r>
      <w:bookmarkEnd w:id="347"/>
      <w:r w:rsidRPr="008F52B7" w:rsidDel="008F52B7">
        <w:rPr>
          <w:rStyle w:val="normaltextrun"/>
          <w:rFonts w:ascii="Segoe UI" w:hAnsi="Segoe UI" w:cs="Segoe UI"/>
        </w:rPr>
        <w:t xml:space="preserve"> </w:t>
      </w:r>
      <w:r w:rsidRPr="006849A9">
        <w:rPr>
          <w:rStyle w:val="normaltextrun"/>
          <w:rFonts w:ascii="Segoe UI" w:hAnsi="Segoe UI" w:cs="Segoe UI"/>
        </w:rPr>
        <w:t>gain</w:t>
      </w:r>
      <w:r w:rsidR="005A610A">
        <w:rPr>
          <w:rStyle w:val="normaltextrun"/>
          <w:rFonts w:ascii="Segoe UI" w:hAnsi="Segoe UI" w:cs="Segoe UI"/>
        </w:rPr>
        <w:t>s</w:t>
      </w:r>
      <w:r w:rsidRPr="006849A9">
        <w:rPr>
          <w:rStyle w:val="normaltextrun"/>
          <w:rFonts w:ascii="Segoe UI" w:hAnsi="Segoe UI" w:cs="Segoe UI"/>
        </w:rPr>
        <w:t xml:space="preserve"> from avoiding infection, and</w:t>
      </w:r>
      <w:r>
        <w:t xml:space="preserve"> </w:t>
      </w:r>
      <w:r w:rsidRPr="006849A9">
        <w:rPr>
          <w:rStyle w:val="normaltextrun"/>
          <w:rFonts w:ascii="Segoe UI" w:hAnsi="Segoe UI" w:cs="Segoe UI"/>
        </w:rPr>
        <w:t>performing sensitivity analys</w:t>
      </w:r>
      <w:r w:rsidR="00990A01">
        <w:rPr>
          <w:rStyle w:val="normaltextrun"/>
          <w:rFonts w:ascii="Segoe UI" w:hAnsi="Segoe UI" w:cs="Segoe UI"/>
        </w:rPr>
        <w:t>i</w:t>
      </w:r>
      <w:r w:rsidRPr="006849A9">
        <w:rPr>
          <w:rStyle w:val="normaltextrun"/>
          <w:rFonts w:ascii="Segoe UI" w:hAnsi="Segoe UI" w:cs="Segoe UI"/>
        </w:rPr>
        <w:t>s on different levels of resistance.</w:t>
      </w:r>
      <w:r w:rsidRPr="006849A9">
        <w:rPr>
          <w:rStyle w:val="eop"/>
          <w:rFonts w:ascii="Segoe UI" w:hAnsi="Segoe UI" w:cs="Segoe UI"/>
        </w:rPr>
        <w:t> </w:t>
      </w:r>
    </w:p>
    <w:p w14:paraId="4293ABBD" w14:textId="438F4EC1" w:rsidR="00AC58CE" w:rsidRPr="0019054D" w:rsidRDefault="007175D7" w:rsidP="00A318F7">
      <w:pPr>
        <w:pStyle w:val="Heading3"/>
        <w:rPr>
          <w:color w:val="005A68" w:themeColor="accent6" w:themeShade="80"/>
        </w:rPr>
      </w:pPr>
      <w:r>
        <w:t>Findings</w:t>
      </w:r>
    </w:p>
    <w:p w14:paraId="36305B16" w14:textId="6EDDF3CD" w:rsidR="00AC58CE" w:rsidRPr="002774F2" w:rsidRDefault="00AC58CE" w:rsidP="00F21679">
      <w:r w:rsidRPr="002774F2">
        <w:t xml:space="preserve">Stakeholders considered that </w:t>
      </w:r>
      <w:r w:rsidR="006A5A29">
        <w:t xml:space="preserve">providing </w:t>
      </w:r>
      <w:r w:rsidRPr="002774F2">
        <w:t xml:space="preserve">HTA fee exemptions for health technologies </w:t>
      </w:r>
      <w:r w:rsidR="006A5A29">
        <w:t>for</w:t>
      </w:r>
      <w:r w:rsidRPr="002774F2">
        <w:t xml:space="preserve"> AMR could help address </w:t>
      </w:r>
      <w:r w:rsidR="006A5A29">
        <w:t xml:space="preserve">the </w:t>
      </w:r>
      <w:r w:rsidRPr="002774F2">
        <w:t xml:space="preserve">market failure </w:t>
      </w:r>
      <w:r w:rsidR="006A5A29">
        <w:t xml:space="preserve">in </w:t>
      </w:r>
      <w:r w:rsidRPr="002774F2">
        <w:t xml:space="preserve">antimicrobials if implemented as part of </w:t>
      </w:r>
      <w:r w:rsidR="00554C2B">
        <w:t xml:space="preserve">a </w:t>
      </w:r>
      <w:r w:rsidRPr="002774F2">
        <w:t xml:space="preserve">package of reforms to improve the market viability of antimicrobials. Stakeholders supported establishing alternative funding arrangements to incentivise the development of new antimicrobials and bringing these to market in Australia. Industry stakeholders </w:t>
      </w:r>
      <w:r w:rsidR="00554C2B">
        <w:t xml:space="preserve">said </w:t>
      </w:r>
      <w:r w:rsidRPr="002774F2">
        <w:t>alternative funding arrangements should</w:t>
      </w:r>
      <w:r w:rsidR="00492F26">
        <w:t xml:space="preserve"> be</w:t>
      </w:r>
      <w:r w:rsidRPr="002774F2">
        <w:t xml:space="preserve"> </w:t>
      </w:r>
      <w:r w:rsidR="00554C2B">
        <w:t>implemented</w:t>
      </w:r>
      <w:r w:rsidR="00554C2B" w:rsidRPr="002774F2">
        <w:t xml:space="preserve"> </w:t>
      </w:r>
      <w:r w:rsidRPr="002774F2">
        <w:t>with urgency and that further deliberation could delay access to novel antimicrobials</w:t>
      </w:r>
      <w:r w:rsidR="00554C2B">
        <w:t>. It</w:t>
      </w:r>
      <w:r w:rsidRPr="002774F2">
        <w:t xml:space="preserve"> was </w:t>
      </w:r>
      <w:r w:rsidR="00554C2B">
        <w:t xml:space="preserve">also </w:t>
      </w:r>
      <w:r w:rsidRPr="002774F2">
        <w:t xml:space="preserve">unnecessary given the available information on this matter. </w:t>
      </w:r>
    </w:p>
    <w:p w14:paraId="77335DA1" w14:textId="53DEFFAD" w:rsidR="00AC58CE" w:rsidRDefault="00AC58CE" w:rsidP="00F21679">
      <w:pPr>
        <w:rPr>
          <w:rFonts w:eastAsia="Calibri"/>
        </w:rPr>
      </w:pPr>
      <w:r w:rsidRPr="0037626B">
        <w:rPr>
          <w:rFonts w:eastAsia="Calibri"/>
        </w:rPr>
        <w:t>The</w:t>
      </w:r>
      <w:r w:rsidR="00253BA2">
        <w:rPr>
          <w:rFonts w:eastAsia="Calibri"/>
        </w:rPr>
        <w:t>re</w:t>
      </w:r>
      <w:r>
        <w:rPr>
          <w:rFonts w:eastAsia="Calibri"/>
        </w:rPr>
        <w:t xml:space="preserve"> are</w:t>
      </w:r>
      <w:r w:rsidRPr="00383A35">
        <w:rPr>
          <w:rFonts w:eastAsia="Calibri"/>
        </w:rPr>
        <w:t xml:space="preserve"> issues in Australia and globally regarding the limited commercial incentives to develop certain types of products, such as new antimicrobials. This is contributing to </w:t>
      </w:r>
      <w:r>
        <w:rPr>
          <w:rFonts w:eastAsia="Calibri"/>
        </w:rPr>
        <w:t>a decreasing toolkit</w:t>
      </w:r>
      <w:r w:rsidR="00554C2B">
        <w:rPr>
          <w:rFonts w:eastAsia="Calibri"/>
        </w:rPr>
        <w:t xml:space="preserve"> globally</w:t>
      </w:r>
      <w:r>
        <w:rPr>
          <w:rFonts w:eastAsia="Calibri"/>
        </w:rPr>
        <w:t xml:space="preserve"> to address </w:t>
      </w:r>
      <w:r w:rsidRPr="00383A35">
        <w:rPr>
          <w:rFonts w:eastAsia="Calibri"/>
        </w:rPr>
        <w:t xml:space="preserve">AMR. </w:t>
      </w:r>
      <w:r w:rsidR="00D31DD7">
        <w:rPr>
          <w:rFonts w:eastAsia="Calibri"/>
        </w:rPr>
        <w:t>It</w:t>
      </w:r>
      <w:r w:rsidRPr="00383A35">
        <w:rPr>
          <w:rFonts w:eastAsia="Calibri"/>
        </w:rPr>
        <w:t xml:space="preserve"> is an exceptionally complex multifaceted issue, clinically and economically, and require</w:t>
      </w:r>
      <w:r>
        <w:rPr>
          <w:rFonts w:eastAsia="Calibri"/>
        </w:rPr>
        <w:t>s</w:t>
      </w:r>
      <w:r w:rsidRPr="00383A35">
        <w:rPr>
          <w:rFonts w:eastAsia="Calibri"/>
        </w:rPr>
        <w:t xml:space="preserve"> a multifaceted approach to </w:t>
      </w:r>
      <w:r>
        <w:rPr>
          <w:rFonts w:eastAsia="Calibri"/>
        </w:rPr>
        <w:t>incentivise the development and marketing of AMR technologies in Australia and globally.</w:t>
      </w:r>
    </w:p>
    <w:p w14:paraId="089BDF5B" w14:textId="2D036199" w:rsidR="00AC58CE" w:rsidRDefault="00AC58CE" w:rsidP="00F21679">
      <w:pPr>
        <w:rPr>
          <w:rFonts w:eastAsia="Calibri"/>
        </w:rPr>
      </w:pPr>
      <w:r>
        <w:rPr>
          <w:rFonts w:eastAsia="Calibri"/>
        </w:rPr>
        <w:t xml:space="preserve">Stakeholder submissions raised concerns </w:t>
      </w:r>
      <w:r w:rsidR="00554C2B">
        <w:rPr>
          <w:rFonts w:eastAsia="Calibri"/>
        </w:rPr>
        <w:t>about</w:t>
      </w:r>
      <w:r>
        <w:rPr>
          <w:rFonts w:eastAsia="Calibri"/>
        </w:rPr>
        <w:t xml:space="preserve"> the</w:t>
      </w:r>
      <w:r w:rsidRPr="00552DB9">
        <w:rPr>
          <w:rFonts w:eastAsia="Calibri"/>
        </w:rPr>
        <w:t xml:space="preserve"> significant lack of incentive</w:t>
      </w:r>
      <w:r w:rsidR="00554C2B">
        <w:rPr>
          <w:rFonts w:eastAsia="Calibri"/>
        </w:rPr>
        <w:t>s</w:t>
      </w:r>
      <w:r w:rsidRPr="00552DB9">
        <w:rPr>
          <w:rFonts w:eastAsia="Calibri"/>
        </w:rPr>
        <w:t xml:space="preserve"> for</w:t>
      </w:r>
      <w:r w:rsidR="00492F26">
        <w:rPr>
          <w:rFonts w:eastAsia="Calibri"/>
        </w:rPr>
        <w:t xml:space="preserve"> </w:t>
      </w:r>
      <w:r w:rsidRPr="00552DB9">
        <w:rPr>
          <w:rFonts w:eastAsia="Calibri"/>
        </w:rPr>
        <w:t>develop</w:t>
      </w:r>
      <w:r w:rsidR="00554C2B">
        <w:rPr>
          <w:rFonts w:eastAsia="Calibri"/>
        </w:rPr>
        <w:t>ing</w:t>
      </w:r>
      <w:r w:rsidRPr="00552DB9">
        <w:rPr>
          <w:rFonts w:eastAsia="Calibri"/>
        </w:rPr>
        <w:t xml:space="preserve"> products that address AMR</w:t>
      </w:r>
      <w:r w:rsidR="00554C2B">
        <w:rPr>
          <w:rFonts w:eastAsia="Calibri"/>
        </w:rPr>
        <w:t>.</w:t>
      </w:r>
      <w:r>
        <w:rPr>
          <w:rStyle w:val="FootnoteReference"/>
          <w:rFonts w:eastAsia="Calibri"/>
        </w:rPr>
        <w:footnoteReference w:id="111"/>
      </w:r>
      <w:r w:rsidRPr="00552DB9">
        <w:rPr>
          <w:rFonts w:eastAsia="Calibri"/>
        </w:rPr>
        <w:t xml:space="preserve"> </w:t>
      </w:r>
      <w:r w:rsidR="006E02BF">
        <w:rPr>
          <w:rFonts w:eastAsia="Calibri"/>
        </w:rPr>
        <w:t>Ac</w:t>
      </w:r>
      <w:r w:rsidRPr="004028F6">
        <w:rPr>
          <w:rFonts w:eastAsia="Calibri"/>
        </w:rPr>
        <w:t xml:space="preserve">tion </w:t>
      </w:r>
      <w:r w:rsidR="006E02BF">
        <w:rPr>
          <w:rFonts w:eastAsia="Calibri"/>
        </w:rPr>
        <w:t>i</w:t>
      </w:r>
      <w:r w:rsidRPr="004028F6">
        <w:rPr>
          <w:rFonts w:eastAsia="Calibri"/>
        </w:rPr>
        <w:t>s required to reduce disincentives for organisations seeking funding for antimicrobials</w:t>
      </w:r>
      <w:r w:rsidRPr="007F113B">
        <w:rPr>
          <w:rFonts w:eastAsia="Calibri"/>
        </w:rPr>
        <w:t>.</w:t>
      </w:r>
      <w:r>
        <w:rPr>
          <w:rFonts w:eastAsia="Calibri"/>
        </w:rPr>
        <w:t xml:space="preserve"> </w:t>
      </w:r>
      <w:r w:rsidR="00554C2B">
        <w:rPr>
          <w:rFonts w:eastAsia="Calibri"/>
        </w:rPr>
        <w:t xml:space="preserve">The </w:t>
      </w:r>
      <w:r>
        <w:rPr>
          <w:rFonts w:eastAsia="Calibri"/>
        </w:rPr>
        <w:t xml:space="preserve">Government </w:t>
      </w:r>
      <w:r w:rsidR="00554C2B">
        <w:rPr>
          <w:rFonts w:eastAsia="Calibri"/>
        </w:rPr>
        <w:t>should also</w:t>
      </w:r>
      <w:r>
        <w:rPr>
          <w:rFonts w:eastAsia="Calibri"/>
        </w:rPr>
        <w:t xml:space="preserve"> </w:t>
      </w:r>
      <w:r w:rsidRPr="00552DB9">
        <w:rPr>
          <w:rFonts w:eastAsia="Calibri"/>
        </w:rPr>
        <w:t xml:space="preserve">investigate what changes could be made </w:t>
      </w:r>
      <w:r>
        <w:rPr>
          <w:rFonts w:eastAsia="Calibri"/>
        </w:rPr>
        <w:t>across the</w:t>
      </w:r>
      <w:r w:rsidRPr="00552DB9">
        <w:rPr>
          <w:rFonts w:eastAsia="Calibri"/>
        </w:rPr>
        <w:t xml:space="preserve"> HTA </w:t>
      </w:r>
      <w:r>
        <w:rPr>
          <w:rFonts w:eastAsia="Calibri"/>
        </w:rPr>
        <w:t>continuum</w:t>
      </w:r>
      <w:r w:rsidR="00554C2B">
        <w:rPr>
          <w:rFonts w:eastAsia="Calibri"/>
        </w:rPr>
        <w:t>, including to</w:t>
      </w:r>
      <w:r w:rsidDel="00554C2B">
        <w:rPr>
          <w:rFonts w:eastAsia="Calibri"/>
        </w:rPr>
        <w:t xml:space="preserve"> </w:t>
      </w:r>
      <w:r w:rsidRPr="00552DB9">
        <w:rPr>
          <w:rFonts w:eastAsia="Calibri"/>
        </w:rPr>
        <w:t xml:space="preserve">funding arrangements to incentivise </w:t>
      </w:r>
      <w:r w:rsidR="00C44592">
        <w:rPr>
          <w:rFonts w:eastAsia="Calibri"/>
        </w:rPr>
        <w:t xml:space="preserve">the </w:t>
      </w:r>
      <w:r>
        <w:rPr>
          <w:rFonts w:eastAsia="Calibri"/>
        </w:rPr>
        <w:t>development of new antimicrobials.</w:t>
      </w:r>
      <w:r w:rsidRPr="00552DB9">
        <w:rPr>
          <w:rFonts w:eastAsia="Calibri"/>
        </w:rPr>
        <w:t xml:space="preserve"> </w:t>
      </w:r>
    </w:p>
    <w:p w14:paraId="5ED44EE5" w14:textId="7724CBDE" w:rsidR="00AC58CE" w:rsidRPr="005B3DAA" w:rsidRDefault="00D31DD7" w:rsidP="00F21679">
      <w:pPr>
        <w:rPr>
          <w:rFonts w:cs="Segoe UI"/>
        </w:rPr>
      </w:pPr>
      <w:r>
        <w:rPr>
          <w:rFonts w:cs="Segoe UI"/>
        </w:rPr>
        <w:t>A</w:t>
      </w:r>
      <w:r w:rsidR="00AC58CE" w:rsidRPr="2DCE8EF3">
        <w:rPr>
          <w:rFonts w:cs="Segoe UI"/>
        </w:rPr>
        <w:t>lternative approaches to HTA</w:t>
      </w:r>
      <w:r w:rsidR="00815930">
        <w:rPr>
          <w:rFonts w:cs="Segoe UI"/>
        </w:rPr>
        <w:t>s</w:t>
      </w:r>
      <w:r w:rsidR="00AC58CE" w:rsidRPr="2DCE8EF3">
        <w:rPr>
          <w:rFonts w:cs="Segoe UI"/>
        </w:rPr>
        <w:t xml:space="preserve"> for antimicrobial health technologies </w:t>
      </w:r>
      <w:r>
        <w:rPr>
          <w:rFonts w:cs="Segoe UI"/>
        </w:rPr>
        <w:t xml:space="preserve">are being developed and tested </w:t>
      </w:r>
      <w:r w:rsidR="00AC58CE" w:rsidRPr="2DCE8EF3">
        <w:rPr>
          <w:rFonts w:cs="Segoe UI"/>
        </w:rPr>
        <w:t>in overseas jurisdictions. This included modif</w:t>
      </w:r>
      <w:r w:rsidR="00815930">
        <w:rPr>
          <w:rFonts w:cs="Segoe UI"/>
        </w:rPr>
        <w:t>ying</w:t>
      </w:r>
      <w:r w:rsidR="00AC58CE" w:rsidRPr="2DCE8EF3">
        <w:rPr>
          <w:rFonts w:cs="Segoe UI"/>
        </w:rPr>
        <w:t xml:space="preserve"> </w:t>
      </w:r>
      <w:r w:rsidR="00815930">
        <w:rPr>
          <w:rFonts w:cs="Segoe UI"/>
        </w:rPr>
        <w:t xml:space="preserve">definitions in </w:t>
      </w:r>
      <w:r w:rsidR="00AE3491">
        <w:rPr>
          <w:rFonts w:cs="Segoe UI"/>
        </w:rPr>
        <w:t xml:space="preserve">the </w:t>
      </w:r>
      <w:r w:rsidR="00186DAC" w:rsidRPr="00186DAC">
        <w:rPr>
          <w:rFonts w:cs="Segoe UI"/>
        </w:rPr>
        <w:t xml:space="preserve">Population, Intervention, Comparator, and Outcome </w:t>
      </w:r>
      <w:r w:rsidR="00186DAC">
        <w:rPr>
          <w:rFonts w:cs="Segoe UI"/>
        </w:rPr>
        <w:t>(</w:t>
      </w:r>
      <w:r w:rsidR="00AC58CE" w:rsidRPr="2DCE8EF3">
        <w:rPr>
          <w:rFonts w:cs="Segoe UI"/>
        </w:rPr>
        <w:t>PICO</w:t>
      </w:r>
      <w:r w:rsidR="00186DAC">
        <w:rPr>
          <w:rFonts w:cs="Segoe UI"/>
        </w:rPr>
        <w:t>)</w:t>
      </w:r>
      <w:r w:rsidR="00AC58CE" w:rsidRPr="2DCE8EF3">
        <w:rPr>
          <w:rFonts w:cs="Segoe UI"/>
        </w:rPr>
        <w:t xml:space="preserve"> criteria, </w:t>
      </w:r>
      <w:r w:rsidR="00815930" w:rsidRPr="2DCE8EF3">
        <w:rPr>
          <w:rFonts w:cs="Segoe UI"/>
        </w:rPr>
        <w:t>approach</w:t>
      </w:r>
      <w:r w:rsidR="00815930">
        <w:rPr>
          <w:rFonts w:cs="Segoe UI"/>
        </w:rPr>
        <w:t>es to evaluating</w:t>
      </w:r>
      <w:r w:rsidR="00815930" w:rsidRPr="2DCE8EF3">
        <w:rPr>
          <w:rFonts w:cs="Segoe UI"/>
        </w:rPr>
        <w:t xml:space="preserve"> </w:t>
      </w:r>
      <w:r w:rsidR="00AC58CE" w:rsidRPr="2DCE8EF3">
        <w:rPr>
          <w:rFonts w:cs="Segoe UI"/>
        </w:rPr>
        <w:t>evidence</w:t>
      </w:r>
      <w:r w:rsidR="00815930">
        <w:rPr>
          <w:rFonts w:cs="Segoe UI"/>
        </w:rPr>
        <w:t>,</w:t>
      </w:r>
      <w:r w:rsidR="00AC58CE" w:rsidRPr="2DCE8EF3" w:rsidDel="00815930">
        <w:rPr>
          <w:rFonts w:cs="Segoe UI"/>
        </w:rPr>
        <w:t xml:space="preserve"> </w:t>
      </w:r>
      <w:r w:rsidR="00AC58CE" w:rsidRPr="2DCE8EF3">
        <w:rPr>
          <w:rFonts w:cs="Segoe UI"/>
        </w:rPr>
        <w:t>and dimensions of value</w:t>
      </w:r>
      <w:r w:rsidR="00815930">
        <w:rPr>
          <w:rFonts w:cs="Segoe UI"/>
        </w:rPr>
        <w:t xml:space="preserve"> that are</w:t>
      </w:r>
      <w:r w:rsidR="00AC58CE" w:rsidRPr="2DCE8EF3">
        <w:rPr>
          <w:rFonts w:cs="Segoe UI"/>
        </w:rPr>
        <w:t xml:space="preserve"> considered when evaluating these health technologies. Of </w:t>
      </w:r>
      <w:proofErr w:type="gramStart"/>
      <w:r w:rsidR="00AC58CE" w:rsidRPr="2DCE8EF3">
        <w:rPr>
          <w:rFonts w:cs="Segoe UI"/>
        </w:rPr>
        <w:t>particular note</w:t>
      </w:r>
      <w:proofErr w:type="gramEnd"/>
      <w:r w:rsidR="00815930">
        <w:rPr>
          <w:rFonts w:cs="Segoe UI"/>
        </w:rPr>
        <w:t>,</w:t>
      </w:r>
      <w:r w:rsidR="00AC58CE" w:rsidRPr="2DCE8EF3" w:rsidDel="00815930">
        <w:rPr>
          <w:rFonts w:cs="Segoe UI"/>
        </w:rPr>
        <w:t xml:space="preserve"> </w:t>
      </w:r>
      <w:r w:rsidR="00AC58CE" w:rsidRPr="2DCE8EF3">
        <w:rPr>
          <w:rFonts w:cs="Segoe UI"/>
        </w:rPr>
        <w:t xml:space="preserve">researchers, health policy agencies and </w:t>
      </w:r>
      <w:r w:rsidR="00AC58CE" w:rsidRPr="2DCE8EF3">
        <w:rPr>
          <w:rFonts w:cs="Segoe UI"/>
        </w:rPr>
        <w:lastRenderedPageBreak/>
        <w:t xml:space="preserve">HTA agencies </w:t>
      </w:r>
      <w:r w:rsidR="00815930">
        <w:rPr>
          <w:rFonts w:cs="Segoe UI"/>
        </w:rPr>
        <w:t xml:space="preserve">are trending </w:t>
      </w:r>
      <w:r w:rsidR="00AC58CE" w:rsidRPr="2DCE8EF3">
        <w:rPr>
          <w:rFonts w:cs="Segoe UI"/>
        </w:rPr>
        <w:t xml:space="preserve">towards acknowledging the broader </w:t>
      </w:r>
      <w:r w:rsidR="00815930">
        <w:rPr>
          <w:rFonts w:cs="Segoe UI"/>
        </w:rPr>
        <w:t xml:space="preserve">implications for </w:t>
      </w:r>
      <w:r w:rsidR="00AC58CE" w:rsidRPr="2DCE8EF3">
        <w:rPr>
          <w:rFonts w:cs="Segoe UI"/>
        </w:rPr>
        <w:t>indirect</w:t>
      </w:r>
      <w:r w:rsidR="00815930">
        <w:rPr>
          <w:rFonts w:cs="Segoe UI"/>
        </w:rPr>
        <w:t>ly protecting</w:t>
      </w:r>
      <w:r w:rsidR="00AC58CE" w:rsidRPr="2DCE8EF3">
        <w:rPr>
          <w:rFonts w:cs="Segoe UI"/>
        </w:rPr>
        <w:t xml:space="preserve"> population health</w:t>
      </w:r>
      <w:r w:rsidR="00AC58CE" w:rsidRPr="2DCE8EF3" w:rsidDel="00815930">
        <w:rPr>
          <w:rFonts w:cs="Segoe UI"/>
        </w:rPr>
        <w:t xml:space="preserve"> </w:t>
      </w:r>
      <w:r w:rsidR="005C33F4">
        <w:rPr>
          <w:rFonts w:cs="Segoe UI"/>
        </w:rPr>
        <w:t xml:space="preserve">through </w:t>
      </w:r>
      <w:r w:rsidR="00492F26">
        <w:rPr>
          <w:rFonts w:cs="Segoe UI"/>
        </w:rPr>
        <w:t xml:space="preserve">the </w:t>
      </w:r>
      <w:r w:rsidR="00AC58CE" w:rsidRPr="2DCE8EF3">
        <w:rPr>
          <w:rFonts w:cs="Segoe UI"/>
        </w:rPr>
        <w:t xml:space="preserve">proper use of antimicrobial health technologies. In addition, it is important to consider the positive longer-term health system effects associated with the availability of a broader suite of narrow-spectrum antimicrobial health technologies, rather than over-reliance on broad-spectrum products </w:t>
      </w:r>
      <w:r w:rsidR="00815930">
        <w:rPr>
          <w:rFonts w:cs="Segoe UI"/>
        </w:rPr>
        <w:t>that</w:t>
      </w:r>
      <w:r w:rsidR="00815930" w:rsidRPr="2DCE8EF3">
        <w:rPr>
          <w:rFonts w:cs="Segoe UI"/>
        </w:rPr>
        <w:t xml:space="preserve"> </w:t>
      </w:r>
      <w:r w:rsidR="00AC58CE" w:rsidRPr="2DCE8EF3">
        <w:rPr>
          <w:rFonts w:cs="Segoe UI"/>
        </w:rPr>
        <w:t>may accelerate resistance trends. This in turn will help in managing future AMR risk.</w:t>
      </w:r>
    </w:p>
    <w:p w14:paraId="371877CC" w14:textId="3B2073C5" w:rsidR="00C84C95" w:rsidRPr="00C84C95" w:rsidRDefault="00C84C95" w:rsidP="00A318F7">
      <w:pPr>
        <w:pStyle w:val="Heading3"/>
      </w:pPr>
      <w:r>
        <w:t>Conclusion</w:t>
      </w:r>
    </w:p>
    <w:p w14:paraId="11E380CF" w14:textId="1404A035" w:rsidR="00AC58CE" w:rsidRDefault="00AC58CE" w:rsidP="00F21679">
      <w:pPr>
        <w:rPr>
          <w:rFonts w:eastAsia="Calibri" w:cs="Segoe UI"/>
        </w:rPr>
      </w:pPr>
      <w:r w:rsidRPr="00500E4C">
        <w:rPr>
          <w:rFonts w:cs="Segoe UI"/>
        </w:rPr>
        <w:t>The Department</w:t>
      </w:r>
      <w:r w:rsidRPr="00D857B8">
        <w:rPr>
          <w:rFonts w:cs="Segoe UI"/>
        </w:rPr>
        <w:t xml:space="preserve"> has </w:t>
      </w:r>
      <w:r w:rsidR="00876502">
        <w:rPr>
          <w:rFonts w:cs="Segoe UI"/>
        </w:rPr>
        <w:t>begun</w:t>
      </w:r>
      <w:r w:rsidR="00876502" w:rsidRPr="00D857B8">
        <w:rPr>
          <w:rFonts w:cs="Segoe UI"/>
        </w:rPr>
        <w:t xml:space="preserve"> </w:t>
      </w:r>
      <w:r w:rsidRPr="00D857B8">
        <w:rPr>
          <w:rFonts w:cs="Segoe UI"/>
        </w:rPr>
        <w:t xml:space="preserve">work </w:t>
      </w:r>
      <w:r w:rsidR="005C33F4">
        <w:rPr>
          <w:rFonts w:cs="Segoe UI"/>
        </w:rPr>
        <w:t>on</w:t>
      </w:r>
      <w:r w:rsidRPr="00D857B8">
        <w:rPr>
          <w:rFonts w:cs="Segoe UI"/>
        </w:rPr>
        <w:t xml:space="preserve"> identifying and scoping potential funding mechanisms and economic models to incentivise market availability of antimicrobial products in Australia.</w:t>
      </w:r>
      <w:r>
        <w:rPr>
          <w:rFonts w:cs="Segoe UI"/>
        </w:rPr>
        <w:t xml:space="preserve"> It is important </w:t>
      </w:r>
      <w:r w:rsidR="005C33F4">
        <w:rPr>
          <w:rFonts w:cs="Segoe UI"/>
        </w:rPr>
        <w:t xml:space="preserve">that </w:t>
      </w:r>
      <w:r>
        <w:rPr>
          <w:rFonts w:cs="Segoe UI"/>
        </w:rPr>
        <w:t xml:space="preserve">future work on </w:t>
      </w:r>
      <w:r w:rsidR="005C33F4">
        <w:rPr>
          <w:rFonts w:cs="Segoe UI"/>
        </w:rPr>
        <w:t>changing</w:t>
      </w:r>
      <w:r>
        <w:rPr>
          <w:rFonts w:cs="Segoe UI"/>
        </w:rPr>
        <w:t xml:space="preserve"> the HTA continuum </w:t>
      </w:r>
      <w:r w:rsidRPr="00824739">
        <w:rPr>
          <w:rFonts w:eastAsia="Calibri" w:cs="Segoe UI"/>
        </w:rPr>
        <w:t xml:space="preserve">should be informed by </w:t>
      </w:r>
      <w:r>
        <w:rPr>
          <w:rFonts w:eastAsia="Calibri" w:cs="Segoe UI"/>
        </w:rPr>
        <w:t xml:space="preserve">this </w:t>
      </w:r>
      <w:r w:rsidRPr="00824739">
        <w:rPr>
          <w:rFonts w:eastAsia="Calibri" w:cs="Segoe UI"/>
        </w:rPr>
        <w:t>existing work</w:t>
      </w:r>
      <w:r>
        <w:rPr>
          <w:rFonts w:eastAsia="Calibri" w:cs="Segoe UI"/>
        </w:rPr>
        <w:t xml:space="preserve">. </w:t>
      </w:r>
    </w:p>
    <w:p w14:paraId="5FD141F7" w14:textId="59ADF636" w:rsidR="00AC58CE" w:rsidRPr="005B3DAA" w:rsidRDefault="00963445" w:rsidP="00F21679">
      <w:pPr>
        <w:rPr>
          <w:rFonts w:cs="Segoe UI"/>
        </w:rPr>
      </w:pPr>
      <w:r>
        <w:rPr>
          <w:rFonts w:eastAsia="Calibri" w:cs="Segoe UI"/>
        </w:rPr>
        <w:t>S</w:t>
      </w:r>
      <w:r w:rsidR="00AC58CE">
        <w:rPr>
          <w:rFonts w:eastAsia="Calibri" w:cs="Segoe UI"/>
        </w:rPr>
        <w:t xml:space="preserve">ignificant additional work is required to design and implement a pilot and policy changes to make an impact on AMR. </w:t>
      </w:r>
      <w:r w:rsidR="00E6787F">
        <w:rPr>
          <w:rFonts w:eastAsia="Calibri" w:cs="Segoe UI"/>
        </w:rPr>
        <w:t>T</w:t>
      </w:r>
      <w:r w:rsidR="00AC58CE">
        <w:rPr>
          <w:rFonts w:eastAsia="Calibri" w:cs="Segoe UI"/>
        </w:rPr>
        <w:t xml:space="preserve">he </w:t>
      </w:r>
      <w:r w:rsidR="005C33F4">
        <w:rPr>
          <w:rFonts w:eastAsia="Calibri" w:cs="Segoe UI"/>
        </w:rPr>
        <w:t>D</w:t>
      </w:r>
      <w:r w:rsidR="00AC58CE">
        <w:rPr>
          <w:rFonts w:eastAsia="Calibri" w:cs="Segoe UI"/>
        </w:rPr>
        <w:t xml:space="preserve">epartment </w:t>
      </w:r>
      <w:r w:rsidR="00E6787F">
        <w:rPr>
          <w:rFonts w:eastAsia="Calibri" w:cs="Segoe UI"/>
        </w:rPr>
        <w:t>w</w:t>
      </w:r>
      <w:r w:rsidR="00150A3E">
        <w:rPr>
          <w:rFonts w:eastAsia="Calibri" w:cs="Segoe UI"/>
        </w:rPr>
        <w:t>ould</w:t>
      </w:r>
      <w:r w:rsidR="00E6787F">
        <w:rPr>
          <w:rFonts w:eastAsia="Calibri" w:cs="Segoe UI"/>
        </w:rPr>
        <w:t xml:space="preserve"> require additional resourcing </w:t>
      </w:r>
      <w:r w:rsidR="00AC58CE">
        <w:rPr>
          <w:rFonts w:eastAsia="Calibri" w:cs="Segoe UI"/>
        </w:rPr>
        <w:t>to implement</w:t>
      </w:r>
      <w:r w:rsidR="00E6787F">
        <w:rPr>
          <w:rFonts w:eastAsia="Calibri" w:cs="Segoe UI"/>
        </w:rPr>
        <w:t xml:space="preserve"> this work</w:t>
      </w:r>
      <w:r w:rsidR="00AC58CE">
        <w:rPr>
          <w:rFonts w:eastAsia="Calibri" w:cs="Segoe UI"/>
        </w:rPr>
        <w:t>.</w:t>
      </w:r>
    </w:p>
    <w:p w14:paraId="79DC867B" w14:textId="01CB6B7C" w:rsidR="00AC58CE" w:rsidRPr="005B3DAA" w:rsidRDefault="00EF72AD" w:rsidP="00F21679">
      <w:pPr>
        <w:rPr>
          <w:rFonts w:cs="Segoe UI"/>
        </w:rPr>
      </w:pPr>
      <w:r>
        <w:rPr>
          <w:rFonts w:cs="Segoe UI"/>
        </w:rPr>
        <w:t>A</w:t>
      </w:r>
      <w:r w:rsidR="00AC58CE" w:rsidRPr="005B3DAA">
        <w:rPr>
          <w:rFonts w:cs="Segoe UI"/>
        </w:rPr>
        <w:t xml:space="preserve">lternative payment and reimbursement reforms </w:t>
      </w:r>
      <w:r w:rsidR="006F0784">
        <w:rPr>
          <w:rFonts w:cs="Segoe UI"/>
        </w:rPr>
        <w:t xml:space="preserve">are </w:t>
      </w:r>
      <w:r w:rsidR="00AC58CE" w:rsidRPr="005B3DAA">
        <w:rPr>
          <w:rFonts w:cs="Segoe UI"/>
        </w:rPr>
        <w:t>being tested internationally</w:t>
      </w:r>
      <w:r w:rsidR="00AC58CE">
        <w:rPr>
          <w:rFonts w:cs="Segoe UI"/>
        </w:rPr>
        <w:t xml:space="preserve">. </w:t>
      </w:r>
      <w:r>
        <w:rPr>
          <w:rFonts w:cs="Segoe UI"/>
        </w:rPr>
        <w:t>Some stakeholders expressed</w:t>
      </w:r>
      <w:r w:rsidR="00AC58CE" w:rsidRPr="005B3DAA">
        <w:rPr>
          <w:rFonts w:cs="Segoe UI"/>
        </w:rPr>
        <w:t xml:space="preserve"> keen interest in delinking price and volume for antimicrobial products</w:t>
      </w:r>
      <w:r w:rsidR="00876502">
        <w:rPr>
          <w:rFonts w:cs="Segoe UI"/>
        </w:rPr>
        <w:t>,</w:t>
      </w:r>
      <w:r w:rsidR="00AC58CE" w:rsidRPr="005B3DAA">
        <w:rPr>
          <w:rFonts w:cs="Segoe UI"/>
        </w:rPr>
        <w:t xml:space="preserve"> given the</w:t>
      </w:r>
      <w:r w:rsidR="00876502">
        <w:rPr>
          <w:rFonts w:cs="Segoe UI"/>
        </w:rPr>
        <w:t xml:space="preserve"> need to</w:t>
      </w:r>
      <w:r w:rsidR="00AC58CE" w:rsidRPr="005B3DAA">
        <w:rPr>
          <w:rFonts w:cs="Segoe UI"/>
        </w:rPr>
        <w:t xml:space="preserve"> balanc</w:t>
      </w:r>
      <w:r w:rsidR="00876502">
        <w:rPr>
          <w:rFonts w:cs="Segoe UI"/>
        </w:rPr>
        <w:t>e the</w:t>
      </w:r>
      <w:r w:rsidR="00AC58CE" w:rsidRPr="005B3DAA">
        <w:rPr>
          <w:rFonts w:cs="Segoe UI"/>
        </w:rPr>
        <w:t xml:space="preserve"> public health policy approach to product stewardship to address AMR in the long term. </w:t>
      </w:r>
    </w:p>
    <w:p w14:paraId="1C201027" w14:textId="73E71CCE" w:rsidR="00AC58CE" w:rsidRPr="005B3DAA" w:rsidRDefault="00500E4C" w:rsidP="00F21679">
      <w:pPr>
        <w:rPr>
          <w:rFonts w:cs="Segoe UI"/>
        </w:rPr>
      </w:pPr>
      <w:r>
        <w:rPr>
          <w:rFonts w:cs="Segoe UI"/>
        </w:rPr>
        <w:t>G</w:t>
      </w:r>
      <w:r w:rsidR="00AC58CE" w:rsidRPr="004044E5">
        <w:rPr>
          <w:rFonts w:cs="Segoe UI"/>
        </w:rPr>
        <w:t xml:space="preserve">iven the different AMR patterns in </w:t>
      </w:r>
      <w:r w:rsidR="00876502">
        <w:rPr>
          <w:rFonts w:cs="Segoe UI"/>
        </w:rPr>
        <w:t>different countries</w:t>
      </w:r>
      <w:r w:rsidR="00AC58CE" w:rsidRPr="004044E5">
        <w:rPr>
          <w:rFonts w:cs="Segoe UI"/>
        </w:rPr>
        <w:t xml:space="preserve">, options </w:t>
      </w:r>
      <w:r w:rsidR="00876502">
        <w:rPr>
          <w:rFonts w:cs="Segoe UI"/>
        </w:rPr>
        <w:t>for</w:t>
      </w:r>
      <w:r w:rsidR="00AC58CE" w:rsidRPr="004044E5" w:rsidDel="00876502">
        <w:rPr>
          <w:rFonts w:cs="Segoe UI"/>
        </w:rPr>
        <w:t xml:space="preserve"> </w:t>
      </w:r>
      <w:r w:rsidR="00AC58CE" w:rsidRPr="004044E5">
        <w:rPr>
          <w:rFonts w:cs="Segoe UI"/>
        </w:rPr>
        <w:t>alternative payment and reimbursement reforms for antimicrobial products will need to be relevant to the Australian health system context.</w:t>
      </w:r>
      <w:r w:rsidR="00AC58CE">
        <w:rPr>
          <w:rFonts w:cs="Segoe UI"/>
        </w:rPr>
        <w:t xml:space="preserve"> This includes</w:t>
      </w:r>
      <w:r w:rsidR="00AC58CE" w:rsidRPr="005B3DAA">
        <w:rPr>
          <w:rFonts w:cs="Segoe UI"/>
        </w:rPr>
        <w:t xml:space="preserve"> current Commonwealth and jurisdictional funding structures for health technologies</w:t>
      </w:r>
      <w:r w:rsidR="00AC58CE">
        <w:rPr>
          <w:rFonts w:cs="Segoe UI"/>
        </w:rPr>
        <w:t xml:space="preserve">. </w:t>
      </w:r>
      <w:r w:rsidR="001606AE">
        <w:rPr>
          <w:rFonts w:cs="Segoe UI"/>
        </w:rPr>
        <w:t xml:space="preserve">These </w:t>
      </w:r>
      <w:r w:rsidR="00AC58CE">
        <w:rPr>
          <w:rFonts w:cs="Segoe UI"/>
        </w:rPr>
        <w:t>should also be</w:t>
      </w:r>
      <w:r w:rsidR="00AC58CE" w:rsidRPr="005B3DAA">
        <w:rPr>
          <w:rFonts w:cs="Segoe UI"/>
        </w:rPr>
        <w:t xml:space="preserve"> broadly consistent with global strategies providing incentives to bring antimicrobial products to market. </w:t>
      </w:r>
    </w:p>
    <w:p w14:paraId="15185833" w14:textId="77777777" w:rsidR="00AC58CE" w:rsidRDefault="00AC58CE" w:rsidP="00A318F7">
      <w:pPr>
        <w:pStyle w:val="Heading3"/>
      </w:pPr>
      <w:bookmarkStart w:id="348" w:name="_Toc165473694"/>
      <w:r>
        <w:t>Objectives of recommendations</w:t>
      </w:r>
      <w:bookmarkEnd w:id="348"/>
    </w:p>
    <w:p w14:paraId="61FC608F" w14:textId="044903DA" w:rsidR="00AC58CE" w:rsidRPr="00E1206C" w:rsidRDefault="00AC58CE" w:rsidP="00F21679">
      <w:r w:rsidRPr="0037626B">
        <w:rPr>
          <w:rFonts w:eastAsia="Calibri"/>
        </w:rPr>
        <w:t xml:space="preserve">The </w:t>
      </w:r>
      <w:r>
        <w:rPr>
          <w:rFonts w:eastAsia="Calibri"/>
        </w:rPr>
        <w:t>Review recommend</w:t>
      </w:r>
      <w:r w:rsidR="00B836B4">
        <w:rPr>
          <w:rFonts w:eastAsia="Calibri"/>
        </w:rPr>
        <w:t>s</w:t>
      </w:r>
      <w:r>
        <w:rPr>
          <w:rFonts w:eastAsia="Calibri"/>
        </w:rPr>
        <w:t xml:space="preserve"> implement</w:t>
      </w:r>
      <w:r w:rsidR="00B836B4">
        <w:rPr>
          <w:rFonts w:eastAsia="Calibri"/>
        </w:rPr>
        <w:t>ing</w:t>
      </w:r>
      <w:r>
        <w:rPr>
          <w:rFonts w:eastAsia="Calibri"/>
        </w:rPr>
        <w:t xml:space="preserve"> practical changes and investments t</w:t>
      </w:r>
      <w:r w:rsidR="00B836B4">
        <w:rPr>
          <w:rFonts w:eastAsia="Calibri"/>
        </w:rPr>
        <w:t xml:space="preserve">hat improve </w:t>
      </w:r>
      <w:r w:rsidRPr="00383A35">
        <w:rPr>
          <w:rFonts w:eastAsia="Calibri"/>
        </w:rPr>
        <w:t>incentiv</w:t>
      </w:r>
      <w:r w:rsidRPr="003907B3">
        <w:rPr>
          <w:rFonts w:eastAsia="Calibri"/>
        </w:rPr>
        <w:t>e</w:t>
      </w:r>
      <w:r w:rsidR="00B836B4">
        <w:rPr>
          <w:rFonts w:eastAsia="Calibri"/>
        </w:rPr>
        <w:t>s to</w:t>
      </w:r>
      <w:r>
        <w:rPr>
          <w:rFonts w:eastAsia="Calibri"/>
        </w:rPr>
        <w:t xml:space="preserve"> develop</w:t>
      </w:r>
      <w:r w:rsidRPr="00383A35">
        <w:rPr>
          <w:rFonts w:eastAsia="Calibri"/>
        </w:rPr>
        <w:t xml:space="preserve"> new antimicrobials</w:t>
      </w:r>
      <w:r>
        <w:rPr>
          <w:rFonts w:eastAsia="Calibri"/>
        </w:rPr>
        <w:t xml:space="preserve"> and contribute to the </w:t>
      </w:r>
      <w:r w:rsidRPr="00383A35">
        <w:rPr>
          <w:rFonts w:eastAsia="Calibri"/>
        </w:rPr>
        <w:t xml:space="preserve">global </w:t>
      </w:r>
      <w:r>
        <w:rPr>
          <w:rFonts w:eastAsia="Calibri"/>
        </w:rPr>
        <w:t xml:space="preserve">fight against </w:t>
      </w:r>
      <w:r w:rsidRPr="00383A35">
        <w:rPr>
          <w:rFonts w:eastAsia="Calibri"/>
        </w:rPr>
        <w:t xml:space="preserve">AMR. </w:t>
      </w:r>
      <w:r w:rsidR="001F4A28">
        <w:rPr>
          <w:rFonts w:eastAsia="Calibri"/>
        </w:rPr>
        <w:t>It</w:t>
      </w:r>
      <w:r w:rsidRPr="00963445">
        <w:rPr>
          <w:rFonts w:eastAsia="Calibri"/>
        </w:rPr>
        <w:t xml:space="preserve"> recognises</w:t>
      </w:r>
      <w:r w:rsidRPr="00383A35">
        <w:rPr>
          <w:rFonts w:eastAsia="Calibri"/>
        </w:rPr>
        <w:t xml:space="preserve"> that </w:t>
      </w:r>
      <w:r w:rsidR="007F2034">
        <w:rPr>
          <w:rFonts w:eastAsia="Calibri"/>
        </w:rPr>
        <w:t>addressing the need for health technologies t</w:t>
      </w:r>
      <w:r w:rsidR="004D3B2F">
        <w:rPr>
          <w:rFonts w:eastAsia="Calibri"/>
        </w:rPr>
        <w:t>o fight</w:t>
      </w:r>
      <w:r w:rsidR="007F2034">
        <w:rPr>
          <w:rFonts w:eastAsia="Calibri"/>
        </w:rPr>
        <w:t xml:space="preserve"> </w:t>
      </w:r>
      <w:r w:rsidRPr="00383A35">
        <w:rPr>
          <w:rFonts w:eastAsia="Calibri"/>
        </w:rPr>
        <w:t xml:space="preserve">AMR is an exceptionally complex multifaceted issue </w:t>
      </w:r>
      <w:r w:rsidR="00B836B4">
        <w:rPr>
          <w:rFonts w:eastAsia="Calibri"/>
        </w:rPr>
        <w:t xml:space="preserve">that </w:t>
      </w:r>
      <w:r w:rsidRPr="00383A35">
        <w:rPr>
          <w:rFonts w:eastAsia="Calibri"/>
        </w:rPr>
        <w:t>require</w:t>
      </w:r>
      <w:r>
        <w:rPr>
          <w:rFonts w:eastAsia="Calibri"/>
        </w:rPr>
        <w:t>s</w:t>
      </w:r>
      <w:r w:rsidRPr="00383A35">
        <w:rPr>
          <w:rFonts w:eastAsia="Calibri"/>
        </w:rPr>
        <w:t xml:space="preserve"> a multifaceted approach</w:t>
      </w:r>
      <w:r>
        <w:rPr>
          <w:rFonts w:eastAsia="Calibri"/>
        </w:rPr>
        <w:t>.</w:t>
      </w:r>
    </w:p>
    <w:p w14:paraId="2A114B75" w14:textId="77777777" w:rsidR="00AC58CE" w:rsidRDefault="00AC58CE" w:rsidP="00A318F7">
      <w:pPr>
        <w:pStyle w:val="Heading3"/>
      </w:pPr>
      <w:bookmarkStart w:id="349" w:name="_Toc165473695"/>
      <w:r>
        <w:t>Recommendations</w:t>
      </w:r>
      <w:bookmarkEnd w:id="349"/>
    </w:p>
    <w:p w14:paraId="7488847E" w14:textId="002573BA" w:rsidR="00AC58CE" w:rsidRPr="009A7A06" w:rsidRDefault="00AC58CE" w:rsidP="00645D5E">
      <w:pPr>
        <w:pStyle w:val="Recommendation1"/>
      </w:pPr>
      <w:bookmarkStart w:id="350" w:name="_Hlk167302059"/>
      <w:r w:rsidRPr="009A7A06">
        <w:t xml:space="preserve">Approaches to </w:t>
      </w:r>
      <w:proofErr w:type="spellStart"/>
      <w:r w:rsidRPr="009A7A06">
        <w:t>incentivise</w:t>
      </w:r>
      <w:proofErr w:type="spellEnd"/>
      <w:r w:rsidRPr="009A7A06">
        <w:t xml:space="preserve"> </w:t>
      </w:r>
      <w:r w:rsidR="00C44592">
        <w:t xml:space="preserve">the </w:t>
      </w:r>
      <w:r w:rsidRPr="009A7A06">
        <w:t xml:space="preserve">development of </w:t>
      </w:r>
      <w:r w:rsidR="007F2034">
        <w:t>health technologies</w:t>
      </w:r>
      <w:r w:rsidRPr="009A7A06">
        <w:t xml:space="preserve"> that address antimicrobial resistance (AMR)</w:t>
      </w:r>
    </w:p>
    <w:bookmarkEnd w:id="350"/>
    <w:p w14:paraId="344FD06F" w14:textId="5C2933A8" w:rsidR="00AC58CE" w:rsidRPr="002B677C" w:rsidRDefault="00AC58CE" w:rsidP="0091498F">
      <w:pPr>
        <w:spacing w:before="120" w:after="120" w:line="360" w:lineRule="auto"/>
        <w:contextualSpacing/>
        <w:rPr>
          <w:rFonts w:eastAsia="Calibri" w:cs="Segoe UI"/>
        </w:rPr>
      </w:pPr>
      <w:r w:rsidRPr="002B677C">
        <w:rPr>
          <w:rFonts w:eastAsia="Calibri" w:cs="Segoe UI"/>
        </w:rPr>
        <w:t xml:space="preserve">The Review recommends </w:t>
      </w:r>
      <w:r w:rsidR="003526B7">
        <w:rPr>
          <w:rFonts w:eastAsia="Calibri" w:cs="Segoe UI"/>
        </w:rPr>
        <w:t xml:space="preserve">that </w:t>
      </w:r>
      <w:r w:rsidRPr="002B677C">
        <w:rPr>
          <w:rFonts w:eastAsia="Calibri" w:cs="Segoe UI"/>
        </w:rPr>
        <w:t>the Australian Government:</w:t>
      </w:r>
    </w:p>
    <w:p w14:paraId="74FBF322" w14:textId="63AF2DE7" w:rsidR="00AC58CE" w:rsidRPr="00910611" w:rsidRDefault="003526B7" w:rsidP="00281153">
      <w:pPr>
        <w:pStyle w:val="ListParagraph"/>
        <w:numPr>
          <w:ilvl w:val="0"/>
          <w:numId w:val="120"/>
        </w:numPr>
        <w:spacing w:before="120" w:after="120"/>
        <w:rPr>
          <w:rFonts w:eastAsia="Calibri" w:cs="Segoe UI"/>
        </w:rPr>
      </w:pPr>
      <w:r>
        <w:rPr>
          <w:rFonts w:eastAsia="Calibri" w:cs="Segoe UI"/>
        </w:rPr>
        <w:lastRenderedPageBreak/>
        <w:t>exempt</w:t>
      </w:r>
      <w:r w:rsidR="00AC58CE" w:rsidRPr="00910611">
        <w:rPr>
          <w:rFonts w:eastAsia="Calibri" w:cs="Segoe UI"/>
        </w:rPr>
        <w:t xml:space="preserve"> antimicrobial health technologies </w:t>
      </w:r>
      <w:r>
        <w:rPr>
          <w:rFonts w:eastAsia="Calibri" w:cs="Segoe UI"/>
        </w:rPr>
        <w:t>that</w:t>
      </w:r>
      <w:r w:rsidR="00AC58CE" w:rsidRPr="00824739">
        <w:rPr>
          <w:rFonts w:eastAsia="Calibri" w:cs="Segoe UI"/>
        </w:rPr>
        <w:t xml:space="preserve"> </w:t>
      </w:r>
      <w:r w:rsidR="00AC58CE">
        <w:rPr>
          <w:rFonts w:eastAsia="Calibri" w:cs="Segoe UI"/>
        </w:rPr>
        <w:t>target</w:t>
      </w:r>
      <w:r w:rsidR="00AC58CE" w:rsidRPr="00910611">
        <w:rPr>
          <w:rFonts w:eastAsia="Calibri" w:cs="Segoe UI"/>
        </w:rPr>
        <w:t xml:space="preserve"> organisms on the </w:t>
      </w:r>
      <w:r w:rsidR="00E849C9" w:rsidRPr="00E849C9">
        <w:rPr>
          <w:rFonts w:eastAsia="Calibri" w:cs="Segoe UI"/>
        </w:rPr>
        <w:t xml:space="preserve">World Health Organisation </w:t>
      </w:r>
      <w:r w:rsidR="00E849C9">
        <w:rPr>
          <w:rFonts w:eastAsia="Calibri" w:cs="Segoe UI"/>
        </w:rPr>
        <w:t>(</w:t>
      </w:r>
      <w:r w:rsidR="00AC58CE" w:rsidRPr="00910611">
        <w:rPr>
          <w:rFonts w:eastAsia="Calibri" w:cs="Segoe UI"/>
        </w:rPr>
        <w:t>WHO</w:t>
      </w:r>
      <w:r w:rsidR="00E849C9">
        <w:rPr>
          <w:rFonts w:eastAsia="Calibri" w:cs="Segoe UI"/>
        </w:rPr>
        <w:t>)</w:t>
      </w:r>
      <w:r w:rsidR="00AC58CE" w:rsidRPr="00910611">
        <w:rPr>
          <w:rFonts w:eastAsia="Calibri" w:cs="Segoe UI"/>
        </w:rPr>
        <w:t xml:space="preserve"> bacterial/fungal priority</w:t>
      </w:r>
      <w:r w:rsidR="00AC58CE">
        <w:rPr>
          <w:rFonts w:eastAsia="Calibri" w:cs="Segoe UI"/>
        </w:rPr>
        <w:t xml:space="preserve"> </w:t>
      </w:r>
      <w:r w:rsidR="00AC58CE" w:rsidRPr="00910611">
        <w:rPr>
          <w:rFonts w:eastAsia="Calibri" w:cs="Segoe UI"/>
        </w:rPr>
        <w:t>pathogen lists</w:t>
      </w:r>
      <w:r>
        <w:rPr>
          <w:rFonts w:eastAsia="Calibri" w:cs="Segoe UI"/>
        </w:rPr>
        <w:t>,</w:t>
      </w:r>
      <w:r w:rsidR="00AC58CE" w:rsidRPr="00910611">
        <w:rPr>
          <w:rFonts w:eastAsia="Calibri" w:cs="Segoe UI"/>
        </w:rPr>
        <w:t xml:space="preserve"> and</w:t>
      </w:r>
      <w:r w:rsidR="00AC58CE">
        <w:rPr>
          <w:rFonts w:eastAsia="Calibri" w:cs="Segoe UI"/>
        </w:rPr>
        <w:t xml:space="preserve"> </w:t>
      </w:r>
      <w:r>
        <w:rPr>
          <w:rFonts w:eastAsia="Calibri" w:cs="Segoe UI"/>
        </w:rPr>
        <w:t>that</w:t>
      </w:r>
      <w:r w:rsidR="00AC58CE">
        <w:rPr>
          <w:rFonts w:eastAsia="Calibri" w:cs="Segoe UI"/>
        </w:rPr>
        <w:t xml:space="preserve"> are </w:t>
      </w:r>
      <w:r w:rsidR="00AC58CE" w:rsidRPr="00910611">
        <w:rPr>
          <w:rFonts w:eastAsia="Calibri" w:cs="Segoe UI"/>
        </w:rPr>
        <w:t xml:space="preserve">identified </w:t>
      </w:r>
      <w:r w:rsidR="00AC58CE">
        <w:rPr>
          <w:rFonts w:eastAsia="Calibri" w:cs="Segoe UI"/>
        </w:rPr>
        <w:t xml:space="preserve">to be important for addressing public health risks in </w:t>
      </w:r>
      <w:r w:rsidR="00AC58CE" w:rsidRPr="00910611">
        <w:rPr>
          <w:rFonts w:eastAsia="Calibri" w:cs="Segoe UI"/>
        </w:rPr>
        <w:t>Australia</w:t>
      </w:r>
      <w:r>
        <w:rPr>
          <w:rFonts w:eastAsia="Calibri" w:cs="Segoe UI"/>
        </w:rPr>
        <w:t>,</w:t>
      </w:r>
      <w:r w:rsidR="00AC58CE" w:rsidRPr="00910611">
        <w:rPr>
          <w:rFonts w:eastAsia="Calibri" w:cs="Segoe UI"/>
        </w:rPr>
        <w:t xml:space="preserve"> from HTA </w:t>
      </w:r>
      <w:r w:rsidR="00AC58CE" w:rsidRPr="00824739">
        <w:rPr>
          <w:rFonts w:eastAsia="Calibri" w:cs="Segoe UI"/>
        </w:rPr>
        <w:t>fee requirements</w:t>
      </w:r>
      <w:r w:rsidR="00AC58CE" w:rsidRPr="00910611">
        <w:rPr>
          <w:rFonts w:eastAsia="Calibri" w:cs="Segoe UI"/>
        </w:rPr>
        <w:t xml:space="preserve"> </w:t>
      </w:r>
    </w:p>
    <w:p w14:paraId="00AB6421" w14:textId="4D62F0B6" w:rsidR="00AC58CE" w:rsidRPr="00824739" w:rsidRDefault="003526B7" w:rsidP="00281153">
      <w:pPr>
        <w:pStyle w:val="ListParagraph"/>
        <w:numPr>
          <w:ilvl w:val="0"/>
          <w:numId w:val="120"/>
        </w:numPr>
        <w:spacing w:before="120" w:after="120"/>
        <w:rPr>
          <w:rFonts w:eastAsia="Calibri" w:cs="Segoe UI"/>
        </w:rPr>
      </w:pPr>
      <w:r>
        <w:rPr>
          <w:rFonts w:eastAsia="Calibri" w:cs="Segoe UI"/>
        </w:rPr>
        <w:t>e</w:t>
      </w:r>
      <w:r w:rsidR="00AC58CE" w:rsidRPr="00824739">
        <w:rPr>
          <w:rFonts w:eastAsia="Calibri" w:cs="Segoe UI"/>
        </w:rPr>
        <w:t xml:space="preserve">xamine, consult </w:t>
      </w:r>
      <w:r w:rsidR="00AC58CE">
        <w:rPr>
          <w:rFonts w:eastAsia="Calibri" w:cs="Segoe UI"/>
        </w:rPr>
        <w:t>on</w:t>
      </w:r>
      <w:r w:rsidR="00AC58CE" w:rsidRPr="00824739">
        <w:rPr>
          <w:rFonts w:eastAsia="Calibri" w:cs="Segoe UI"/>
        </w:rPr>
        <w:t xml:space="preserve"> and develop a framework to </w:t>
      </w:r>
      <w:r w:rsidR="00AC58CE">
        <w:rPr>
          <w:rFonts w:eastAsia="Calibri" w:cs="Segoe UI"/>
        </w:rPr>
        <w:t>inform</w:t>
      </w:r>
      <w:r w:rsidR="00AC58CE" w:rsidRPr="00824739">
        <w:rPr>
          <w:rFonts w:eastAsia="Calibri" w:cs="Segoe UI"/>
        </w:rPr>
        <w:t xml:space="preserve"> changes to </w:t>
      </w:r>
      <w:r w:rsidR="00F569DA" w:rsidRPr="00F569DA">
        <w:rPr>
          <w:rFonts w:eastAsia="Calibri" w:cs="Segoe UI"/>
        </w:rPr>
        <w:t>HTA</w:t>
      </w:r>
      <w:r w:rsidR="00F569DA" w:rsidRPr="00F569DA" w:rsidDel="00F569DA">
        <w:rPr>
          <w:rFonts w:eastAsia="Calibri" w:cs="Segoe UI"/>
        </w:rPr>
        <w:t xml:space="preserve"> </w:t>
      </w:r>
      <w:r w:rsidR="00AC58CE" w:rsidRPr="00824739">
        <w:rPr>
          <w:rFonts w:eastAsia="Calibri" w:cs="Segoe UI"/>
        </w:rPr>
        <w:t>policy and methods for antimicrobials, given the public health significance and implications of </w:t>
      </w:r>
      <w:r w:rsidR="0000529E" w:rsidRPr="0000529E">
        <w:rPr>
          <w:rFonts w:eastAsia="Calibri" w:cs="Segoe UI"/>
        </w:rPr>
        <w:t>AMR</w:t>
      </w:r>
      <w:r w:rsidR="00AC58CE" w:rsidRPr="00824739">
        <w:rPr>
          <w:rFonts w:eastAsia="Calibri" w:cs="Segoe UI"/>
        </w:rPr>
        <w:t>. The framework should be informed by existing work undertaken on identifying and scoping potential funding mechanisms and economic models to incentivise market availability of antimicrobial products in Australia</w:t>
      </w:r>
    </w:p>
    <w:p w14:paraId="647E2CF7" w14:textId="0DF53351" w:rsidR="00A25A40" w:rsidRPr="00A25A40" w:rsidRDefault="003526B7" w:rsidP="00281153">
      <w:pPr>
        <w:pStyle w:val="ListParagraph"/>
        <w:numPr>
          <w:ilvl w:val="0"/>
          <w:numId w:val="120"/>
        </w:numPr>
        <w:spacing w:before="120" w:after="120"/>
        <w:rPr>
          <w:rFonts w:eastAsia="Times New Roman" w:cs="Segoe UI"/>
          <w:color w:val="094868"/>
          <w:kern w:val="28"/>
          <w:sz w:val="44"/>
          <w:szCs w:val="36"/>
        </w:rPr>
      </w:pPr>
      <w:r>
        <w:rPr>
          <w:rFonts w:eastAsia="Calibri" w:cs="Segoe UI"/>
        </w:rPr>
        <w:t>d</w:t>
      </w:r>
      <w:r w:rsidR="00AC58CE" w:rsidRPr="00A25A40">
        <w:rPr>
          <w:rFonts w:eastAsia="Calibri" w:cs="Segoe UI"/>
        </w:rPr>
        <w:t xml:space="preserve">esign a flexible reimbursement policy for antimicrobial products. The policy should examine and test multiple payment and incentive models, </w:t>
      </w:r>
      <w:r w:rsidR="00AC58CE" w:rsidRPr="00B61FDC">
        <w:rPr>
          <w:rFonts w:eastAsia="Calibri" w:cs="Segoe UI"/>
        </w:rPr>
        <w:t>including but not limited to</w:t>
      </w:r>
      <w:r w:rsidR="00AC58CE" w:rsidRPr="00A25A40">
        <w:rPr>
          <w:rFonts w:eastAsia="Calibri" w:cs="Segoe UI"/>
        </w:rPr>
        <w:t xml:space="preserve"> full and partial price and volume delinking, advanced market commitments </w:t>
      </w:r>
      <w:r w:rsidR="00492F26">
        <w:rPr>
          <w:rFonts w:eastAsia="Calibri" w:cs="Segoe UI"/>
        </w:rPr>
        <w:t>and</w:t>
      </w:r>
      <w:r w:rsidR="00AC58CE" w:rsidRPr="00A25A40">
        <w:rPr>
          <w:rFonts w:eastAsia="Calibri" w:cs="Segoe UI"/>
        </w:rPr>
        <w:t xml:space="preserve"> guarantee-of-supply provisions</w:t>
      </w:r>
    </w:p>
    <w:p w14:paraId="428A2E82" w14:textId="4EDA8374" w:rsidR="00D5313E" w:rsidRDefault="003526B7" w:rsidP="00281153">
      <w:pPr>
        <w:pStyle w:val="ListParagraph"/>
        <w:numPr>
          <w:ilvl w:val="0"/>
          <w:numId w:val="120"/>
        </w:numPr>
        <w:spacing w:before="120" w:after="120"/>
        <w:rPr>
          <w:rFonts w:eastAsia="Times New Roman" w:cs="Segoe UI"/>
          <w:bCs/>
          <w:color w:val="094868"/>
          <w:kern w:val="28"/>
          <w:sz w:val="44"/>
          <w:szCs w:val="36"/>
        </w:rPr>
      </w:pPr>
      <w:r>
        <w:rPr>
          <w:rFonts w:eastAsia="Calibri" w:cs="Segoe UI"/>
        </w:rPr>
        <w:t>i</w:t>
      </w:r>
      <w:r w:rsidR="00AC58CE" w:rsidRPr="00A25A40">
        <w:rPr>
          <w:rFonts w:eastAsia="Calibri" w:cs="Segoe UI"/>
        </w:rPr>
        <w:t>n the short</w:t>
      </w:r>
      <w:r w:rsidR="00492F26">
        <w:rPr>
          <w:rFonts w:eastAsia="Calibri" w:cs="Segoe UI"/>
        </w:rPr>
        <w:t xml:space="preserve"> </w:t>
      </w:r>
      <w:r w:rsidR="00AC58CE" w:rsidRPr="00A25A40">
        <w:rPr>
          <w:rFonts w:eastAsia="Calibri" w:cs="Segoe UI"/>
        </w:rPr>
        <w:t xml:space="preserve">term, develop, implement and assess the effectiveness of a pilot subscription fund for novel antimicrobials. The model should be guided by international examples but tailored for the Australian setting. </w:t>
      </w:r>
      <w:r w:rsidR="00AC58CE" w:rsidRPr="00A25A40">
        <w:rPr>
          <w:rFonts w:eastAsia="Segoe UI" w:cs="Segoe UI"/>
        </w:rPr>
        <w:t>The pilot should also be guided by recommendations from</w:t>
      </w:r>
      <w:r w:rsidR="00AC58CE" w:rsidRPr="00A25A40">
        <w:rPr>
          <w:rFonts w:cs="Segoe UI"/>
          <w:i/>
          <w:iCs/>
        </w:rPr>
        <w:t xml:space="preserve"> </w:t>
      </w:r>
      <w:r w:rsidR="00AC58CE" w:rsidRPr="000C5623">
        <w:rPr>
          <w:rFonts w:cs="Segoe UI"/>
        </w:rPr>
        <w:t>The New Frontier</w:t>
      </w:r>
      <w:r w:rsidR="00AC58CE" w:rsidRPr="00A25A40">
        <w:rPr>
          <w:rFonts w:cs="Segoe UI"/>
          <w:i/>
          <w:iCs/>
        </w:rPr>
        <w:t xml:space="preserve"> </w:t>
      </w:r>
      <w:r w:rsidR="00F33A9E">
        <w:rPr>
          <w:rFonts w:cs="Segoe UI"/>
        </w:rPr>
        <w:t>i</w:t>
      </w:r>
      <w:r w:rsidR="00AC58CE" w:rsidRPr="00A25A40">
        <w:rPr>
          <w:rFonts w:cs="Segoe UI"/>
        </w:rPr>
        <w:t>nquiry.</w:t>
      </w:r>
      <w:r w:rsidR="00AC58CE" w:rsidRPr="00A25A40">
        <w:rPr>
          <w:rFonts w:eastAsia="Segoe UI" w:cs="Segoe UI"/>
        </w:rPr>
        <w:t xml:space="preserve"> </w:t>
      </w:r>
      <w:r w:rsidR="00D5313E">
        <w:br w:type="page"/>
      </w:r>
    </w:p>
    <w:p w14:paraId="2FB48B1E" w14:textId="15EFD52D" w:rsidR="000243C7" w:rsidRDefault="007E594A" w:rsidP="002D24F5">
      <w:pPr>
        <w:pStyle w:val="Heading1"/>
      </w:pPr>
      <w:bookmarkStart w:id="351" w:name="_Toc164685829"/>
      <w:bookmarkStart w:id="352" w:name="_Toc164691432"/>
      <w:bookmarkStart w:id="353" w:name="_Toc164696230"/>
      <w:bookmarkStart w:id="354" w:name="_Toc164696376"/>
      <w:bookmarkStart w:id="355" w:name="_Toc164767766"/>
      <w:bookmarkStart w:id="356" w:name="_Ref164782992"/>
      <w:bookmarkStart w:id="357" w:name="_Toc165473696"/>
      <w:bookmarkStart w:id="358" w:name="_Toc171935884"/>
      <w:r>
        <w:lastRenderedPageBreak/>
        <w:t xml:space="preserve">Chapter </w:t>
      </w:r>
      <w:r w:rsidR="00B74B3F">
        <w:t>6</w:t>
      </w:r>
      <w:r>
        <w:t xml:space="preserve">: </w:t>
      </w:r>
      <w:r w:rsidR="00385F19">
        <w:t xml:space="preserve">Transparency and stakeholder </w:t>
      </w:r>
      <w:bookmarkEnd w:id="351"/>
      <w:bookmarkEnd w:id="352"/>
      <w:bookmarkEnd w:id="353"/>
      <w:bookmarkEnd w:id="354"/>
      <w:bookmarkEnd w:id="355"/>
      <w:bookmarkEnd w:id="356"/>
      <w:r w:rsidR="00694357">
        <w:t>involvement</w:t>
      </w:r>
      <w:bookmarkEnd w:id="357"/>
      <w:bookmarkEnd w:id="358"/>
      <w:r w:rsidR="00694357">
        <w:t xml:space="preserve"> </w:t>
      </w:r>
    </w:p>
    <w:p w14:paraId="16663EB3" w14:textId="77777777" w:rsidR="00593D5A" w:rsidRDefault="00593D5A" w:rsidP="002B25F3">
      <w:pPr>
        <w:pStyle w:val="Heading2"/>
      </w:pPr>
      <w:bookmarkStart w:id="359" w:name="_Toc164685830"/>
      <w:bookmarkStart w:id="360" w:name="_Toc164691433"/>
      <w:bookmarkStart w:id="361" w:name="_Toc164696231"/>
      <w:bookmarkStart w:id="362" w:name="_Toc164696377"/>
      <w:bookmarkStart w:id="363" w:name="_Toc164767767"/>
      <w:bookmarkStart w:id="364" w:name="_Toc165473697"/>
      <w:bookmarkStart w:id="365" w:name="_Toc171935885"/>
      <w:r>
        <w:t>Introduction</w:t>
      </w:r>
      <w:bookmarkEnd w:id="359"/>
      <w:bookmarkEnd w:id="360"/>
      <w:bookmarkEnd w:id="361"/>
      <w:bookmarkEnd w:id="362"/>
      <w:bookmarkEnd w:id="363"/>
      <w:bookmarkEnd w:id="364"/>
      <w:bookmarkEnd w:id="365"/>
      <w:r>
        <w:t xml:space="preserve"> </w:t>
      </w:r>
    </w:p>
    <w:p w14:paraId="767B29EE" w14:textId="67B94C95" w:rsidR="00593D5A" w:rsidRPr="004A2E72" w:rsidRDefault="0D0499A5" w:rsidP="008551FC">
      <w:pPr>
        <w:spacing w:before="240" w:after="240"/>
        <w:rPr>
          <w:rFonts w:eastAsia="Segoe UI" w:cs="Segoe UI"/>
          <w:highlight w:val="green"/>
        </w:rPr>
      </w:pPr>
      <w:r w:rsidRPr="427528D4">
        <w:rPr>
          <w:rFonts w:eastAsia="Segoe UI" w:cs="Segoe UI"/>
        </w:rPr>
        <w:t>Effective stakeholder engagement is a key contributor to organisational resilience and flexibility, learning and innovation, the identification of new opportunities, and ultimately to sustainable performance</w:t>
      </w:r>
      <w:bookmarkStart w:id="366" w:name="_Ref165467745"/>
      <w:r w:rsidR="00980456">
        <w:rPr>
          <w:rFonts w:eastAsia="Segoe UI" w:cs="Segoe UI"/>
        </w:rPr>
        <w:t>.</w:t>
      </w:r>
      <w:r w:rsidR="00961E03" w:rsidRPr="00DC7F34">
        <w:rPr>
          <w:rStyle w:val="FootnoteReference"/>
          <w:rFonts w:eastAsia="Segoe UI" w:cs="Segoe UI"/>
        </w:rPr>
        <w:footnoteReference w:id="112"/>
      </w:r>
      <w:bookmarkEnd w:id="366"/>
      <w:r w:rsidRPr="427528D4">
        <w:rPr>
          <w:rFonts w:eastAsia="Segoe UI" w:cs="Segoe UI"/>
        </w:rPr>
        <w:t xml:space="preserve"> Stakeholder engagement </w:t>
      </w:r>
      <w:r w:rsidR="301ECE75" w:rsidRPr="427528D4">
        <w:rPr>
          <w:rFonts w:eastAsia="Segoe UI" w:cs="Segoe UI"/>
        </w:rPr>
        <w:t xml:space="preserve">depends on </w:t>
      </w:r>
      <w:r w:rsidRPr="427528D4">
        <w:rPr>
          <w:rFonts w:eastAsia="Segoe UI" w:cs="Segoe UI"/>
        </w:rPr>
        <w:t>two-way communication</w:t>
      </w:r>
      <w:r w:rsidR="00980456">
        <w:rPr>
          <w:rFonts w:eastAsia="Segoe UI" w:cs="Segoe UI"/>
        </w:rPr>
        <w:t>,</w:t>
      </w:r>
      <w:r w:rsidRPr="427528D4">
        <w:rPr>
          <w:rFonts w:eastAsia="Segoe UI" w:cs="Segoe UI"/>
        </w:rPr>
        <w:t xml:space="preserve"> which requires transparent and clear communication of processes, </w:t>
      </w:r>
      <w:r w:rsidRPr="004A2E72">
        <w:rPr>
          <w:rFonts w:eastAsia="Segoe UI" w:cs="Segoe UI"/>
        </w:rPr>
        <w:t>policies and decisions at its core.</w:t>
      </w:r>
    </w:p>
    <w:p w14:paraId="103CDC2E" w14:textId="4ABBE17F" w:rsidR="0D0499A5" w:rsidRDefault="0D0499A5" w:rsidP="008551FC">
      <w:pPr>
        <w:spacing w:before="240" w:after="240"/>
        <w:rPr>
          <w:rFonts w:eastAsia="Segoe UI" w:cs="Segoe UI"/>
        </w:rPr>
      </w:pPr>
      <w:r w:rsidRPr="00ED256C">
        <w:rPr>
          <w:rFonts w:eastAsia="Segoe UI" w:cs="Segoe UI"/>
        </w:rPr>
        <w:t xml:space="preserve">Transparency and effective stakeholder engagement have many benefits for government, individuals and society more broadly. For government, transparent and clear public communication improves </w:t>
      </w:r>
      <w:bookmarkStart w:id="367" w:name="_Int_Nr5X6LFk"/>
      <w:r w:rsidRPr="00ED256C">
        <w:rPr>
          <w:rFonts w:eastAsia="Segoe UI" w:cs="Segoe UI"/>
        </w:rPr>
        <w:t>accountability</w:t>
      </w:r>
      <w:bookmarkEnd w:id="367"/>
      <w:r w:rsidRPr="00ED256C">
        <w:rPr>
          <w:rFonts w:eastAsia="Segoe UI" w:cs="Segoe UI"/>
        </w:rPr>
        <w:t xml:space="preserve"> </w:t>
      </w:r>
      <w:r w:rsidR="2AA68511" w:rsidRPr="0C830A21">
        <w:rPr>
          <w:rFonts w:eastAsia="Segoe UI" w:cs="Segoe UI"/>
        </w:rPr>
        <w:t>to</w:t>
      </w:r>
      <w:r w:rsidRPr="00ED256C">
        <w:rPr>
          <w:rFonts w:eastAsia="Segoe UI" w:cs="Segoe UI"/>
        </w:rPr>
        <w:t xml:space="preserve"> all stakeholders, builds trust and confidence in </w:t>
      </w:r>
      <w:r w:rsidR="00980456">
        <w:rPr>
          <w:rFonts w:eastAsia="Segoe UI" w:cs="Segoe UI"/>
        </w:rPr>
        <w:t>g</w:t>
      </w:r>
      <w:r w:rsidRPr="00ED256C">
        <w:rPr>
          <w:rFonts w:eastAsia="Segoe UI" w:cs="Segoe UI"/>
        </w:rPr>
        <w:t>overnment decisions, and improves service delivery and efficienc</w:t>
      </w:r>
      <w:r w:rsidRPr="00DC7F34">
        <w:rPr>
          <w:rFonts w:eastAsia="Segoe UI" w:cs="Segoe UI"/>
        </w:rPr>
        <w:t>y</w:t>
      </w:r>
      <w:r w:rsidR="00980456">
        <w:rPr>
          <w:rFonts w:eastAsia="Segoe UI" w:cs="Segoe UI"/>
        </w:rPr>
        <w:t>.</w:t>
      </w:r>
      <w:r w:rsidR="00904329">
        <w:rPr>
          <w:rStyle w:val="FootnoteReference"/>
          <w:rFonts w:eastAsia="Segoe UI" w:cs="Segoe UI"/>
        </w:rPr>
        <w:footnoteReference w:id="113"/>
      </w:r>
      <w:r w:rsidRPr="00ED256C">
        <w:rPr>
          <w:rFonts w:eastAsia="Segoe UI" w:cs="Segoe UI"/>
        </w:rPr>
        <w:t xml:space="preserve"> For individuals and organisations</w:t>
      </w:r>
      <w:r w:rsidR="000274AC">
        <w:rPr>
          <w:rFonts w:eastAsia="Segoe UI" w:cs="Segoe UI"/>
        </w:rPr>
        <w:t>,</w:t>
      </w:r>
      <w:r w:rsidRPr="00ED256C">
        <w:rPr>
          <w:rFonts w:eastAsia="Segoe UI" w:cs="Segoe UI"/>
        </w:rPr>
        <w:t xml:space="preserve"> </w:t>
      </w:r>
      <w:r w:rsidR="00A40AA9">
        <w:rPr>
          <w:rFonts w:eastAsia="Segoe UI" w:cs="Segoe UI"/>
        </w:rPr>
        <w:t>the ability</w:t>
      </w:r>
      <w:r w:rsidRPr="00ED256C">
        <w:rPr>
          <w:rFonts w:eastAsia="Segoe UI" w:cs="Segoe UI"/>
        </w:rPr>
        <w:t xml:space="preserve"> to access information </w:t>
      </w:r>
      <w:r w:rsidR="00A40AA9">
        <w:rPr>
          <w:rFonts w:eastAsia="Segoe UI" w:cs="Segoe UI"/>
        </w:rPr>
        <w:t>on</w:t>
      </w:r>
      <w:r w:rsidRPr="00ED256C">
        <w:rPr>
          <w:rFonts w:eastAsia="Segoe UI" w:cs="Segoe UI"/>
        </w:rPr>
        <w:t xml:space="preserve"> </w:t>
      </w:r>
      <w:r w:rsidR="00980456">
        <w:rPr>
          <w:rFonts w:eastAsia="Segoe UI" w:cs="Segoe UI"/>
        </w:rPr>
        <w:t>g</w:t>
      </w:r>
      <w:r w:rsidRPr="00ED256C">
        <w:rPr>
          <w:rFonts w:eastAsia="Segoe UI" w:cs="Segoe UI"/>
        </w:rPr>
        <w:t>overnment processes and policies enables them to more effectively and meaningfully participate in decisions that impact them. Additionally, transparent and coherent communication of information enables individuals and companies to make informed decisions and plan for their future appropriately.</w:t>
      </w:r>
      <w:r w:rsidR="00453069">
        <w:rPr>
          <w:rFonts w:eastAsia="Segoe UI" w:cs="Segoe UI"/>
        </w:rPr>
        <w:t xml:space="preserve"> </w:t>
      </w:r>
    </w:p>
    <w:p w14:paraId="40EE989E" w14:textId="6CB844AB" w:rsidR="00319F7F" w:rsidRDefault="00319F7F" w:rsidP="760B44C9">
      <w:pPr>
        <w:spacing w:before="240" w:after="240"/>
        <w:rPr>
          <w:rFonts w:eastAsia="Segoe UI" w:cs="Segoe UI"/>
        </w:rPr>
      </w:pPr>
      <w:r w:rsidRPr="760B44C9">
        <w:rPr>
          <w:rFonts w:eastAsia="Segoe UI" w:cs="Segoe UI"/>
        </w:rPr>
        <w:t>St</w:t>
      </w:r>
      <w:r w:rsidR="29DDB75C" w:rsidRPr="760B44C9">
        <w:rPr>
          <w:rFonts w:eastAsia="Segoe UI" w:cs="Segoe UI"/>
        </w:rPr>
        <w:t xml:space="preserve">akeholder engagement </w:t>
      </w:r>
      <w:r w:rsidR="1A4A6AA4" w:rsidRPr="760B44C9">
        <w:rPr>
          <w:rFonts w:eastAsia="Segoe UI" w:cs="Segoe UI"/>
        </w:rPr>
        <w:t xml:space="preserve">benefits HTA by </w:t>
      </w:r>
      <w:r w:rsidR="1A878FA6" w:rsidRPr="760B44C9">
        <w:rPr>
          <w:rFonts w:eastAsia="Segoe UI" w:cs="Segoe UI"/>
        </w:rPr>
        <w:t xml:space="preserve">contributing additional information </w:t>
      </w:r>
      <w:r w:rsidR="00E06B20">
        <w:rPr>
          <w:rFonts w:eastAsia="Segoe UI" w:cs="Segoe UI"/>
        </w:rPr>
        <w:t>that</w:t>
      </w:r>
      <w:r w:rsidR="00E06B20" w:rsidRPr="760B44C9">
        <w:rPr>
          <w:rFonts w:eastAsia="Segoe UI" w:cs="Segoe UI"/>
        </w:rPr>
        <w:t xml:space="preserve"> </w:t>
      </w:r>
      <w:r w:rsidR="1A878FA6" w:rsidRPr="760B44C9">
        <w:rPr>
          <w:rFonts w:eastAsia="Segoe UI" w:cs="Segoe UI"/>
        </w:rPr>
        <w:t>may help to address gaps in evidence</w:t>
      </w:r>
      <w:r w:rsidR="578C6DEB" w:rsidRPr="760B44C9">
        <w:rPr>
          <w:rFonts w:eastAsia="Segoe UI" w:cs="Segoe UI"/>
        </w:rPr>
        <w:t xml:space="preserve">, </w:t>
      </w:r>
      <w:r w:rsidR="46D9FEB6" w:rsidRPr="760B44C9">
        <w:rPr>
          <w:rFonts w:eastAsia="Segoe UI" w:cs="Segoe UI"/>
        </w:rPr>
        <w:t xml:space="preserve">validate </w:t>
      </w:r>
      <w:r w:rsidR="5183630D" w:rsidRPr="760B44C9">
        <w:rPr>
          <w:rFonts w:eastAsia="Segoe UI" w:cs="Segoe UI"/>
        </w:rPr>
        <w:t>claims</w:t>
      </w:r>
      <w:r w:rsidR="30FCD862" w:rsidRPr="760B44C9">
        <w:rPr>
          <w:rFonts w:eastAsia="Segoe UI" w:cs="Segoe UI"/>
        </w:rPr>
        <w:t>, clarify consequences</w:t>
      </w:r>
      <w:r w:rsidR="46D9FEB6" w:rsidRPr="760B44C9">
        <w:rPr>
          <w:rFonts w:eastAsia="Segoe UI" w:cs="Segoe UI"/>
        </w:rPr>
        <w:t xml:space="preserve"> and </w:t>
      </w:r>
      <w:r w:rsidR="741C13CF" w:rsidRPr="760B44C9">
        <w:rPr>
          <w:rFonts w:eastAsia="Segoe UI" w:cs="Segoe UI"/>
        </w:rPr>
        <w:t>aid the interpretation of evidence, especially for the local setting.</w:t>
      </w:r>
    </w:p>
    <w:p w14:paraId="6498B641" w14:textId="71C81A42" w:rsidR="0D0499A5" w:rsidRDefault="0D0499A5" w:rsidP="008551FC">
      <w:pPr>
        <w:spacing w:before="240" w:after="240"/>
        <w:rPr>
          <w:rFonts w:eastAsia="Segoe UI" w:cs="Segoe UI"/>
        </w:rPr>
      </w:pPr>
      <w:r w:rsidRPr="427528D4">
        <w:rPr>
          <w:rFonts w:eastAsia="Segoe UI" w:cs="Segoe UI"/>
        </w:rPr>
        <w:t>The Department characterises effective stakeholder engagement as two-way open communication that involves listening to stakeholders, keeping them informed and being clear about how their contributions are being used</w:t>
      </w:r>
      <w:r w:rsidR="00E06B20">
        <w:rPr>
          <w:rFonts w:eastAsia="Segoe UI" w:cs="Segoe UI"/>
        </w:rPr>
        <w:t>.</w:t>
      </w:r>
      <w:r w:rsidR="002E7AB1">
        <w:rPr>
          <w:rStyle w:val="FootnoteReference"/>
          <w:rFonts w:eastAsia="Segoe UI" w:cs="Segoe UI"/>
        </w:rPr>
        <w:footnoteReference w:id="114"/>
      </w:r>
      <w:r w:rsidR="00FD3119">
        <w:rPr>
          <w:rFonts w:eastAsia="Segoe UI" w:cs="Segoe UI"/>
        </w:rPr>
        <w:t xml:space="preserve"> </w:t>
      </w:r>
      <w:r w:rsidRPr="427528D4">
        <w:rPr>
          <w:rFonts w:eastAsia="Segoe UI" w:cs="Segoe UI"/>
        </w:rPr>
        <w:t>Similarly, transparency is more than sharing information or data</w:t>
      </w:r>
      <w:r w:rsidR="00E06B20">
        <w:rPr>
          <w:rFonts w:eastAsia="Segoe UI" w:cs="Segoe UI"/>
        </w:rPr>
        <w:t>. I</w:t>
      </w:r>
      <w:r w:rsidRPr="427528D4">
        <w:rPr>
          <w:rFonts w:eastAsia="Segoe UI" w:cs="Segoe UI"/>
        </w:rPr>
        <w:t>t includes keeping people informed and supporting them to understand matters that are important to them. This means information needs to be fit-for-purpose and easily accessed and understood by all stakeholders.</w:t>
      </w:r>
      <w:r w:rsidR="00FA396E">
        <w:rPr>
          <w:rFonts w:eastAsia="Segoe UI" w:cs="Segoe UI"/>
        </w:rPr>
        <w:t xml:space="preserve"> </w:t>
      </w:r>
    </w:p>
    <w:p w14:paraId="0F87BAD4" w14:textId="77777777" w:rsidR="00AE608E" w:rsidRDefault="00AE608E" w:rsidP="008551FC">
      <w:pPr>
        <w:spacing w:before="240" w:after="240"/>
        <w:rPr>
          <w:rFonts w:eastAsia="Segoe UI" w:cs="Segoe UI"/>
        </w:rPr>
      </w:pPr>
    </w:p>
    <w:p w14:paraId="561E30A7" w14:textId="4E2F242E" w:rsidR="0D0499A5" w:rsidRDefault="66507E47" w:rsidP="008551FC">
      <w:pPr>
        <w:spacing w:before="240" w:after="240"/>
        <w:rPr>
          <w:rFonts w:eastAsia="Segoe UI" w:cs="Segoe UI"/>
        </w:rPr>
      </w:pPr>
      <w:r w:rsidRPr="358E990F">
        <w:rPr>
          <w:rFonts w:eastAsia="Segoe UI" w:cs="Segoe UI"/>
        </w:rPr>
        <w:lastRenderedPageBreak/>
        <w:t>Partnership, c</w:t>
      </w:r>
      <w:r w:rsidR="0D0499A5" w:rsidRPr="358E990F">
        <w:rPr>
          <w:rFonts w:eastAsia="Segoe UI" w:cs="Segoe UI"/>
        </w:rPr>
        <w:t xml:space="preserve">ollaboration, cooperation and transparency are key themes underpinning the </w:t>
      </w:r>
      <w:r w:rsidR="00D8365A">
        <w:rPr>
          <w:rFonts w:eastAsia="Segoe UI" w:cs="Segoe UI"/>
        </w:rPr>
        <w:t>NMP</w:t>
      </w:r>
      <w:r w:rsidR="002F4AD5">
        <w:rPr>
          <w:rFonts w:eastAsia="Segoe UI" w:cs="Segoe UI"/>
        </w:rPr>
        <w:t>. They are</w:t>
      </w:r>
      <w:r w:rsidR="0D0499A5" w:rsidRPr="358E990F">
        <w:rPr>
          <w:rFonts w:eastAsia="Segoe UI" w:cs="Segoe UI"/>
        </w:rPr>
        <w:t xml:space="preserve"> integral to achieving the aim of the policy and the intended outcomes of each of </w:t>
      </w:r>
      <w:r w:rsidR="00E06B20">
        <w:rPr>
          <w:rFonts w:eastAsia="Segoe UI" w:cs="Segoe UI"/>
        </w:rPr>
        <w:t>its</w:t>
      </w:r>
      <w:r w:rsidR="00E06B20" w:rsidRPr="358E990F">
        <w:rPr>
          <w:rFonts w:eastAsia="Segoe UI" w:cs="Segoe UI"/>
        </w:rPr>
        <w:t xml:space="preserve"> </w:t>
      </w:r>
      <w:r w:rsidR="0D0499A5" w:rsidRPr="358E990F">
        <w:rPr>
          <w:rFonts w:eastAsia="Segoe UI" w:cs="Segoe UI"/>
        </w:rPr>
        <w:t xml:space="preserve">central </w:t>
      </w:r>
      <w:r w:rsidR="0D0499A5" w:rsidRPr="007A4F11">
        <w:rPr>
          <w:rFonts w:eastAsia="Segoe UI" w:cs="Segoe UI"/>
        </w:rPr>
        <w:t>pillars.</w:t>
      </w:r>
      <w:r w:rsidR="00253281">
        <w:rPr>
          <w:rStyle w:val="FootnoteReference"/>
          <w:rFonts w:eastAsia="Segoe UI" w:cs="Segoe UI"/>
        </w:rPr>
        <w:footnoteReference w:id="115"/>
      </w:r>
      <w:r w:rsidR="00453069">
        <w:rPr>
          <w:rFonts w:eastAsia="Segoe UI" w:cs="Segoe UI"/>
        </w:rPr>
        <w:t xml:space="preserve"> </w:t>
      </w:r>
      <w:r w:rsidR="0D0499A5" w:rsidRPr="358E990F">
        <w:rPr>
          <w:rFonts w:eastAsia="Segoe UI" w:cs="Segoe UI"/>
        </w:rPr>
        <w:t>The success of the NMP relies on shared decision-making, strategic partnerships and the involvement of people with lived experience in the co-design, development, implementation and evaluation of related policies, strategies, programs and initiatives.</w:t>
      </w:r>
      <w:r w:rsidR="1213809A" w:rsidRPr="358E990F">
        <w:rPr>
          <w:rFonts w:eastAsia="Segoe UI" w:cs="Segoe UI"/>
        </w:rPr>
        <w:t xml:space="preserve"> The Review participants identified the importance of </w:t>
      </w:r>
      <w:r w:rsidR="00200F27">
        <w:rPr>
          <w:rFonts w:eastAsia="Segoe UI" w:cs="Segoe UI"/>
        </w:rPr>
        <w:t>achieving the intended outcomes of</w:t>
      </w:r>
      <w:r w:rsidR="00045738">
        <w:rPr>
          <w:rFonts w:eastAsia="Segoe UI" w:cs="Segoe UI"/>
        </w:rPr>
        <w:t xml:space="preserve"> </w:t>
      </w:r>
      <w:r w:rsidR="1213809A" w:rsidRPr="358E990F">
        <w:rPr>
          <w:rFonts w:eastAsia="Segoe UI" w:cs="Segoe UI"/>
        </w:rPr>
        <w:t xml:space="preserve">the NMP and complementing the </w:t>
      </w:r>
      <w:r w:rsidR="00CD465F">
        <w:rPr>
          <w:rFonts w:eastAsia="Segoe UI" w:cs="Segoe UI"/>
        </w:rPr>
        <w:t>c</w:t>
      </w:r>
      <w:r w:rsidR="1213809A" w:rsidRPr="00C36923">
        <w:rPr>
          <w:rFonts w:eastAsia="Segoe UI" w:cs="Segoe UI"/>
        </w:rPr>
        <w:t>o-design of</w:t>
      </w:r>
      <w:r w:rsidR="009C423E">
        <w:rPr>
          <w:rFonts w:eastAsia="Segoe UI" w:cs="Segoe UI"/>
        </w:rPr>
        <w:t xml:space="preserve"> </w:t>
      </w:r>
      <w:r w:rsidR="00CD465F">
        <w:rPr>
          <w:rFonts w:eastAsia="Segoe UI" w:cs="Segoe UI"/>
        </w:rPr>
        <w:t>an</w:t>
      </w:r>
      <w:r w:rsidR="1213809A" w:rsidRPr="00C36923">
        <w:rPr>
          <w:rFonts w:eastAsia="Segoe UI" w:cs="Segoe UI"/>
        </w:rPr>
        <w:t xml:space="preserve"> Enhanced Consumer Engagement Process</w:t>
      </w:r>
      <w:r w:rsidR="00F75BDE">
        <w:rPr>
          <w:rFonts w:eastAsia="Segoe UI" w:cs="Segoe UI"/>
        </w:rPr>
        <w:t>.</w:t>
      </w:r>
      <w:r w:rsidR="005124FF" w:rsidRPr="00C36923">
        <w:rPr>
          <w:rStyle w:val="FootnoteReference"/>
          <w:rFonts w:eastAsia="Segoe UI" w:cs="Segoe UI"/>
        </w:rPr>
        <w:footnoteReference w:id="116"/>
      </w:r>
      <w:r w:rsidR="77DBC353" w:rsidRPr="52FE5B6D">
        <w:rPr>
          <w:rFonts w:eastAsia="Segoe UI" w:cs="Segoe UI"/>
        </w:rPr>
        <w:t xml:space="preserve"> The latter project focu</w:t>
      </w:r>
      <w:r w:rsidR="00AF35E9">
        <w:rPr>
          <w:rFonts w:eastAsia="Segoe UI" w:cs="Segoe UI"/>
        </w:rPr>
        <w:t>s</w:t>
      </w:r>
      <w:r w:rsidR="77DBC353" w:rsidRPr="52FE5B6D">
        <w:rPr>
          <w:rFonts w:eastAsia="Segoe UI" w:cs="Segoe UI"/>
        </w:rPr>
        <w:t xml:space="preserve">es on access to earlier information about new health </w:t>
      </w:r>
      <w:r w:rsidR="00B804C4" w:rsidRPr="52FE5B6D">
        <w:rPr>
          <w:rFonts w:eastAsia="Segoe UI" w:cs="Segoe UI"/>
        </w:rPr>
        <w:t>technologies</w:t>
      </w:r>
      <w:r w:rsidR="77DBC353" w:rsidRPr="52FE5B6D">
        <w:rPr>
          <w:rFonts w:eastAsia="Segoe UI" w:cs="Segoe UI"/>
        </w:rPr>
        <w:t xml:space="preserve"> and improving </w:t>
      </w:r>
      <w:r w:rsidR="00CD465F">
        <w:rPr>
          <w:rFonts w:eastAsia="Segoe UI" w:cs="Segoe UI"/>
        </w:rPr>
        <w:t xml:space="preserve">the </w:t>
      </w:r>
      <w:r w:rsidR="77DBC353" w:rsidRPr="52FE5B6D">
        <w:rPr>
          <w:rFonts w:eastAsia="Segoe UI" w:cs="Segoe UI"/>
        </w:rPr>
        <w:t>understanding of consumer issues before a medicine is listed.</w:t>
      </w:r>
    </w:p>
    <w:p w14:paraId="2D84D55A" w14:textId="6E1BC5BE" w:rsidR="21E88D71" w:rsidRDefault="66AF2360" w:rsidP="008551FC">
      <w:pPr>
        <w:spacing w:before="240" w:after="240"/>
        <w:rPr>
          <w:rFonts w:eastAsia="Segoe UI" w:cs="Segoe UI"/>
        </w:rPr>
      </w:pPr>
      <w:r w:rsidRPr="008C0FD0">
        <w:rPr>
          <w:rFonts w:eastAsia="Segoe UI" w:cs="Segoe UI"/>
        </w:rPr>
        <w:t>The</w:t>
      </w:r>
      <w:r w:rsidR="1BB282BE" w:rsidRPr="008C0FD0">
        <w:rPr>
          <w:rFonts w:eastAsia="Segoe UI" w:cs="Segoe UI"/>
        </w:rPr>
        <w:t xml:space="preserve"> principles of communication, transparency and stakeholder engagement are fundamental features of </w:t>
      </w:r>
      <w:r w:rsidR="60376138" w:rsidRPr="008C0FD0">
        <w:rPr>
          <w:rFonts w:eastAsia="Segoe UI" w:cs="Segoe UI"/>
        </w:rPr>
        <w:t xml:space="preserve">existing Australian </w:t>
      </w:r>
      <w:r w:rsidR="1BB282BE" w:rsidRPr="008C0FD0">
        <w:rPr>
          <w:rFonts w:eastAsia="Segoe UI" w:cs="Segoe UI"/>
        </w:rPr>
        <w:t xml:space="preserve">HTA processes. However, multiple issues were identified that require solutions to improve communication and </w:t>
      </w:r>
      <w:r w:rsidR="39D8AF8F" w:rsidRPr="008C0FD0">
        <w:rPr>
          <w:rFonts w:eastAsia="Segoe UI" w:cs="Segoe UI"/>
        </w:rPr>
        <w:t>transparency</w:t>
      </w:r>
      <w:r w:rsidR="009C21D4">
        <w:rPr>
          <w:rFonts w:eastAsia="Segoe UI" w:cs="Segoe UI"/>
        </w:rPr>
        <w:t>,</w:t>
      </w:r>
      <w:r w:rsidR="39D8AF8F" w:rsidRPr="008C0FD0">
        <w:rPr>
          <w:rFonts w:eastAsia="Segoe UI" w:cs="Segoe UI"/>
        </w:rPr>
        <w:t xml:space="preserve"> </w:t>
      </w:r>
      <w:r w:rsidR="00466B50">
        <w:rPr>
          <w:rFonts w:eastAsia="Segoe UI" w:cs="Segoe UI"/>
        </w:rPr>
        <w:t>and</w:t>
      </w:r>
      <w:r w:rsidR="1BB282BE" w:rsidRPr="008C0FD0">
        <w:rPr>
          <w:rFonts w:eastAsia="Segoe UI" w:cs="Segoe UI"/>
        </w:rPr>
        <w:t xml:space="preserve"> optimise how patients, consumers, health professionals and other stakeholders engage across all HTA processes. The Review therefore recommends a range of initiatives across the HTA continuum to better engage with those who are </w:t>
      </w:r>
      <w:r w:rsidR="00D749FB">
        <w:rPr>
          <w:rFonts w:eastAsia="Segoe UI" w:cs="Segoe UI"/>
        </w:rPr>
        <w:t>affected</w:t>
      </w:r>
      <w:r w:rsidR="00D749FB" w:rsidRPr="008C0FD0">
        <w:rPr>
          <w:rFonts w:eastAsia="Segoe UI" w:cs="Segoe UI"/>
        </w:rPr>
        <w:t xml:space="preserve"> </w:t>
      </w:r>
      <w:r w:rsidR="1BB282BE" w:rsidRPr="008C0FD0">
        <w:rPr>
          <w:rFonts w:eastAsia="Segoe UI" w:cs="Segoe UI"/>
        </w:rPr>
        <w:t>by HTA decisions and to improve transparency.</w:t>
      </w:r>
    </w:p>
    <w:p w14:paraId="16B06386" w14:textId="1D4EC2C1" w:rsidR="300AAF20" w:rsidRPr="00B61FDC" w:rsidRDefault="300AAF20" w:rsidP="008551FC">
      <w:pPr>
        <w:spacing w:after="0"/>
        <w:rPr>
          <w:rFonts w:eastAsia="Segoe UI" w:cs="Segoe UI"/>
        </w:rPr>
      </w:pPr>
      <w:r w:rsidRPr="00B61FDC">
        <w:rPr>
          <w:rFonts w:eastAsia="Segoe UI" w:cs="Segoe UI"/>
        </w:rPr>
        <w:t>Th</w:t>
      </w:r>
      <w:r w:rsidR="00C3345B" w:rsidRPr="00B61FDC">
        <w:rPr>
          <w:rFonts w:eastAsia="Segoe UI" w:cs="Segoe UI"/>
        </w:rPr>
        <w:t>is chapter covers th</w:t>
      </w:r>
      <w:r w:rsidR="00D749FB" w:rsidRPr="00B61FDC">
        <w:rPr>
          <w:rFonts w:eastAsia="Segoe UI" w:cs="Segoe UI"/>
        </w:rPr>
        <w:t xml:space="preserve">e </w:t>
      </w:r>
      <w:r w:rsidRPr="00B61FDC">
        <w:rPr>
          <w:rFonts w:eastAsia="Segoe UI" w:cs="Segoe UI"/>
        </w:rPr>
        <w:t>Review’s consideration and recommendations</w:t>
      </w:r>
      <w:r w:rsidR="00D749FB" w:rsidRPr="00B61FDC">
        <w:rPr>
          <w:rFonts w:eastAsia="Segoe UI" w:cs="Segoe UI"/>
        </w:rPr>
        <w:t>:</w:t>
      </w:r>
      <w:r w:rsidRPr="00B61FDC">
        <w:rPr>
          <w:rFonts w:eastAsia="Segoe UI" w:cs="Segoe UI"/>
        </w:rPr>
        <w:t xml:space="preserve"> </w:t>
      </w:r>
    </w:p>
    <w:p w14:paraId="4D35E0A7" w14:textId="3A7E0103" w:rsidR="300AAF20" w:rsidRPr="00A318F7" w:rsidRDefault="300AAF20" w:rsidP="00274AA9">
      <w:pPr>
        <w:pStyle w:val="ListBullet"/>
      </w:pPr>
      <w:r w:rsidRPr="00A318F7">
        <w:t xml:space="preserve">Transparency and </w:t>
      </w:r>
      <w:r w:rsidR="00D749FB" w:rsidRPr="00A318F7">
        <w:t>c</w:t>
      </w:r>
      <w:r w:rsidRPr="00A318F7">
        <w:t xml:space="preserve">ommunication of HTA </w:t>
      </w:r>
      <w:r w:rsidR="00D749FB" w:rsidRPr="00A318F7">
        <w:t>p</w:t>
      </w:r>
      <w:r w:rsidRPr="00A318F7">
        <w:t xml:space="preserve">athways, </w:t>
      </w:r>
      <w:r w:rsidR="00D749FB" w:rsidRPr="00A318F7">
        <w:t>p</w:t>
      </w:r>
      <w:r w:rsidRPr="00A318F7">
        <w:t>rocesses</w:t>
      </w:r>
      <w:r w:rsidR="00D749FB" w:rsidRPr="00A318F7">
        <w:t xml:space="preserve"> and d</w:t>
      </w:r>
      <w:r w:rsidRPr="00A318F7">
        <w:t xml:space="preserve">ecisions (Chapter </w:t>
      </w:r>
      <w:r w:rsidR="003F15EA" w:rsidRPr="00A318F7">
        <w:t>6</w:t>
      </w:r>
      <w:r w:rsidRPr="00A318F7">
        <w:t>.1)</w:t>
      </w:r>
    </w:p>
    <w:p w14:paraId="160C545A" w14:textId="470E3AF6" w:rsidR="300AAF20" w:rsidRPr="00A318F7" w:rsidRDefault="300AAF20" w:rsidP="00274AA9">
      <w:pPr>
        <w:pStyle w:val="ListBullet"/>
      </w:pPr>
      <w:r w:rsidRPr="00A318F7">
        <w:t>Consumer, clinical and other stakeholder involvement and consideration in HTA</w:t>
      </w:r>
      <w:r w:rsidR="002E5B76" w:rsidRPr="00A318F7">
        <w:t>s</w:t>
      </w:r>
      <w:r w:rsidRPr="00A318F7">
        <w:t xml:space="preserve"> (Chapter </w:t>
      </w:r>
      <w:r w:rsidR="003F15EA" w:rsidRPr="00A318F7">
        <w:t>6</w:t>
      </w:r>
      <w:r w:rsidRPr="00A318F7">
        <w:t>.2)</w:t>
      </w:r>
    </w:p>
    <w:p w14:paraId="6A7FFEA7" w14:textId="347F66C6" w:rsidR="300AAF20" w:rsidRPr="00A318F7" w:rsidRDefault="300AAF20" w:rsidP="00274AA9">
      <w:pPr>
        <w:pStyle w:val="ListBullet"/>
      </w:pPr>
      <w:r w:rsidRPr="00A318F7">
        <w:t xml:space="preserve">Development of an explicit qualitative value framework (Chapter </w:t>
      </w:r>
      <w:r w:rsidR="003F15EA" w:rsidRPr="00A318F7">
        <w:t>6</w:t>
      </w:r>
      <w:r w:rsidRPr="00A318F7">
        <w:t>.3).</w:t>
      </w:r>
    </w:p>
    <w:p w14:paraId="24ADCC37" w14:textId="0EF9A031" w:rsidR="300AAF20" w:rsidRPr="005B4ED4" w:rsidRDefault="002E5B76" w:rsidP="000C5623">
      <w:r>
        <w:t xml:space="preserve">Note: </w:t>
      </w:r>
      <w:r w:rsidR="300AAF20" w:rsidRPr="005B4ED4">
        <w:t>First Nations people</w:t>
      </w:r>
      <w:r w:rsidR="00F84C2A">
        <w:t>’</w:t>
      </w:r>
      <w:r w:rsidR="300AAF20" w:rsidRPr="005B4ED4">
        <w:t>s involvement and consideration in HTA</w:t>
      </w:r>
      <w:r>
        <w:t>s</w:t>
      </w:r>
      <w:r w:rsidR="300AAF20" w:rsidRPr="000C5623">
        <w:t xml:space="preserve"> </w:t>
      </w:r>
      <w:r w:rsidR="300AAF20" w:rsidRPr="005B4ED4">
        <w:t xml:space="preserve">requires holistic solutions integrated across the HTA continuum </w:t>
      </w:r>
      <w:r>
        <w:t>(see</w:t>
      </w:r>
      <w:r w:rsidR="300AAF20" w:rsidRPr="005B4ED4">
        <w:t xml:space="preserve"> Chapter </w:t>
      </w:r>
      <w:r w:rsidR="6EFC23E2" w:rsidRPr="005B4ED4">
        <w:t>3</w:t>
      </w:r>
      <w:r w:rsidR="300AAF20" w:rsidRPr="005B4ED4">
        <w:t>.1</w:t>
      </w:r>
      <w:r>
        <w:t>)</w:t>
      </w:r>
      <w:r w:rsidR="300AAF20" w:rsidRPr="005B4ED4">
        <w:t>.</w:t>
      </w:r>
    </w:p>
    <w:p w14:paraId="39F691C0" w14:textId="198331F3" w:rsidR="1C14E509" w:rsidRDefault="005756FD" w:rsidP="002B25F3">
      <w:pPr>
        <w:pStyle w:val="Heading2"/>
        <w:rPr>
          <w:rFonts w:eastAsia="Segoe UI"/>
          <w:color w:val="00808A" w:themeColor="accent3"/>
        </w:rPr>
      </w:pPr>
      <w:bookmarkStart w:id="368" w:name="_Toc164685831"/>
      <w:bookmarkStart w:id="369" w:name="_Toc164691434"/>
      <w:bookmarkStart w:id="370" w:name="_Toc164696232"/>
      <w:bookmarkStart w:id="371" w:name="_Toc164696378"/>
      <w:bookmarkStart w:id="372" w:name="_Toc164767768"/>
      <w:bookmarkStart w:id="373" w:name="_Toc165473698"/>
      <w:bookmarkStart w:id="374" w:name="_Toc171935886"/>
      <w:r>
        <w:rPr>
          <w:rFonts w:eastAsia="Segoe UI"/>
        </w:rPr>
        <w:t xml:space="preserve">Chapter 6.1: </w:t>
      </w:r>
      <w:r w:rsidR="1C14E509" w:rsidRPr="7AF5050B">
        <w:rPr>
          <w:rFonts w:eastAsia="Segoe UI"/>
        </w:rPr>
        <w:t xml:space="preserve">Transparency and </w:t>
      </w:r>
      <w:r w:rsidR="00D749FB">
        <w:rPr>
          <w:rFonts w:eastAsia="Segoe UI"/>
        </w:rPr>
        <w:t>c</w:t>
      </w:r>
      <w:r w:rsidR="1C14E509" w:rsidRPr="7AF5050B">
        <w:rPr>
          <w:rFonts w:eastAsia="Segoe UI"/>
        </w:rPr>
        <w:t xml:space="preserve">ommunication of HTA </w:t>
      </w:r>
      <w:r w:rsidR="00D749FB">
        <w:rPr>
          <w:rFonts w:eastAsia="Segoe UI"/>
        </w:rPr>
        <w:t>p</w:t>
      </w:r>
      <w:r w:rsidR="1C14E509" w:rsidRPr="7AF5050B">
        <w:rPr>
          <w:rFonts w:eastAsia="Segoe UI"/>
        </w:rPr>
        <w:t xml:space="preserve">athways, </w:t>
      </w:r>
      <w:r w:rsidR="00D749FB">
        <w:rPr>
          <w:rFonts w:eastAsia="Segoe UI"/>
        </w:rPr>
        <w:t>p</w:t>
      </w:r>
      <w:r w:rsidR="1C14E509" w:rsidRPr="7AF5050B">
        <w:rPr>
          <w:rFonts w:eastAsia="Segoe UI"/>
        </w:rPr>
        <w:t>rocesses</w:t>
      </w:r>
      <w:r w:rsidR="00D749FB">
        <w:rPr>
          <w:rFonts w:eastAsia="Segoe UI"/>
        </w:rPr>
        <w:t xml:space="preserve"> and</w:t>
      </w:r>
      <w:r w:rsidR="1C14E509" w:rsidRPr="7AF5050B">
        <w:rPr>
          <w:rFonts w:eastAsia="Segoe UI"/>
        </w:rPr>
        <w:t xml:space="preserve"> </w:t>
      </w:r>
      <w:r w:rsidR="00D749FB">
        <w:rPr>
          <w:rFonts w:eastAsia="Segoe UI"/>
        </w:rPr>
        <w:t>d</w:t>
      </w:r>
      <w:r w:rsidR="1C14E509" w:rsidRPr="7AF5050B">
        <w:rPr>
          <w:rFonts w:eastAsia="Segoe UI"/>
        </w:rPr>
        <w:t>ecisions</w:t>
      </w:r>
      <w:bookmarkEnd w:id="368"/>
      <w:bookmarkEnd w:id="369"/>
      <w:bookmarkEnd w:id="370"/>
      <w:bookmarkEnd w:id="371"/>
      <w:bookmarkEnd w:id="372"/>
      <w:bookmarkEnd w:id="373"/>
      <w:bookmarkEnd w:id="374"/>
    </w:p>
    <w:p w14:paraId="60CD7630" w14:textId="2800253D" w:rsidR="001C061E" w:rsidRPr="00621C17" w:rsidRDefault="007175D7" w:rsidP="00A318F7">
      <w:pPr>
        <w:pStyle w:val="Heading3"/>
      </w:pPr>
      <w:r>
        <w:t>Introduction and context</w:t>
      </w:r>
    </w:p>
    <w:p w14:paraId="4E9049C5" w14:textId="162334B4" w:rsidR="7B8ABE96" w:rsidRDefault="7B8ABE96" w:rsidP="008551FC">
      <w:pPr>
        <w:rPr>
          <w:rFonts w:eastAsia="Segoe UI" w:cs="Segoe UI"/>
        </w:rPr>
      </w:pPr>
      <w:r w:rsidRPr="40428911">
        <w:rPr>
          <w:rFonts w:eastAsia="Segoe UI" w:cs="Segoe UI"/>
        </w:rPr>
        <w:t>The Department publishes information about HTA pathways, processes and decisions on various websites, including those for the PBS</w:t>
      </w:r>
      <w:r w:rsidR="00EE4EC9" w:rsidRPr="40428911">
        <w:rPr>
          <w:rStyle w:val="FootnoteReference"/>
          <w:rFonts w:eastAsia="Segoe UI" w:cs="Segoe UI"/>
        </w:rPr>
        <w:footnoteReference w:id="117"/>
      </w:r>
      <w:r w:rsidRPr="40428911">
        <w:rPr>
          <w:rFonts w:eastAsia="Segoe UI" w:cs="Segoe UI"/>
        </w:rPr>
        <w:t xml:space="preserve"> (and Medicines Status</w:t>
      </w:r>
      <w:r w:rsidR="002E5B76">
        <w:rPr>
          <w:rFonts w:eastAsia="Segoe UI" w:cs="Segoe UI"/>
        </w:rPr>
        <w:t xml:space="preserve"> Website</w:t>
      </w:r>
      <w:r w:rsidR="00481136" w:rsidRPr="40428911">
        <w:rPr>
          <w:rStyle w:val="FootnoteReference"/>
          <w:rFonts w:eastAsia="Segoe UI" w:cs="Segoe UI"/>
        </w:rPr>
        <w:footnoteReference w:id="118"/>
      </w:r>
      <w:r w:rsidRPr="40428911">
        <w:rPr>
          <w:rFonts w:eastAsia="Segoe UI" w:cs="Segoe UI"/>
        </w:rPr>
        <w:t xml:space="preserve">), </w:t>
      </w:r>
      <w:r w:rsidR="002E5B76">
        <w:rPr>
          <w:rFonts w:eastAsia="Segoe UI" w:cs="Segoe UI"/>
        </w:rPr>
        <w:lastRenderedPageBreak/>
        <w:t xml:space="preserve">the </w:t>
      </w:r>
      <w:r w:rsidRPr="40428911">
        <w:rPr>
          <w:rFonts w:eastAsia="Segoe UI" w:cs="Segoe UI"/>
        </w:rPr>
        <w:t>MBS</w:t>
      </w:r>
      <w:r w:rsidR="007861CD">
        <w:rPr>
          <w:rFonts w:eastAsia="Segoe UI" w:cs="Segoe UI"/>
        </w:rPr>
        <w:t>,</w:t>
      </w:r>
      <w:r w:rsidR="00510C51" w:rsidRPr="40428911">
        <w:rPr>
          <w:rStyle w:val="FootnoteReference"/>
          <w:rFonts w:eastAsia="Segoe UI" w:cs="Segoe UI"/>
        </w:rPr>
        <w:footnoteReference w:id="119"/>
      </w:r>
      <w:r w:rsidRPr="40428911">
        <w:rPr>
          <w:rFonts w:eastAsia="Segoe UI" w:cs="Segoe UI"/>
        </w:rPr>
        <w:t xml:space="preserve"> the PBAC</w:t>
      </w:r>
      <w:r w:rsidR="007861CD">
        <w:rPr>
          <w:rFonts w:eastAsia="Segoe UI" w:cs="Segoe UI"/>
        </w:rPr>
        <w:t>,</w:t>
      </w:r>
      <w:r w:rsidR="009B37B2" w:rsidRPr="40428911">
        <w:rPr>
          <w:rStyle w:val="FootnoteReference"/>
          <w:rFonts w:eastAsia="Segoe UI" w:cs="Segoe UI"/>
        </w:rPr>
        <w:footnoteReference w:id="120"/>
      </w:r>
      <w:r w:rsidR="00073347" w:rsidRPr="40428911">
        <w:rPr>
          <w:rFonts w:eastAsia="Segoe UI" w:cs="Segoe UI"/>
        </w:rPr>
        <w:t xml:space="preserve"> </w:t>
      </w:r>
      <w:r w:rsidRPr="40428911">
        <w:rPr>
          <w:rFonts w:eastAsia="Segoe UI" w:cs="Segoe UI"/>
        </w:rPr>
        <w:t>the MSAC</w:t>
      </w:r>
      <w:r w:rsidR="001C4B39" w:rsidRPr="40428911">
        <w:rPr>
          <w:rStyle w:val="FootnoteReference"/>
          <w:rFonts w:eastAsia="Segoe UI" w:cs="Segoe UI"/>
        </w:rPr>
        <w:footnoteReference w:id="121"/>
      </w:r>
      <w:r w:rsidRPr="40428911">
        <w:rPr>
          <w:rFonts w:eastAsia="Segoe UI" w:cs="Segoe UI"/>
        </w:rPr>
        <w:t xml:space="preserve"> and the Consultation Hub</w:t>
      </w:r>
      <w:r w:rsidR="007861CD">
        <w:rPr>
          <w:rFonts w:eastAsia="Segoe UI" w:cs="Segoe UI"/>
        </w:rPr>
        <w:t>.</w:t>
      </w:r>
      <w:r w:rsidR="001F052A" w:rsidRPr="40428911">
        <w:rPr>
          <w:rStyle w:val="FootnoteReference"/>
          <w:rFonts w:eastAsia="Segoe UI" w:cs="Segoe UI"/>
        </w:rPr>
        <w:footnoteReference w:id="122"/>
      </w:r>
      <w:r w:rsidRPr="40428911">
        <w:rPr>
          <w:rFonts w:eastAsia="Segoe UI" w:cs="Segoe UI"/>
        </w:rPr>
        <w:t xml:space="preserve"> </w:t>
      </w:r>
      <w:r w:rsidR="002E5B76">
        <w:rPr>
          <w:rFonts w:eastAsia="Segoe UI" w:cs="Segoe UI"/>
        </w:rPr>
        <w:t>I</w:t>
      </w:r>
      <w:r w:rsidRPr="40428911">
        <w:rPr>
          <w:rFonts w:eastAsia="Segoe UI" w:cs="Segoe UI"/>
        </w:rPr>
        <w:t xml:space="preserve">nformation </w:t>
      </w:r>
      <w:r w:rsidR="002E5B76">
        <w:rPr>
          <w:rFonts w:eastAsia="Segoe UI" w:cs="Segoe UI"/>
        </w:rPr>
        <w:t xml:space="preserve">is </w:t>
      </w:r>
      <w:r w:rsidRPr="40428911">
        <w:rPr>
          <w:rFonts w:eastAsia="Segoe UI" w:cs="Segoe UI"/>
        </w:rPr>
        <w:t xml:space="preserve">targeted </w:t>
      </w:r>
      <w:r w:rsidR="002E5B76">
        <w:rPr>
          <w:rFonts w:eastAsia="Segoe UI" w:cs="Segoe UI"/>
        </w:rPr>
        <w:t>for</w:t>
      </w:r>
      <w:r w:rsidRPr="40428911">
        <w:rPr>
          <w:rFonts w:eastAsia="Segoe UI" w:cs="Segoe UI"/>
        </w:rPr>
        <w:t xml:space="preserve"> patients, clinicians and sponsors.</w:t>
      </w:r>
    </w:p>
    <w:p w14:paraId="517F792B" w14:textId="3486475D" w:rsidR="7B8ABE96" w:rsidRDefault="7B8ABE96" w:rsidP="008551FC">
      <w:pPr>
        <w:spacing w:before="240" w:after="240"/>
        <w:rPr>
          <w:rFonts w:eastAsia="Segoe UI" w:cs="Segoe UI"/>
          <w:lang w:val="en-US"/>
        </w:rPr>
      </w:pPr>
      <w:r w:rsidRPr="7AF5050B">
        <w:rPr>
          <w:rFonts w:eastAsia="Segoe UI" w:cs="Segoe UI"/>
          <w:lang w:val="en-US"/>
        </w:rPr>
        <w:t>The PBAC</w:t>
      </w:r>
      <w:r w:rsidR="00574785">
        <w:rPr>
          <w:rStyle w:val="FootnoteReference"/>
          <w:rFonts w:eastAsia="Segoe UI" w:cs="Segoe UI"/>
          <w:lang w:val="en-US"/>
        </w:rPr>
        <w:footnoteReference w:id="123"/>
      </w:r>
      <w:r w:rsidRPr="7AF5050B">
        <w:rPr>
          <w:rFonts w:eastAsia="Segoe UI" w:cs="Segoe UI"/>
          <w:lang w:val="en-US"/>
        </w:rPr>
        <w:t xml:space="preserve"> and </w:t>
      </w:r>
      <w:r w:rsidR="002E5B76">
        <w:rPr>
          <w:rFonts w:eastAsia="Segoe UI" w:cs="Segoe UI"/>
          <w:lang w:val="en-US"/>
        </w:rPr>
        <w:t xml:space="preserve">the </w:t>
      </w:r>
      <w:r w:rsidRPr="7AF5050B">
        <w:rPr>
          <w:rFonts w:eastAsia="Segoe UI" w:cs="Segoe UI"/>
          <w:lang w:val="en-US"/>
        </w:rPr>
        <w:t>MSAC</w:t>
      </w:r>
      <w:bookmarkStart w:id="379" w:name="_Ref165637483"/>
      <w:r w:rsidR="00DA2F8F">
        <w:rPr>
          <w:rStyle w:val="FootnoteReference"/>
          <w:rFonts w:eastAsia="Segoe UI" w:cs="Segoe UI"/>
          <w:lang w:val="en-US"/>
        </w:rPr>
        <w:footnoteReference w:id="124"/>
      </w:r>
      <w:bookmarkEnd w:id="379"/>
      <w:r w:rsidRPr="7AF5050B">
        <w:rPr>
          <w:rFonts w:eastAsia="Segoe UI" w:cs="Segoe UI"/>
          <w:lang w:val="en-US"/>
        </w:rPr>
        <w:t xml:space="preserve"> </w:t>
      </w:r>
      <w:r w:rsidR="00BB67DA">
        <w:rPr>
          <w:rFonts w:eastAsia="Segoe UI" w:cs="Segoe UI"/>
          <w:lang w:val="en-US"/>
        </w:rPr>
        <w:t>G</w:t>
      </w:r>
      <w:r w:rsidRPr="7AF5050B">
        <w:rPr>
          <w:rFonts w:eastAsia="Segoe UI" w:cs="Segoe UI"/>
          <w:lang w:val="en-US"/>
        </w:rPr>
        <w:t>uidelines provide information on how to prepare a submission</w:t>
      </w:r>
      <w:r w:rsidR="002E5B76">
        <w:rPr>
          <w:rFonts w:eastAsia="Segoe UI" w:cs="Segoe UI"/>
          <w:lang w:val="en-US"/>
        </w:rPr>
        <w:t xml:space="preserve"> </w:t>
      </w:r>
      <w:r w:rsidR="00512628">
        <w:rPr>
          <w:rFonts w:eastAsia="Segoe UI" w:cs="Segoe UI"/>
          <w:lang w:val="en-US"/>
        </w:rPr>
        <w:t xml:space="preserve">for </w:t>
      </w:r>
      <w:r w:rsidR="002E5B76">
        <w:rPr>
          <w:rFonts w:eastAsia="Segoe UI" w:cs="Segoe UI"/>
          <w:lang w:val="en-US"/>
        </w:rPr>
        <w:t>an HTA</w:t>
      </w:r>
      <w:r w:rsidRPr="7AF5050B">
        <w:rPr>
          <w:rFonts w:eastAsia="Segoe UI" w:cs="Segoe UI"/>
          <w:lang w:val="en-US"/>
        </w:rPr>
        <w:t xml:space="preserve">, including proposed use of the medicine, technology or service, clinical evidence, economic evaluation, extent of use and financial estimates. The </w:t>
      </w:r>
      <w:r w:rsidR="00BB67DA">
        <w:rPr>
          <w:rFonts w:eastAsia="Segoe UI" w:cs="Segoe UI"/>
          <w:lang w:val="en-US"/>
        </w:rPr>
        <w:t>G</w:t>
      </w:r>
      <w:r w:rsidRPr="7AF5050B">
        <w:rPr>
          <w:rFonts w:eastAsia="Segoe UI" w:cs="Segoe UI"/>
          <w:lang w:val="en-US"/>
        </w:rPr>
        <w:t>uidelines include additional relevant information that may influence decision-making</w:t>
      </w:r>
      <w:r w:rsidR="00CB0C54">
        <w:rPr>
          <w:rFonts w:eastAsia="Segoe UI" w:cs="Segoe UI"/>
          <w:lang w:val="en-US"/>
        </w:rPr>
        <w:t>,</w:t>
      </w:r>
      <w:r w:rsidRPr="7AF5050B">
        <w:rPr>
          <w:rFonts w:eastAsia="Segoe UI" w:cs="Segoe UI"/>
          <w:lang w:val="en-US"/>
        </w:rPr>
        <w:t xml:space="preserve"> such </w:t>
      </w:r>
      <w:r w:rsidR="00CB0C54">
        <w:rPr>
          <w:rFonts w:eastAsia="Segoe UI" w:cs="Segoe UI"/>
          <w:lang w:val="en-US"/>
        </w:rPr>
        <w:t>as</w:t>
      </w:r>
      <w:r w:rsidRPr="7AF5050B">
        <w:rPr>
          <w:rFonts w:eastAsia="Segoe UI" w:cs="Segoe UI"/>
          <w:lang w:val="en-US"/>
        </w:rPr>
        <w:t xml:space="preserve"> use of expert opinion (from clinicians or consumers) </w:t>
      </w:r>
      <w:r w:rsidR="2B19E615" w:rsidRPr="7AF5050B">
        <w:rPr>
          <w:rFonts w:eastAsia="Segoe UI" w:cs="Segoe UI"/>
          <w:lang w:val="en-US"/>
        </w:rPr>
        <w:t xml:space="preserve">or issues of </w:t>
      </w:r>
      <w:r w:rsidRPr="7AF5050B">
        <w:rPr>
          <w:rFonts w:eastAsia="Segoe UI" w:cs="Segoe UI"/>
          <w:lang w:val="en-US"/>
        </w:rPr>
        <w:t>equity, ethic</w:t>
      </w:r>
      <w:r w:rsidR="3E1B4FDC" w:rsidRPr="7AF5050B">
        <w:rPr>
          <w:rFonts w:eastAsia="Segoe UI" w:cs="Segoe UI"/>
          <w:lang w:val="en-US"/>
        </w:rPr>
        <w:t>s</w:t>
      </w:r>
      <w:r w:rsidRPr="7AF5050B">
        <w:rPr>
          <w:rFonts w:eastAsia="Segoe UI" w:cs="Segoe UI"/>
          <w:lang w:val="en-US"/>
        </w:rPr>
        <w:t xml:space="preserve">, access </w:t>
      </w:r>
      <w:r w:rsidR="52FB6C78" w:rsidRPr="7AF5050B">
        <w:rPr>
          <w:rFonts w:eastAsia="Segoe UI" w:cs="Segoe UI"/>
          <w:lang w:val="en-US"/>
        </w:rPr>
        <w:t xml:space="preserve">or </w:t>
      </w:r>
      <w:r w:rsidRPr="7AF5050B">
        <w:rPr>
          <w:rFonts w:eastAsia="Segoe UI" w:cs="Segoe UI"/>
          <w:lang w:val="en-US"/>
        </w:rPr>
        <w:t xml:space="preserve">public health. A plain language summary of the </w:t>
      </w:r>
      <w:bookmarkStart w:id="382" w:name="_Hlk167539241"/>
      <w:r w:rsidRPr="7AF5050B">
        <w:rPr>
          <w:rFonts w:eastAsia="Segoe UI" w:cs="Segoe UI"/>
          <w:lang w:val="en-US"/>
        </w:rPr>
        <w:t xml:space="preserve">MSAC </w:t>
      </w:r>
      <w:r w:rsidR="00512628">
        <w:rPr>
          <w:rFonts w:eastAsia="Segoe UI" w:cs="Segoe UI"/>
          <w:lang w:val="en-US"/>
        </w:rPr>
        <w:t>G</w:t>
      </w:r>
      <w:r w:rsidRPr="7AF5050B">
        <w:rPr>
          <w:rFonts w:eastAsia="Segoe UI" w:cs="Segoe UI"/>
          <w:lang w:val="en-US"/>
        </w:rPr>
        <w:t xml:space="preserve">uidelines </w:t>
      </w:r>
      <w:bookmarkEnd w:id="382"/>
      <w:r w:rsidRPr="7AF5050B">
        <w:rPr>
          <w:rFonts w:eastAsia="Segoe UI" w:cs="Segoe UI"/>
          <w:lang w:val="en-US"/>
        </w:rPr>
        <w:t>is available for stakeholders</w:t>
      </w:r>
      <w:r w:rsidR="00512628">
        <w:rPr>
          <w:rFonts w:eastAsia="Segoe UI" w:cs="Segoe UI"/>
          <w:lang w:val="en-US"/>
        </w:rPr>
        <w:t>.</w:t>
      </w:r>
      <w:r w:rsidR="00BD137F">
        <w:rPr>
          <w:rStyle w:val="FootnoteReference"/>
          <w:rFonts w:eastAsia="Segoe UI" w:cs="Segoe UI"/>
          <w:lang w:val="en-US"/>
        </w:rPr>
        <w:footnoteReference w:id="125"/>
      </w:r>
      <w:r w:rsidRPr="7AF5050B">
        <w:rPr>
          <w:rFonts w:eastAsia="Segoe UI" w:cs="Segoe UI"/>
          <w:lang w:val="en-US"/>
        </w:rPr>
        <w:t xml:space="preserve"> Process information for listing medicines on the PBS is presented in a </w:t>
      </w:r>
      <w:r w:rsidR="00512628">
        <w:rPr>
          <w:rFonts w:eastAsia="Segoe UI" w:cs="Segoe UI"/>
          <w:lang w:val="en-US"/>
        </w:rPr>
        <w:t>p</w:t>
      </w:r>
      <w:r w:rsidRPr="7AF5050B">
        <w:rPr>
          <w:rFonts w:eastAsia="Segoe UI" w:cs="Segoe UI"/>
          <w:lang w:val="en-US"/>
        </w:rPr>
        <w:t xml:space="preserve">rocedure </w:t>
      </w:r>
      <w:r w:rsidR="00512628">
        <w:rPr>
          <w:rFonts w:eastAsia="Segoe UI" w:cs="Segoe UI"/>
          <w:lang w:val="en-US"/>
        </w:rPr>
        <w:t>g</w:t>
      </w:r>
      <w:r w:rsidRPr="7AF5050B">
        <w:rPr>
          <w:rFonts w:eastAsia="Segoe UI" w:cs="Segoe UI"/>
          <w:lang w:val="en-US"/>
        </w:rPr>
        <w:t>uidance document</w:t>
      </w:r>
      <w:r w:rsidR="00383468">
        <w:rPr>
          <w:rStyle w:val="FootnoteReference"/>
          <w:rFonts w:eastAsia="Segoe UI" w:cs="Segoe UI"/>
          <w:lang w:val="en-US"/>
        </w:rPr>
        <w:footnoteReference w:id="126"/>
      </w:r>
      <w:r w:rsidRPr="7AF5050B">
        <w:rPr>
          <w:rFonts w:eastAsia="Segoe UI" w:cs="Segoe UI"/>
          <w:lang w:val="en-US"/>
        </w:rPr>
        <w:t xml:space="preserve">. </w:t>
      </w:r>
    </w:p>
    <w:p w14:paraId="2A8EAE5B" w14:textId="1E6C8C16" w:rsidR="7B8ABE96" w:rsidRDefault="7B8ABE96" w:rsidP="008551FC">
      <w:pPr>
        <w:spacing w:before="240" w:after="240"/>
        <w:rPr>
          <w:rFonts w:eastAsia="Segoe UI" w:cs="Segoe UI"/>
          <w:lang w:val="en-US"/>
        </w:rPr>
      </w:pPr>
      <w:r w:rsidRPr="7AF5050B">
        <w:rPr>
          <w:rFonts w:eastAsia="Segoe UI" w:cs="Segoe UI"/>
          <w:lang w:val="en-US"/>
        </w:rPr>
        <w:t xml:space="preserve">Agendas for PBAC and MSAC </w:t>
      </w:r>
      <w:r w:rsidR="00094CBB">
        <w:rPr>
          <w:rFonts w:eastAsia="Segoe UI" w:cs="Segoe UI"/>
          <w:lang w:val="en-US"/>
        </w:rPr>
        <w:t>meetings</w:t>
      </w:r>
      <w:r w:rsidRPr="7AF5050B">
        <w:rPr>
          <w:rFonts w:eastAsia="Segoe UI" w:cs="Segoe UI"/>
          <w:lang w:val="en-US"/>
        </w:rPr>
        <w:t xml:space="preserve"> are published in advance to facilitate consultation input from stakeholders. Any individual or organisation can provide input via a consultation survey or by uploading a separate file. For submissions considered by </w:t>
      </w:r>
      <w:r w:rsidR="00512628">
        <w:rPr>
          <w:rFonts w:eastAsia="Segoe UI" w:cs="Segoe UI"/>
          <w:lang w:val="en-US"/>
        </w:rPr>
        <w:t xml:space="preserve">the </w:t>
      </w:r>
      <w:r w:rsidRPr="7AF5050B">
        <w:rPr>
          <w:rFonts w:eastAsia="Segoe UI" w:cs="Segoe UI"/>
          <w:lang w:val="en-US"/>
        </w:rPr>
        <w:t>PBAC only</w:t>
      </w:r>
      <w:r w:rsidR="00512628">
        <w:rPr>
          <w:rFonts w:eastAsia="Segoe UI" w:cs="Segoe UI"/>
          <w:lang w:val="en-US"/>
        </w:rPr>
        <w:t>,</w:t>
      </w:r>
      <w:r w:rsidRPr="7AF5050B">
        <w:rPr>
          <w:rFonts w:eastAsia="Segoe UI" w:cs="Segoe UI"/>
          <w:lang w:val="en-US"/>
        </w:rPr>
        <w:t xml:space="preserve"> the submission title is published</w:t>
      </w:r>
      <w:r w:rsidR="00512628">
        <w:rPr>
          <w:rFonts w:eastAsia="Segoe UI" w:cs="Segoe UI"/>
          <w:lang w:val="en-US"/>
        </w:rPr>
        <w:t>. F</w:t>
      </w:r>
      <w:r w:rsidRPr="7AF5050B">
        <w:rPr>
          <w:rFonts w:eastAsia="Segoe UI" w:cs="Segoe UI"/>
          <w:lang w:val="en-US"/>
        </w:rPr>
        <w:t xml:space="preserve">or </w:t>
      </w:r>
      <w:r w:rsidR="00512628">
        <w:rPr>
          <w:rFonts w:eastAsia="Segoe UI" w:cs="Segoe UI"/>
          <w:lang w:val="en-US"/>
        </w:rPr>
        <w:t xml:space="preserve">the </w:t>
      </w:r>
      <w:r w:rsidRPr="7AF5050B">
        <w:rPr>
          <w:rFonts w:eastAsia="Segoe UI" w:cs="Segoe UI"/>
          <w:lang w:val="en-US"/>
        </w:rPr>
        <w:t>MSAC</w:t>
      </w:r>
      <w:r w:rsidR="00512628">
        <w:rPr>
          <w:rFonts w:eastAsia="Segoe UI" w:cs="Segoe UI"/>
          <w:lang w:val="en-US"/>
        </w:rPr>
        <w:t>,</w:t>
      </w:r>
      <w:r w:rsidRPr="7AF5050B">
        <w:rPr>
          <w:rFonts w:eastAsia="Segoe UI" w:cs="Segoe UI"/>
          <w:lang w:val="en-US"/>
        </w:rPr>
        <w:t xml:space="preserve"> the application form and PICO </w:t>
      </w:r>
      <w:r w:rsidR="00200F27">
        <w:rPr>
          <w:rFonts w:eastAsia="Segoe UI" w:cs="Segoe UI"/>
          <w:lang w:val="en-US"/>
        </w:rPr>
        <w:t>scoping</w:t>
      </w:r>
      <w:r w:rsidRPr="7AF5050B">
        <w:rPr>
          <w:rFonts w:eastAsia="Segoe UI" w:cs="Segoe UI"/>
          <w:lang w:val="en-US"/>
        </w:rPr>
        <w:t xml:space="preserve"> are published</w:t>
      </w:r>
      <w:r w:rsidR="00512628">
        <w:rPr>
          <w:rFonts w:eastAsia="Segoe UI" w:cs="Segoe UI"/>
          <w:lang w:val="en-US"/>
        </w:rPr>
        <w:t>,</w:t>
      </w:r>
      <w:r w:rsidRPr="7AF5050B">
        <w:rPr>
          <w:rFonts w:eastAsia="Segoe UI" w:cs="Segoe UI"/>
          <w:lang w:val="en-US"/>
        </w:rPr>
        <w:t xml:space="preserve"> providing more information to inform the consultation. </w:t>
      </w:r>
    </w:p>
    <w:p w14:paraId="1EFD0E0C" w14:textId="404FEECC" w:rsidR="7B8ABE96" w:rsidRDefault="0CBC6B3E" w:rsidP="008551FC">
      <w:pPr>
        <w:spacing w:before="240" w:after="240"/>
        <w:rPr>
          <w:rFonts w:eastAsia="Segoe UI" w:cs="Segoe UI"/>
          <w:lang w:val="en-US"/>
        </w:rPr>
      </w:pPr>
      <w:r>
        <w:rPr>
          <w:rFonts w:eastAsia="Segoe UI" w:cs="Segoe UI"/>
          <w:lang w:val="en-US"/>
        </w:rPr>
        <w:t>HTA advisory</w:t>
      </w:r>
      <w:r w:rsidR="17B1581C" w:rsidRPr="7AF5050B">
        <w:rPr>
          <w:rFonts w:eastAsia="Segoe UI" w:cs="Segoe UI"/>
          <w:lang w:val="en-US"/>
        </w:rPr>
        <w:t xml:space="preserve"> committee advice, recommendations and decision rationales are published in </w:t>
      </w:r>
      <w:r w:rsidR="00512628">
        <w:rPr>
          <w:rFonts w:eastAsia="Segoe UI" w:cs="Segoe UI"/>
          <w:lang w:val="en-US"/>
        </w:rPr>
        <w:t>p</w:t>
      </w:r>
      <w:r w:rsidR="17B1581C" w:rsidRPr="7AF5050B">
        <w:rPr>
          <w:rFonts w:eastAsia="Segoe UI" w:cs="Segoe UI"/>
          <w:lang w:val="en-US"/>
        </w:rPr>
        <w:t xml:space="preserve">ublic </w:t>
      </w:r>
      <w:r w:rsidR="00512628">
        <w:rPr>
          <w:rFonts w:eastAsia="Segoe UI" w:cs="Segoe UI"/>
          <w:lang w:val="en-US"/>
        </w:rPr>
        <w:t>s</w:t>
      </w:r>
      <w:r w:rsidR="17B1581C" w:rsidRPr="7AF5050B">
        <w:rPr>
          <w:rFonts w:eastAsia="Segoe UI" w:cs="Segoe UI"/>
          <w:lang w:val="en-US"/>
        </w:rPr>
        <w:t xml:space="preserve">ummary </w:t>
      </w:r>
      <w:r w:rsidR="00512628">
        <w:rPr>
          <w:rFonts w:eastAsia="Segoe UI" w:cs="Segoe UI"/>
          <w:lang w:val="en-US"/>
        </w:rPr>
        <w:t>d</w:t>
      </w:r>
      <w:r w:rsidR="17B1581C" w:rsidRPr="7AF5050B">
        <w:rPr>
          <w:rFonts w:eastAsia="Segoe UI" w:cs="Segoe UI"/>
          <w:lang w:val="en-US"/>
        </w:rPr>
        <w:t>ocuments (PSD</w:t>
      </w:r>
      <w:r w:rsidR="00512628">
        <w:rPr>
          <w:rFonts w:eastAsia="Segoe UI" w:cs="Segoe UI"/>
          <w:lang w:val="en-US"/>
        </w:rPr>
        <w:t>s</w:t>
      </w:r>
      <w:r w:rsidR="17B1581C" w:rsidRPr="7AF5050B">
        <w:rPr>
          <w:rFonts w:eastAsia="Segoe UI" w:cs="Segoe UI"/>
          <w:lang w:val="en-US"/>
        </w:rPr>
        <w:t>)</w:t>
      </w:r>
      <w:r w:rsidR="00512628">
        <w:rPr>
          <w:rFonts w:eastAsia="Segoe UI" w:cs="Segoe UI"/>
          <w:lang w:val="en-US"/>
        </w:rPr>
        <w:t>.</w:t>
      </w:r>
      <w:r w:rsidR="00C55E9C">
        <w:rPr>
          <w:rStyle w:val="FootnoteReference"/>
          <w:rFonts w:eastAsia="Segoe UI" w:cs="Segoe UI"/>
          <w:lang w:val="en-US"/>
        </w:rPr>
        <w:footnoteReference w:id="127"/>
      </w:r>
      <w:r w:rsidR="0F0E1B26" w:rsidRPr="00244A16">
        <w:rPr>
          <w:rFonts w:eastAsia="Segoe UI" w:cs="Segoe UI"/>
          <w:vertAlign w:val="superscript"/>
          <w:lang w:val="en-US"/>
        </w:rPr>
        <w:t>,</w:t>
      </w:r>
      <w:r w:rsidR="00D523B0">
        <w:rPr>
          <w:rStyle w:val="FootnoteReference"/>
          <w:rFonts w:eastAsia="Segoe UI" w:cs="Segoe UI"/>
          <w:lang w:val="en-US"/>
        </w:rPr>
        <w:footnoteReference w:id="128"/>
      </w:r>
      <w:r w:rsidR="17B1581C" w:rsidRPr="7AF5050B">
        <w:rPr>
          <w:rFonts w:eastAsia="Segoe UI" w:cs="Segoe UI"/>
          <w:lang w:val="en-US"/>
        </w:rPr>
        <w:t xml:space="preserve"> The MSAC PSD includes a consumer summary. PBAC Outcomes</w:t>
      </w:r>
      <w:r w:rsidR="00512628">
        <w:rPr>
          <w:rFonts w:eastAsia="Segoe UI" w:cs="Segoe UI"/>
          <w:lang w:val="en-US"/>
        </w:rPr>
        <w:t>,</w:t>
      </w:r>
      <w:r w:rsidR="17B1581C" w:rsidRPr="7AF5050B">
        <w:rPr>
          <w:rFonts w:eastAsia="Segoe UI" w:cs="Segoe UI"/>
          <w:lang w:val="en-US"/>
        </w:rPr>
        <w:t xml:space="preserve"> with </w:t>
      </w:r>
      <w:proofErr w:type="gramStart"/>
      <w:r w:rsidR="17B1581C" w:rsidRPr="7AF5050B">
        <w:rPr>
          <w:rFonts w:eastAsia="Segoe UI" w:cs="Segoe UI"/>
          <w:lang w:val="en-US"/>
        </w:rPr>
        <w:t>a brief summary</w:t>
      </w:r>
      <w:proofErr w:type="gramEnd"/>
      <w:r w:rsidR="17B1581C" w:rsidRPr="7AF5050B">
        <w:rPr>
          <w:rFonts w:eastAsia="Segoe UI" w:cs="Segoe UI"/>
          <w:lang w:val="en-US"/>
        </w:rPr>
        <w:t xml:space="preserve"> of the decision</w:t>
      </w:r>
      <w:r w:rsidR="00512628">
        <w:rPr>
          <w:rFonts w:eastAsia="Segoe UI" w:cs="Segoe UI"/>
          <w:lang w:val="en-US"/>
        </w:rPr>
        <w:t>,</w:t>
      </w:r>
      <w:r w:rsidR="17B1581C" w:rsidRPr="7AF5050B">
        <w:rPr>
          <w:rFonts w:eastAsia="Segoe UI" w:cs="Segoe UI"/>
          <w:lang w:val="en-US"/>
        </w:rPr>
        <w:t xml:space="preserve"> are published ahead of the PSD.</w:t>
      </w:r>
    </w:p>
    <w:p w14:paraId="073DD36B" w14:textId="19369C30" w:rsidR="007136C2" w:rsidRDefault="035379E9" w:rsidP="008551FC">
      <w:pPr>
        <w:spacing w:before="240"/>
        <w:rPr>
          <w:rFonts w:eastAsia="Segoe UI" w:cs="Segoe UI"/>
          <w:lang w:val="en-US"/>
        </w:rPr>
      </w:pPr>
      <w:r w:rsidRPr="001B6058">
        <w:rPr>
          <w:rFonts w:eastAsia="Segoe UI" w:cs="Segoe UI"/>
          <w:lang w:val="en-US"/>
        </w:rPr>
        <w:t xml:space="preserve">Participants in the Review described the information published about HTA pathways, </w:t>
      </w:r>
      <w:r w:rsidR="0084546C" w:rsidRPr="001B6058">
        <w:rPr>
          <w:rFonts w:eastAsia="Segoe UI" w:cs="Segoe UI"/>
          <w:lang w:val="en-US"/>
        </w:rPr>
        <w:t>processes</w:t>
      </w:r>
      <w:r w:rsidRPr="001B6058">
        <w:rPr>
          <w:rFonts w:eastAsia="Segoe UI" w:cs="Segoe UI"/>
          <w:lang w:val="en-US"/>
        </w:rPr>
        <w:t xml:space="preserve"> and decisions as extensive, </w:t>
      </w:r>
      <w:r w:rsidR="00074302" w:rsidRPr="001B6058">
        <w:rPr>
          <w:rFonts w:eastAsia="Segoe UI" w:cs="Segoe UI"/>
          <w:lang w:val="en-US"/>
        </w:rPr>
        <w:t xml:space="preserve">but </w:t>
      </w:r>
      <w:r w:rsidRPr="001B6058">
        <w:rPr>
          <w:rFonts w:eastAsia="Segoe UI" w:cs="Segoe UI"/>
          <w:lang w:val="en-US"/>
        </w:rPr>
        <w:t>spread over multiple locations, and presented differently in different locations for different audiences and purposes. Stakeholders often cannot find the information they are looking for because it is difficult to navigate</w:t>
      </w:r>
      <w:r w:rsidR="00AE683D">
        <w:rPr>
          <w:rFonts w:eastAsia="Segoe UI" w:cs="Segoe UI"/>
          <w:lang w:val="en-US"/>
        </w:rPr>
        <w:t xml:space="preserve">, </w:t>
      </w:r>
      <w:r w:rsidRPr="001B6058">
        <w:rPr>
          <w:rFonts w:eastAsia="Segoe UI" w:cs="Segoe UI"/>
          <w:lang w:val="en-US"/>
        </w:rPr>
        <w:t xml:space="preserve">presented in </w:t>
      </w:r>
      <w:r w:rsidR="00AE683D">
        <w:rPr>
          <w:rFonts w:eastAsia="Segoe UI" w:cs="Segoe UI"/>
          <w:lang w:val="en-US"/>
        </w:rPr>
        <w:t xml:space="preserve">technical </w:t>
      </w:r>
      <w:r w:rsidRPr="001B6058">
        <w:rPr>
          <w:rFonts w:eastAsia="Segoe UI" w:cs="Segoe UI"/>
          <w:lang w:val="en-US"/>
        </w:rPr>
        <w:t xml:space="preserve">language, or deals with concepts </w:t>
      </w:r>
      <w:r w:rsidR="00512628">
        <w:rPr>
          <w:rFonts w:eastAsia="Segoe UI" w:cs="Segoe UI"/>
          <w:lang w:val="en-US"/>
        </w:rPr>
        <w:t>that</w:t>
      </w:r>
      <w:r w:rsidRPr="001B6058">
        <w:rPr>
          <w:rFonts w:eastAsia="Segoe UI" w:cs="Segoe UI"/>
          <w:lang w:val="en-US"/>
        </w:rPr>
        <w:t xml:space="preserve"> are </w:t>
      </w:r>
      <w:r w:rsidR="3C4AC5CB" w:rsidRPr="760B44C9">
        <w:rPr>
          <w:rFonts w:eastAsia="Segoe UI" w:cs="Segoe UI"/>
          <w:lang w:val="en-US"/>
        </w:rPr>
        <w:t>not explained well</w:t>
      </w:r>
      <w:r w:rsidRPr="760B44C9">
        <w:rPr>
          <w:rFonts w:eastAsia="Segoe UI" w:cs="Segoe UI"/>
          <w:lang w:val="en-US"/>
        </w:rPr>
        <w:t>.</w:t>
      </w:r>
      <w:r w:rsidRPr="001B6058">
        <w:rPr>
          <w:rFonts w:eastAsia="Segoe UI" w:cs="Segoe UI"/>
          <w:lang w:val="en-US"/>
        </w:rPr>
        <w:t xml:space="preserve"> Further, stakeholders are not satisfied with existing plain language explanations of HTA pathways and guidelines. The Review also found that there are many misconceptions </w:t>
      </w:r>
      <w:r w:rsidR="00512628">
        <w:rPr>
          <w:rFonts w:eastAsia="Segoe UI" w:cs="Segoe UI"/>
          <w:lang w:val="en-US"/>
        </w:rPr>
        <w:t>about</w:t>
      </w:r>
      <w:r w:rsidRPr="001B6058">
        <w:rPr>
          <w:rFonts w:eastAsia="Segoe UI" w:cs="Segoe UI"/>
          <w:lang w:val="en-US"/>
        </w:rPr>
        <w:t xml:space="preserve"> the HTA system and its processes, further demonstrating a need for plain language communications and opportunities to enhance clarity and understanding.</w:t>
      </w:r>
    </w:p>
    <w:p w14:paraId="4EA10882" w14:textId="1380446C" w:rsidR="0CAF4810" w:rsidRDefault="002A1711" w:rsidP="6317BC40">
      <w:pPr>
        <w:spacing w:after="0"/>
        <w:rPr>
          <w:rFonts w:eastAsia="Segoe UI" w:cs="Segoe UI"/>
        </w:rPr>
      </w:pPr>
      <w:r>
        <w:rPr>
          <w:noProof/>
        </w:rPr>
        <w:lastRenderedPageBreak/>
        <mc:AlternateContent>
          <mc:Choice Requires="wps">
            <w:drawing>
              <wp:inline distT="0" distB="0" distL="0" distR="0" wp14:anchorId="2E91550E" wp14:editId="74626A2B">
                <wp:extent cx="5836920" cy="3838669"/>
                <wp:effectExtent l="0" t="0" r="0" b="9525"/>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3838669"/>
                        </a:xfrm>
                        <a:prstGeom prst="round2DiagRect">
                          <a:avLst/>
                        </a:prstGeom>
                        <a:solidFill>
                          <a:schemeClr val="bg1">
                            <a:lumMod val="95000"/>
                          </a:schemeClr>
                        </a:solidFill>
                        <a:ln w="9525">
                          <a:noFill/>
                          <a:miter lim="800000"/>
                          <a:headEnd/>
                          <a:tailEnd/>
                        </a:ln>
                      </wps:spPr>
                      <wps:txbx>
                        <w:txbxContent>
                          <w:p w14:paraId="0EC7254A" w14:textId="1ADBE21E" w:rsidR="007D2E17" w:rsidRPr="00BA3CA7" w:rsidRDefault="007D2E17" w:rsidP="007D2E17">
                            <w:pPr>
                              <w:ind w:right="19"/>
                              <w:rPr>
                                <w:b/>
                                <w:color w:val="005A68" w:themeColor="accent6" w:themeShade="80"/>
                              </w:rPr>
                            </w:pPr>
                            <w:r w:rsidRPr="00BA3CA7">
                              <w:rPr>
                                <w:b/>
                                <w:color w:val="005A68" w:themeColor="accent6" w:themeShade="80"/>
                              </w:rPr>
                              <w:t>What we heard:</w:t>
                            </w:r>
                          </w:p>
                          <w:p w14:paraId="08EE4E78" w14:textId="0B8CD061" w:rsidR="007D2E17" w:rsidRPr="000C5623" w:rsidRDefault="007D2E17" w:rsidP="000C5623">
                            <w:pPr>
                              <w:ind w:left="283" w:right="-2"/>
                              <w:rPr>
                                <w:color w:val="005A68" w:themeColor="accent6" w:themeShade="80"/>
                              </w:rPr>
                            </w:pPr>
                            <w:r w:rsidRPr="000C5623">
                              <w:rPr>
                                <w:color w:val="005A68" w:themeColor="accent6" w:themeShade="80"/>
                              </w:rPr>
                              <w:t>An overarching theme affecting many aspects of the performance of the HTA system was transparency with respect to how reimbursement</w:t>
                            </w:r>
                            <w:r w:rsidR="004C0BC1">
                              <w:rPr>
                                <w:color w:val="005A68" w:themeColor="accent6" w:themeShade="80"/>
                              </w:rPr>
                              <w:t xml:space="preserve"> and/or </w:t>
                            </w:r>
                            <w:r w:rsidRPr="000C5623">
                              <w:rPr>
                                <w:color w:val="005A68" w:themeColor="accent6" w:themeShade="80"/>
                              </w:rPr>
                              <w:t xml:space="preserve">pricing decisions are made, the factors (evidence) that are considered in making those decisions, and in some cases understanding the overall steps in </w:t>
                            </w:r>
                            <w:r w:rsidR="004C0BC1">
                              <w:rPr>
                                <w:color w:val="005A68" w:themeColor="accent6" w:themeShade="80"/>
                              </w:rPr>
                              <w:t xml:space="preserve">the </w:t>
                            </w:r>
                            <w:r w:rsidRPr="000C5623">
                              <w:rPr>
                                <w:color w:val="005A68" w:themeColor="accent6" w:themeShade="80"/>
                              </w:rPr>
                              <w:t xml:space="preserve">HTA. While many stakeholders considered that the process for </w:t>
                            </w:r>
                            <w:r w:rsidR="004C0BC1">
                              <w:rPr>
                                <w:color w:val="005A68" w:themeColor="accent6" w:themeShade="80"/>
                              </w:rPr>
                              <w:t xml:space="preserve">an </w:t>
                            </w:r>
                            <w:r w:rsidRPr="000C5623">
                              <w:rPr>
                                <w:color w:val="005A68" w:themeColor="accent6" w:themeShade="80"/>
                              </w:rPr>
                              <w:t>HTA in Australia was generally well described, it was not always clearly understood.</w:t>
                            </w:r>
                            <w:r w:rsidR="00FA396E">
                              <w:rPr>
                                <w:color w:val="005A68" w:themeColor="accent6" w:themeShade="80"/>
                              </w:rPr>
                              <w:t xml:space="preserve"> </w:t>
                            </w:r>
                          </w:p>
                          <w:p w14:paraId="287B8E3B" w14:textId="2D7AF3A8" w:rsidR="007D2E17" w:rsidRPr="000C5623" w:rsidRDefault="007D2E17" w:rsidP="000C5623">
                            <w:pPr>
                              <w:ind w:left="283" w:right="140"/>
                              <w:rPr>
                                <w:color w:val="005A68" w:themeColor="accent6" w:themeShade="80"/>
                              </w:rPr>
                            </w:pPr>
                            <w:r w:rsidRPr="000C5623">
                              <w:rPr>
                                <w:color w:val="005A68" w:themeColor="accent6" w:themeShade="80"/>
                              </w:rPr>
                              <w:t xml:space="preserve">For some, the language used </w:t>
                            </w:r>
                            <w:r w:rsidR="004C0BC1">
                              <w:rPr>
                                <w:color w:val="005A68" w:themeColor="accent6" w:themeShade="80"/>
                              </w:rPr>
                              <w:t>to</w:t>
                            </w:r>
                            <w:r w:rsidRPr="000C5623">
                              <w:rPr>
                                <w:color w:val="005A68" w:themeColor="accent6" w:themeShade="80"/>
                              </w:rPr>
                              <w:t xml:space="preserve"> describ</w:t>
                            </w:r>
                            <w:r w:rsidR="004C0BC1">
                              <w:rPr>
                                <w:color w:val="005A68" w:themeColor="accent6" w:themeShade="80"/>
                              </w:rPr>
                              <w:t>e</w:t>
                            </w:r>
                            <w:r w:rsidRPr="000C5623">
                              <w:rPr>
                                <w:color w:val="005A68" w:themeColor="accent6" w:themeShade="80"/>
                              </w:rPr>
                              <w:t xml:space="preserve"> HTA processes and requirements was overly technical, obfuscating the</w:t>
                            </w:r>
                            <w:r w:rsidR="004C0BC1">
                              <w:rPr>
                                <w:color w:val="005A68" w:themeColor="accent6" w:themeShade="80"/>
                              </w:rPr>
                              <w:t>ir</w:t>
                            </w:r>
                            <w:r w:rsidRPr="000C5623">
                              <w:rPr>
                                <w:color w:val="005A68" w:themeColor="accent6" w:themeShade="80"/>
                              </w:rPr>
                              <w:t xml:space="preserve"> nature.</w:t>
                            </w:r>
                            <w:r w:rsidRPr="000C5623" w:rsidDel="004C0BC1">
                              <w:rPr>
                                <w:color w:val="005A68" w:themeColor="accent6" w:themeShade="80"/>
                              </w:rPr>
                              <w:t xml:space="preserve"> </w:t>
                            </w:r>
                            <w:r w:rsidRPr="000C5623">
                              <w:rPr>
                                <w:color w:val="005A68" w:themeColor="accent6" w:themeShade="80"/>
                              </w:rPr>
                              <w:t>For others, there was a lack of information on specific aspects of process</w:t>
                            </w:r>
                            <w:r w:rsidR="004C0BC1">
                              <w:rPr>
                                <w:color w:val="005A68" w:themeColor="accent6" w:themeShade="80"/>
                              </w:rPr>
                              <w:t>es</w:t>
                            </w:r>
                            <w:r w:rsidRPr="000C5623">
                              <w:rPr>
                                <w:color w:val="005A68" w:themeColor="accent6" w:themeShade="80"/>
                              </w:rPr>
                              <w:t xml:space="preserve"> (such as how evidence was being combined or weighted in reaching decisions about reimbursement</w:t>
                            </w:r>
                            <w:r w:rsidR="004C0BC1">
                              <w:rPr>
                                <w:color w:val="005A68" w:themeColor="accent6" w:themeShade="80"/>
                              </w:rPr>
                              <w:t xml:space="preserve"> and/or </w:t>
                            </w:r>
                            <w:r w:rsidRPr="000C5623">
                              <w:rPr>
                                <w:color w:val="005A68" w:themeColor="accent6" w:themeShade="80"/>
                              </w:rPr>
                              <w:t xml:space="preserve">funding) or </w:t>
                            </w:r>
                            <w:r w:rsidR="004C0BC1">
                              <w:rPr>
                                <w:color w:val="005A68" w:themeColor="accent6" w:themeShade="80"/>
                              </w:rPr>
                              <w:t>no</w:t>
                            </w:r>
                            <w:r w:rsidR="004C0BC1" w:rsidRPr="000C5623">
                              <w:rPr>
                                <w:color w:val="005A68" w:themeColor="accent6" w:themeShade="80"/>
                              </w:rPr>
                              <w:t xml:space="preserve"> </w:t>
                            </w:r>
                            <w:r w:rsidRPr="000C5623">
                              <w:rPr>
                                <w:color w:val="005A68" w:themeColor="accent6" w:themeShade="80"/>
                              </w:rPr>
                              <w:t>public visibility, impeding engagement with the system and potentially resulting in poorer access.</w:t>
                            </w:r>
                          </w:p>
                          <w:p w14:paraId="270C281B" w14:textId="77777777" w:rsidR="007D2E17" w:rsidRPr="00BA3CA7" w:rsidRDefault="007D2E17" w:rsidP="007D2E17">
                            <w:pPr>
                              <w:ind w:right="19"/>
                              <w:jc w:val="right"/>
                              <w:rPr>
                                <w:b/>
                                <w:color w:val="005A68" w:themeColor="accent6" w:themeShade="80"/>
                              </w:rPr>
                            </w:pPr>
                            <w:r w:rsidRPr="00BA3CA7">
                              <w:rPr>
                                <w:b/>
                                <w:color w:val="005A68" w:themeColor="accent6" w:themeShade="80"/>
                              </w:rPr>
                              <w:t>Summary sentiment from Consultation 1 report</w:t>
                            </w:r>
                          </w:p>
                          <w:p w14:paraId="186B4FE7" w14:textId="77777777" w:rsidR="007D2E17" w:rsidRPr="00FF048A" w:rsidRDefault="007D2E17" w:rsidP="007D2E17">
                            <w:pPr>
                              <w:ind w:right="19"/>
                            </w:pPr>
                          </w:p>
                        </w:txbxContent>
                      </wps:txbx>
                      <wps:bodyPr rot="0" vert="horz" wrap="square" lIns="91440" tIns="45720" rIns="91440" bIns="45720" anchor="t" anchorCtr="0">
                        <a:noAutofit/>
                      </wps:bodyPr>
                    </wps:wsp>
                  </a:graphicData>
                </a:graphic>
              </wp:inline>
            </w:drawing>
          </mc:Choice>
          <mc:Fallback>
            <w:pict>
              <v:shape w14:anchorId="2E91550E" id="Text Box 38" o:spid="_x0000_s1039" style="width:459.6pt;height:302.25pt;visibility:visible;mso-wrap-style:square;mso-left-percent:-10001;mso-top-percent:-10001;mso-position-horizontal:absolute;mso-position-horizontal-relative:char;mso-position-vertical:absolute;mso-position-vertical-relative:line;mso-left-percent:-10001;mso-top-percent:-10001;v-text-anchor:top" coordsize="5836920,383866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" adj="-11796480,,5400" path="m639791,l5836920,r,l5836920,3198878v,353347,-286444,639791,-639791,639791l,3838669r,l,639791c,286444,286444,,639791,xe" fillcolor="#f2f2f2 [3052]" stroked="f">
                <v:stroke joinstyle="miter"/>
                <v:formulas/>
                <v:path arrowok="t" o:connecttype="custom" o:connectlocs="639791,0;5836920,0;5836920,0;5836920,3198878;5197129,3838669;0,3838669;0,3838669;0,639791;639791,0" o:connectangles="0,0,0,0,0,0,0,0,0" textboxrect="0,0,5836920,3838669"/>
                <v:textbox>
                  <w:txbxContent>
                    <w:p w14:paraId="0EC7254A" w14:textId="1ADBE21E" w:rsidR="007D2E17" w:rsidRPr="00BA3CA7" w:rsidRDefault="007D2E17" w:rsidP="007D2E17">
                      <w:pPr>
                        <w:ind w:right="19"/>
                        <w:rPr>
                          <w:b/>
                          <w:color w:val="005A68" w:themeColor="accent6" w:themeShade="80"/>
                        </w:rPr>
                      </w:pPr>
                      <w:r w:rsidRPr="00BA3CA7">
                        <w:rPr>
                          <w:b/>
                          <w:color w:val="005A68" w:themeColor="accent6" w:themeShade="80"/>
                        </w:rPr>
                        <w:t>What we heard:</w:t>
                      </w:r>
                    </w:p>
                    <w:p w14:paraId="08EE4E78" w14:textId="0B8CD061" w:rsidR="007D2E17" w:rsidRPr="000C5623" w:rsidRDefault="007D2E17" w:rsidP="000C5623">
                      <w:pPr>
                        <w:ind w:left="283" w:right="-2"/>
                        <w:rPr>
                          <w:color w:val="005A68" w:themeColor="accent6" w:themeShade="80"/>
                        </w:rPr>
                      </w:pPr>
                      <w:r w:rsidRPr="000C5623">
                        <w:rPr>
                          <w:color w:val="005A68" w:themeColor="accent6" w:themeShade="80"/>
                        </w:rPr>
                        <w:t>An overarching theme affecting many aspects of the performance of the HTA system was transparency with respect to how reimbursement</w:t>
                      </w:r>
                      <w:r w:rsidR="004C0BC1">
                        <w:rPr>
                          <w:color w:val="005A68" w:themeColor="accent6" w:themeShade="80"/>
                        </w:rPr>
                        <w:t xml:space="preserve"> and/or </w:t>
                      </w:r>
                      <w:r w:rsidRPr="000C5623">
                        <w:rPr>
                          <w:color w:val="005A68" w:themeColor="accent6" w:themeShade="80"/>
                        </w:rPr>
                        <w:t xml:space="preserve">pricing decisions are made, the factors (evidence) that are considered in making those decisions, and in some cases understanding the overall steps in </w:t>
                      </w:r>
                      <w:r w:rsidR="004C0BC1">
                        <w:rPr>
                          <w:color w:val="005A68" w:themeColor="accent6" w:themeShade="80"/>
                        </w:rPr>
                        <w:t xml:space="preserve">the </w:t>
                      </w:r>
                      <w:r w:rsidRPr="000C5623">
                        <w:rPr>
                          <w:color w:val="005A68" w:themeColor="accent6" w:themeShade="80"/>
                        </w:rPr>
                        <w:t xml:space="preserve">HTA. While many stakeholders considered that the process for </w:t>
                      </w:r>
                      <w:r w:rsidR="004C0BC1">
                        <w:rPr>
                          <w:color w:val="005A68" w:themeColor="accent6" w:themeShade="80"/>
                        </w:rPr>
                        <w:t xml:space="preserve">an </w:t>
                      </w:r>
                      <w:r w:rsidRPr="000C5623">
                        <w:rPr>
                          <w:color w:val="005A68" w:themeColor="accent6" w:themeShade="80"/>
                        </w:rPr>
                        <w:t>HTA in Australia was generally well described, it was not always clearly understood.</w:t>
                      </w:r>
                      <w:r w:rsidR="00FA396E">
                        <w:rPr>
                          <w:color w:val="005A68" w:themeColor="accent6" w:themeShade="80"/>
                        </w:rPr>
                        <w:t xml:space="preserve"> </w:t>
                      </w:r>
                    </w:p>
                    <w:p w14:paraId="287B8E3B" w14:textId="2D7AF3A8" w:rsidR="007D2E17" w:rsidRPr="000C5623" w:rsidRDefault="007D2E17" w:rsidP="000C5623">
                      <w:pPr>
                        <w:ind w:left="283" w:right="140"/>
                        <w:rPr>
                          <w:color w:val="005A68" w:themeColor="accent6" w:themeShade="80"/>
                        </w:rPr>
                      </w:pPr>
                      <w:r w:rsidRPr="000C5623">
                        <w:rPr>
                          <w:color w:val="005A68" w:themeColor="accent6" w:themeShade="80"/>
                        </w:rPr>
                        <w:t xml:space="preserve">For some, the language used </w:t>
                      </w:r>
                      <w:r w:rsidR="004C0BC1">
                        <w:rPr>
                          <w:color w:val="005A68" w:themeColor="accent6" w:themeShade="80"/>
                        </w:rPr>
                        <w:t>to</w:t>
                      </w:r>
                      <w:r w:rsidRPr="000C5623">
                        <w:rPr>
                          <w:color w:val="005A68" w:themeColor="accent6" w:themeShade="80"/>
                        </w:rPr>
                        <w:t xml:space="preserve"> describ</w:t>
                      </w:r>
                      <w:r w:rsidR="004C0BC1">
                        <w:rPr>
                          <w:color w:val="005A68" w:themeColor="accent6" w:themeShade="80"/>
                        </w:rPr>
                        <w:t>e</w:t>
                      </w:r>
                      <w:r w:rsidRPr="000C5623">
                        <w:rPr>
                          <w:color w:val="005A68" w:themeColor="accent6" w:themeShade="80"/>
                        </w:rPr>
                        <w:t xml:space="preserve"> HTA processes and requirements was overly technical, obfuscating the</w:t>
                      </w:r>
                      <w:r w:rsidR="004C0BC1">
                        <w:rPr>
                          <w:color w:val="005A68" w:themeColor="accent6" w:themeShade="80"/>
                        </w:rPr>
                        <w:t>ir</w:t>
                      </w:r>
                      <w:r w:rsidRPr="000C5623">
                        <w:rPr>
                          <w:color w:val="005A68" w:themeColor="accent6" w:themeShade="80"/>
                        </w:rPr>
                        <w:t xml:space="preserve"> nature.</w:t>
                      </w:r>
                      <w:r w:rsidRPr="000C5623" w:rsidDel="004C0BC1">
                        <w:rPr>
                          <w:color w:val="005A68" w:themeColor="accent6" w:themeShade="80"/>
                        </w:rPr>
                        <w:t xml:space="preserve"> </w:t>
                      </w:r>
                      <w:r w:rsidRPr="000C5623">
                        <w:rPr>
                          <w:color w:val="005A68" w:themeColor="accent6" w:themeShade="80"/>
                        </w:rPr>
                        <w:t>For others, there was a lack of information on specific aspects of process</w:t>
                      </w:r>
                      <w:r w:rsidR="004C0BC1">
                        <w:rPr>
                          <w:color w:val="005A68" w:themeColor="accent6" w:themeShade="80"/>
                        </w:rPr>
                        <w:t>es</w:t>
                      </w:r>
                      <w:r w:rsidRPr="000C5623">
                        <w:rPr>
                          <w:color w:val="005A68" w:themeColor="accent6" w:themeShade="80"/>
                        </w:rPr>
                        <w:t xml:space="preserve"> (such as how evidence was being combined or weighted in reaching decisions about reimbursement</w:t>
                      </w:r>
                      <w:r w:rsidR="004C0BC1">
                        <w:rPr>
                          <w:color w:val="005A68" w:themeColor="accent6" w:themeShade="80"/>
                        </w:rPr>
                        <w:t xml:space="preserve"> and/or </w:t>
                      </w:r>
                      <w:r w:rsidRPr="000C5623">
                        <w:rPr>
                          <w:color w:val="005A68" w:themeColor="accent6" w:themeShade="80"/>
                        </w:rPr>
                        <w:t xml:space="preserve">funding) or </w:t>
                      </w:r>
                      <w:r w:rsidR="004C0BC1">
                        <w:rPr>
                          <w:color w:val="005A68" w:themeColor="accent6" w:themeShade="80"/>
                        </w:rPr>
                        <w:t>no</w:t>
                      </w:r>
                      <w:r w:rsidR="004C0BC1" w:rsidRPr="000C5623">
                        <w:rPr>
                          <w:color w:val="005A68" w:themeColor="accent6" w:themeShade="80"/>
                        </w:rPr>
                        <w:t xml:space="preserve"> </w:t>
                      </w:r>
                      <w:r w:rsidRPr="000C5623">
                        <w:rPr>
                          <w:color w:val="005A68" w:themeColor="accent6" w:themeShade="80"/>
                        </w:rPr>
                        <w:t>public visibility, impeding engagement with the system and potentially resulting in poorer access.</w:t>
                      </w:r>
                    </w:p>
                    <w:p w14:paraId="270C281B" w14:textId="77777777" w:rsidR="007D2E17" w:rsidRPr="00BA3CA7" w:rsidRDefault="007D2E17" w:rsidP="007D2E17">
                      <w:pPr>
                        <w:ind w:right="19"/>
                        <w:jc w:val="right"/>
                        <w:rPr>
                          <w:b/>
                          <w:color w:val="005A68" w:themeColor="accent6" w:themeShade="80"/>
                        </w:rPr>
                      </w:pPr>
                      <w:r w:rsidRPr="00BA3CA7">
                        <w:rPr>
                          <w:b/>
                          <w:color w:val="005A68" w:themeColor="accent6" w:themeShade="80"/>
                        </w:rPr>
                        <w:t>Summary sentiment from Consultation 1 report</w:t>
                      </w:r>
                    </w:p>
                    <w:p w14:paraId="186B4FE7" w14:textId="77777777" w:rsidR="007D2E17" w:rsidRPr="00FF048A" w:rsidRDefault="007D2E17" w:rsidP="007D2E17">
                      <w:pPr>
                        <w:ind w:right="19"/>
                      </w:pPr>
                    </w:p>
                  </w:txbxContent>
                </v:textbox>
                <w10:anchorlock/>
              </v:shape>
            </w:pict>
          </mc:Fallback>
        </mc:AlternateContent>
      </w:r>
    </w:p>
    <w:p w14:paraId="0DF275D4" w14:textId="7E8FD8D9" w:rsidR="00C67F61" w:rsidRPr="0019054D" w:rsidRDefault="3D29FD83" w:rsidP="00AE608E">
      <w:pPr>
        <w:spacing w:before="120"/>
        <w:rPr>
          <w:lang w:val="en-US"/>
        </w:rPr>
      </w:pPr>
      <w:r w:rsidRPr="2BAEEDAA">
        <w:rPr>
          <w:lang w:val="en-US"/>
        </w:rPr>
        <w:t xml:space="preserve">The Review heard from </w:t>
      </w:r>
      <w:r w:rsidRPr="0019054D">
        <w:t>organisations</w:t>
      </w:r>
      <w:r w:rsidRPr="2BAEEDAA">
        <w:rPr>
          <w:lang w:val="en-US"/>
        </w:rPr>
        <w:t xml:space="preserve"> representing patients and consumers that they found it difficult to prepare submissions due to insufficient information regarding the </w:t>
      </w:r>
      <w:r w:rsidR="49BD0F4B" w:rsidRPr="6B90A595">
        <w:rPr>
          <w:lang w:val="en-US"/>
        </w:rPr>
        <w:t xml:space="preserve">sponsor </w:t>
      </w:r>
      <w:r w:rsidRPr="2BAEEDAA">
        <w:rPr>
          <w:lang w:val="en-US"/>
        </w:rPr>
        <w:t xml:space="preserve">submission </w:t>
      </w:r>
      <w:r w:rsidR="00B6217E">
        <w:rPr>
          <w:lang w:val="en-US"/>
        </w:rPr>
        <w:t xml:space="preserve">in </w:t>
      </w:r>
      <w:r w:rsidRPr="2BAEEDAA">
        <w:rPr>
          <w:lang w:val="en-US"/>
        </w:rPr>
        <w:t xml:space="preserve">the agenda </w:t>
      </w:r>
      <w:r w:rsidR="00B6217E">
        <w:rPr>
          <w:lang w:val="en-US"/>
        </w:rPr>
        <w:t>documents</w:t>
      </w:r>
      <w:r w:rsidRPr="2BAEEDAA">
        <w:rPr>
          <w:lang w:val="en-US"/>
        </w:rPr>
        <w:t xml:space="preserve"> (particularly for PBAC submissions</w:t>
      </w:r>
      <w:r w:rsidRPr="02ADCFCB">
        <w:rPr>
          <w:lang w:val="en-US"/>
        </w:rPr>
        <w:t>).</w:t>
      </w:r>
    </w:p>
    <w:p w14:paraId="3CBB77AD" w14:textId="59EF7E54" w:rsidR="11FFDE43" w:rsidRPr="00545D23" w:rsidRDefault="00544066" w:rsidP="00A318F7">
      <w:pPr>
        <w:pStyle w:val="Heading3"/>
      </w:pPr>
      <w:bookmarkStart w:id="385" w:name="_Toc164691437"/>
      <w:bookmarkStart w:id="386" w:name="_Toc164696234"/>
      <w:bookmarkStart w:id="387" w:name="_Toc164696380"/>
      <w:bookmarkStart w:id="388" w:name="_Toc164767770"/>
      <w:bookmarkStart w:id="389" w:name="_Toc165473700"/>
      <w:r>
        <w:t>F</w:t>
      </w:r>
      <w:r w:rsidR="11FFDE43" w:rsidRPr="00545D23">
        <w:t>indings</w:t>
      </w:r>
      <w:bookmarkEnd w:id="385"/>
      <w:bookmarkEnd w:id="386"/>
      <w:bookmarkEnd w:id="387"/>
      <w:bookmarkEnd w:id="388"/>
      <w:bookmarkEnd w:id="389"/>
    </w:p>
    <w:p w14:paraId="1E9D3834" w14:textId="3DC1396D" w:rsidR="3A8CE181" w:rsidRDefault="00CF22E5" w:rsidP="004E48B3">
      <w:pPr>
        <w:spacing w:after="120" w:line="257" w:lineRule="auto"/>
        <w:rPr>
          <w:rFonts w:eastAsia="Segoe UI" w:cs="Segoe UI"/>
          <w:lang w:val="en-US"/>
        </w:rPr>
      </w:pPr>
      <w:r>
        <w:rPr>
          <w:rFonts w:eastAsia="Segoe UI" w:cs="Segoe UI"/>
          <w:lang w:val="en-US"/>
        </w:rPr>
        <w:t>M</w:t>
      </w:r>
      <w:r w:rsidR="76333681" w:rsidRPr="52FE5B6D">
        <w:rPr>
          <w:rFonts w:eastAsia="Segoe UI" w:cs="Segoe UI"/>
          <w:lang w:val="en-US"/>
        </w:rPr>
        <w:t xml:space="preserve">ore </w:t>
      </w:r>
      <w:r w:rsidR="00B6217E">
        <w:rPr>
          <w:rFonts w:eastAsia="Segoe UI" w:cs="Segoe UI"/>
          <w:lang w:val="en-US"/>
        </w:rPr>
        <w:t>extensive</w:t>
      </w:r>
      <w:r w:rsidR="76333681" w:rsidRPr="52FE5B6D">
        <w:rPr>
          <w:rFonts w:eastAsia="Segoe UI" w:cs="Segoe UI"/>
          <w:lang w:val="en-US"/>
        </w:rPr>
        <w:t xml:space="preserve"> or clearer information is needed </w:t>
      </w:r>
      <w:r>
        <w:rPr>
          <w:rFonts w:eastAsia="Segoe UI" w:cs="Segoe UI"/>
          <w:lang w:val="en-US"/>
        </w:rPr>
        <w:t xml:space="preserve">in specific areas </w:t>
      </w:r>
      <w:r w:rsidR="76333681" w:rsidRPr="52FE5B6D">
        <w:rPr>
          <w:rFonts w:eastAsia="Segoe UI" w:cs="Segoe UI"/>
          <w:lang w:val="en-US"/>
        </w:rPr>
        <w:t xml:space="preserve">to </w:t>
      </w:r>
      <w:proofErr w:type="spellStart"/>
      <w:r w:rsidR="76333681" w:rsidRPr="52FE5B6D">
        <w:rPr>
          <w:rFonts w:eastAsia="Segoe UI" w:cs="Segoe UI"/>
          <w:lang w:val="en-US"/>
        </w:rPr>
        <w:t>optimise</w:t>
      </w:r>
      <w:proofErr w:type="spellEnd"/>
      <w:r w:rsidR="76333681" w:rsidRPr="52FE5B6D">
        <w:rPr>
          <w:rFonts w:eastAsia="Segoe UI" w:cs="Segoe UI"/>
          <w:lang w:val="en-US"/>
        </w:rPr>
        <w:t xml:space="preserve"> stakeholder engagement. Th</w:t>
      </w:r>
      <w:r>
        <w:rPr>
          <w:rFonts w:eastAsia="Segoe UI" w:cs="Segoe UI"/>
          <w:lang w:val="en-US"/>
        </w:rPr>
        <w:t>is</w:t>
      </w:r>
      <w:r w:rsidR="76333681" w:rsidRPr="52FE5B6D">
        <w:rPr>
          <w:rFonts w:eastAsia="Segoe UI" w:cs="Segoe UI"/>
          <w:lang w:val="en-US"/>
        </w:rPr>
        <w:t xml:space="preserve"> include</w:t>
      </w:r>
      <w:r>
        <w:rPr>
          <w:rFonts w:eastAsia="Segoe UI" w:cs="Segoe UI"/>
          <w:lang w:val="en-US"/>
        </w:rPr>
        <w:t>s</w:t>
      </w:r>
      <w:r w:rsidR="76333681" w:rsidRPr="52FE5B6D">
        <w:rPr>
          <w:rFonts w:eastAsia="Segoe UI" w:cs="Segoe UI"/>
          <w:lang w:val="en-US"/>
        </w:rPr>
        <w:t xml:space="preserve"> plain language summaries of PBAC submissions and outcomes</w:t>
      </w:r>
      <w:r w:rsidR="00E04A25">
        <w:rPr>
          <w:rFonts w:eastAsia="Segoe UI" w:cs="Segoe UI"/>
          <w:lang w:val="en-US"/>
        </w:rPr>
        <w:t xml:space="preserve"> and</w:t>
      </w:r>
      <w:r w:rsidR="76333681" w:rsidRPr="52FE5B6D">
        <w:rPr>
          <w:rFonts w:eastAsia="Segoe UI" w:cs="Segoe UI"/>
          <w:lang w:val="en-US"/>
        </w:rPr>
        <w:t xml:space="preserve"> explicit advice about how evidence that does not form part of the clinical or economic evaluation is </w:t>
      </w:r>
      <w:r w:rsidR="00CD465F">
        <w:rPr>
          <w:rFonts w:eastAsia="Segoe UI" w:cs="Segoe UI"/>
          <w:lang w:val="en-US"/>
        </w:rPr>
        <w:t>considered</w:t>
      </w:r>
      <w:r w:rsidR="1196E5E7" w:rsidRPr="760B44C9" w:rsidDel="00397DA2">
        <w:rPr>
          <w:rFonts w:eastAsia="Segoe UI" w:cs="Segoe UI"/>
          <w:lang w:val="en-US"/>
        </w:rPr>
        <w:t xml:space="preserve"> </w:t>
      </w:r>
      <w:r w:rsidR="1196E5E7" w:rsidRPr="760B44C9">
        <w:rPr>
          <w:rFonts w:eastAsia="Segoe UI" w:cs="Segoe UI"/>
          <w:lang w:val="en-US"/>
        </w:rPr>
        <w:t>in</w:t>
      </w:r>
      <w:r w:rsidR="76333681" w:rsidRPr="52FE5B6D">
        <w:rPr>
          <w:rFonts w:eastAsia="Segoe UI" w:cs="Segoe UI"/>
          <w:lang w:val="en-US"/>
        </w:rPr>
        <w:t xml:space="preserve"> decision-making</w:t>
      </w:r>
      <w:r w:rsidR="00E04A25">
        <w:rPr>
          <w:rFonts w:eastAsia="Segoe UI" w:cs="Segoe UI"/>
          <w:lang w:val="en-US"/>
        </w:rPr>
        <w:t>. P</w:t>
      </w:r>
      <w:r w:rsidR="76333681" w:rsidRPr="52FE5B6D">
        <w:rPr>
          <w:rFonts w:eastAsia="Segoe UI" w:cs="Segoe UI"/>
          <w:lang w:val="en-US"/>
        </w:rPr>
        <w:t xml:space="preserve">resentation of information </w:t>
      </w:r>
      <w:r w:rsidR="00397DA2">
        <w:rPr>
          <w:rFonts w:eastAsia="Segoe UI" w:cs="Segoe UI"/>
          <w:lang w:val="en-US"/>
        </w:rPr>
        <w:t>about</w:t>
      </w:r>
      <w:r w:rsidR="00397DA2" w:rsidRPr="52FE5B6D">
        <w:rPr>
          <w:rFonts w:eastAsia="Segoe UI" w:cs="Segoe UI"/>
          <w:lang w:val="en-US"/>
        </w:rPr>
        <w:t xml:space="preserve"> </w:t>
      </w:r>
      <w:r w:rsidR="76333681" w:rsidRPr="52FE5B6D">
        <w:rPr>
          <w:rFonts w:eastAsia="Segoe UI" w:cs="Segoe UI"/>
          <w:lang w:val="en-US"/>
        </w:rPr>
        <w:t xml:space="preserve">submissions under consideration or completed </w:t>
      </w:r>
      <w:r w:rsidR="00E04A25">
        <w:rPr>
          <w:rFonts w:eastAsia="Segoe UI" w:cs="Segoe UI"/>
          <w:lang w:val="en-US"/>
        </w:rPr>
        <w:t xml:space="preserve">should be improved </w:t>
      </w:r>
      <w:r w:rsidR="76333681" w:rsidRPr="52FE5B6D">
        <w:rPr>
          <w:rFonts w:eastAsia="Segoe UI" w:cs="Segoe UI"/>
          <w:lang w:val="en-US"/>
        </w:rPr>
        <w:t xml:space="preserve">to </w:t>
      </w:r>
      <w:r w:rsidR="00E04A25">
        <w:rPr>
          <w:rFonts w:eastAsia="Segoe UI" w:cs="Segoe UI"/>
          <w:lang w:val="en-US"/>
        </w:rPr>
        <w:t xml:space="preserve">aid </w:t>
      </w:r>
      <w:r w:rsidR="76333681" w:rsidRPr="52FE5B6D">
        <w:rPr>
          <w:rFonts w:eastAsia="Segoe UI" w:cs="Segoe UI"/>
          <w:lang w:val="en-US"/>
        </w:rPr>
        <w:t>understand</w:t>
      </w:r>
      <w:r w:rsidR="00E04A25">
        <w:rPr>
          <w:rFonts w:eastAsia="Segoe UI" w:cs="Segoe UI"/>
          <w:lang w:val="en-US"/>
        </w:rPr>
        <w:t>ing of</w:t>
      </w:r>
      <w:r w:rsidR="76333681" w:rsidRPr="52FE5B6D">
        <w:rPr>
          <w:rFonts w:eastAsia="Segoe UI" w:cs="Segoe UI"/>
          <w:lang w:val="en-US"/>
        </w:rPr>
        <w:t xml:space="preserve"> how the system is performing.</w:t>
      </w:r>
    </w:p>
    <w:p w14:paraId="136A1265" w14:textId="5FA4D3F7" w:rsidR="00A161E2" w:rsidRDefault="00A161E2" w:rsidP="004E48B3">
      <w:pPr>
        <w:spacing w:after="120" w:line="257" w:lineRule="auto"/>
        <w:rPr>
          <w:rFonts w:eastAsia="Segoe UI" w:cs="Segoe UI"/>
          <w:lang w:val="en-US"/>
        </w:rPr>
      </w:pPr>
      <w:r>
        <w:rPr>
          <w:noProof/>
        </w:rPr>
        <mc:AlternateContent>
          <mc:Choice Requires="wps">
            <w:drawing>
              <wp:inline distT="0" distB="0" distL="0" distR="0" wp14:anchorId="0F356347" wp14:editId="6333C6BB">
                <wp:extent cx="5836920" cy="2046084"/>
                <wp:effectExtent l="0" t="0" r="0" b="0"/>
                <wp:docPr id="189759870" name="Text Box 1897598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2046084"/>
                        </a:xfrm>
                        <a:prstGeom prst="round2DiagRect">
                          <a:avLst/>
                        </a:prstGeom>
                        <a:solidFill>
                          <a:schemeClr val="bg1">
                            <a:lumMod val="95000"/>
                          </a:schemeClr>
                        </a:solidFill>
                        <a:ln w="9525">
                          <a:noFill/>
                          <a:miter lim="800000"/>
                          <a:headEnd/>
                          <a:tailEnd/>
                        </a:ln>
                      </wps:spPr>
                      <wps:txbx>
                        <w:txbxContent>
                          <w:p w14:paraId="15E1F76F" w14:textId="3760AAA9" w:rsidR="00A161E2" w:rsidRPr="00BA3CA7" w:rsidRDefault="00A161E2" w:rsidP="00A161E2">
                            <w:pPr>
                              <w:ind w:right="19"/>
                              <w:rPr>
                                <w:b/>
                                <w:color w:val="005A68" w:themeColor="accent6" w:themeShade="80"/>
                              </w:rPr>
                            </w:pPr>
                            <w:r w:rsidRPr="00BA3CA7">
                              <w:rPr>
                                <w:b/>
                                <w:color w:val="005A68" w:themeColor="accent6" w:themeShade="80"/>
                              </w:rPr>
                              <w:t>What we heard:</w:t>
                            </w:r>
                          </w:p>
                          <w:p w14:paraId="18DE23AF" w14:textId="3DD725CE" w:rsidR="00A161E2" w:rsidRPr="000C5623" w:rsidRDefault="00A11C19" w:rsidP="00A161E2">
                            <w:pPr>
                              <w:ind w:left="426" w:right="418"/>
                              <w:rPr>
                                <w:color w:val="005A68" w:themeColor="accent6" w:themeShade="80"/>
                              </w:rPr>
                            </w:pPr>
                            <w:r>
                              <w:rPr>
                                <w:color w:val="005A68" w:themeColor="accent6" w:themeShade="80"/>
                              </w:rPr>
                              <w:t>‘</w:t>
                            </w:r>
                            <w:r w:rsidR="00A161E2" w:rsidRPr="000C5623">
                              <w:rPr>
                                <w:color w:val="005A68" w:themeColor="accent6" w:themeShade="80"/>
                              </w:rPr>
                              <w:t>The Options paper produced provides for an extensive range of adjustments and reforms</w:t>
                            </w:r>
                            <w:r w:rsidR="00397DA2">
                              <w:rPr>
                                <w:color w:val="005A68" w:themeColor="accent6" w:themeShade="80"/>
                              </w:rPr>
                              <w:t>,</w:t>
                            </w:r>
                            <w:r w:rsidR="00A161E2" w:rsidRPr="000C5623">
                              <w:rPr>
                                <w:color w:val="005A68" w:themeColor="accent6" w:themeShade="80"/>
                              </w:rPr>
                              <w:t xml:space="preserve"> which together provide a positive roadmap for change. The paper includes a strong focus on reforms which can increase consumer engagement and given our role as a patient organisation, we strongly welcome this focus.</w:t>
                            </w:r>
                            <w:r>
                              <w:rPr>
                                <w:color w:val="005A68" w:themeColor="accent6" w:themeShade="80"/>
                              </w:rPr>
                              <w:t>’</w:t>
                            </w:r>
                          </w:p>
                          <w:p w14:paraId="0D396FB5" w14:textId="3FF6426A" w:rsidR="008820D0" w:rsidRPr="00BA3CA7" w:rsidRDefault="00D12BCD" w:rsidP="00A161E2">
                            <w:pPr>
                              <w:ind w:right="19"/>
                              <w:jc w:val="right"/>
                              <w:rPr>
                                <w:b/>
                                <w:color w:val="FF0000"/>
                              </w:rPr>
                            </w:pPr>
                            <w:r>
                              <w:rPr>
                                <w:b/>
                                <w:color w:val="005A68" w:themeColor="accent6" w:themeShade="80"/>
                              </w:rPr>
                              <w:t xml:space="preserve">Consultation 2 submission: </w:t>
                            </w:r>
                            <w:r w:rsidR="00B367A4" w:rsidRPr="00BA3CA7">
                              <w:rPr>
                                <w:b/>
                                <w:color w:val="005A68" w:themeColor="accent6" w:themeShade="80"/>
                              </w:rPr>
                              <w:t>Australian Patients Association</w:t>
                            </w:r>
                          </w:p>
                          <w:p w14:paraId="3F7692B0" w14:textId="600B5416" w:rsidR="00A161E2" w:rsidRPr="0019054D" w:rsidRDefault="00A161E2" w:rsidP="0019054D">
                            <w:pPr>
                              <w:ind w:right="19"/>
                              <w:jc w:val="right"/>
                              <w:rPr>
                                <w:color w:val="FF0000"/>
                              </w:rPr>
                            </w:pPr>
                          </w:p>
                        </w:txbxContent>
                      </wps:txbx>
                      <wps:bodyPr rot="0" vert="horz" wrap="square" lIns="91440" tIns="45720" rIns="91440" bIns="45720" anchor="t" anchorCtr="0">
                        <a:noAutofit/>
                      </wps:bodyPr>
                    </wps:wsp>
                  </a:graphicData>
                </a:graphic>
              </wp:inline>
            </w:drawing>
          </mc:Choice>
          <mc:Fallback>
            <w:pict>
              <v:shape w14:anchorId="0F356347" id="Text Box 189759870" o:spid="_x0000_s1040" style="width:459.6pt;height:161.1pt;visibility:visible;mso-wrap-style:square;mso-left-percent:-10001;mso-top-percent:-10001;mso-position-horizontal:absolute;mso-position-horizontal-relative:char;mso-position-vertical:absolute;mso-position-vertical-relative:line;mso-left-percent:-10001;mso-top-percent:-10001;v-text-anchor:top" coordsize="5836920,204608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" adj="-11796480,,5400" path="m341021,l5836920,r,l5836920,1705063v,188341,-152680,341021,-341021,341021l,2046084r,l,341021c,152680,152680,,341021,xe" fillcolor="#f2f2f2 [3052]" stroked="f">
                <v:stroke joinstyle="miter"/>
                <v:formulas/>
                <v:path arrowok="t" o:connecttype="custom" o:connectlocs="341021,0;5836920,0;5836920,0;5836920,1705063;5495899,2046084;0,2046084;0,2046084;0,341021;341021,0" o:connectangles="0,0,0,0,0,0,0,0,0" textboxrect="0,0,5836920,2046084"/>
                <v:textbox>
                  <w:txbxContent>
                    <w:p w14:paraId="15E1F76F" w14:textId="3760AAA9" w:rsidR="00A161E2" w:rsidRPr="00BA3CA7" w:rsidRDefault="00A161E2" w:rsidP="00A161E2">
                      <w:pPr>
                        <w:ind w:right="19"/>
                        <w:rPr>
                          <w:b/>
                          <w:color w:val="005A68" w:themeColor="accent6" w:themeShade="80"/>
                        </w:rPr>
                      </w:pPr>
                      <w:r w:rsidRPr="00BA3CA7">
                        <w:rPr>
                          <w:b/>
                          <w:color w:val="005A68" w:themeColor="accent6" w:themeShade="80"/>
                        </w:rPr>
                        <w:t>What we heard:</w:t>
                      </w:r>
                    </w:p>
                    <w:p w14:paraId="18DE23AF" w14:textId="3DD725CE" w:rsidR="00A161E2" w:rsidRPr="000C5623" w:rsidRDefault="00A11C19" w:rsidP="00A161E2">
                      <w:pPr>
                        <w:ind w:left="426" w:right="418"/>
                        <w:rPr>
                          <w:color w:val="005A68" w:themeColor="accent6" w:themeShade="80"/>
                        </w:rPr>
                      </w:pPr>
                      <w:r>
                        <w:rPr>
                          <w:color w:val="005A68" w:themeColor="accent6" w:themeShade="80"/>
                        </w:rPr>
                        <w:t>‘</w:t>
                      </w:r>
                      <w:r w:rsidR="00A161E2" w:rsidRPr="000C5623">
                        <w:rPr>
                          <w:color w:val="005A68" w:themeColor="accent6" w:themeShade="80"/>
                        </w:rPr>
                        <w:t>The Options paper produced provides for an extensive range of adjustments and reforms</w:t>
                      </w:r>
                      <w:r w:rsidR="00397DA2">
                        <w:rPr>
                          <w:color w:val="005A68" w:themeColor="accent6" w:themeShade="80"/>
                        </w:rPr>
                        <w:t>,</w:t>
                      </w:r>
                      <w:r w:rsidR="00A161E2" w:rsidRPr="000C5623">
                        <w:rPr>
                          <w:color w:val="005A68" w:themeColor="accent6" w:themeShade="80"/>
                        </w:rPr>
                        <w:t xml:space="preserve"> which together provide a positive roadmap for change. The paper includes a strong focus on reforms which can increase consumer engagement and given our role as a patient organisation, we strongly welcome this focus.</w:t>
                      </w:r>
                      <w:r>
                        <w:rPr>
                          <w:color w:val="005A68" w:themeColor="accent6" w:themeShade="80"/>
                        </w:rPr>
                        <w:t>’</w:t>
                      </w:r>
                    </w:p>
                    <w:p w14:paraId="0D396FB5" w14:textId="3FF6426A" w:rsidR="008820D0" w:rsidRPr="00BA3CA7" w:rsidRDefault="00D12BCD" w:rsidP="00A161E2">
                      <w:pPr>
                        <w:ind w:right="19"/>
                        <w:jc w:val="right"/>
                        <w:rPr>
                          <w:b/>
                          <w:color w:val="FF0000"/>
                        </w:rPr>
                      </w:pPr>
                      <w:r>
                        <w:rPr>
                          <w:b/>
                          <w:color w:val="005A68" w:themeColor="accent6" w:themeShade="80"/>
                        </w:rPr>
                        <w:t xml:space="preserve">Consultation 2 submission: </w:t>
                      </w:r>
                      <w:r w:rsidR="00B367A4" w:rsidRPr="00BA3CA7">
                        <w:rPr>
                          <w:b/>
                          <w:color w:val="005A68" w:themeColor="accent6" w:themeShade="80"/>
                        </w:rPr>
                        <w:t>Australian Patients Association</w:t>
                      </w:r>
                    </w:p>
                    <w:p w14:paraId="3F7692B0" w14:textId="600B5416" w:rsidR="00A161E2" w:rsidRPr="0019054D" w:rsidRDefault="00A161E2" w:rsidP="0019054D">
                      <w:pPr>
                        <w:ind w:right="19"/>
                        <w:jc w:val="right"/>
                        <w:rPr>
                          <w:color w:val="FF0000"/>
                        </w:rPr>
                      </w:pPr>
                    </w:p>
                  </w:txbxContent>
                </v:textbox>
                <w10:anchorlock/>
              </v:shape>
            </w:pict>
          </mc:Fallback>
        </mc:AlternateContent>
      </w:r>
    </w:p>
    <w:p w14:paraId="3FE58D70" w14:textId="63CF2F3A" w:rsidR="500484AC" w:rsidRDefault="500484AC" w:rsidP="004E48B3">
      <w:pPr>
        <w:spacing w:before="240" w:after="240"/>
        <w:rPr>
          <w:rFonts w:eastAsia="Segoe UI" w:cs="Segoe UI"/>
          <w:lang w:val="en-US"/>
        </w:rPr>
      </w:pPr>
      <w:r w:rsidRPr="00B73F45">
        <w:rPr>
          <w:rFonts w:eastAsia="Segoe UI" w:cs="Segoe UI"/>
          <w:lang w:val="en-US"/>
        </w:rPr>
        <w:lastRenderedPageBreak/>
        <w:t xml:space="preserve">Stakeholders were emphatic </w:t>
      </w:r>
      <w:r w:rsidR="00F37BF4">
        <w:rPr>
          <w:rFonts w:eastAsia="Segoe UI" w:cs="Segoe UI"/>
          <w:lang w:val="en-US"/>
        </w:rPr>
        <w:t>about</w:t>
      </w:r>
      <w:r w:rsidRPr="00B73F45">
        <w:rPr>
          <w:rFonts w:eastAsia="Segoe UI" w:cs="Segoe UI"/>
          <w:lang w:val="en-US"/>
        </w:rPr>
        <w:t xml:space="preserve"> the importance of </w:t>
      </w:r>
      <w:r w:rsidR="00F37BF4">
        <w:rPr>
          <w:rFonts w:eastAsia="Segoe UI" w:cs="Segoe UI"/>
          <w:lang w:val="en-US"/>
        </w:rPr>
        <w:t xml:space="preserve">engaging </w:t>
      </w:r>
      <w:r w:rsidRPr="00B73F45">
        <w:rPr>
          <w:rFonts w:eastAsia="Segoe UI" w:cs="Segoe UI"/>
          <w:lang w:val="en-US"/>
        </w:rPr>
        <w:t>broad</w:t>
      </w:r>
      <w:r w:rsidR="00F37BF4">
        <w:rPr>
          <w:rFonts w:eastAsia="Segoe UI" w:cs="Segoe UI"/>
          <w:lang w:val="en-US"/>
        </w:rPr>
        <w:t>ly,</w:t>
      </w:r>
      <w:r w:rsidRPr="00B73F45">
        <w:rPr>
          <w:rFonts w:eastAsia="Segoe UI" w:cs="Segoe UI"/>
          <w:lang w:val="en-US"/>
        </w:rPr>
        <w:t xml:space="preserve"> co</w:t>
      </w:r>
      <w:r w:rsidR="00F37BF4">
        <w:rPr>
          <w:rFonts w:eastAsia="Segoe UI" w:cs="Segoe UI"/>
          <w:lang w:val="en-US"/>
        </w:rPr>
        <w:noBreakHyphen/>
      </w:r>
      <w:r w:rsidRPr="00B73F45">
        <w:rPr>
          <w:rFonts w:eastAsia="Segoe UI" w:cs="Segoe UI"/>
          <w:lang w:val="en-US"/>
        </w:rPr>
        <w:t>design</w:t>
      </w:r>
      <w:r w:rsidR="00F37BF4">
        <w:rPr>
          <w:rFonts w:eastAsia="Segoe UI" w:cs="Segoe UI"/>
          <w:lang w:val="en-US"/>
        </w:rPr>
        <w:t xml:space="preserve">ing </w:t>
      </w:r>
      <w:r w:rsidRPr="00B73F45">
        <w:rPr>
          <w:rFonts w:eastAsia="Segoe UI" w:cs="Segoe UI"/>
          <w:lang w:val="en-US"/>
        </w:rPr>
        <w:t xml:space="preserve">plain language summaries, </w:t>
      </w:r>
      <w:r w:rsidR="00F37BF4">
        <w:rPr>
          <w:rFonts w:eastAsia="Segoe UI" w:cs="Segoe UI"/>
          <w:lang w:val="en-US"/>
        </w:rPr>
        <w:t xml:space="preserve">improving the </w:t>
      </w:r>
      <w:r w:rsidRPr="00B73F45">
        <w:rPr>
          <w:rFonts w:eastAsia="Segoe UI" w:cs="Segoe UI"/>
          <w:lang w:val="en-US"/>
        </w:rPr>
        <w:t>website</w:t>
      </w:r>
      <w:r w:rsidR="00F37BF4">
        <w:rPr>
          <w:rFonts w:eastAsia="Segoe UI" w:cs="Segoe UI"/>
          <w:lang w:val="en-US"/>
        </w:rPr>
        <w:t>s</w:t>
      </w:r>
      <w:r w:rsidRPr="00B73F45">
        <w:rPr>
          <w:rFonts w:eastAsia="Segoe UI" w:cs="Segoe UI"/>
          <w:lang w:val="en-US"/>
        </w:rPr>
        <w:t xml:space="preserve"> and develop</w:t>
      </w:r>
      <w:r w:rsidR="00F37BF4">
        <w:rPr>
          <w:rFonts w:eastAsia="Segoe UI" w:cs="Segoe UI"/>
          <w:lang w:val="en-US"/>
        </w:rPr>
        <w:t>ing</w:t>
      </w:r>
      <w:r w:rsidRPr="00B73F45">
        <w:rPr>
          <w:rFonts w:eastAsia="Segoe UI" w:cs="Segoe UI"/>
          <w:lang w:val="en-US"/>
        </w:rPr>
        <w:t xml:space="preserve"> a dashboard to meet the needs of consumers and all stakeholder organisations.</w:t>
      </w:r>
    </w:p>
    <w:p w14:paraId="333CD098" w14:textId="4546DE8A" w:rsidR="169BEA93" w:rsidRDefault="169BEA93" w:rsidP="004E48B3">
      <w:pPr>
        <w:spacing w:after="120" w:line="257" w:lineRule="auto"/>
        <w:rPr>
          <w:rFonts w:eastAsia="Segoe UI" w:cs="Segoe UI"/>
          <w:lang w:val="en-US"/>
        </w:rPr>
      </w:pPr>
      <w:r w:rsidRPr="58576920">
        <w:rPr>
          <w:rFonts w:eastAsia="Segoe UI" w:cs="Segoe UI"/>
          <w:lang w:val="en-US"/>
        </w:rPr>
        <w:t xml:space="preserve">The </w:t>
      </w:r>
      <w:r w:rsidR="0048047A">
        <w:rPr>
          <w:rFonts w:eastAsia="Segoe UI" w:cs="Segoe UI"/>
          <w:lang w:val="en-US"/>
        </w:rPr>
        <w:t>p</w:t>
      </w:r>
      <w:r w:rsidR="00B51CEC">
        <w:rPr>
          <w:rFonts w:eastAsia="Segoe UI" w:cs="Segoe UI"/>
          <w:lang w:val="en-US"/>
        </w:rPr>
        <w:t>aper</w:t>
      </w:r>
      <w:r w:rsidRPr="58576920">
        <w:rPr>
          <w:rFonts w:eastAsia="Segoe UI" w:cs="Segoe UI"/>
          <w:lang w:val="en-US"/>
        </w:rPr>
        <w:t xml:space="preserve"> </w:t>
      </w:r>
      <w:r w:rsidR="00201DD7" w:rsidRPr="006C1FCA">
        <w:rPr>
          <w:i/>
        </w:rPr>
        <w:t>International Health Technology Market Approval, Funding and Assessment Pathways</w:t>
      </w:r>
      <w:r w:rsidR="006346CD" w:rsidRPr="007E0DDC">
        <w:rPr>
          <w:rStyle w:val="FootnoteReference"/>
          <w:rFonts w:eastAsia="Segoe UI"/>
          <w:lang w:val="en-US"/>
        </w:rPr>
        <w:footnoteReference w:id="129"/>
      </w:r>
      <w:r w:rsidRPr="58576920">
        <w:rPr>
          <w:rFonts w:eastAsia="Segoe UI" w:cs="Segoe UI"/>
          <w:lang w:val="en-US"/>
        </w:rPr>
        <w:t xml:space="preserve"> found that decisions were completely transparent for sponsors and partially transparent for patients in Australia. PSDs commonly contain redactions of clinical and economic evidence.</w:t>
      </w:r>
      <w:r w:rsidR="51CBB54B" w:rsidRPr="58576920">
        <w:rPr>
          <w:rFonts w:eastAsia="Segoe UI" w:cs="Segoe UI"/>
          <w:lang w:val="en-US"/>
        </w:rPr>
        <w:t xml:space="preserve"> However, transparency was defined by the availability of information, not by the ability of the community to make sense of th</w:t>
      </w:r>
      <w:r w:rsidR="00F37BF4">
        <w:rPr>
          <w:rFonts w:eastAsia="Segoe UI" w:cs="Segoe UI"/>
          <w:lang w:val="en-US"/>
        </w:rPr>
        <w:t>at</w:t>
      </w:r>
      <w:r w:rsidR="51CBB54B" w:rsidRPr="58576920">
        <w:rPr>
          <w:rFonts w:eastAsia="Segoe UI" w:cs="Segoe UI"/>
          <w:lang w:val="en-US"/>
        </w:rPr>
        <w:t xml:space="preserve"> information.</w:t>
      </w:r>
    </w:p>
    <w:p w14:paraId="620D1C86" w14:textId="4AD436F7" w:rsidR="169BEA93" w:rsidRDefault="329CE441" w:rsidP="004E48B3">
      <w:pPr>
        <w:spacing w:after="120" w:line="257" w:lineRule="auto"/>
        <w:rPr>
          <w:rFonts w:eastAsia="Segoe UI" w:cs="Segoe UI"/>
          <w:lang w:val="en-US"/>
        </w:rPr>
      </w:pPr>
      <w:r w:rsidRPr="760B44C9">
        <w:rPr>
          <w:rFonts w:eastAsia="Segoe UI" w:cs="Segoe UI"/>
          <w:lang w:val="en-US"/>
        </w:rPr>
        <w:t>The</w:t>
      </w:r>
      <w:r w:rsidR="169BEA93" w:rsidRPr="10AEDC38">
        <w:rPr>
          <w:rFonts w:eastAsia="Segoe UI" w:cs="Segoe UI"/>
          <w:lang w:val="en-US"/>
        </w:rPr>
        <w:t xml:space="preserve"> Review also </w:t>
      </w:r>
      <w:r w:rsidR="169BEA93" w:rsidRPr="00B73F45">
        <w:rPr>
          <w:rFonts w:eastAsia="Segoe UI" w:cs="Segoe UI"/>
          <w:lang w:val="en-US"/>
        </w:rPr>
        <w:t xml:space="preserve">found that inherent and structural aspects of the HTA </w:t>
      </w:r>
      <w:r w:rsidR="60D1B7EC" w:rsidRPr="2D44CC40">
        <w:rPr>
          <w:rFonts w:eastAsia="Segoe UI" w:cs="Segoe UI"/>
          <w:lang w:val="en-US"/>
        </w:rPr>
        <w:t>process</w:t>
      </w:r>
      <w:r w:rsidR="169BEA93" w:rsidRPr="13EDF7D9">
        <w:rPr>
          <w:rFonts w:eastAsia="Segoe UI" w:cs="Segoe UI"/>
          <w:lang w:val="en-US"/>
        </w:rPr>
        <w:t xml:space="preserve"> </w:t>
      </w:r>
      <w:r w:rsidR="169BEA93" w:rsidRPr="00B73F45">
        <w:rPr>
          <w:rFonts w:eastAsia="Segoe UI" w:cs="Segoe UI"/>
          <w:lang w:val="en-US"/>
        </w:rPr>
        <w:t xml:space="preserve">work against transparency and may limit maximum engagement. These factors include the complex nature and volume of information considered by HTA </w:t>
      </w:r>
      <w:r w:rsidR="00C16518">
        <w:rPr>
          <w:rFonts w:eastAsia="Segoe UI" w:cs="Segoe UI"/>
          <w:lang w:val="en-US"/>
        </w:rPr>
        <w:t xml:space="preserve">advisory </w:t>
      </w:r>
      <w:r w:rsidR="169BEA93" w:rsidRPr="00B73F45">
        <w:rPr>
          <w:rFonts w:eastAsia="Segoe UI" w:cs="Segoe UI"/>
          <w:lang w:val="en-US"/>
        </w:rPr>
        <w:t xml:space="preserve">committees, the large and increasing number of applications received, </w:t>
      </w:r>
      <w:r w:rsidR="13CE3CB1" w:rsidRPr="6AC35F56">
        <w:rPr>
          <w:rFonts w:eastAsia="Segoe UI" w:cs="Segoe UI"/>
          <w:lang w:val="en-US"/>
        </w:rPr>
        <w:t xml:space="preserve">the need </w:t>
      </w:r>
      <w:r w:rsidR="00F37BF4">
        <w:rPr>
          <w:rFonts w:eastAsia="Segoe UI" w:cs="Segoe UI"/>
          <w:lang w:val="en-US"/>
        </w:rPr>
        <w:t>to protect</w:t>
      </w:r>
      <w:r w:rsidR="13CE3CB1" w:rsidRPr="6AC35F56">
        <w:rPr>
          <w:rFonts w:eastAsia="Segoe UI" w:cs="Segoe UI"/>
          <w:lang w:val="en-US"/>
        </w:rPr>
        <w:t xml:space="preserve"> </w:t>
      </w:r>
      <w:r w:rsidR="169BEA93" w:rsidRPr="00B73F45">
        <w:rPr>
          <w:rFonts w:eastAsia="Segoe UI" w:cs="Segoe UI"/>
          <w:lang w:val="en-US"/>
        </w:rPr>
        <w:t>commercially sensitive or an individual</w:t>
      </w:r>
      <w:r w:rsidR="00F37BF4">
        <w:rPr>
          <w:rFonts w:eastAsia="Segoe UI" w:cs="Segoe UI"/>
          <w:lang w:val="en-US"/>
        </w:rPr>
        <w:t>’</w:t>
      </w:r>
      <w:r w:rsidR="169BEA93" w:rsidRPr="00B73F45">
        <w:rPr>
          <w:rFonts w:eastAsia="Segoe UI" w:cs="Segoe UI"/>
          <w:lang w:val="en-US"/>
        </w:rPr>
        <w:t>s private information from public release by law</w:t>
      </w:r>
      <w:r w:rsidR="037DE610" w:rsidRPr="00B73F45">
        <w:rPr>
          <w:rFonts w:eastAsia="Segoe UI" w:cs="Segoe UI"/>
          <w:lang w:val="en-US"/>
        </w:rPr>
        <w:t xml:space="preserve">, and engagement usually not </w:t>
      </w:r>
      <w:r w:rsidR="00395FDE" w:rsidRPr="00B73F45">
        <w:rPr>
          <w:rFonts w:eastAsia="Segoe UI" w:cs="Segoe UI"/>
          <w:lang w:val="en-US"/>
        </w:rPr>
        <w:t xml:space="preserve">occurring </w:t>
      </w:r>
      <w:r w:rsidR="037DE610" w:rsidRPr="00B73F45">
        <w:rPr>
          <w:rFonts w:eastAsia="Segoe UI" w:cs="Segoe UI"/>
          <w:lang w:val="en-US"/>
        </w:rPr>
        <w:t xml:space="preserve">until </w:t>
      </w:r>
      <w:r w:rsidR="00395FDE" w:rsidRPr="00B73F45">
        <w:rPr>
          <w:rFonts w:eastAsia="Segoe UI" w:cs="Segoe UI"/>
          <w:lang w:val="en-US"/>
        </w:rPr>
        <w:t>after</w:t>
      </w:r>
      <w:r w:rsidR="037DE610" w:rsidRPr="00B73F45">
        <w:rPr>
          <w:rFonts w:eastAsia="Segoe UI" w:cs="Segoe UI"/>
          <w:lang w:val="en-US"/>
        </w:rPr>
        <w:t xml:space="preserve"> a</w:t>
      </w:r>
      <w:r w:rsidR="00AE43EE">
        <w:rPr>
          <w:rFonts w:eastAsia="Segoe UI" w:cs="Segoe UI"/>
          <w:lang w:val="en-US"/>
        </w:rPr>
        <w:t>n</w:t>
      </w:r>
      <w:r w:rsidR="037DE610" w:rsidRPr="00B73F45">
        <w:rPr>
          <w:rFonts w:eastAsia="Segoe UI" w:cs="Segoe UI"/>
          <w:lang w:val="en-US"/>
        </w:rPr>
        <w:t xml:space="preserve"> </w:t>
      </w:r>
      <w:r w:rsidR="00395FDE" w:rsidRPr="00B73F45">
        <w:rPr>
          <w:rFonts w:eastAsia="Segoe UI" w:cs="Segoe UI"/>
          <w:lang w:val="en-US"/>
        </w:rPr>
        <w:t xml:space="preserve">HTA </w:t>
      </w:r>
      <w:r w:rsidR="037DE610" w:rsidRPr="00B73F45">
        <w:rPr>
          <w:rFonts w:eastAsia="Segoe UI" w:cs="Segoe UI"/>
          <w:lang w:val="en-US"/>
        </w:rPr>
        <w:t>submission is made</w:t>
      </w:r>
      <w:r w:rsidR="037DE610" w:rsidRPr="168F38AB">
        <w:rPr>
          <w:rFonts w:eastAsia="Segoe UI" w:cs="Segoe UI"/>
          <w:lang w:val="en-US"/>
        </w:rPr>
        <w:t>.</w:t>
      </w:r>
    </w:p>
    <w:p w14:paraId="595D4D4D" w14:textId="24E2B3C2" w:rsidR="169BEA93" w:rsidRPr="0019054D" w:rsidRDefault="328DF0F9" w:rsidP="003B0CDF">
      <w:pPr>
        <w:pStyle w:val="Heading4"/>
        <w:rPr>
          <w:rFonts w:eastAsia="Segoe UI" w:cs="Segoe UI"/>
          <w:color w:val="005A68" w:themeColor="accent6" w:themeShade="80"/>
          <w:lang w:val="en-US"/>
        </w:rPr>
      </w:pPr>
      <w:r w:rsidRPr="00B73F45">
        <w:rPr>
          <w:lang w:val="en-US"/>
        </w:rPr>
        <w:t xml:space="preserve">Plain </w:t>
      </w:r>
      <w:r w:rsidR="00284FDD">
        <w:rPr>
          <w:lang w:val="en-US"/>
        </w:rPr>
        <w:t>l</w:t>
      </w:r>
      <w:r w:rsidRPr="00B73F45">
        <w:rPr>
          <w:lang w:val="en-US"/>
        </w:rPr>
        <w:t xml:space="preserve">anguage </w:t>
      </w:r>
      <w:r w:rsidR="00284FDD">
        <w:rPr>
          <w:lang w:val="en-US"/>
        </w:rPr>
        <w:t>s</w:t>
      </w:r>
      <w:r w:rsidRPr="00B73F45">
        <w:rPr>
          <w:lang w:val="en-US"/>
        </w:rPr>
        <w:t>ummaries</w:t>
      </w:r>
      <w:r w:rsidR="00FA396E">
        <w:rPr>
          <w:lang w:val="en-US"/>
        </w:rPr>
        <w:t xml:space="preserve"> </w:t>
      </w:r>
    </w:p>
    <w:p w14:paraId="1704F4EF" w14:textId="057D708B" w:rsidR="169BEA93" w:rsidRDefault="328DF0F9" w:rsidP="003B0CDF">
      <w:pPr>
        <w:spacing w:after="240"/>
        <w:rPr>
          <w:rFonts w:eastAsia="Segoe UI" w:cs="Segoe UI"/>
        </w:rPr>
      </w:pPr>
      <w:r w:rsidRPr="00B73F45">
        <w:rPr>
          <w:rFonts w:eastAsia="Segoe UI" w:cs="Segoe UI"/>
        </w:rPr>
        <w:t xml:space="preserve">Stakeholders strongly supported </w:t>
      </w:r>
      <w:r w:rsidR="00F37BF4">
        <w:rPr>
          <w:rFonts w:eastAsia="Segoe UI" w:cs="Segoe UI"/>
        </w:rPr>
        <w:t>having p</w:t>
      </w:r>
      <w:r w:rsidRPr="00B73F45">
        <w:rPr>
          <w:rFonts w:eastAsia="Segoe UI" w:cs="Segoe UI"/>
        </w:rPr>
        <w:t xml:space="preserve">lain </w:t>
      </w:r>
      <w:r w:rsidR="00F37BF4">
        <w:rPr>
          <w:rFonts w:eastAsia="Segoe UI" w:cs="Segoe UI"/>
        </w:rPr>
        <w:t>l</w:t>
      </w:r>
      <w:r w:rsidRPr="00B73F45">
        <w:rPr>
          <w:rFonts w:eastAsia="Segoe UI" w:cs="Segoe UI"/>
        </w:rPr>
        <w:t xml:space="preserve">anguage </w:t>
      </w:r>
      <w:r w:rsidR="00F37BF4">
        <w:rPr>
          <w:rFonts w:eastAsia="Segoe UI" w:cs="Segoe UI"/>
        </w:rPr>
        <w:t>s</w:t>
      </w:r>
      <w:r w:rsidRPr="00B73F45">
        <w:rPr>
          <w:rFonts w:eastAsia="Segoe UI" w:cs="Segoe UI"/>
        </w:rPr>
        <w:t>ummaries to facilitate greater stakeholder and consumer understanding, engagement and input. Consumer, clinical and industry organisations agreed they would have a positive or very positive impact</w:t>
      </w:r>
      <w:r w:rsidR="00F37BF4">
        <w:rPr>
          <w:rFonts w:eastAsia="Segoe UI" w:cs="Segoe UI"/>
        </w:rPr>
        <w:t>.</w:t>
      </w:r>
      <w:r w:rsidR="00824DA9">
        <w:rPr>
          <w:rStyle w:val="FootnoteReference"/>
          <w:rFonts w:eastAsia="Segoe UI" w:cs="Segoe UI"/>
        </w:rPr>
        <w:footnoteReference w:id="130"/>
      </w:r>
      <w:r w:rsidRPr="00B73F45">
        <w:rPr>
          <w:rFonts w:eastAsia="Segoe UI" w:cs="Segoe UI"/>
        </w:rPr>
        <w:t xml:space="preserve"> Consumer organisations noted that introduc</w:t>
      </w:r>
      <w:r w:rsidR="00F37BF4">
        <w:rPr>
          <w:rFonts w:eastAsia="Segoe UI" w:cs="Segoe UI"/>
        </w:rPr>
        <w:t xml:space="preserve">ing plain language summaries, or </w:t>
      </w:r>
      <w:r w:rsidRPr="00B73F45">
        <w:rPr>
          <w:rFonts w:eastAsia="Segoe UI" w:cs="Segoe UI"/>
        </w:rPr>
        <w:t>improv</w:t>
      </w:r>
      <w:r w:rsidR="00F37BF4">
        <w:rPr>
          <w:rFonts w:eastAsia="Segoe UI" w:cs="Segoe UI"/>
        </w:rPr>
        <w:t>ing</w:t>
      </w:r>
      <w:r w:rsidRPr="00B73F45">
        <w:rPr>
          <w:rFonts w:eastAsia="Segoe UI" w:cs="Segoe UI"/>
        </w:rPr>
        <w:t xml:space="preserve"> existing summaries</w:t>
      </w:r>
      <w:r w:rsidR="00180158">
        <w:rPr>
          <w:rFonts w:eastAsia="Segoe UI" w:cs="Segoe UI"/>
        </w:rPr>
        <w:t>,</w:t>
      </w:r>
      <w:r w:rsidRPr="00B73F45">
        <w:rPr>
          <w:rFonts w:eastAsia="Segoe UI" w:cs="Segoe UI"/>
        </w:rPr>
        <w:t xml:space="preserve"> in the near term w</w:t>
      </w:r>
      <w:r w:rsidR="00180158">
        <w:rPr>
          <w:rFonts w:eastAsia="Segoe UI" w:cs="Segoe UI"/>
        </w:rPr>
        <w:t>ould have</w:t>
      </w:r>
      <w:r w:rsidRPr="00B73F45">
        <w:rPr>
          <w:rFonts w:eastAsia="Segoe UI" w:cs="Segoe UI"/>
        </w:rPr>
        <w:t xml:space="preserve"> a </w:t>
      </w:r>
      <w:r w:rsidR="00CD465F">
        <w:rPr>
          <w:rFonts w:eastAsia="Segoe UI" w:cs="Segoe UI"/>
        </w:rPr>
        <w:t xml:space="preserve">substantial positive </w:t>
      </w:r>
      <w:r w:rsidRPr="00B73F45">
        <w:rPr>
          <w:rFonts w:eastAsia="Segoe UI" w:cs="Segoe UI"/>
        </w:rPr>
        <w:t>impact</w:t>
      </w:r>
      <w:r w:rsidR="00180158">
        <w:rPr>
          <w:rFonts w:eastAsia="Segoe UI" w:cs="Segoe UI"/>
        </w:rPr>
        <w:t>.</w:t>
      </w:r>
      <w:r w:rsidR="00072F0B">
        <w:rPr>
          <w:rStyle w:val="FootnoteReference"/>
          <w:rFonts w:eastAsia="Segoe UI" w:cs="Segoe UI"/>
        </w:rPr>
        <w:footnoteReference w:id="131"/>
      </w:r>
      <w:r w:rsidR="00453069">
        <w:rPr>
          <w:rFonts w:eastAsia="Segoe UI" w:cs="Segoe UI"/>
        </w:rPr>
        <w:t xml:space="preserve"> </w:t>
      </w:r>
    </w:p>
    <w:p w14:paraId="5E4E3BFA" w14:textId="40A10758" w:rsidR="169BEA93" w:rsidRDefault="00EA3BF3" w:rsidP="004E48B3">
      <w:pPr>
        <w:spacing w:before="240" w:after="240"/>
        <w:rPr>
          <w:rFonts w:eastAsia="Segoe UI" w:cs="Segoe UI"/>
        </w:rPr>
      </w:pPr>
      <w:r w:rsidRPr="0198EAE1">
        <w:rPr>
          <w:rFonts w:eastAsia="Segoe UI" w:cs="Segoe UI"/>
        </w:rPr>
        <w:t>C</w:t>
      </w:r>
      <w:r w:rsidR="328DF0F9" w:rsidRPr="0198EAE1">
        <w:rPr>
          <w:rFonts w:eastAsia="Segoe UI" w:cs="Segoe UI"/>
        </w:rPr>
        <w:t xml:space="preserve">onsumer and industry participants </w:t>
      </w:r>
      <w:r w:rsidR="00342839" w:rsidRPr="0198EAE1">
        <w:rPr>
          <w:rFonts w:eastAsia="Segoe UI" w:cs="Segoe UI"/>
        </w:rPr>
        <w:t>recommended</w:t>
      </w:r>
      <w:r w:rsidR="328DF0F9" w:rsidRPr="0198EAE1">
        <w:rPr>
          <w:rFonts w:eastAsia="Segoe UI" w:cs="Segoe UI"/>
        </w:rPr>
        <w:t xml:space="preserve"> that plain language summaries of medicine submissions could be provided alongside upcoming PBAC agendas. </w:t>
      </w:r>
      <w:r w:rsidR="00180158">
        <w:rPr>
          <w:rFonts w:eastAsia="Segoe UI" w:cs="Segoe UI"/>
        </w:rPr>
        <w:t>One</w:t>
      </w:r>
      <w:r w:rsidR="328DF0F9" w:rsidRPr="0198EAE1">
        <w:rPr>
          <w:rFonts w:eastAsia="Segoe UI" w:cs="Segoe UI"/>
        </w:rPr>
        <w:t xml:space="preserve"> industry stakeholder </w:t>
      </w:r>
      <w:r w:rsidR="00180158">
        <w:rPr>
          <w:rFonts w:eastAsia="Segoe UI" w:cs="Segoe UI"/>
        </w:rPr>
        <w:t xml:space="preserve">noted </w:t>
      </w:r>
      <w:r w:rsidR="328DF0F9" w:rsidRPr="0198EAE1">
        <w:rPr>
          <w:rFonts w:eastAsia="Segoe UI" w:cs="Segoe UI"/>
        </w:rPr>
        <w:t xml:space="preserve">that criteria </w:t>
      </w:r>
      <w:r w:rsidR="00180158">
        <w:rPr>
          <w:rFonts w:eastAsia="Segoe UI" w:cs="Segoe UI"/>
        </w:rPr>
        <w:t>we</w:t>
      </w:r>
      <w:r w:rsidR="328DF0F9" w:rsidRPr="0198EAE1">
        <w:rPr>
          <w:rFonts w:eastAsia="Segoe UI" w:cs="Segoe UI"/>
        </w:rPr>
        <w:t xml:space="preserve">re needed to define which submissions would benefit from </w:t>
      </w:r>
      <w:r w:rsidR="00180158">
        <w:rPr>
          <w:rFonts w:eastAsia="Segoe UI" w:cs="Segoe UI"/>
        </w:rPr>
        <w:t xml:space="preserve">having a </w:t>
      </w:r>
      <w:r w:rsidR="328DF0F9" w:rsidRPr="0198EAE1">
        <w:rPr>
          <w:rFonts w:eastAsia="Segoe UI" w:cs="Segoe UI"/>
        </w:rPr>
        <w:t>formal summar</w:t>
      </w:r>
      <w:r w:rsidR="00180158">
        <w:rPr>
          <w:rFonts w:eastAsia="Segoe UI" w:cs="Segoe UI"/>
        </w:rPr>
        <w:t>y.</w:t>
      </w:r>
      <w:r w:rsidR="00F432CA" w:rsidRPr="0198EAE1">
        <w:rPr>
          <w:rStyle w:val="FootnoteReference"/>
          <w:rFonts w:eastAsia="Segoe UI" w:cs="Segoe UI"/>
        </w:rPr>
        <w:footnoteReference w:id="132"/>
      </w:r>
      <w:r w:rsidR="328DF0F9" w:rsidRPr="0198EAE1">
        <w:rPr>
          <w:rFonts w:eastAsia="Segoe UI" w:cs="Segoe UI"/>
        </w:rPr>
        <w:t xml:space="preserve"> Industry </w:t>
      </w:r>
      <w:r w:rsidR="008308C4" w:rsidRPr="0198EAE1">
        <w:rPr>
          <w:rFonts w:eastAsia="Segoe UI" w:cs="Segoe UI"/>
        </w:rPr>
        <w:t>stakeholders</w:t>
      </w:r>
      <w:r w:rsidR="328DF0F9" w:rsidRPr="0198EAE1">
        <w:rPr>
          <w:rFonts w:eastAsia="Segoe UI" w:cs="Segoe UI"/>
        </w:rPr>
        <w:t xml:space="preserve"> also considered that there was a strong need </w:t>
      </w:r>
      <w:r w:rsidR="00180158">
        <w:rPr>
          <w:rFonts w:eastAsia="Segoe UI" w:cs="Segoe UI"/>
        </w:rPr>
        <w:t xml:space="preserve">to keep </w:t>
      </w:r>
      <w:r w:rsidR="328DF0F9" w:rsidRPr="0198EAE1">
        <w:rPr>
          <w:rFonts w:eastAsia="Segoe UI" w:cs="Segoe UI"/>
        </w:rPr>
        <w:t>pricing information confidential</w:t>
      </w:r>
      <w:r w:rsidR="04242817" w:rsidRPr="0198EAE1">
        <w:rPr>
          <w:rFonts w:eastAsia="Segoe UI" w:cs="Segoe UI"/>
        </w:rPr>
        <w:t>, in accordance with the law</w:t>
      </w:r>
      <w:r w:rsidR="00180158">
        <w:rPr>
          <w:rFonts w:eastAsia="Segoe UI" w:cs="Segoe UI"/>
        </w:rPr>
        <w:t>,</w:t>
      </w:r>
      <w:r w:rsidR="7B6EB259" w:rsidRPr="2AE763EA">
        <w:rPr>
          <w:rFonts w:eastAsia="Segoe UI" w:cs="Segoe UI"/>
        </w:rPr>
        <w:t xml:space="preserve"> where applicable</w:t>
      </w:r>
      <w:r w:rsidR="328DF0F9" w:rsidRPr="53D2D42E">
        <w:rPr>
          <w:rFonts w:eastAsia="Segoe UI" w:cs="Segoe UI"/>
        </w:rPr>
        <w:t>.</w:t>
      </w:r>
      <w:r w:rsidR="00453069">
        <w:rPr>
          <w:rFonts w:eastAsia="Segoe UI" w:cs="Segoe UI"/>
        </w:rPr>
        <w:t xml:space="preserve"> </w:t>
      </w:r>
    </w:p>
    <w:p w14:paraId="119B838C" w14:textId="2F748F84" w:rsidR="169BEA93" w:rsidRDefault="328DF0F9" w:rsidP="004E48B3">
      <w:pPr>
        <w:spacing w:before="240" w:after="240"/>
        <w:rPr>
          <w:rFonts w:eastAsia="Segoe UI" w:cs="Segoe UI"/>
          <w:lang w:val="en-US"/>
        </w:rPr>
      </w:pPr>
      <w:r w:rsidRPr="52FE5B6D">
        <w:rPr>
          <w:rFonts w:eastAsia="Segoe UI" w:cs="Segoe UI"/>
          <w:lang w:val="en-US"/>
        </w:rPr>
        <w:t xml:space="preserve">Plain language summaries of HTA </w:t>
      </w:r>
      <w:r w:rsidR="00C16518">
        <w:rPr>
          <w:rFonts w:eastAsia="Segoe UI" w:cs="Segoe UI"/>
          <w:lang w:val="en-US"/>
        </w:rPr>
        <w:t xml:space="preserve">advisory </w:t>
      </w:r>
      <w:r w:rsidRPr="52FE5B6D">
        <w:rPr>
          <w:rFonts w:eastAsia="Segoe UI" w:cs="Segoe UI"/>
          <w:lang w:val="en-US"/>
        </w:rPr>
        <w:t xml:space="preserve">committee decisions </w:t>
      </w:r>
      <w:r w:rsidR="00FD67EB">
        <w:rPr>
          <w:rFonts w:eastAsia="Segoe UI" w:cs="Segoe UI"/>
          <w:lang w:val="en-US"/>
        </w:rPr>
        <w:t>(</w:t>
      </w:r>
      <w:r w:rsidRPr="52FE5B6D">
        <w:rPr>
          <w:rFonts w:eastAsia="Segoe UI" w:cs="Segoe UI"/>
          <w:lang w:val="en-US"/>
        </w:rPr>
        <w:t xml:space="preserve">including a </w:t>
      </w:r>
      <w:r w:rsidRPr="00B73F45">
        <w:rPr>
          <w:rFonts w:eastAsia="Segoe UI" w:cs="Segoe UI"/>
          <w:lang w:val="en-US"/>
        </w:rPr>
        <w:t xml:space="preserve">clear </w:t>
      </w:r>
      <w:r w:rsidR="2642E054" w:rsidRPr="083EDC10">
        <w:rPr>
          <w:rFonts w:eastAsia="Segoe UI" w:cs="Segoe UI"/>
          <w:lang w:val="en-US"/>
        </w:rPr>
        <w:t>description</w:t>
      </w:r>
      <w:r w:rsidR="679D2CD2" w:rsidRPr="083EDC10">
        <w:rPr>
          <w:rFonts w:eastAsia="Segoe UI" w:cs="Segoe UI"/>
          <w:lang w:val="en-US"/>
        </w:rPr>
        <w:t xml:space="preserve"> </w:t>
      </w:r>
      <w:r w:rsidRPr="00B73F45">
        <w:rPr>
          <w:rFonts w:eastAsia="Segoe UI" w:cs="Segoe UI"/>
          <w:lang w:val="en-US"/>
        </w:rPr>
        <w:t>of how stakeholder perspective</w:t>
      </w:r>
      <w:r w:rsidR="00EE3CC8">
        <w:rPr>
          <w:rFonts w:eastAsia="Segoe UI" w:cs="Segoe UI"/>
          <w:lang w:val="en-US"/>
        </w:rPr>
        <w:t>s</w:t>
      </w:r>
      <w:r w:rsidRPr="00B73F45">
        <w:rPr>
          <w:rFonts w:eastAsia="Segoe UI" w:cs="Segoe UI"/>
          <w:lang w:val="en-US"/>
        </w:rPr>
        <w:t xml:space="preserve"> </w:t>
      </w:r>
      <w:r w:rsidR="00180158">
        <w:rPr>
          <w:rFonts w:eastAsia="Segoe UI" w:cs="Segoe UI"/>
          <w:lang w:val="en-US"/>
        </w:rPr>
        <w:t>were</w:t>
      </w:r>
      <w:r w:rsidRPr="00B73F45">
        <w:rPr>
          <w:rFonts w:eastAsia="Segoe UI" w:cs="Segoe UI"/>
          <w:lang w:val="en-US"/>
        </w:rPr>
        <w:t xml:space="preserve"> </w:t>
      </w:r>
      <w:proofErr w:type="gramStart"/>
      <w:r w:rsidRPr="00B73F45">
        <w:rPr>
          <w:rFonts w:eastAsia="Segoe UI" w:cs="Segoe UI"/>
          <w:lang w:val="en-US"/>
        </w:rPr>
        <w:t>taken into account</w:t>
      </w:r>
      <w:proofErr w:type="gramEnd"/>
      <w:r w:rsidR="00B03EA6">
        <w:rPr>
          <w:rFonts w:eastAsia="Segoe UI" w:cs="Segoe UI"/>
          <w:lang w:val="en-US"/>
        </w:rPr>
        <w:t xml:space="preserve"> in relation to other inputs and evidence</w:t>
      </w:r>
      <w:r w:rsidR="00FD67EB">
        <w:rPr>
          <w:rFonts w:eastAsia="Segoe UI" w:cs="Segoe UI"/>
          <w:lang w:val="en-US"/>
        </w:rPr>
        <w:t>)</w:t>
      </w:r>
      <w:r w:rsidR="00180158">
        <w:rPr>
          <w:rFonts w:eastAsia="Segoe UI" w:cs="Segoe UI"/>
          <w:lang w:val="en-US"/>
        </w:rPr>
        <w:t xml:space="preserve"> were</w:t>
      </w:r>
      <w:r w:rsidRPr="00B73F45">
        <w:rPr>
          <w:rFonts w:eastAsia="Segoe UI" w:cs="Segoe UI"/>
          <w:lang w:val="en-US"/>
        </w:rPr>
        <w:t xml:space="preserve"> also considered a very important element of effective engagement and ha</w:t>
      </w:r>
      <w:r w:rsidR="00F37A70" w:rsidRPr="00B73F45">
        <w:rPr>
          <w:rFonts w:eastAsia="Segoe UI" w:cs="Segoe UI"/>
          <w:lang w:val="en-US"/>
        </w:rPr>
        <w:t>d</w:t>
      </w:r>
      <w:r w:rsidRPr="00B73F45">
        <w:rPr>
          <w:rFonts w:eastAsia="Segoe UI" w:cs="Segoe UI"/>
          <w:lang w:val="en-US"/>
        </w:rPr>
        <w:t xml:space="preserve"> widespread </w:t>
      </w:r>
      <w:r w:rsidR="00F37A70" w:rsidRPr="00B73F45">
        <w:rPr>
          <w:rFonts w:eastAsia="Segoe UI" w:cs="Segoe UI"/>
          <w:lang w:val="en-US"/>
        </w:rPr>
        <w:t xml:space="preserve">stakeholder </w:t>
      </w:r>
      <w:r w:rsidRPr="00B73F45">
        <w:rPr>
          <w:rFonts w:eastAsia="Segoe UI" w:cs="Segoe UI"/>
          <w:lang w:val="en-US"/>
        </w:rPr>
        <w:t>support.</w:t>
      </w:r>
      <w:r w:rsidRPr="52FE5B6D">
        <w:rPr>
          <w:rFonts w:eastAsia="Segoe UI" w:cs="Segoe UI"/>
          <w:lang w:val="en-US"/>
        </w:rPr>
        <w:t xml:space="preserve"> </w:t>
      </w:r>
    </w:p>
    <w:p w14:paraId="1A64969C" w14:textId="5B478423" w:rsidR="169BEA93" w:rsidRDefault="328DF0F9" w:rsidP="004E48B3">
      <w:pPr>
        <w:spacing w:before="240" w:after="240"/>
        <w:rPr>
          <w:rFonts w:eastAsia="Segoe UI" w:cs="Segoe UI"/>
          <w:lang w:val="en-US"/>
        </w:rPr>
      </w:pPr>
      <w:r w:rsidRPr="52FE5B6D">
        <w:rPr>
          <w:rFonts w:eastAsia="Segoe UI" w:cs="Segoe UI"/>
          <w:lang w:val="en-US"/>
        </w:rPr>
        <w:lastRenderedPageBreak/>
        <w:t xml:space="preserve">Consumer </w:t>
      </w:r>
      <w:proofErr w:type="spellStart"/>
      <w:r w:rsidRPr="52FE5B6D">
        <w:rPr>
          <w:rFonts w:eastAsia="Segoe UI" w:cs="Segoe UI"/>
          <w:lang w:val="en-US"/>
        </w:rPr>
        <w:t>organisations</w:t>
      </w:r>
      <w:proofErr w:type="spellEnd"/>
      <w:r w:rsidRPr="52FE5B6D">
        <w:rPr>
          <w:rFonts w:eastAsia="Segoe UI" w:cs="Segoe UI"/>
          <w:lang w:val="en-US"/>
        </w:rPr>
        <w:t xml:space="preserve"> </w:t>
      </w:r>
      <w:proofErr w:type="spellStart"/>
      <w:r w:rsidRPr="5574DB99">
        <w:rPr>
          <w:rFonts w:eastAsia="Segoe UI" w:cs="Segoe UI"/>
          <w:lang w:val="en-US"/>
        </w:rPr>
        <w:t>recogni</w:t>
      </w:r>
      <w:r w:rsidR="2B37CCBE" w:rsidRPr="5574DB99">
        <w:rPr>
          <w:rFonts w:eastAsia="Segoe UI" w:cs="Segoe UI"/>
          <w:lang w:val="en-US"/>
        </w:rPr>
        <w:t>s</w:t>
      </w:r>
      <w:r w:rsidRPr="5574DB99">
        <w:rPr>
          <w:rFonts w:eastAsia="Segoe UI" w:cs="Segoe UI"/>
          <w:lang w:val="en-US"/>
        </w:rPr>
        <w:t>ed</w:t>
      </w:r>
      <w:proofErr w:type="spellEnd"/>
      <w:r w:rsidRPr="52FE5B6D">
        <w:rPr>
          <w:rFonts w:eastAsia="Segoe UI" w:cs="Segoe UI"/>
          <w:lang w:val="en-US"/>
        </w:rPr>
        <w:t xml:space="preserve"> that when conveying HTA decisions</w:t>
      </w:r>
      <w:r w:rsidR="004F70A0">
        <w:rPr>
          <w:rFonts w:eastAsia="Segoe UI" w:cs="Segoe UI"/>
          <w:lang w:val="en-US"/>
        </w:rPr>
        <w:t>,</w:t>
      </w:r>
      <w:r w:rsidRPr="52FE5B6D">
        <w:rPr>
          <w:rFonts w:eastAsia="Segoe UI" w:cs="Segoe UI"/>
          <w:lang w:val="en-US"/>
        </w:rPr>
        <w:t xml:space="preserve"> much of the information is very technical</w:t>
      </w:r>
      <w:r w:rsidR="00180158">
        <w:rPr>
          <w:rFonts w:eastAsia="Segoe UI" w:cs="Segoe UI"/>
          <w:lang w:val="en-US"/>
        </w:rPr>
        <w:t>,</w:t>
      </w:r>
      <w:r w:rsidRPr="52FE5B6D">
        <w:rPr>
          <w:rFonts w:eastAsia="Segoe UI" w:cs="Segoe UI"/>
          <w:lang w:val="en-US"/>
        </w:rPr>
        <w:t xml:space="preserve"> which can be difficult for patients to grasp. Publishing plain language summaries enables transparency and equity of consumer access in the context of diversity in health literacy. Plain language summaries may still fail to communicate the complexity of decision-making processes</w:t>
      </w:r>
      <w:r w:rsidRPr="52FE5B6D">
        <w:rPr>
          <w:rFonts w:ascii="Times New Roman" w:eastAsia="Times New Roman" w:hAnsi="Times New Roman"/>
          <w:lang w:val="en-US"/>
        </w:rPr>
        <w:t xml:space="preserve"> </w:t>
      </w:r>
      <w:r w:rsidRPr="52FE5B6D">
        <w:rPr>
          <w:rFonts w:eastAsia="Segoe UI" w:cs="Segoe UI"/>
          <w:lang w:val="en-US"/>
        </w:rPr>
        <w:t xml:space="preserve">as they rely on a certain level of health literacy. A concern was raised </w:t>
      </w:r>
      <w:r w:rsidR="00180158">
        <w:rPr>
          <w:rFonts w:eastAsia="Segoe UI" w:cs="Segoe UI"/>
          <w:lang w:val="en-US"/>
        </w:rPr>
        <w:t>about the</w:t>
      </w:r>
      <w:r w:rsidRPr="52FE5B6D">
        <w:rPr>
          <w:rFonts w:eastAsia="Segoe UI" w:cs="Segoe UI"/>
          <w:lang w:val="en-US"/>
        </w:rPr>
        <w:t xml:space="preserve"> risk of increasing inequities unless there is an effort to improve health literacy across affected consumer groups. </w:t>
      </w:r>
      <w:r w:rsidRPr="00B73F45">
        <w:rPr>
          <w:rFonts w:eastAsia="Segoe UI" w:cs="Segoe UI"/>
          <w:lang w:val="en-US"/>
        </w:rPr>
        <w:t>Further, an appropriately skilled workforce</w:t>
      </w:r>
      <w:r w:rsidR="1E793B41" w:rsidRPr="7A0C5911">
        <w:rPr>
          <w:rFonts w:eastAsia="Segoe UI" w:cs="Segoe UI"/>
          <w:lang w:val="en-US"/>
        </w:rPr>
        <w:t xml:space="preserve"> that includes</w:t>
      </w:r>
      <w:r w:rsidR="1E793B41" w:rsidRPr="3C23265C">
        <w:rPr>
          <w:rFonts w:eastAsia="Segoe UI" w:cs="Segoe UI"/>
          <w:lang w:val="en-US"/>
        </w:rPr>
        <w:t xml:space="preserve"> </w:t>
      </w:r>
      <w:r w:rsidR="76B340C1" w:rsidRPr="615D079F">
        <w:rPr>
          <w:rFonts w:eastAsia="Segoe UI" w:cs="Segoe UI"/>
          <w:lang w:val="en-US"/>
        </w:rPr>
        <w:t>scientific</w:t>
      </w:r>
      <w:r w:rsidR="03C8D6E5" w:rsidRPr="0C09CFF1">
        <w:rPr>
          <w:rFonts w:eastAsia="Segoe UI" w:cs="Segoe UI"/>
          <w:lang w:val="en-US"/>
        </w:rPr>
        <w:t xml:space="preserve"> and medical communications experts</w:t>
      </w:r>
      <w:r w:rsidRPr="00B73F45">
        <w:rPr>
          <w:rFonts w:eastAsia="Segoe UI" w:cs="Segoe UI"/>
          <w:lang w:val="en-US"/>
        </w:rPr>
        <w:t xml:space="preserve"> is needed to support clear communication of HTA </w:t>
      </w:r>
      <w:r w:rsidR="00C16518">
        <w:rPr>
          <w:rFonts w:eastAsia="Segoe UI" w:cs="Segoe UI"/>
          <w:lang w:val="en-US"/>
        </w:rPr>
        <w:t xml:space="preserve">advisory </w:t>
      </w:r>
      <w:r w:rsidRPr="00B73F45">
        <w:rPr>
          <w:rFonts w:eastAsia="Segoe UI" w:cs="Segoe UI"/>
          <w:lang w:val="en-US"/>
        </w:rPr>
        <w:t>committee decisions and rationale.</w:t>
      </w:r>
    </w:p>
    <w:p w14:paraId="71CBC31F" w14:textId="7700FACB" w:rsidR="169BEA93" w:rsidRPr="0019054D" w:rsidRDefault="1909DCF5" w:rsidP="003B0CDF">
      <w:pPr>
        <w:pStyle w:val="Heading4"/>
        <w:rPr>
          <w:rFonts w:eastAsia="Segoe UI" w:cs="Segoe UI"/>
          <w:color w:val="005A68" w:themeColor="accent6" w:themeShade="80"/>
          <w:lang w:val="en-US"/>
        </w:rPr>
      </w:pPr>
      <w:r w:rsidRPr="00B73F45">
        <w:rPr>
          <w:lang w:val="en-US"/>
        </w:rPr>
        <w:t xml:space="preserve">HTA </w:t>
      </w:r>
      <w:r w:rsidR="00180158">
        <w:rPr>
          <w:lang w:val="en-US"/>
        </w:rPr>
        <w:t>w</w:t>
      </w:r>
      <w:r w:rsidRPr="00B73F45">
        <w:rPr>
          <w:lang w:val="en-US"/>
        </w:rPr>
        <w:t>ebsite</w:t>
      </w:r>
    </w:p>
    <w:p w14:paraId="187CF09D" w14:textId="61A50E6D" w:rsidR="169BEA93" w:rsidRDefault="1909DCF5" w:rsidP="003B0CDF">
      <w:pPr>
        <w:spacing w:after="240"/>
        <w:rPr>
          <w:rFonts w:eastAsia="Segoe UI" w:cs="Segoe UI"/>
          <w:lang w:val="en-US"/>
        </w:rPr>
      </w:pPr>
      <w:r w:rsidRPr="52FE5B6D">
        <w:rPr>
          <w:rFonts w:eastAsia="Segoe UI" w:cs="Segoe UI"/>
          <w:lang w:val="en-US"/>
        </w:rPr>
        <w:t xml:space="preserve">Stakeholders welcomed improvements and upgrades to the HTA website and stated </w:t>
      </w:r>
      <w:r w:rsidR="00180158">
        <w:rPr>
          <w:rFonts w:eastAsia="Segoe UI" w:cs="Segoe UI"/>
          <w:lang w:val="en-US"/>
        </w:rPr>
        <w:t xml:space="preserve">that </w:t>
      </w:r>
      <w:r w:rsidRPr="52FE5B6D">
        <w:rPr>
          <w:rFonts w:eastAsia="Segoe UI" w:cs="Segoe UI"/>
          <w:lang w:val="en-US"/>
        </w:rPr>
        <w:t xml:space="preserve">a dashboard would be a valuable new inclusion. Co-design </w:t>
      </w:r>
      <w:r w:rsidR="00572647">
        <w:rPr>
          <w:rFonts w:eastAsia="Segoe UI" w:cs="Segoe UI"/>
          <w:lang w:val="en-US"/>
        </w:rPr>
        <w:t xml:space="preserve">of new inclusions </w:t>
      </w:r>
      <w:r w:rsidRPr="52FE5B6D">
        <w:rPr>
          <w:rFonts w:eastAsia="Segoe UI" w:cs="Segoe UI"/>
          <w:lang w:val="en-US"/>
        </w:rPr>
        <w:t>was considered crucial. Reported benefits include</w:t>
      </w:r>
      <w:r w:rsidR="00180158">
        <w:rPr>
          <w:rFonts w:eastAsia="Segoe UI" w:cs="Segoe UI"/>
          <w:lang w:val="en-US"/>
        </w:rPr>
        <w:t>d</w:t>
      </w:r>
      <w:r w:rsidRPr="52FE5B6D">
        <w:rPr>
          <w:rFonts w:eastAsia="Segoe UI" w:cs="Segoe UI"/>
          <w:lang w:val="en-US"/>
        </w:rPr>
        <w:t xml:space="preserve"> improved information dissemination</w:t>
      </w:r>
      <w:r w:rsidR="00180158">
        <w:rPr>
          <w:rFonts w:eastAsia="Segoe UI" w:cs="Segoe UI"/>
          <w:lang w:val="en-US"/>
        </w:rPr>
        <w:t>;</w:t>
      </w:r>
      <w:r w:rsidRPr="52FE5B6D">
        <w:rPr>
          <w:rFonts w:eastAsia="Segoe UI" w:cs="Segoe UI"/>
          <w:lang w:val="en-US"/>
        </w:rPr>
        <w:t xml:space="preserve"> enhanced understanding</w:t>
      </w:r>
      <w:r w:rsidR="00180158">
        <w:rPr>
          <w:rFonts w:eastAsia="Segoe UI" w:cs="Segoe UI"/>
          <w:lang w:val="en-US"/>
        </w:rPr>
        <w:t>;</w:t>
      </w:r>
      <w:r w:rsidRPr="52FE5B6D">
        <w:rPr>
          <w:rFonts w:eastAsia="Segoe UI" w:cs="Segoe UI"/>
          <w:lang w:val="en-US"/>
        </w:rPr>
        <w:t xml:space="preserve"> more transparency around processes</w:t>
      </w:r>
      <w:r w:rsidR="00180158">
        <w:rPr>
          <w:rFonts w:eastAsia="Segoe UI" w:cs="Segoe UI"/>
          <w:lang w:val="en-US"/>
        </w:rPr>
        <w:t>; and more</w:t>
      </w:r>
      <w:r w:rsidRPr="52FE5B6D">
        <w:rPr>
          <w:rFonts w:eastAsia="Segoe UI" w:cs="Segoe UI"/>
          <w:lang w:val="en-US"/>
        </w:rPr>
        <w:t xml:space="preserve"> options and opportunities for stakeholders to provide input</w:t>
      </w:r>
      <w:r w:rsidR="00180158">
        <w:rPr>
          <w:rFonts w:eastAsia="Segoe UI" w:cs="Segoe UI"/>
          <w:lang w:val="en-US"/>
        </w:rPr>
        <w:t xml:space="preserve">. Other benefits include </w:t>
      </w:r>
      <w:r w:rsidRPr="52FE5B6D">
        <w:rPr>
          <w:rFonts w:eastAsia="Segoe UI" w:cs="Segoe UI"/>
          <w:lang w:val="en-US"/>
        </w:rPr>
        <w:t>increasing accountability on the progress of individual submissions</w:t>
      </w:r>
      <w:r w:rsidR="00180158">
        <w:rPr>
          <w:rFonts w:eastAsia="Segoe UI" w:cs="Segoe UI"/>
          <w:lang w:val="en-US"/>
        </w:rPr>
        <w:t>;</w:t>
      </w:r>
      <w:r w:rsidRPr="52FE5B6D">
        <w:rPr>
          <w:rFonts w:eastAsia="Segoe UI" w:cs="Segoe UI"/>
          <w:lang w:val="en-US"/>
        </w:rPr>
        <w:t xml:space="preserve"> encouraging proactive preparation </w:t>
      </w:r>
      <w:r w:rsidR="00902FF4">
        <w:rPr>
          <w:rFonts w:eastAsia="Segoe UI" w:cs="Segoe UI"/>
          <w:lang w:val="en-US"/>
        </w:rPr>
        <w:t>of</w:t>
      </w:r>
      <w:r w:rsidRPr="52FE5B6D">
        <w:rPr>
          <w:rFonts w:eastAsia="Segoe UI" w:cs="Segoe UI"/>
          <w:lang w:val="en-US"/>
        </w:rPr>
        <w:t xml:space="preserve"> the health system for new or amended medicines on the PBS</w:t>
      </w:r>
      <w:r w:rsidR="00180158">
        <w:rPr>
          <w:rFonts w:eastAsia="Segoe UI" w:cs="Segoe UI"/>
          <w:lang w:val="en-US"/>
        </w:rPr>
        <w:t>;</w:t>
      </w:r>
      <w:r w:rsidRPr="52FE5B6D">
        <w:rPr>
          <w:rFonts w:eastAsia="Segoe UI" w:cs="Segoe UI"/>
          <w:lang w:val="en-US"/>
        </w:rPr>
        <w:t xml:space="preserve"> and improv</w:t>
      </w:r>
      <w:r w:rsidR="00180158">
        <w:rPr>
          <w:rFonts w:eastAsia="Segoe UI" w:cs="Segoe UI"/>
          <w:lang w:val="en-US"/>
        </w:rPr>
        <w:t>ing the</w:t>
      </w:r>
      <w:r w:rsidRPr="52FE5B6D">
        <w:rPr>
          <w:rFonts w:eastAsia="Segoe UI" w:cs="Segoe UI"/>
          <w:lang w:val="en-US"/>
        </w:rPr>
        <w:t xml:space="preserve"> searchability of submissions.</w:t>
      </w:r>
    </w:p>
    <w:p w14:paraId="64495CF6" w14:textId="21622EA1" w:rsidR="169BEA93" w:rsidRDefault="00180158" w:rsidP="004E48B3">
      <w:pPr>
        <w:spacing w:before="240" w:after="240"/>
        <w:rPr>
          <w:rFonts w:eastAsia="Segoe UI" w:cs="Segoe UI"/>
          <w:lang w:val="en-US"/>
        </w:rPr>
      </w:pPr>
      <w:r>
        <w:rPr>
          <w:rFonts w:eastAsia="Segoe UI" w:cs="Segoe UI"/>
          <w:lang w:val="en-US"/>
        </w:rPr>
        <w:t xml:space="preserve">However, these reforms could also have </w:t>
      </w:r>
      <w:r w:rsidR="1909DCF5" w:rsidRPr="52FE5B6D">
        <w:rPr>
          <w:rFonts w:eastAsia="Segoe UI" w:cs="Segoe UI"/>
          <w:lang w:val="en-US"/>
        </w:rPr>
        <w:t>unintended consequences</w:t>
      </w:r>
      <w:r>
        <w:rPr>
          <w:rFonts w:eastAsia="Segoe UI" w:cs="Segoe UI"/>
          <w:lang w:val="en-US"/>
        </w:rPr>
        <w:t>. V</w:t>
      </w:r>
      <w:r w:rsidR="1909DCF5" w:rsidRPr="52FE5B6D">
        <w:rPr>
          <w:rFonts w:eastAsia="Segoe UI" w:cs="Segoe UI"/>
          <w:lang w:val="en-US"/>
        </w:rPr>
        <w:t xml:space="preserve">arious </w:t>
      </w:r>
      <w:r w:rsidR="1909DCF5" w:rsidRPr="00B73F45">
        <w:rPr>
          <w:rFonts w:eastAsia="Segoe UI" w:cs="Segoe UI"/>
          <w:lang w:val="en-US"/>
        </w:rPr>
        <w:t xml:space="preserve">stakeholders expressed concern </w:t>
      </w:r>
      <w:r>
        <w:rPr>
          <w:rFonts w:eastAsia="Segoe UI" w:cs="Segoe UI"/>
          <w:lang w:val="en-US"/>
        </w:rPr>
        <w:t>about</w:t>
      </w:r>
      <w:r w:rsidR="1909DCF5" w:rsidRPr="00B73F45">
        <w:rPr>
          <w:rFonts w:eastAsia="Segoe UI" w:cs="Segoe UI"/>
          <w:lang w:val="en-US"/>
        </w:rPr>
        <w:t xml:space="preserve"> </w:t>
      </w:r>
      <w:r w:rsidR="00203CAC">
        <w:rPr>
          <w:rFonts w:eastAsia="Segoe UI" w:cs="Segoe UI"/>
          <w:lang w:val="en-US"/>
        </w:rPr>
        <w:t>the</w:t>
      </w:r>
      <w:r w:rsidR="00203CAC" w:rsidRPr="00B73F45">
        <w:rPr>
          <w:rFonts w:eastAsia="Segoe UI" w:cs="Segoe UI"/>
          <w:lang w:val="en-US"/>
        </w:rPr>
        <w:t xml:space="preserve"> </w:t>
      </w:r>
      <w:r w:rsidR="1909DCF5" w:rsidRPr="00B73F45">
        <w:rPr>
          <w:rFonts w:eastAsia="Segoe UI" w:cs="Segoe UI"/>
          <w:lang w:val="en-US"/>
        </w:rPr>
        <w:t>resource</w:t>
      </w:r>
      <w:r w:rsidR="00D06A61">
        <w:rPr>
          <w:rFonts w:eastAsia="Segoe UI" w:cs="Segoe UI"/>
          <w:lang w:val="en-US"/>
        </w:rPr>
        <w:t xml:space="preserve">s need to </w:t>
      </w:r>
      <w:r w:rsidR="00203CAC">
        <w:rPr>
          <w:rFonts w:eastAsia="Segoe UI" w:cs="Segoe UI"/>
          <w:lang w:val="en-US"/>
        </w:rPr>
        <w:t>creat</w:t>
      </w:r>
      <w:r w:rsidR="00D06A61">
        <w:rPr>
          <w:rFonts w:eastAsia="Segoe UI" w:cs="Segoe UI"/>
          <w:lang w:val="en-US"/>
        </w:rPr>
        <w:t>e</w:t>
      </w:r>
      <w:r w:rsidR="00203CAC">
        <w:rPr>
          <w:rFonts w:eastAsia="Segoe UI" w:cs="Segoe UI"/>
          <w:lang w:val="en-US"/>
        </w:rPr>
        <w:t xml:space="preserve"> a new </w:t>
      </w:r>
      <w:r w:rsidR="1909DCF5" w:rsidRPr="00B73F45">
        <w:rPr>
          <w:rFonts w:eastAsia="Segoe UI" w:cs="Segoe UI"/>
          <w:lang w:val="en-US"/>
        </w:rPr>
        <w:t>dashboard</w:t>
      </w:r>
      <w:r w:rsidR="62A52CD4" w:rsidRPr="00B73F45">
        <w:rPr>
          <w:rFonts w:eastAsia="Segoe UI" w:cs="Segoe UI"/>
          <w:lang w:val="en-US"/>
        </w:rPr>
        <w:t>,</w:t>
      </w:r>
      <w:r w:rsidR="1909DCF5" w:rsidRPr="00B73F45">
        <w:rPr>
          <w:rFonts w:eastAsia="Segoe UI" w:cs="Segoe UI"/>
          <w:lang w:val="en-US"/>
        </w:rPr>
        <w:t xml:space="preserve"> </w:t>
      </w:r>
      <w:r w:rsidR="00203CAC">
        <w:rPr>
          <w:rFonts w:eastAsia="Segoe UI" w:cs="Segoe UI"/>
          <w:lang w:val="en-US"/>
        </w:rPr>
        <w:t>updat</w:t>
      </w:r>
      <w:r w:rsidR="00D06A61">
        <w:rPr>
          <w:rFonts w:eastAsia="Segoe UI" w:cs="Segoe UI"/>
          <w:lang w:val="en-US"/>
        </w:rPr>
        <w:t xml:space="preserve">e the </w:t>
      </w:r>
      <w:r w:rsidR="1909DCF5" w:rsidRPr="00B73F45">
        <w:rPr>
          <w:rFonts w:eastAsia="Segoe UI" w:cs="Segoe UI"/>
          <w:lang w:val="en-US"/>
        </w:rPr>
        <w:t>website</w:t>
      </w:r>
      <w:r w:rsidR="00203CAC">
        <w:rPr>
          <w:rFonts w:eastAsia="Segoe UI" w:cs="Segoe UI"/>
          <w:lang w:val="en-US"/>
        </w:rPr>
        <w:t>s</w:t>
      </w:r>
      <w:r w:rsidR="1909DCF5" w:rsidRPr="00B73F45">
        <w:rPr>
          <w:rFonts w:eastAsia="Segoe UI" w:cs="Segoe UI"/>
          <w:lang w:val="en-US"/>
        </w:rPr>
        <w:t xml:space="preserve"> and produc</w:t>
      </w:r>
      <w:r w:rsidR="00D06A61">
        <w:rPr>
          <w:rFonts w:eastAsia="Segoe UI" w:cs="Segoe UI"/>
          <w:lang w:val="en-US"/>
        </w:rPr>
        <w:t>e</w:t>
      </w:r>
      <w:r w:rsidR="1909DCF5" w:rsidRPr="00B73F45">
        <w:rPr>
          <w:rFonts w:eastAsia="Segoe UI" w:cs="Segoe UI"/>
          <w:lang w:val="en-US"/>
        </w:rPr>
        <w:t xml:space="preserve"> plain language summaries. </w:t>
      </w:r>
      <w:r w:rsidR="48BCBCD9" w:rsidRPr="00B73F45">
        <w:rPr>
          <w:rFonts w:eastAsia="Segoe UI" w:cs="Segoe UI"/>
          <w:lang w:val="en-US"/>
        </w:rPr>
        <w:t>A</w:t>
      </w:r>
      <w:r w:rsidR="1909DCF5" w:rsidRPr="00B73F45">
        <w:rPr>
          <w:rFonts w:eastAsia="Segoe UI" w:cs="Segoe UI"/>
          <w:lang w:val="en-US"/>
        </w:rPr>
        <w:t xml:space="preserve"> commensurate increase in funding</w:t>
      </w:r>
      <w:r w:rsidR="00D06A61">
        <w:rPr>
          <w:rFonts w:eastAsia="Segoe UI" w:cs="Segoe UI"/>
          <w:lang w:val="en-US"/>
        </w:rPr>
        <w:t xml:space="preserve"> and</w:t>
      </w:r>
      <w:r w:rsidR="1909DCF5" w:rsidRPr="00B73F45">
        <w:rPr>
          <w:rFonts w:eastAsia="Segoe UI" w:cs="Segoe UI"/>
          <w:lang w:val="en-US"/>
        </w:rPr>
        <w:t>/</w:t>
      </w:r>
      <w:r w:rsidR="00D06A61">
        <w:rPr>
          <w:rFonts w:eastAsia="Segoe UI" w:cs="Segoe UI"/>
          <w:lang w:val="en-US"/>
        </w:rPr>
        <w:t xml:space="preserve">or </w:t>
      </w:r>
      <w:r w:rsidR="1909DCF5" w:rsidRPr="00B73F45">
        <w:rPr>
          <w:rFonts w:eastAsia="Segoe UI" w:cs="Segoe UI"/>
          <w:lang w:val="en-US"/>
        </w:rPr>
        <w:t xml:space="preserve">resourcing </w:t>
      </w:r>
      <w:r w:rsidR="4BEC3E3F" w:rsidRPr="00B73F45">
        <w:rPr>
          <w:rFonts w:eastAsia="Segoe UI" w:cs="Segoe UI"/>
          <w:lang w:val="en-US"/>
        </w:rPr>
        <w:t>would be required to avoid</w:t>
      </w:r>
      <w:r w:rsidR="1909DCF5" w:rsidRPr="00B73F45">
        <w:rPr>
          <w:rFonts w:eastAsia="Segoe UI" w:cs="Segoe UI"/>
          <w:lang w:val="en-US"/>
        </w:rPr>
        <w:t xml:space="preserve"> </w:t>
      </w:r>
      <w:r w:rsidR="5A61AF58" w:rsidRPr="00B73F45">
        <w:rPr>
          <w:rFonts w:eastAsia="Segoe UI" w:cs="Segoe UI"/>
          <w:lang w:val="en-US"/>
        </w:rPr>
        <w:t>the risk of</w:t>
      </w:r>
      <w:r w:rsidR="1909DCF5" w:rsidRPr="00B73F45">
        <w:rPr>
          <w:rFonts w:eastAsia="Segoe UI" w:cs="Segoe UI"/>
          <w:lang w:val="en-US"/>
        </w:rPr>
        <w:t xml:space="preserve"> </w:t>
      </w:r>
      <w:r w:rsidR="00D06A61">
        <w:rPr>
          <w:rFonts w:eastAsia="Segoe UI" w:cs="Segoe UI"/>
          <w:lang w:val="en-US"/>
        </w:rPr>
        <w:t xml:space="preserve">diverting </w:t>
      </w:r>
      <w:r w:rsidR="1909DCF5" w:rsidRPr="00B73F45">
        <w:rPr>
          <w:rFonts w:eastAsia="Segoe UI" w:cs="Segoe UI"/>
          <w:lang w:val="en-US"/>
        </w:rPr>
        <w:t>resources from the HTA process</w:t>
      </w:r>
      <w:r w:rsidR="0EFBA65F" w:rsidRPr="00B73F45">
        <w:rPr>
          <w:rFonts w:eastAsia="Segoe UI" w:cs="Segoe UI"/>
          <w:lang w:val="en-US"/>
        </w:rPr>
        <w:t>,</w:t>
      </w:r>
      <w:r w:rsidR="1909DCF5" w:rsidRPr="00B73F45">
        <w:rPr>
          <w:rFonts w:eastAsia="Segoe UI" w:cs="Segoe UI"/>
          <w:lang w:val="en-US"/>
        </w:rPr>
        <w:t xml:space="preserve"> potentially </w:t>
      </w:r>
      <w:r w:rsidR="7266B26F" w:rsidRPr="00B73F45">
        <w:rPr>
          <w:rFonts w:eastAsia="Segoe UI" w:cs="Segoe UI"/>
          <w:lang w:val="en-US"/>
        </w:rPr>
        <w:t>impacting</w:t>
      </w:r>
      <w:r w:rsidR="1909DCF5" w:rsidRPr="00B73F45">
        <w:rPr>
          <w:rFonts w:eastAsia="Segoe UI" w:cs="Segoe UI"/>
          <w:lang w:val="en-US"/>
        </w:rPr>
        <w:t xml:space="preserve"> the timely assessment of HTA submissions</w:t>
      </w:r>
      <w:r w:rsidR="1909DCF5" w:rsidRPr="52FE5B6D">
        <w:rPr>
          <w:rFonts w:eastAsia="Segoe UI" w:cs="Segoe UI"/>
          <w:lang w:val="en-US"/>
        </w:rPr>
        <w:t xml:space="preserve">. </w:t>
      </w:r>
    </w:p>
    <w:p w14:paraId="376232A6" w14:textId="4EA3AD68" w:rsidR="003C6B61" w:rsidRPr="0019054D" w:rsidRDefault="006009D8" w:rsidP="00A318F7">
      <w:pPr>
        <w:pStyle w:val="Heading3"/>
      </w:pPr>
      <w:bookmarkStart w:id="390" w:name="_Toc164691438"/>
      <w:bookmarkStart w:id="391" w:name="_Toc164696235"/>
      <w:bookmarkStart w:id="392" w:name="_Toc164696381"/>
      <w:bookmarkStart w:id="393" w:name="_Toc164767771"/>
      <w:bookmarkStart w:id="394" w:name="_Toc165473701"/>
      <w:r w:rsidRPr="0019054D">
        <w:t>Conclusion</w:t>
      </w:r>
      <w:bookmarkEnd w:id="390"/>
      <w:bookmarkEnd w:id="391"/>
      <w:bookmarkEnd w:id="392"/>
      <w:bookmarkEnd w:id="393"/>
      <w:bookmarkEnd w:id="394"/>
    </w:p>
    <w:p w14:paraId="71AA4280" w14:textId="417EDC37" w:rsidR="006009D8" w:rsidRDefault="00D06A61" w:rsidP="004E48B3">
      <w:pPr>
        <w:rPr>
          <w:lang w:val="en-US"/>
        </w:rPr>
      </w:pPr>
      <w:r>
        <w:t>I</w:t>
      </w:r>
      <w:r w:rsidR="3601A960">
        <w:t>nformation need</w:t>
      </w:r>
      <w:r>
        <w:t>s</w:t>
      </w:r>
      <w:r w:rsidR="3601A960">
        <w:t xml:space="preserve"> to be suitable for a range of audiences, </w:t>
      </w:r>
      <w:r>
        <w:t xml:space="preserve">and it needs to be </w:t>
      </w:r>
      <w:r w:rsidR="3601A960">
        <w:t>consolidated and linked</w:t>
      </w:r>
      <w:r w:rsidR="77ACC4B2">
        <w:t xml:space="preserve">. </w:t>
      </w:r>
      <w:r>
        <w:t>A</w:t>
      </w:r>
      <w:r w:rsidR="1AE36BBF">
        <w:t xml:space="preserve">spects of </w:t>
      </w:r>
      <w:r>
        <w:t xml:space="preserve">the </w:t>
      </w:r>
      <w:r w:rsidR="1AE36BBF">
        <w:t xml:space="preserve">HTA </w:t>
      </w:r>
      <w:r>
        <w:t>system are</w:t>
      </w:r>
      <w:r w:rsidR="1AE36BBF">
        <w:t xml:space="preserve"> complex</w:t>
      </w:r>
      <w:r>
        <w:t>,</w:t>
      </w:r>
      <w:r w:rsidR="1AE36BBF">
        <w:t xml:space="preserve"> and </w:t>
      </w:r>
      <w:r w:rsidR="7720891C">
        <w:t xml:space="preserve">communications </w:t>
      </w:r>
      <w:r w:rsidR="28526BA7">
        <w:t xml:space="preserve">methods, </w:t>
      </w:r>
      <w:r w:rsidR="7720891C">
        <w:t>formats and content benefit from co</w:t>
      </w:r>
      <w:r>
        <w:t>-</w:t>
      </w:r>
      <w:r w:rsidR="7720891C">
        <w:t xml:space="preserve">design and user </w:t>
      </w:r>
      <w:r w:rsidR="7925BDC8">
        <w:t>te</w:t>
      </w:r>
      <w:r w:rsidR="72305C2C">
        <w:t>sting</w:t>
      </w:r>
      <w:r w:rsidR="7720891C">
        <w:t xml:space="preserve"> to ensure they meet their intended </w:t>
      </w:r>
      <w:r w:rsidR="5DE77D45">
        <w:t>purpose.</w:t>
      </w:r>
    </w:p>
    <w:p w14:paraId="4AEEA9A7" w14:textId="51774B82" w:rsidR="006009D8" w:rsidRDefault="006009D8" w:rsidP="00A318F7">
      <w:pPr>
        <w:pStyle w:val="Heading3"/>
        <w:rPr>
          <w:lang w:val="en-US"/>
        </w:rPr>
      </w:pPr>
      <w:bookmarkStart w:id="395" w:name="_Toc164691439"/>
      <w:bookmarkStart w:id="396" w:name="_Toc164696236"/>
      <w:bookmarkStart w:id="397" w:name="_Toc164696382"/>
      <w:bookmarkStart w:id="398" w:name="_Toc165473702"/>
      <w:r>
        <w:rPr>
          <w:lang w:val="en-US"/>
        </w:rPr>
        <w:t>Objectives of recommendations</w:t>
      </w:r>
      <w:bookmarkEnd w:id="395"/>
      <w:bookmarkEnd w:id="396"/>
      <w:bookmarkEnd w:id="397"/>
      <w:bookmarkEnd w:id="398"/>
    </w:p>
    <w:p w14:paraId="2BC96E22" w14:textId="438295A2" w:rsidR="201397F4" w:rsidRDefault="201397F4" w:rsidP="00BD34D3">
      <w:pPr>
        <w:spacing w:after="240"/>
        <w:rPr>
          <w:lang w:val="en-US"/>
        </w:rPr>
      </w:pPr>
      <w:r w:rsidRPr="7A209436">
        <w:rPr>
          <w:lang w:val="en-US"/>
        </w:rPr>
        <w:t>The Review</w:t>
      </w:r>
      <w:r w:rsidR="00E75822">
        <w:rPr>
          <w:lang w:val="en-US"/>
        </w:rPr>
        <w:t>’s</w:t>
      </w:r>
      <w:r w:rsidRPr="7A209436">
        <w:rPr>
          <w:lang w:val="en-US"/>
        </w:rPr>
        <w:t xml:space="preserve"> rec</w:t>
      </w:r>
      <w:r w:rsidR="21E83CA8" w:rsidRPr="7A209436">
        <w:rPr>
          <w:lang w:val="en-US"/>
        </w:rPr>
        <w:t>o</w:t>
      </w:r>
      <w:r w:rsidRPr="7A209436">
        <w:rPr>
          <w:lang w:val="en-US"/>
        </w:rPr>
        <w:t xml:space="preserve">mmendations </w:t>
      </w:r>
      <w:r w:rsidR="3E13100E" w:rsidRPr="7A209436">
        <w:rPr>
          <w:lang w:val="en-US"/>
        </w:rPr>
        <w:t>will</w:t>
      </w:r>
      <w:r w:rsidRPr="7A209436">
        <w:rPr>
          <w:lang w:val="en-US"/>
        </w:rPr>
        <w:t xml:space="preserve"> improve communica</w:t>
      </w:r>
      <w:r w:rsidR="7F6F407F" w:rsidRPr="7A209436">
        <w:rPr>
          <w:lang w:val="en-US"/>
        </w:rPr>
        <w:t>ti</w:t>
      </w:r>
      <w:r w:rsidRPr="7A209436">
        <w:rPr>
          <w:lang w:val="en-US"/>
        </w:rPr>
        <w:t xml:space="preserve">on and transparency </w:t>
      </w:r>
      <w:r w:rsidR="34AE2EB7" w:rsidRPr="7A209436">
        <w:rPr>
          <w:lang w:val="en-US"/>
        </w:rPr>
        <w:t xml:space="preserve">by </w:t>
      </w:r>
      <w:r w:rsidR="190AA233" w:rsidRPr="7A209436">
        <w:rPr>
          <w:lang w:val="en-US"/>
        </w:rPr>
        <w:t>provid</w:t>
      </w:r>
      <w:r w:rsidR="402F744A" w:rsidRPr="7A209436">
        <w:rPr>
          <w:lang w:val="en-US"/>
        </w:rPr>
        <w:t>ing</w:t>
      </w:r>
      <w:r w:rsidRPr="7A209436">
        <w:rPr>
          <w:lang w:val="en-US"/>
        </w:rPr>
        <w:t xml:space="preserve"> </w:t>
      </w:r>
      <w:r w:rsidR="6ACBFD91" w:rsidRPr="7A209436">
        <w:rPr>
          <w:lang w:val="en-US"/>
        </w:rPr>
        <w:t>relevant, accessible</w:t>
      </w:r>
      <w:r w:rsidR="190AA233" w:rsidRPr="7A209436">
        <w:rPr>
          <w:lang w:val="en-US"/>
        </w:rPr>
        <w:t xml:space="preserve"> information </w:t>
      </w:r>
      <w:r w:rsidR="050A2067" w:rsidRPr="7A209436">
        <w:rPr>
          <w:lang w:val="en-US"/>
        </w:rPr>
        <w:t>about HTA polic</w:t>
      </w:r>
      <w:r w:rsidR="00E14C55">
        <w:rPr>
          <w:lang w:val="en-US"/>
        </w:rPr>
        <w:t>y</w:t>
      </w:r>
      <w:r w:rsidR="050A2067" w:rsidRPr="7A209436">
        <w:rPr>
          <w:lang w:val="en-US"/>
        </w:rPr>
        <w:t xml:space="preserve">, </w:t>
      </w:r>
      <w:r w:rsidR="00F773F5" w:rsidRPr="7A209436">
        <w:rPr>
          <w:lang w:val="en-US"/>
        </w:rPr>
        <w:t>processes</w:t>
      </w:r>
      <w:r w:rsidR="008C2016">
        <w:rPr>
          <w:lang w:val="en-US"/>
        </w:rPr>
        <w:t>, submissions</w:t>
      </w:r>
      <w:r w:rsidR="4A37ABDA" w:rsidRPr="7A209436">
        <w:rPr>
          <w:lang w:val="en-US"/>
        </w:rPr>
        <w:t xml:space="preserve"> and </w:t>
      </w:r>
      <w:r w:rsidR="13234A92" w:rsidRPr="7A209436">
        <w:rPr>
          <w:lang w:val="en-US"/>
        </w:rPr>
        <w:t>outcome</w:t>
      </w:r>
      <w:r w:rsidR="7FD798EE" w:rsidRPr="7A209436">
        <w:rPr>
          <w:lang w:val="en-US"/>
        </w:rPr>
        <w:t>s</w:t>
      </w:r>
      <w:r w:rsidR="008C2016">
        <w:rPr>
          <w:lang w:val="en-US"/>
        </w:rPr>
        <w:t xml:space="preserve">. This </w:t>
      </w:r>
      <w:r w:rsidR="009A1738">
        <w:rPr>
          <w:lang w:val="en-US"/>
        </w:rPr>
        <w:t>will enable</w:t>
      </w:r>
      <w:r w:rsidR="190AA233" w:rsidRPr="7A209436">
        <w:rPr>
          <w:lang w:val="en-US"/>
        </w:rPr>
        <w:t xml:space="preserve"> </w:t>
      </w:r>
      <w:r w:rsidR="008B404B">
        <w:rPr>
          <w:lang w:val="en-US"/>
        </w:rPr>
        <w:t xml:space="preserve">the </w:t>
      </w:r>
      <w:r w:rsidR="00825231">
        <w:rPr>
          <w:lang w:val="en-US"/>
        </w:rPr>
        <w:t>diverse</w:t>
      </w:r>
      <w:r w:rsidR="150B9C5E" w:rsidRPr="7A209436">
        <w:rPr>
          <w:lang w:val="en-US"/>
        </w:rPr>
        <w:t xml:space="preserve"> ra</w:t>
      </w:r>
      <w:r w:rsidR="33DAA6DF" w:rsidRPr="7A209436">
        <w:rPr>
          <w:lang w:val="en-US"/>
        </w:rPr>
        <w:t>n</w:t>
      </w:r>
      <w:r w:rsidR="150B9C5E" w:rsidRPr="7A209436">
        <w:rPr>
          <w:lang w:val="en-US"/>
        </w:rPr>
        <w:t xml:space="preserve">ge of </w:t>
      </w:r>
      <w:r w:rsidR="2A395B1D" w:rsidRPr="7A209436">
        <w:rPr>
          <w:lang w:val="en-US"/>
        </w:rPr>
        <w:t xml:space="preserve">stakeholders with differing </w:t>
      </w:r>
      <w:r w:rsidR="6817E0C0" w:rsidRPr="7A209436">
        <w:rPr>
          <w:lang w:val="en-US"/>
        </w:rPr>
        <w:t>perspectives and</w:t>
      </w:r>
      <w:r w:rsidR="2A395B1D" w:rsidRPr="7A209436">
        <w:rPr>
          <w:lang w:val="en-US"/>
        </w:rPr>
        <w:t xml:space="preserve"> </w:t>
      </w:r>
      <w:r w:rsidR="3DB4CD00" w:rsidRPr="7A209436">
        <w:rPr>
          <w:lang w:val="en-US"/>
        </w:rPr>
        <w:t>knowledge</w:t>
      </w:r>
      <w:r w:rsidR="2A395B1D" w:rsidRPr="7A209436">
        <w:rPr>
          <w:lang w:val="en-US"/>
        </w:rPr>
        <w:t xml:space="preserve"> of </w:t>
      </w:r>
      <w:r w:rsidR="00D06A61">
        <w:rPr>
          <w:lang w:val="en-US"/>
        </w:rPr>
        <w:t xml:space="preserve">the </w:t>
      </w:r>
      <w:r w:rsidR="2A395B1D" w:rsidRPr="7A209436">
        <w:rPr>
          <w:lang w:val="en-US"/>
        </w:rPr>
        <w:t>HTA</w:t>
      </w:r>
      <w:r w:rsidR="145F9157" w:rsidRPr="7A209436">
        <w:rPr>
          <w:lang w:val="en-US"/>
        </w:rPr>
        <w:t xml:space="preserve"> </w:t>
      </w:r>
      <w:r w:rsidR="00D06A61">
        <w:rPr>
          <w:lang w:val="en-US"/>
        </w:rPr>
        <w:t xml:space="preserve">system </w:t>
      </w:r>
      <w:r w:rsidR="008B404B">
        <w:rPr>
          <w:lang w:val="en-US"/>
        </w:rPr>
        <w:t>to</w:t>
      </w:r>
      <w:r w:rsidR="1A7B06E7" w:rsidRPr="7A209436">
        <w:rPr>
          <w:lang w:val="en-US"/>
        </w:rPr>
        <w:t xml:space="preserve"> </w:t>
      </w:r>
      <w:r w:rsidR="751209DA" w:rsidRPr="7A209436">
        <w:rPr>
          <w:lang w:val="en-US"/>
        </w:rPr>
        <w:t xml:space="preserve">fully </w:t>
      </w:r>
      <w:r w:rsidR="3C57A0B0" w:rsidRPr="7A209436">
        <w:rPr>
          <w:lang w:val="en-US"/>
        </w:rPr>
        <w:t>participate</w:t>
      </w:r>
      <w:r w:rsidR="2D75BC76" w:rsidRPr="7A209436">
        <w:rPr>
          <w:lang w:val="en-US"/>
        </w:rPr>
        <w:t xml:space="preserve"> and understand</w:t>
      </w:r>
      <w:r w:rsidR="71048875" w:rsidRPr="7A209436">
        <w:rPr>
          <w:lang w:val="en-US"/>
        </w:rPr>
        <w:t xml:space="preserve"> </w:t>
      </w:r>
      <w:r w:rsidR="63DE4A85" w:rsidRPr="7A209436">
        <w:rPr>
          <w:lang w:val="en-US"/>
        </w:rPr>
        <w:t>decisions</w:t>
      </w:r>
      <w:r w:rsidR="71048875" w:rsidRPr="7A209436">
        <w:rPr>
          <w:lang w:val="en-US"/>
        </w:rPr>
        <w:t xml:space="preserve"> that impact them</w:t>
      </w:r>
      <w:r w:rsidR="006616EB">
        <w:rPr>
          <w:lang w:val="en-US"/>
        </w:rPr>
        <w:t xml:space="preserve">. This </w:t>
      </w:r>
      <w:r w:rsidR="00304FBB">
        <w:rPr>
          <w:lang w:val="en-US"/>
        </w:rPr>
        <w:t xml:space="preserve">is intended not </w:t>
      </w:r>
      <w:r w:rsidR="00BA49EC">
        <w:rPr>
          <w:lang w:val="en-US"/>
        </w:rPr>
        <w:t xml:space="preserve">only to </w:t>
      </w:r>
      <w:r w:rsidR="006616EB">
        <w:rPr>
          <w:lang w:val="en-US"/>
        </w:rPr>
        <w:t>improve HTA outcomes</w:t>
      </w:r>
      <w:r w:rsidR="00BA49EC">
        <w:rPr>
          <w:lang w:val="en-US"/>
        </w:rPr>
        <w:t xml:space="preserve"> but also </w:t>
      </w:r>
      <w:r w:rsidR="00A43694">
        <w:rPr>
          <w:lang w:val="en-US"/>
        </w:rPr>
        <w:t xml:space="preserve">enable </w:t>
      </w:r>
      <w:r w:rsidR="00170C9B">
        <w:rPr>
          <w:lang w:val="en-US"/>
        </w:rPr>
        <w:t>consumers</w:t>
      </w:r>
      <w:r w:rsidR="00A43694">
        <w:rPr>
          <w:lang w:val="en-US"/>
        </w:rPr>
        <w:t xml:space="preserve"> to have </w:t>
      </w:r>
      <w:r w:rsidR="00E70D96">
        <w:rPr>
          <w:lang w:val="en-US"/>
        </w:rPr>
        <w:t>more</w:t>
      </w:r>
      <w:r w:rsidR="00AB08A7">
        <w:rPr>
          <w:lang w:val="en-US"/>
        </w:rPr>
        <w:t xml:space="preserve"> realistic expectation of </w:t>
      </w:r>
      <w:r w:rsidR="005D73B3">
        <w:rPr>
          <w:lang w:val="en-US"/>
        </w:rPr>
        <w:t xml:space="preserve">the proposed </w:t>
      </w:r>
      <w:r w:rsidR="005A7C9D">
        <w:rPr>
          <w:lang w:val="en-US"/>
        </w:rPr>
        <w:t>treatment benefits and populations of a proposed therapy</w:t>
      </w:r>
      <w:r w:rsidR="00E70D96">
        <w:rPr>
          <w:lang w:val="en-US"/>
        </w:rPr>
        <w:t xml:space="preserve"> </w:t>
      </w:r>
      <w:r w:rsidR="00A67E36">
        <w:rPr>
          <w:lang w:val="en-US"/>
        </w:rPr>
        <w:t xml:space="preserve">to make informed </w:t>
      </w:r>
      <w:r w:rsidR="003B73FF">
        <w:rPr>
          <w:lang w:val="en-US"/>
        </w:rPr>
        <w:t>decisio</w:t>
      </w:r>
      <w:r w:rsidR="00E02021">
        <w:rPr>
          <w:lang w:val="en-US"/>
        </w:rPr>
        <w:t xml:space="preserve">ns. </w:t>
      </w:r>
      <w:r w:rsidR="5169D24E" w:rsidRPr="7A209436">
        <w:rPr>
          <w:rFonts w:eastAsia="Segoe UI" w:cs="Segoe UI"/>
          <w:color w:val="000000" w:themeColor="text1"/>
          <w:lang w:val="en-US"/>
        </w:rPr>
        <w:t>The</w:t>
      </w:r>
      <w:r w:rsidR="70F6864F" w:rsidRPr="7A209436">
        <w:rPr>
          <w:rFonts w:eastAsia="Segoe UI" w:cs="Segoe UI"/>
          <w:color w:val="000000" w:themeColor="text1"/>
          <w:lang w:val="en-US"/>
        </w:rPr>
        <w:t xml:space="preserve"> </w:t>
      </w:r>
      <w:r w:rsidR="70F6864F" w:rsidRPr="7A209436">
        <w:rPr>
          <w:rFonts w:eastAsia="Segoe UI" w:cs="Segoe UI"/>
          <w:color w:val="000000" w:themeColor="text1"/>
          <w:lang w:val="en-US"/>
        </w:rPr>
        <w:lastRenderedPageBreak/>
        <w:t>recommendations</w:t>
      </w:r>
      <w:r w:rsidR="1C64E188" w:rsidRPr="7A209436">
        <w:rPr>
          <w:rFonts w:eastAsia="Segoe UI" w:cs="Segoe UI"/>
          <w:color w:val="000000" w:themeColor="text1"/>
          <w:lang w:val="en-US"/>
        </w:rPr>
        <w:t xml:space="preserve"> will also improve </w:t>
      </w:r>
      <w:r w:rsidR="00140C11">
        <w:rPr>
          <w:rFonts w:eastAsia="Segoe UI" w:cs="Segoe UI"/>
          <w:color w:val="000000" w:themeColor="text1"/>
          <w:lang w:val="en-US"/>
        </w:rPr>
        <w:t xml:space="preserve">transparency on </w:t>
      </w:r>
      <w:r w:rsidR="18B2BAA2" w:rsidRPr="7A209436">
        <w:rPr>
          <w:rFonts w:eastAsia="Segoe UI" w:cs="Segoe UI"/>
          <w:color w:val="000000" w:themeColor="text1"/>
          <w:lang w:val="en-US"/>
        </w:rPr>
        <w:t xml:space="preserve">the progress of </w:t>
      </w:r>
      <w:r w:rsidR="1339B217" w:rsidRPr="3A91C29D">
        <w:rPr>
          <w:rFonts w:eastAsia="Segoe UI" w:cs="Segoe UI"/>
          <w:color w:val="000000" w:themeColor="text1"/>
          <w:lang w:val="en-US"/>
        </w:rPr>
        <w:t>individual</w:t>
      </w:r>
      <w:r w:rsidR="18B2BAA2" w:rsidRPr="7A209436">
        <w:rPr>
          <w:rFonts w:eastAsia="Segoe UI" w:cs="Segoe UI"/>
          <w:color w:val="000000" w:themeColor="text1"/>
          <w:lang w:val="en-US"/>
        </w:rPr>
        <w:t xml:space="preserve"> health </w:t>
      </w:r>
      <w:r w:rsidR="18B2BAA2" w:rsidRPr="3A91C29D">
        <w:rPr>
          <w:rFonts w:eastAsia="Segoe UI" w:cs="Segoe UI"/>
          <w:color w:val="000000" w:themeColor="text1"/>
          <w:lang w:val="en-US"/>
        </w:rPr>
        <w:t>technolo</w:t>
      </w:r>
      <w:r w:rsidR="0E6A3CD5" w:rsidRPr="3A91C29D">
        <w:rPr>
          <w:rFonts w:eastAsia="Segoe UI" w:cs="Segoe UI"/>
          <w:color w:val="000000" w:themeColor="text1"/>
          <w:lang w:val="en-US"/>
        </w:rPr>
        <w:t>g</w:t>
      </w:r>
      <w:r w:rsidR="18B2BAA2" w:rsidRPr="3A91C29D">
        <w:rPr>
          <w:rFonts w:eastAsia="Segoe UI" w:cs="Segoe UI"/>
          <w:color w:val="000000" w:themeColor="text1"/>
          <w:lang w:val="en-US"/>
        </w:rPr>
        <w:t>ies</w:t>
      </w:r>
      <w:r w:rsidR="18B2BAA2" w:rsidRPr="7A209436">
        <w:rPr>
          <w:rFonts w:eastAsia="Segoe UI" w:cs="Segoe UI"/>
          <w:color w:val="000000" w:themeColor="text1"/>
          <w:lang w:val="en-US"/>
        </w:rPr>
        <w:t xml:space="preserve"> through the HTA </w:t>
      </w:r>
      <w:r w:rsidR="00140C11">
        <w:rPr>
          <w:rFonts w:eastAsia="Segoe UI" w:cs="Segoe UI"/>
          <w:color w:val="000000" w:themeColor="text1"/>
          <w:lang w:val="en-US"/>
        </w:rPr>
        <w:t>system</w:t>
      </w:r>
      <w:r w:rsidR="00140C11" w:rsidRPr="7A209436">
        <w:rPr>
          <w:rFonts w:eastAsia="Segoe UI" w:cs="Segoe UI"/>
          <w:color w:val="000000" w:themeColor="text1"/>
          <w:lang w:val="en-US"/>
        </w:rPr>
        <w:t xml:space="preserve"> </w:t>
      </w:r>
      <w:r w:rsidR="18B2BAA2" w:rsidRPr="7A209436">
        <w:rPr>
          <w:rFonts w:eastAsia="Segoe UI" w:cs="Segoe UI"/>
          <w:color w:val="000000" w:themeColor="text1"/>
          <w:lang w:val="en-US"/>
        </w:rPr>
        <w:t xml:space="preserve">and </w:t>
      </w:r>
      <w:r w:rsidR="16323620" w:rsidRPr="3A91C29D">
        <w:rPr>
          <w:rFonts w:eastAsia="Segoe UI" w:cs="Segoe UI"/>
          <w:color w:val="000000" w:themeColor="text1"/>
          <w:lang w:val="en-US"/>
        </w:rPr>
        <w:t>overall</w:t>
      </w:r>
      <w:r w:rsidR="1C64E188" w:rsidRPr="7A209436">
        <w:rPr>
          <w:rFonts w:eastAsia="Segoe UI" w:cs="Segoe UI"/>
          <w:color w:val="000000" w:themeColor="text1"/>
          <w:lang w:val="en-US"/>
        </w:rPr>
        <w:t xml:space="preserve"> system </w:t>
      </w:r>
      <w:r w:rsidR="5169D24E" w:rsidRPr="7A209436">
        <w:rPr>
          <w:rFonts w:eastAsia="Segoe UI" w:cs="Segoe UI"/>
          <w:color w:val="000000" w:themeColor="text1"/>
          <w:lang w:val="en-US"/>
        </w:rPr>
        <w:t>performance.</w:t>
      </w:r>
      <w:r w:rsidR="6AACB40F" w:rsidRPr="7A209436">
        <w:rPr>
          <w:rFonts w:eastAsia="Segoe UI" w:cs="Segoe UI"/>
          <w:color w:val="000000" w:themeColor="text1"/>
          <w:lang w:val="en-US"/>
        </w:rPr>
        <w:t xml:space="preserve"> </w:t>
      </w:r>
    </w:p>
    <w:p w14:paraId="3E22E4A2" w14:textId="4B800983" w:rsidR="006009D8" w:rsidRDefault="006009D8" w:rsidP="00832CE8">
      <w:pPr>
        <w:pStyle w:val="Heading3"/>
        <w:rPr>
          <w:lang w:val="en-US"/>
        </w:rPr>
      </w:pPr>
      <w:bookmarkStart w:id="399" w:name="_Toc164691440"/>
      <w:bookmarkStart w:id="400" w:name="_Toc164696237"/>
      <w:bookmarkStart w:id="401" w:name="_Toc164696383"/>
      <w:bookmarkStart w:id="402" w:name="_Toc164767772"/>
      <w:bookmarkStart w:id="403" w:name="_Toc165473703"/>
      <w:r w:rsidRPr="00832CE8">
        <w:t>Recommendations</w:t>
      </w:r>
      <w:bookmarkEnd w:id="399"/>
      <w:bookmarkEnd w:id="400"/>
      <w:bookmarkEnd w:id="401"/>
      <w:bookmarkEnd w:id="402"/>
      <w:bookmarkEnd w:id="403"/>
    </w:p>
    <w:p w14:paraId="344C4906" w14:textId="41139289" w:rsidR="00D8160E" w:rsidRDefault="00D81D0B" w:rsidP="00645D5E">
      <w:pPr>
        <w:pStyle w:val="Recommendation1"/>
      </w:pPr>
      <w:bookmarkStart w:id="404" w:name="_Hlk167302106"/>
      <w:r w:rsidRPr="00D81D0B">
        <w:t>Publish</w:t>
      </w:r>
      <w:r w:rsidR="004A0803">
        <w:t>ing</w:t>
      </w:r>
      <w:r w:rsidRPr="00D81D0B">
        <w:t xml:space="preserve"> plain language summaries</w:t>
      </w:r>
    </w:p>
    <w:bookmarkEnd w:id="404"/>
    <w:p w14:paraId="4C9A5C5A" w14:textId="5736CF2C" w:rsidR="00767B4F" w:rsidRDefault="00767B4F" w:rsidP="0091498F">
      <w:pPr>
        <w:spacing w:before="240"/>
      </w:pPr>
      <w:r w:rsidRPr="00405FD7" w:rsidDel="002C4399">
        <w:t xml:space="preserve">The Review recommends </w:t>
      </w:r>
      <w:r w:rsidR="00996316">
        <w:t xml:space="preserve">that </w:t>
      </w:r>
      <w:r w:rsidRPr="00405FD7" w:rsidDel="002C4399">
        <w:t>the Australian Government:</w:t>
      </w:r>
      <w:r w:rsidR="00453069">
        <w:t xml:space="preserve"> </w:t>
      </w:r>
    </w:p>
    <w:p w14:paraId="1A196484" w14:textId="03B33F72" w:rsidR="00767B4F" w:rsidRPr="007247D8" w:rsidRDefault="00996316" w:rsidP="00281153">
      <w:pPr>
        <w:pStyle w:val="ListParagraph"/>
        <w:numPr>
          <w:ilvl w:val="0"/>
          <w:numId w:val="39"/>
        </w:numPr>
        <w:spacing w:after="0" w:line="252" w:lineRule="auto"/>
        <w:rPr>
          <w:rStyle w:val="normaltextrun"/>
          <w:rFonts w:eastAsia="Segoe UI" w:cs="Segoe UI"/>
          <w:color w:val="000000" w:themeColor="text1"/>
          <w:sz w:val="28"/>
          <w:szCs w:val="28"/>
        </w:rPr>
      </w:pPr>
      <w:r>
        <w:rPr>
          <w:rStyle w:val="normaltextrun"/>
          <w:rFonts w:eastAsia="Segoe UI" w:cs="Segoe UI"/>
          <w:color w:val="000000" w:themeColor="text1"/>
        </w:rPr>
        <w:t>m</w:t>
      </w:r>
      <w:r w:rsidR="7E43D99B" w:rsidRPr="6E77CAC2">
        <w:rPr>
          <w:rStyle w:val="normaltextrun"/>
          <w:rFonts w:eastAsia="Segoe UI" w:cs="Segoe UI"/>
          <w:color w:val="000000" w:themeColor="text1"/>
        </w:rPr>
        <w:t>ake p</w:t>
      </w:r>
      <w:r w:rsidR="00767B4F" w:rsidRPr="007247D8">
        <w:rPr>
          <w:rStyle w:val="normaltextrun"/>
          <w:rFonts w:eastAsia="Segoe UI" w:cs="Segoe UI"/>
          <w:color w:val="000000" w:themeColor="text1"/>
        </w:rPr>
        <w:t>l</w:t>
      </w:r>
      <w:r w:rsidR="00767B4F" w:rsidRPr="00836990">
        <w:t>a</w:t>
      </w:r>
      <w:r w:rsidR="00767B4F" w:rsidRPr="007247D8">
        <w:rPr>
          <w:rStyle w:val="normaltextrun"/>
          <w:rFonts w:eastAsia="Segoe UI" w:cs="Segoe UI"/>
          <w:color w:val="000000" w:themeColor="text1"/>
        </w:rPr>
        <w:t xml:space="preserve">in language summaries of </w:t>
      </w:r>
      <w:r w:rsidR="001040A1" w:rsidRPr="001040A1">
        <w:rPr>
          <w:rStyle w:val="normaltextrun"/>
          <w:rFonts w:eastAsia="Segoe UI" w:cs="Segoe UI"/>
          <w:color w:val="000000" w:themeColor="text1"/>
        </w:rPr>
        <w:t>Pharmaceutical Benefits Advisory Committee (PBAC)</w:t>
      </w:r>
      <w:r w:rsidR="001040A1" w:rsidRPr="001040A1" w:rsidDel="001040A1">
        <w:rPr>
          <w:rStyle w:val="normaltextrun"/>
          <w:rFonts w:eastAsia="Segoe UI" w:cs="Segoe UI"/>
          <w:color w:val="000000" w:themeColor="text1"/>
        </w:rPr>
        <w:t xml:space="preserve"> </w:t>
      </w:r>
      <w:r w:rsidR="00767B4F" w:rsidRPr="007247D8">
        <w:rPr>
          <w:rStyle w:val="normaltextrun"/>
          <w:rFonts w:eastAsia="Segoe UI" w:cs="Segoe UI"/>
          <w:color w:val="000000" w:themeColor="text1"/>
        </w:rPr>
        <w:t xml:space="preserve">submissions available at the same time as the PBAC agenda. </w:t>
      </w:r>
      <w:r w:rsidR="00767B4F" w:rsidRPr="00FE50A8">
        <w:rPr>
          <w:rStyle w:val="normaltextrun"/>
          <w:rFonts w:eastAsia="Segoe UI" w:cs="Segoe UI"/>
          <w:color w:val="000000" w:themeColor="text1"/>
        </w:rPr>
        <w:t>The summaries would have to be developed in collaboration between sponsors and the Department</w:t>
      </w:r>
      <w:r w:rsidR="001B43AE">
        <w:rPr>
          <w:rStyle w:val="normaltextrun"/>
          <w:rFonts w:eastAsia="Segoe UI" w:cs="Segoe UI"/>
          <w:color w:val="000000" w:themeColor="text1"/>
        </w:rPr>
        <w:t xml:space="preserve"> </w:t>
      </w:r>
      <w:r w:rsidR="001B43AE">
        <w:rPr>
          <w:rFonts w:cs="Segoe UI"/>
        </w:rPr>
        <w:t>of Health and Aged Care</w:t>
      </w:r>
      <w:r w:rsidR="00767B4F" w:rsidRPr="00FE50A8">
        <w:rPr>
          <w:rStyle w:val="normaltextrun"/>
          <w:rFonts w:eastAsia="Segoe UI" w:cs="Segoe UI"/>
          <w:color w:val="000000" w:themeColor="text1"/>
        </w:rPr>
        <w:t>. Information included should allow consumers (including patient communities and clinicians) to be better equipped to provide input to the HTA</w:t>
      </w:r>
      <w:r w:rsidR="001040A1" w:rsidRPr="001040A1" w:rsidDel="001040A1">
        <w:rPr>
          <w:rStyle w:val="normaltextrun"/>
          <w:rFonts w:eastAsia="Segoe UI" w:cs="Segoe UI"/>
          <w:color w:val="000000" w:themeColor="text1"/>
        </w:rPr>
        <w:t xml:space="preserve"> </w:t>
      </w:r>
      <w:r w:rsidR="00767B4F" w:rsidRPr="00FE50A8">
        <w:rPr>
          <w:rStyle w:val="normaltextrun"/>
          <w:rFonts w:eastAsia="Segoe UI" w:cs="Segoe UI"/>
          <w:color w:val="000000" w:themeColor="text1"/>
        </w:rPr>
        <w:t>process. Additionally, they should provide information for patient communities to understand the expected benefit of the therapy and the proposed population, without ambiguity</w:t>
      </w:r>
      <w:r w:rsidR="00767B4F" w:rsidRPr="007247D8" w:rsidDel="1FC5D2F7">
        <w:rPr>
          <w:rStyle w:val="normaltextrun"/>
          <w:rFonts w:eastAsia="Segoe UI" w:cs="Segoe UI"/>
          <w:color w:val="000000" w:themeColor="text1"/>
        </w:rPr>
        <w:t>.</w:t>
      </w:r>
      <w:r w:rsidR="00767B4F" w:rsidRPr="007247D8">
        <w:rPr>
          <w:rStyle w:val="normaltextrun"/>
          <w:rFonts w:eastAsia="Segoe UI" w:cs="Segoe UI"/>
          <w:color w:val="000000" w:themeColor="text1"/>
        </w:rPr>
        <w:t xml:space="preserve"> Over time, with </w:t>
      </w:r>
      <w:r w:rsidR="00FA396E">
        <w:rPr>
          <w:rStyle w:val="normaltextrun"/>
          <w:rFonts w:eastAsia="Segoe UI" w:cs="Segoe UI"/>
          <w:color w:val="000000" w:themeColor="text1"/>
        </w:rPr>
        <w:t xml:space="preserve">the </w:t>
      </w:r>
      <w:r w:rsidR="00767B4F" w:rsidRPr="007247D8">
        <w:rPr>
          <w:rStyle w:val="normaltextrun"/>
          <w:rFonts w:eastAsia="Segoe UI" w:cs="Segoe UI"/>
          <w:color w:val="000000" w:themeColor="text1"/>
        </w:rPr>
        <w:t>earlier engagement of consumers, these summaries may evolve with the consumer along the health technology pathway</w:t>
      </w:r>
    </w:p>
    <w:p w14:paraId="02169E09" w14:textId="0E95B8DB" w:rsidR="0091498F" w:rsidRPr="00140C11" w:rsidRDefault="00996316" w:rsidP="00281153">
      <w:pPr>
        <w:pStyle w:val="ListParagraph"/>
        <w:numPr>
          <w:ilvl w:val="0"/>
          <w:numId w:val="39"/>
        </w:numPr>
        <w:spacing w:after="0" w:line="252" w:lineRule="auto"/>
        <w:rPr>
          <w:lang w:val="en-US"/>
        </w:rPr>
      </w:pPr>
      <w:r>
        <w:rPr>
          <w:rStyle w:val="normaltextrun"/>
          <w:rFonts w:eastAsia="Segoe UI" w:cs="Segoe UI"/>
          <w:color w:val="000000" w:themeColor="text1"/>
        </w:rPr>
        <w:t>d</w:t>
      </w:r>
      <w:r w:rsidR="4E6FF11A" w:rsidRPr="3A11DDA2">
        <w:rPr>
          <w:rStyle w:val="normaltextrun"/>
          <w:rFonts w:eastAsia="Segoe UI" w:cs="Segoe UI"/>
          <w:color w:val="000000" w:themeColor="text1"/>
        </w:rPr>
        <w:t>evelop c</w:t>
      </w:r>
      <w:r w:rsidR="00767B4F" w:rsidRPr="00767B4F">
        <w:rPr>
          <w:rStyle w:val="normaltextrun"/>
          <w:rFonts w:eastAsia="Segoe UI" w:cs="Segoe UI"/>
          <w:color w:val="000000" w:themeColor="text1"/>
        </w:rPr>
        <w:t>lear</w:t>
      </w:r>
      <w:r w:rsidR="00767B4F" w:rsidRPr="00D01298">
        <w:t>, unambiguous and transparent description</w:t>
      </w:r>
      <w:r>
        <w:t>s</w:t>
      </w:r>
      <w:r w:rsidR="00767B4F" w:rsidRPr="00D01298">
        <w:t xml:space="preserve"> of committee deliberations that can be understood by patient communities. This includes clear reasoning for recommendations </w:t>
      </w:r>
      <w:r>
        <w:t>and</w:t>
      </w:r>
      <w:r w:rsidR="00767B4F" w:rsidRPr="00D01298">
        <w:t>/</w:t>
      </w:r>
      <w:r>
        <w:t>or</w:t>
      </w:r>
      <w:r w:rsidR="00767B4F" w:rsidRPr="00D01298">
        <w:t xml:space="preserve"> decisions made, and factor</w:t>
      </w:r>
      <w:r w:rsidR="00FA396E">
        <w:t>s affecting</w:t>
      </w:r>
      <w:r w:rsidR="00767B4F" w:rsidRPr="00D01298">
        <w:t xml:space="preserve"> decision</w:t>
      </w:r>
      <w:r>
        <w:t>s</w:t>
      </w:r>
      <w:r w:rsidR="00767B4F" w:rsidRPr="00D01298">
        <w:t xml:space="preserve"> (see </w:t>
      </w:r>
      <w:r>
        <w:t xml:space="preserve">‘Recommendation 26: </w:t>
      </w:r>
      <w:r w:rsidR="00CA0EBA">
        <w:t>Developing an e</w:t>
      </w:r>
      <w:r w:rsidR="00767B4F" w:rsidRPr="00D01298">
        <w:t xml:space="preserve">xplicit </w:t>
      </w:r>
      <w:r>
        <w:t>qualitative v</w:t>
      </w:r>
      <w:r w:rsidR="00767B4F" w:rsidRPr="00D01298">
        <w:t xml:space="preserve">alues </w:t>
      </w:r>
      <w:r>
        <w:t>f</w:t>
      </w:r>
      <w:r w:rsidR="00767B4F" w:rsidRPr="00D01298">
        <w:t>ramework</w:t>
      </w:r>
      <w:r>
        <w:t>’</w:t>
      </w:r>
      <w:r w:rsidR="00767B4F" w:rsidRPr="00D01298">
        <w:t>)</w:t>
      </w:r>
      <w:r w:rsidR="00767B4F">
        <w:t xml:space="preserve"> including </w:t>
      </w:r>
      <w:r w:rsidR="00767B4F" w:rsidRPr="003C6FAB">
        <w:t>enabl</w:t>
      </w:r>
      <w:r w:rsidR="00767B4F">
        <w:t>ing</w:t>
      </w:r>
      <w:r w:rsidR="00767B4F" w:rsidRPr="003C6FAB">
        <w:t xml:space="preserve"> consumers to see how their input was considered and factored into the decision</w:t>
      </w:r>
      <w:r w:rsidR="00767B4F">
        <w:t>.</w:t>
      </w:r>
      <w:r w:rsidR="00767B4F" w:rsidRPr="003C6FAB">
        <w:t xml:space="preserve"> </w:t>
      </w:r>
      <w:r w:rsidR="00767B4F" w:rsidRPr="00D01298">
        <w:t>These should be published where possible or otherwise disseminated broadly to stakeholder groups.</w:t>
      </w:r>
    </w:p>
    <w:p w14:paraId="380F86B0" w14:textId="19F6D273" w:rsidR="003C6B61" w:rsidRDefault="003C6B61" w:rsidP="00645D5E">
      <w:pPr>
        <w:pStyle w:val="Recommendation1"/>
      </w:pPr>
      <w:bookmarkStart w:id="405" w:name="_Hlk167302117"/>
      <w:r w:rsidRPr="003C6B61">
        <w:t>Improv</w:t>
      </w:r>
      <w:r w:rsidR="004A0803">
        <w:t>ing</w:t>
      </w:r>
      <w:r w:rsidRPr="003C6B61">
        <w:t xml:space="preserve"> the HTA webpage including develop</w:t>
      </w:r>
      <w:r w:rsidR="004A0803">
        <w:t>ing</w:t>
      </w:r>
      <w:r w:rsidRPr="003C6B61">
        <w:t xml:space="preserve"> a </w:t>
      </w:r>
      <w:r w:rsidRPr="00140C11">
        <w:t>dashboard</w:t>
      </w:r>
    </w:p>
    <w:p w14:paraId="122E3EEC" w14:textId="2B365803" w:rsidR="00140C11" w:rsidRPr="00140C11" w:rsidRDefault="00140C11" w:rsidP="000C5623">
      <w:pPr>
        <w:spacing w:before="240"/>
      </w:pPr>
      <w:r w:rsidRPr="00405FD7" w:rsidDel="002C4399">
        <w:t xml:space="preserve">The Review recommends </w:t>
      </w:r>
      <w:r>
        <w:t xml:space="preserve">that </w:t>
      </w:r>
      <w:r w:rsidRPr="00405FD7" w:rsidDel="002C4399">
        <w:t>the Australian Government:</w:t>
      </w:r>
    </w:p>
    <w:bookmarkEnd w:id="405"/>
    <w:p w14:paraId="235F1504" w14:textId="5439DA6E" w:rsidR="00286756" w:rsidRDefault="00140C11" w:rsidP="00281153">
      <w:pPr>
        <w:pStyle w:val="ListParagraph"/>
        <w:numPr>
          <w:ilvl w:val="0"/>
          <w:numId w:val="40"/>
        </w:numPr>
        <w:spacing w:before="240" w:after="0" w:line="252" w:lineRule="auto"/>
        <w:rPr>
          <w:rFonts w:eastAsia="Segoe UI" w:cs="Segoe UI"/>
          <w:color w:val="000000" w:themeColor="text1"/>
        </w:rPr>
      </w:pPr>
      <w:r>
        <w:rPr>
          <w:rFonts w:eastAsia="Segoe UI" w:cs="Segoe UI"/>
          <w:color w:val="000000" w:themeColor="text1"/>
        </w:rPr>
        <w:t>e</w:t>
      </w:r>
      <w:r w:rsidR="14851FFF" w:rsidRPr="74076169">
        <w:rPr>
          <w:rFonts w:eastAsia="Segoe UI" w:cs="Segoe UI"/>
          <w:color w:val="000000" w:themeColor="text1"/>
        </w:rPr>
        <w:t xml:space="preserve">nhance </w:t>
      </w:r>
      <w:r w:rsidR="72C8592B" w:rsidRPr="7C1EF360">
        <w:rPr>
          <w:rFonts w:eastAsia="Segoe UI" w:cs="Segoe UI"/>
          <w:color w:val="000000" w:themeColor="text1"/>
        </w:rPr>
        <w:t>access</w:t>
      </w:r>
      <w:r w:rsidR="10F817C0" w:rsidRPr="25028928">
        <w:rPr>
          <w:rFonts w:eastAsia="Segoe UI" w:cs="Segoe UI"/>
          <w:color w:val="000000" w:themeColor="text1"/>
        </w:rPr>
        <w:t xml:space="preserve"> </w:t>
      </w:r>
      <w:r w:rsidR="137FAC88" w:rsidRPr="16ECDFD5">
        <w:rPr>
          <w:rFonts w:eastAsia="Segoe UI" w:cs="Segoe UI"/>
          <w:color w:val="000000" w:themeColor="text1"/>
        </w:rPr>
        <w:t>to</w:t>
      </w:r>
      <w:r w:rsidR="07EA97C7" w:rsidRPr="2CD1F26A">
        <w:rPr>
          <w:rFonts w:eastAsia="Segoe UI" w:cs="Segoe UI"/>
          <w:color w:val="000000" w:themeColor="text1"/>
        </w:rPr>
        <w:t xml:space="preserve"> </w:t>
      </w:r>
      <w:r>
        <w:rPr>
          <w:rFonts w:eastAsia="Segoe UI" w:cs="Segoe UI"/>
          <w:color w:val="000000" w:themeColor="text1"/>
        </w:rPr>
        <w:t xml:space="preserve">information about </w:t>
      </w:r>
      <w:r w:rsidR="718158F9" w:rsidRPr="0D59C917">
        <w:rPr>
          <w:rFonts w:eastAsia="Segoe UI" w:cs="Segoe UI"/>
          <w:color w:val="000000" w:themeColor="text1"/>
        </w:rPr>
        <w:t>process</w:t>
      </w:r>
      <w:r>
        <w:rPr>
          <w:rFonts w:eastAsia="Segoe UI" w:cs="Segoe UI"/>
          <w:color w:val="000000" w:themeColor="text1"/>
        </w:rPr>
        <w:t>es</w:t>
      </w:r>
      <w:r w:rsidR="718158F9" w:rsidRPr="0D59C917">
        <w:rPr>
          <w:rFonts w:eastAsia="Segoe UI" w:cs="Segoe UI"/>
          <w:color w:val="000000" w:themeColor="text1"/>
        </w:rPr>
        <w:t>, polic</w:t>
      </w:r>
      <w:r>
        <w:rPr>
          <w:rFonts w:eastAsia="Segoe UI" w:cs="Segoe UI"/>
          <w:color w:val="000000" w:themeColor="text1"/>
        </w:rPr>
        <w:t>ies</w:t>
      </w:r>
      <w:r w:rsidR="718158F9" w:rsidRPr="0D59C917">
        <w:rPr>
          <w:rFonts w:eastAsia="Segoe UI" w:cs="Segoe UI"/>
          <w:color w:val="000000" w:themeColor="text1"/>
        </w:rPr>
        <w:t xml:space="preserve"> and </w:t>
      </w:r>
      <w:r w:rsidR="718158F9" w:rsidRPr="0C45ED5B">
        <w:rPr>
          <w:rFonts w:eastAsia="Segoe UI" w:cs="Segoe UI"/>
          <w:color w:val="000000" w:themeColor="text1"/>
        </w:rPr>
        <w:t>decision</w:t>
      </w:r>
      <w:r>
        <w:rPr>
          <w:rFonts w:eastAsia="Segoe UI" w:cs="Segoe UI"/>
          <w:color w:val="000000" w:themeColor="text1"/>
        </w:rPr>
        <w:t>s</w:t>
      </w:r>
      <w:r w:rsidR="718158F9" w:rsidRPr="0C45ED5B">
        <w:rPr>
          <w:rFonts w:eastAsia="Segoe UI" w:cs="Segoe UI"/>
          <w:color w:val="000000" w:themeColor="text1"/>
        </w:rPr>
        <w:t xml:space="preserve"> </w:t>
      </w:r>
      <w:r w:rsidR="718158F9" w:rsidRPr="0D59C917">
        <w:rPr>
          <w:rFonts w:eastAsia="Segoe UI" w:cs="Segoe UI"/>
          <w:color w:val="000000" w:themeColor="text1"/>
        </w:rPr>
        <w:t>on</w:t>
      </w:r>
      <w:r>
        <w:rPr>
          <w:rFonts w:eastAsia="Segoe UI" w:cs="Segoe UI"/>
          <w:color w:val="000000" w:themeColor="text1"/>
        </w:rPr>
        <w:t xml:space="preserve"> the </w:t>
      </w:r>
      <w:r w:rsidR="001040A1" w:rsidRPr="001040A1">
        <w:rPr>
          <w:rFonts w:eastAsia="Segoe UI" w:cs="Segoe UI"/>
          <w:color w:val="000000" w:themeColor="text1"/>
        </w:rPr>
        <w:t>HTA</w:t>
      </w:r>
      <w:r w:rsidR="001040A1" w:rsidRPr="001040A1" w:rsidDel="001040A1">
        <w:rPr>
          <w:rFonts w:eastAsia="Segoe UI" w:cs="Segoe UI"/>
          <w:color w:val="000000" w:themeColor="text1"/>
        </w:rPr>
        <w:t xml:space="preserve"> </w:t>
      </w:r>
      <w:r w:rsidR="718158F9" w:rsidRPr="0D59C917">
        <w:rPr>
          <w:rFonts w:eastAsia="Segoe UI" w:cs="Segoe UI"/>
          <w:color w:val="000000" w:themeColor="text1"/>
        </w:rPr>
        <w:t xml:space="preserve">website </w:t>
      </w:r>
      <w:r w:rsidR="1E5BCCE6" w:rsidRPr="25028928">
        <w:rPr>
          <w:rFonts w:eastAsia="Segoe UI" w:cs="Segoe UI"/>
          <w:color w:val="000000" w:themeColor="text1"/>
        </w:rPr>
        <w:t>by</w:t>
      </w:r>
      <w:r w:rsidR="01456F1C" w:rsidRPr="51D41E80">
        <w:rPr>
          <w:rFonts w:eastAsia="Segoe UI" w:cs="Segoe UI"/>
          <w:color w:val="000000" w:themeColor="text1"/>
        </w:rPr>
        <w:t>:</w:t>
      </w:r>
      <w:r w:rsidR="7183FC5F" w:rsidRPr="51D41E80">
        <w:rPr>
          <w:rFonts w:eastAsia="Segoe UI" w:cs="Segoe UI"/>
          <w:color w:val="000000" w:themeColor="text1"/>
        </w:rPr>
        <w:t xml:space="preserve"> </w:t>
      </w:r>
    </w:p>
    <w:p w14:paraId="42E87F58" w14:textId="2B0AEBAE" w:rsidR="00286756" w:rsidRDefault="003E1153" w:rsidP="00281153">
      <w:pPr>
        <w:pStyle w:val="ListParagraph"/>
        <w:numPr>
          <w:ilvl w:val="1"/>
          <w:numId w:val="40"/>
        </w:numPr>
        <w:spacing w:after="0" w:line="252" w:lineRule="auto"/>
        <w:rPr>
          <w:rFonts w:eastAsia="Segoe UI" w:cs="Segoe UI"/>
          <w:color w:val="000000" w:themeColor="text1"/>
        </w:rPr>
      </w:pPr>
      <w:r>
        <w:rPr>
          <w:rFonts w:eastAsia="Segoe UI" w:cs="Segoe UI"/>
          <w:color w:val="000000" w:themeColor="text1"/>
        </w:rPr>
        <w:t>i</w:t>
      </w:r>
      <w:r w:rsidR="2F3D0C3F" w:rsidRPr="291197A8">
        <w:rPr>
          <w:rFonts w:eastAsia="Segoe UI" w:cs="Segoe UI"/>
          <w:color w:val="000000" w:themeColor="text1"/>
        </w:rPr>
        <w:t xml:space="preserve">mproving </w:t>
      </w:r>
      <w:r w:rsidR="056FCB11" w:rsidRPr="291197A8" w:rsidDel="056FCB11">
        <w:rPr>
          <w:rFonts w:eastAsia="Segoe UI" w:cs="Segoe UI"/>
          <w:color w:val="000000" w:themeColor="text1"/>
        </w:rPr>
        <w:t>navigation</w:t>
      </w:r>
    </w:p>
    <w:p w14:paraId="6498CD64" w14:textId="5D003E7D" w:rsidR="00286756" w:rsidRDefault="003E1153" w:rsidP="00281153">
      <w:pPr>
        <w:pStyle w:val="ListParagraph"/>
        <w:numPr>
          <w:ilvl w:val="1"/>
          <w:numId w:val="40"/>
        </w:numPr>
        <w:spacing w:after="0" w:line="252" w:lineRule="auto"/>
        <w:rPr>
          <w:rFonts w:eastAsia="Segoe UI" w:cs="Segoe UI"/>
          <w:color w:val="000000" w:themeColor="text1"/>
        </w:rPr>
      </w:pPr>
      <w:r>
        <w:rPr>
          <w:rFonts w:eastAsia="Segoe UI" w:cs="Segoe UI"/>
          <w:color w:val="000000" w:themeColor="text1"/>
        </w:rPr>
        <w:t>u</w:t>
      </w:r>
      <w:r w:rsidR="7A91DC45" w:rsidRPr="130B60A5">
        <w:rPr>
          <w:rFonts w:eastAsia="Segoe UI" w:cs="Segoe UI"/>
          <w:color w:val="000000" w:themeColor="text1"/>
        </w:rPr>
        <w:t xml:space="preserve">sing </w:t>
      </w:r>
      <w:r w:rsidR="56F39355" w:rsidRPr="0D4528AE">
        <w:rPr>
          <w:rFonts w:eastAsia="Segoe UI" w:cs="Segoe UI"/>
          <w:color w:val="000000" w:themeColor="text1"/>
        </w:rPr>
        <w:t>accessible</w:t>
      </w:r>
      <w:r w:rsidR="7A91DC45" w:rsidRPr="130B60A5">
        <w:rPr>
          <w:rFonts w:eastAsia="Segoe UI" w:cs="Segoe UI"/>
          <w:color w:val="000000" w:themeColor="text1"/>
        </w:rPr>
        <w:t xml:space="preserve"> language</w:t>
      </w:r>
    </w:p>
    <w:p w14:paraId="2A36EEF5" w14:textId="20BE1735" w:rsidR="38A7E040" w:rsidRDefault="003E1153" w:rsidP="00281153">
      <w:pPr>
        <w:pStyle w:val="ListParagraph"/>
        <w:numPr>
          <w:ilvl w:val="1"/>
          <w:numId w:val="40"/>
        </w:numPr>
        <w:spacing w:after="0" w:line="252" w:lineRule="auto"/>
        <w:rPr>
          <w:rFonts w:eastAsia="Segoe UI" w:cs="Segoe UI"/>
          <w:color w:val="000000" w:themeColor="text1"/>
        </w:rPr>
      </w:pPr>
      <w:r>
        <w:rPr>
          <w:rFonts w:eastAsia="Segoe UI" w:cs="Segoe UI"/>
          <w:color w:val="000000" w:themeColor="text1"/>
        </w:rPr>
        <w:t>t</w:t>
      </w:r>
      <w:r w:rsidR="7B05672F" w:rsidRPr="4B14D880">
        <w:rPr>
          <w:rFonts w:eastAsia="Segoe UI" w:cs="Segoe UI"/>
          <w:color w:val="000000" w:themeColor="text1"/>
        </w:rPr>
        <w:t xml:space="preserve">ailoring information to specific </w:t>
      </w:r>
      <w:r w:rsidR="50234682" w:rsidRPr="4B14D880">
        <w:rPr>
          <w:rFonts w:eastAsia="Segoe UI" w:cs="Segoe UI"/>
          <w:color w:val="000000" w:themeColor="text1"/>
        </w:rPr>
        <w:t>stakeholder</w:t>
      </w:r>
      <w:r w:rsidR="7B05672F" w:rsidRPr="4B14D880">
        <w:rPr>
          <w:rFonts w:eastAsia="Segoe UI" w:cs="Segoe UI"/>
          <w:color w:val="000000" w:themeColor="text1"/>
        </w:rPr>
        <w:t xml:space="preserve"> g</w:t>
      </w:r>
      <w:r w:rsidR="41E5F558" w:rsidRPr="4B14D880">
        <w:rPr>
          <w:rFonts w:eastAsia="Segoe UI" w:cs="Segoe UI"/>
          <w:color w:val="000000" w:themeColor="text1"/>
        </w:rPr>
        <w:t>r</w:t>
      </w:r>
      <w:r w:rsidR="7B05672F" w:rsidRPr="4B14D880">
        <w:rPr>
          <w:rFonts w:eastAsia="Segoe UI" w:cs="Segoe UI"/>
          <w:color w:val="000000" w:themeColor="text1"/>
        </w:rPr>
        <w:t>oups where appropriate</w:t>
      </w:r>
      <w:r w:rsidR="00140C11">
        <w:rPr>
          <w:rFonts w:eastAsia="Segoe UI" w:cs="Segoe UI"/>
          <w:color w:val="000000" w:themeColor="text1"/>
        </w:rPr>
        <w:t>;</w:t>
      </w:r>
      <w:r w:rsidR="7B05672F" w:rsidRPr="4B14D880">
        <w:rPr>
          <w:rFonts w:eastAsia="Segoe UI" w:cs="Segoe UI"/>
          <w:color w:val="000000" w:themeColor="text1"/>
        </w:rPr>
        <w:t xml:space="preserve"> </w:t>
      </w:r>
      <w:r w:rsidR="00C73A7C">
        <w:rPr>
          <w:rFonts w:eastAsia="Segoe UI" w:cs="Segoe UI"/>
          <w:color w:val="000000" w:themeColor="text1"/>
        </w:rPr>
        <w:t xml:space="preserve">for example, </w:t>
      </w:r>
      <w:r w:rsidR="7B05672F" w:rsidRPr="4B14D880">
        <w:rPr>
          <w:rFonts w:eastAsia="Segoe UI" w:cs="Segoe UI"/>
          <w:color w:val="000000" w:themeColor="text1"/>
        </w:rPr>
        <w:t>clinician</w:t>
      </w:r>
      <w:r w:rsidR="00C73A7C">
        <w:rPr>
          <w:rFonts w:eastAsia="Segoe UI" w:cs="Segoe UI"/>
          <w:color w:val="000000" w:themeColor="text1"/>
        </w:rPr>
        <w:t>s</w:t>
      </w:r>
      <w:r w:rsidR="7B05672F" w:rsidRPr="4B14D880">
        <w:rPr>
          <w:rFonts w:eastAsia="Segoe UI" w:cs="Segoe UI"/>
          <w:color w:val="000000" w:themeColor="text1"/>
        </w:rPr>
        <w:t>, consumer</w:t>
      </w:r>
      <w:r w:rsidR="00C73A7C">
        <w:rPr>
          <w:rFonts w:eastAsia="Segoe UI" w:cs="Segoe UI"/>
          <w:color w:val="000000" w:themeColor="text1"/>
        </w:rPr>
        <w:t>s</w:t>
      </w:r>
      <w:r w:rsidR="7B05672F" w:rsidRPr="4B14D880">
        <w:rPr>
          <w:rFonts w:eastAsia="Segoe UI" w:cs="Segoe UI"/>
          <w:color w:val="000000" w:themeColor="text1"/>
        </w:rPr>
        <w:t xml:space="preserve">, </w:t>
      </w:r>
      <w:r w:rsidR="0B238F16" w:rsidRPr="4B14D880">
        <w:rPr>
          <w:rFonts w:eastAsia="Segoe UI" w:cs="Segoe UI"/>
          <w:color w:val="000000" w:themeColor="text1"/>
        </w:rPr>
        <w:t>health</w:t>
      </w:r>
      <w:r w:rsidR="7B05672F" w:rsidRPr="4B14D880">
        <w:rPr>
          <w:rFonts w:eastAsia="Segoe UI" w:cs="Segoe UI"/>
          <w:color w:val="000000" w:themeColor="text1"/>
        </w:rPr>
        <w:t xml:space="preserve"> organisations, individual </w:t>
      </w:r>
      <w:r w:rsidR="5C0B75FB" w:rsidRPr="4B14D880">
        <w:rPr>
          <w:rFonts w:eastAsia="Segoe UI" w:cs="Segoe UI"/>
          <w:color w:val="000000" w:themeColor="text1"/>
        </w:rPr>
        <w:t>patients</w:t>
      </w:r>
      <w:r w:rsidR="7B05672F" w:rsidRPr="4B14D880">
        <w:rPr>
          <w:rFonts w:eastAsia="Segoe UI" w:cs="Segoe UI"/>
          <w:color w:val="000000" w:themeColor="text1"/>
        </w:rPr>
        <w:t xml:space="preserve"> and carers, industry </w:t>
      </w:r>
      <w:r w:rsidR="00C73A7C">
        <w:rPr>
          <w:rFonts w:eastAsia="Segoe UI" w:cs="Segoe UI"/>
          <w:color w:val="000000" w:themeColor="text1"/>
        </w:rPr>
        <w:t xml:space="preserve">and </w:t>
      </w:r>
      <w:r w:rsidR="7B05672F" w:rsidRPr="4B14D880">
        <w:rPr>
          <w:rFonts w:eastAsia="Segoe UI" w:cs="Segoe UI"/>
          <w:color w:val="000000" w:themeColor="text1"/>
        </w:rPr>
        <w:t>sponsors</w:t>
      </w:r>
    </w:p>
    <w:p w14:paraId="663A74E4" w14:textId="32673B6B" w:rsidR="00286756" w:rsidRPr="00B42633" w:rsidRDefault="003E1153" w:rsidP="00281153">
      <w:pPr>
        <w:pStyle w:val="ListParagraph"/>
        <w:numPr>
          <w:ilvl w:val="1"/>
          <w:numId w:val="40"/>
        </w:numPr>
        <w:spacing w:after="0" w:line="252" w:lineRule="auto"/>
        <w:rPr>
          <w:rStyle w:val="normaltextrun"/>
          <w:rFonts w:eastAsia="Segoe UI" w:cs="Segoe UI"/>
          <w:color w:val="000000" w:themeColor="text1"/>
        </w:rPr>
      </w:pPr>
      <w:r>
        <w:rPr>
          <w:rFonts w:eastAsia="Segoe UI" w:cs="Segoe UI"/>
          <w:color w:val="000000" w:themeColor="text1"/>
        </w:rPr>
        <w:t>p</w:t>
      </w:r>
      <w:r w:rsidR="6C85A6CE" w:rsidRPr="4B14D880">
        <w:rPr>
          <w:rFonts w:eastAsia="Segoe UI" w:cs="Segoe UI"/>
          <w:color w:val="000000" w:themeColor="text1"/>
        </w:rPr>
        <w:t>resenting</w:t>
      </w:r>
      <w:r w:rsidR="0DB8CBDC" w:rsidRPr="4B14D880">
        <w:rPr>
          <w:rFonts w:eastAsia="Segoe UI" w:cs="Segoe UI"/>
          <w:color w:val="000000" w:themeColor="text1"/>
        </w:rPr>
        <w:t xml:space="preserve"> information in a variety of formats</w:t>
      </w:r>
      <w:r w:rsidR="020C5BCB" w:rsidRPr="4B14D880">
        <w:rPr>
          <w:rFonts w:eastAsia="Segoe UI" w:cs="Segoe UI"/>
          <w:color w:val="000000" w:themeColor="text1"/>
        </w:rPr>
        <w:t>,</w:t>
      </w:r>
      <w:r w:rsidR="0DB8CBDC" w:rsidRPr="4B14D880">
        <w:rPr>
          <w:rFonts w:eastAsia="Segoe UI" w:cs="Segoe UI"/>
          <w:color w:val="000000" w:themeColor="text1"/>
        </w:rPr>
        <w:t xml:space="preserve"> </w:t>
      </w:r>
      <w:r w:rsidR="5553B95D" w:rsidRPr="4B14D880">
        <w:rPr>
          <w:rFonts w:eastAsia="Segoe UI" w:cs="Segoe UI"/>
          <w:color w:val="000000" w:themeColor="text1"/>
        </w:rPr>
        <w:t>using</w:t>
      </w:r>
      <w:r w:rsidR="4F12AF9B" w:rsidRPr="4B14D880">
        <w:rPr>
          <w:rFonts w:eastAsia="Segoe UI" w:cs="Segoe UI"/>
          <w:color w:val="000000" w:themeColor="text1"/>
        </w:rPr>
        <w:t xml:space="preserve"> </w:t>
      </w:r>
      <w:r w:rsidR="00286756" w:rsidRPr="4B14D880">
        <w:rPr>
          <w:rFonts w:eastAsia="Segoe UI" w:cs="Segoe UI"/>
          <w:color w:val="000000" w:themeColor="text1"/>
        </w:rPr>
        <w:t xml:space="preserve">aids such as case studies </w:t>
      </w:r>
      <w:r w:rsidR="291EE8F7" w:rsidRPr="4B14D880">
        <w:rPr>
          <w:rFonts w:eastAsia="Segoe UI" w:cs="Segoe UI"/>
          <w:color w:val="000000" w:themeColor="text1"/>
        </w:rPr>
        <w:t xml:space="preserve">and </w:t>
      </w:r>
      <w:r w:rsidR="2AC9B1AB" w:rsidRPr="4B14D880">
        <w:rPr>
          <w:rFonts w:eastAsia="Segoe UI" w:cs="Segoe UI"/>
          <w:color w:val="000000" w:themeColor="text1"/>
        </w:rPr>
        <w:t>infographic</w:t>
      </w:r>
      <w:r w:rsidR="291EE8F7" w:rsidRPr="4B14D880">
        <w:rPr>
          <w:rFonts w:eastAsia="Segoe UI" w:cs="Segoe UI"/>
          <w:color w:val="000000" w:themeColor="text1"/>
        </w:rPr>
        <w:t>s</w:t>
      </w:r>
      <w:r w:rsidR="00286756" w:rsidRPr="4B14D880">
        <w:rPr>
          <w:rFonts w:eastAsia="Segoe UI" w:cs="Segoe UI"/>
          <w:color w:val="000000" w:themeColor="text1"/>
        </w:rPr>
        <w:t xml:space="preserve"> to explain complex topics to stakeholders </w:t>
      </w:r>
      <w:r w:rsidR="7328CAC4" w:rsidRPr="4B14D880">
        <w:rPr>
          <w:rFonts w:eastAsia="Segoe UI" w:cs="Segoe UI"/>
          <w:color w:val="000000" w:themeColor="text1"/>
        </w:rPr>
        <w:t xml:space="preserve">with differing levels of </w:t>
      </w:r>
      <w:r w:rsidR="1408BAE6" w:rsidRPr="4B14D880">
        <w:rPr>
          <w:rFonts w:eastAsia="Segoe UI" w:cs="Segoe UI"/>
          <w:color w:val="000000" w:themeColor="text1"/>
        </w:rPr>
        <w:t xml:space="preserve">HTA </w:t>
      </w:r>
      <w:r w:rsidR="7328CAC4" w:rsidRPr="4B14D880">
        <w:rPr>
          <w:rFonts w:eastAsia="Segoe UI" w:cs="Segoe UI"/>
          <w:color w:val="000000" w:themeColor="text1"/>
        </w:rPr>
        <w:t>experience</w:t>
      </w:r>
      <w:r w:rsidR="002F0E17">
        <w:rPr>
          <w:rFonts w:eastAsia="Segoe UI" w:cs="Segoe UI"/>
          <w:color w:val="000000" w:themeColor="text1"/>
        </w:rPr>
        <w:t>.</w:t>
      </w:r>
    </w:p>
    <w:p w14:paraId="6BA32DC3" w14:textId="4C5DB7BE" w:rsidR="00286756" w:rsidRDefault="00C73A7C" w:rsidP="00281153">
      <w:pPr>
        <w:pStyle w:val="ListParagraph"/>
        <w:numPr>
          <w:ilvl w:val="0"/>
          <w:numId w:val="40"/>
        </w:numPr>
        <w:spacing w:after="0" w:line="252" w:lineRule="auto"/>
        <w:rPr>
          <w:rFonts w:eastAsia="Segoe UI" w:cs="Segoe UI"/>
          <w:color w:val="000000" w:themeColor="text1"/>
        </w:rPr>
      </w:pPr>
      <w:r>
        <w:rPr>
          <w:rFonts w:eastAsia="Segoe UI" w:cs="Segoe UI"/>
          <w:color w:val="000000" w:themeColor="text1"/>
        </w:rPr>
        <w:lastRenderedPageBreak/>
        <w:t>d</w:t>
      </w:r>
      <w:r w:rsidR="00286756" w:rsidRPr="04008C28">
        <w:rPr>
          <w:rFonts w:eastAsia="Segoe UI" w:cs="Segoe UI"/>
          <w:color w:val="000000" w:themeColor="text1"/>
        </w:rPr>
        <w:t>evelop a user</w:t>
      </w:r>
      <w:r>
        <w:rPr>
          <w:rFonts w:eastAsia="Segoe UI" w:cs="Segoe UI"/>
          <w:color w:val="000000" w:themeColor="text1"/>
        </w:rPr>
        <w:t>-</w:t>
      </w:r>
      <w:r w:rsidR="00286756" w:rsidRPr="04008C28">
        <w:rPr>
          <w:rFonts w:eastAsia="Segoe UI" w:cs="Segoe UI"/>
          <w:color w:val="000000" w:themeColor="text1"/>
        </w:rPr>
        <w:t>friendly, data</w:t>
      </w:r>
      <w:r>
        <w:rPr>
          <w:rFonts w:eastAsia="Segoe UI" w:cs="Segoe UI"/>
          <w:color w:val="000000" w:themeColor="text1"/>
        </w:rPr>
        <w:t>-</w:t>
      </w:r>
      <w:r w:rsidR="00286756" w:rsidRPr="04008C28">
        <w:rPr>
          <w:rFonts w:eastAsia="Segoe UI" w:cs="Segoe UI"/>
          <w:color w:val="000000" w:themeColor="text1"/>
        </w:rPr>
        <w:t xml:space="preserve">driven, online information platform </w:t>
      </w:r>
      <w:r w:rsidR="65A07AAD" w:rsidRPr="4B14D880">
        <w:rPr>
          <w:rFonts w:eastAsia="Segoe UI" w:cs="Segoe UI"/>
          <w:color w:val="000000" w:themeColor="text1"/>
        </w:rPr>
        <w:t>that makes it easier to find out about HTA processes</w:t>
      </w:r>
      <w:r w:rsidR="364572A7" w:rsidRPr="4B14D880">
        <w:rPr>
          <w:rFonts w:eastAsia="Segoe UI" w:cs="Segoe UI"/>
          <w:color w:val="000000" w:themeColor="text1"/>
        </w:rPr>
        <w:t xml:space="preserve">, </w:t>
      </w:r>
      <w:r w:rsidR="65A07AAD" w:rsidRPr="4B14D880">
        <w:rPr>
          <w:rFonts w:eastAsia="Segoe UI" w:cs="Segoe UI"/>
          <w:color w:val="000000" w:themeColor="text1"/>
        </w:rPr>
        <w:t>outcomes</w:t>
      </w:r>
      <w:r w:rsidR="15E56EFB" w:rsidRPr="4B14D880">
        <w:rPr>
          <w:rFonts w:eastAsia="Segoe UI" w:cs="Segoe UI"/>
          <w:color w:val="000000" w:themeColor="text1"/>
        </w:rPr>
        <w:t xml:space="preserve"> and performance</w:t>
      </w:r>
      <w:r w:rsidR="00FA396E">
        <w:rPr>
          <w:rFonts w:eastAsia="Segoe UI" w:cs="Segoe UI"/>
          <w:color w:val="000000" w:themeColor="text1"/>
        </w:rPr>
        <w:t xml:space="preserve">, and </w:t>
      </w:r>
      <w:r w:rsidR="48B1F36C" w:rsidRPr="760B44C9">
        <w:rPr>
          <w:rFonts w:eastAsia="Segoe UI" w:cs="Segoe UI"/>
          <w:color w:val="000000" w:themeColor="text1"/>
        </w:rPr>
        <w:t>include</w:t>
      </w:r>
      <w:r w:rsidR="00FA396E">
        <w:rPr>
          <w:rFonts w:eastAsia="Segoe UI" w:cs="Segoe UI"/>
          <w:color w:val="000000" w:themeColor="text1"/>
        </w:rPr>
        <w:t>s</w:t>
      </w:r>
      <w:r w:rsidR="00286756" w:rsidRPr="760B44C9">
        <w:rPr>
          <w:rFonts w:eastAsia="Segoe UI" w:cs="Segoe UI"/>
          <w:color w:val="000000" w:themeColor="text1"/>
        </w:rPr>
        <w:t xml:space="preserve">: </w:t>
      </w:r>
    </w:p>
    <w:p w14:paraId="6E1F70FF" w14:textId="425EC47F" w:rsidR="00286756" w:rsidRDefault="00286756" w:rsidP="00281153">
      <w:pPr>
        <w:pStyle w:val="ListParagraph"/>
        <w:numPr>
          <w:ilvl w:val="1"/>
          <w:numId w:val="40"/>
        </w:numPr>
        <w:spacing w:after="0" w:line="252" w:lineRule="auto"/>
        <w:rPr>
          <w:rFonts w:eastAsia="Segoe UI" w:cs="Segoe UI"/>
          <w:color w:val="000000" w:themeColor="text1"/>
        </w:rPr>
      </w:pPr>
      <w:r w:rsidRPr="04008C28">
        <w:rPr>
          <w:rFonts w:eastAsia="Segoe UI" w:cs="Segoe UI"/>
          <w:color w:val="000000" w:themeColor="text1"/>
        </w:rPr>
        <w:t>a visual data dashboard for statistics and metrics</w:t>
      </w:r>
    </w:p>
    <w:p w14:paraId="251AFE15" w14:textId="5CB20443" w:rsidR="00286756" w:rsidRDefault="00286756" w:rsidP="00281153">
      <w:pPr>
        <w:pStyle w:val="ListParagraph"/>
        <w:numPr>
          <w:ilvl w:val="1"/>
          <w:numId w:val="40"/>
        </w:numPr>
        <w:spacing w:after="0" w:line="252" w:lineRule="auto"/>
        <w:rPr>
          <w:rFonts w:eastAsia="Segoe UI" w:cs="Segoe UI"/>
          <w:color w:val="000000" w:themeColor="text1"/>
        </w:rPr>
      </w:pPr>
      <w:r w:rsidRPr="04008C28">
        <w:rPr>
          <w:rFonts w:eastAsia="Segoe UI" w:cs="Segoe UI"/>
          <w:color w:val="000000" w:themeColor="text1"/>
        </w:rPr>
        <w:t xml:space="preserve">information </w:t>
      </w:r>
      <w:r w:rsidR="52E41352" w:rsidRPr="760B44C9">
        <w:rPr>
          <w:rFonts w:eastAsia="Segoe UI" w:cs="Segoe UI"/>
          <w:color w:val="000000" w:themeColor="text1"/>
        </w:rPr>
        <w:t xml:space="preserve">on </w:t>
      </w:r>
      <w:r w:rsidRPr="04008C28">
        <w:rPr>
          <w:rFonts w:eastAsia="Segoe UI" w:cs="Segoe UI"/>
          <w:color w:val="000000" w:themeColor="text1"/>
        </w:rPr>
        <w:t>individual therap</w:t>
      </w:r>
      <w:r w:rsidR="6BAC1B72" w:rsidRPr="760B44C9">
        <w:rPr>
          <w:rFonts w:eastAsia="Segoe UI" w:cs="Segoe UI"/>
          <w:color w:val="000000" w:themeColor="text1"/>
        </w:rPr>
        <w:t>ies</w:t>
      </w:r>
      <w:r w:rsidRPr="04008C28">
        <w:rPr>
          <w:rFonts w:eastAsia="Segoe UI" w:cs="Segoe UI"/>
          <w:color w:val="000000" w:themeColor="text1"/>
        </w:rPr>
        <w:t xml:space="preserve"> at each decision point</w:t>
      </w:r>
      <w:r w:rsidR="00C73A7C">
        <w:rPr>
          <w:rFonts w:eastAsia="Segoe UI" w:cs="Segoe UI"/>
          <w:color w:val="000000" w:themeColor="text1"/>
        </w:rPr>
        <w:t xml:space="preserve"> or</w:t>
      </w:r>
      <w:r w:rsidRPr="04008C28">
        <w:rPr>
          <w:rFonts w:eastAsia="Segoe UI" w:cs="Segoe UI"/>
          <w:color w:val="000000" w:themeColor="text1"/>
        </w:rPr>
        <w:t xml:space="preserve"> key milestone</w:t>
      </w:r>
    </w:p>
    <w:p w14:paraId="473EDADA" w14:textId="30FACB23" w:rsidR="00286756" w:rsidRDefault="00BA295C" w:rsidP="00281153">
      <w:pPr>
        <w:pStyle w:val="ListParagraph"/>
        <w:numPr>
          <w:ilvl w:val="1"/>
          <w:numId w:val="40"/>
        </w:numPr>
        <w:spacing w:after="0" w:line="252" w:lineRule="auto"/>
        <w:rPr>
          <w:rFonts w:eastAsia="Segoe UI" w:cs="Segoe UI"/>
          <w:color w:val="000000" w:themeColor="text1"/>
        </w:rPr>
      </w:pPr>
      <w:r>
        <w:rPr>
          <w:rFonts w:eastAsia="Segoe UI" w:cs="Segoe UI"/>
          <w:color w:val="000000" w:themeColor="text1"/>
        </w:rPr>
        <w:t>c</w:t>
      </w:r>
      <w:r w:rsidR="4EDC4CB4" w:rsidRPr="760B44C9">
        <w:rPr>
          <w:rFonts w:eastAsia="Segoe UI" w:cs="Segoe UI"/>
          <w:color w:val="000000" w:themeColor="text1"/>
        </w:rPr>
        <w:t>lear reason</w:t>
      </w:r>
      <w:r w:rsidR="00D2155F">
        <w:rPr>
          <w:rFonts w:eastAsia="Segoe UI" w:cs="Segoe UI"/>
          <w:color w:val="000000" w:themeColor="text1"/>
        </w:rPr>
        <w:t>s</w:t>
      </w:r>
      <w:r w:rsidR="4EDC4CB4" w:rsidRPr="760B44C9">
        <w:rPr>
          <w:rFonts w:eastAsia="Segoe UI" w:cs="Segoe UI"/>
          <w:color w:val="000000" w:themeColor="text1"/>
        </w:rPr>
        <w:t xml:space="preserve"> </w:t>
      </w:r>
      <w:r w:rsidR="00286756" w:rsidRPr="04008C28">
        <w:rPr>
          <w:rFonts w:eastAsia="Segoe UI" w:cs="Segoe UI"/>
          <w:color w:val="000000" w:themeColor="text1"/>
        </w:rPr>
        <w:t xml:space="preserve">for delays or decisions (including those made by </w:t>
      </w:r>
      <w:r w:rsidR="00C73A7C">
        <w:rPr>
          <w:rFonts w:eastAsia="Segoe UI" w:cs="Segoe UI"/>
          <w:color w:val="000000" w:themeColor="text1"/>
        </w:rPr>
        <w:t xml:space="preserve">the </w:t>
      </w:r>
      <w:r w:rsidR="00286756" w:rsidRPr="04008C28">
        <w:rPr>
          <w:rFonts w:eastAsia="Segoe UI" w:cs="Segoe UI"/>
          <w:color w:val="000000" w:themeColor="text1"/>
        </w:rPr>
        <w:t xml:space="preserve">Government and </w:t>
      </w:r>
      <w:r w:rsidR="00C73A7C">
        <w:rPr>
          <w:rFonts w:eastAsia="Segoe UI" w:cs="Segoe UI"/>
          <w:color w:val="000000" w:themeColor="text1"/>
        </w:rPr>
        <w:t>s</w:t>
      </w:r>
      <w:r w:rsidR="00286756" w:rsidRPr="04008C28">
        <w:rPr>
          <w:rFonts w:eastAsia="Segoe UI" w:cs="Segoe UI"/>
          <w:color w:val="000000" w:themeColor="text1"/>
        </w:rPr>
        <w:t>ponsors)</w:t>
      </w:r>
      <w:r w:rsidR="00AB48CD">
        <w:rPr>
          <w:rFonts w:eastAsia="Segoe UI" w:cs="Segoe UI"/>
          <w:color w:val="000000" w:themeColor="text1"/>
        </w:rPr>
        <w:t xml:space="preserve"> </w:t>
      </w:r>
      <w:r w:rsidR="0DEAEED2" w:rsidRPr="760B44C9">
        <w:rPr>
          <w:rFonts w:eastAsia="Segoe UI" w:cs="Segoe UI"/>
          <w:color w:val="000000" w:themeColor="text1"/>
        </w:rPr>
        <w:t>including:</w:t>
      </w:r>
    </w:p>
    <w:p w14:paraId="515EAC8B" w14:textId="3207E54E" w:rsidR="00286756" w:rsidRDefault="00F4187E" w:rsidP="00281153">
      <w:pPr>
        <w:pStyle w:val="ListParagraph"/>
        <w:numPr>
          <w:ilvl w:val="2"/>
          <w:numId w:val="40"/>
        </w:numPr>
        <w:spacing w:after="0" w:line="252" w:lineRule="auto"/>
        <w:rPr>
          <w:rFonts w:eastAsia="Segoe UI" w:cs="Segoe UI"/>
          <w:color w:val="000000" w:themeColor="text1"/>
        </w:rPr>
      </w:pPr>
      <w:r w:rsidRPr="111E457D">
        <w:rPr>
          <w:rFonts w:eastAsia="Segoe UI" w:cs="Segoe UI"/>
          <w:color w:val="000000" w:themeColor="text1"/>
        </w:rPr>
        <w:t>s</w:t>
      </w:r>
      <w:r w:rsidR="00286756" w:rsidRPr="111E457D">
        <w:rPr>
          <w:rFonts w:eastAsia="Segoe UI" w:cs="Segoe UI"/>
          <w:color w:val="000000" w:themeColor="text1"/>
        </w:rPr>
        <w:t>tandardised</w:t>
      </w:r>
      <w:r w:rsidR="00286756" w:rsidRPr="04008C28">
        <w:rPr>
          <w:rFonts w:eastAsia="Segoe UI" w:cs="Segoe UI"/>
          <w:color w:val="000000" w:themeColor="text1"/>
        </w:rPr>
        <w:t xml:space="preserve"> reasons for </w:t>
      </w:r>
      <w:r w:rsidR="004671F8" w:rsidRPr="004671F8">
        <w:rPr>
          <w:rFonts w:eastAsia="Segoe UI" w:cs="Segoe UI"/>
          <w:color w:val="000000" w:themeColor="text1"/>
        </w:rPr>
        <w:t xml:space="preserve">Pharmaceutical Benefits Advisory Committee (PBAC) </w:t>
      </w:r>
      <w:r w:rsidR="00286756" w:rsidRPr="04008C28">
        <w:rPr>
          <w:rFonts w:eastAsia="Segoe UI" w:cs="Segoe UI"/>
          <w:color w:val="000000" w:themeColor="text1"/>
        </w:rPr>
        <w:t>outcome</w:t>
      </w:r>
      <w:r w:rsidR="00C73A7C">
        <w:rPr>
          <w:rFonts w:eastAsia="Segoe UI" w:cs="Segoe UI"/>
          <w:color w:val="000000" w:themeColor="text1"/>
        </w:rPr>
        <w:t>s for</w:t>
      </w:r>
      <w:r w:rsidR="00286756" w:rsidRPr="04008C28">
        <w:rPr>
          <w:rFonts w:eastAsia="Segoe UI" w:cs="Segoe UI"/>
          <w:color w:val="000000" w:themeColor="text1"/>
        </w:rPr>
        <w:t xml:space="preserve"> non-recommended </w:t>
      </w:r>
      <w:r w:rsidR="475AE7EF" w:rsidRPr="46401BC7">
        <w:rPr>
          <w:rFonts w:eastAsia="Segoe UI" w:cs="Segoe UI"/>
          <w:color w:val="000000" w:themeColor="text1"/>
        </w:rPr>
        <w:t>therap</w:t>
      </w:r>
      <w:r w:rsidR="00C73A7C">
        <w:rPr>
          <w:rFonts w:eastAsia="Segoe UI" w:cs="Segoe UI"/>
          <w:color w:val="000000" w:themeColor="text1"/>
        </w:rPr>
        <w:t>ies</w:t>
      </w:r>
      <w:r w:rsidR="475AE7EF" w:rsidRPr="46401BC7">
        <w:rPr>
          <w:rFonts w:eastAsia="Segoe UI" w:cs="Segoe UI"/>
          <w:color w:val="000000" w:themeColor="text1"/>
        </w:rPr>
        <w:t xml:space="preserve"> </w:t>
      </w:r>
      <w:r w:rsidR="00286756" w:rsidRPr="04008C28">
        <w:rPr>
          <w:rFonts w:eastAsia="Segoe UI" w:cs="Segoe UI"/>
          <w:color w:val="000000" w:themeColor="text1"/>
        </w:rPr>
        <w:t>(can be multiple reasons)</w:t>
      </w:r>
    </w:p>
    <w:p w14:paraId="380E380C" w14:textId="4F8A263B" w:rsidR="00286756" w:rsidRDefault="00F4187E" w:rsidP="00281153">
      <w:pPr>
        <w:pStyle w:val="ListParagraph"/>
        <w:numPr>
          <w:ilvl w:val="2"/>
          <w:numId w:val="40"/>
        </w:numPr>
        <w:spacing w:after="0" w:line="252" w:lineRule="auto"/>
        <w:rPr>
          <w:rFonts w:eastAsia="Segoe UI" w:cs="Segoe UI"/>
          <w:color w:val="000000" w:themeColor="text1"/>
        </w:rPr>
      </w:pPr>
      <w:r>
        <w:rPr>
          <w:rFonts w:eastAsia="Segoe UI" w:cs="Segoe UI"/>
          <w:color w:val="000000" w:themeColor="text1"/>
        </w:rPr>
        <w:t>s</w:t>
      </w:r>
      <w:r w:rsidR="00286756" w:rsidRPr="04008C28">
        <w:rPr>
          <w:rFonts w:eastAsia="Segoe UI" w:cs="Segoe UI"/>
          <w:color w:val="000000" w:themeColor="text1"/>
        </w:rPr>
        <w:t>tandardised reasons for delay</w:t>
      </w:r>
      <w:r w:rsidR="00E80B0A">
        <w:rPr>
          <w:rFonts w:eastAsia="Segoe UI" w:cs="Segoe UI"/>
          <w:color w:val="000000" w:themeColor="text1"/>
        </w:rPr>
        <w:t>s</w:t>
      </w:r>
      <w:r w:rsidR="00286756" w:rsidRPr="04008C28">
        <w:rPr>
          <w:rFonts w:eastAsia="Segoe UI" w:cs="Segoe UI"/>
          <w:color w:val="000000" w:themeColor="text1"/>
        </w:rPr>
        <w:t xml:space="preserve"> in listing therap</w:t>
      </w:r>
      <w:r w:rsidR="00E80B0A">
        <w:rPr>
          <w:rFonts w:eastAsia="Segoe UI" w:cs="Segoe UI"/>
          <w:color w:val="000000" w:themeColor="text1"/>
        </w:rPr>
        <w:t>ies</w:t>
      </w:r>
      <w:r w:rsidR="00286756" w:rsidRPr="04008C28">
        <w:rPr>
          <w:rFonts w:eastAsia="Segoe UI" w:cs="Segoe UI"/>
          <w:color w:val="000000" w:themeColor="text1"/>
        </w:rPr>
        <w:t xml:space="preserve"> after</w:t>
      </w:r>
      <w:r w:rsidR="00C73A7C">
        <w:rPr>
          <w:rFonts w:eastAsia="Segoe UI" w:cs="Segoe UI"/>
          <w:color w:val="000000" w:themeColor="text1"/>
        </w:rPr>
        <w:t xml:space="preserve"> </w:t>
      </w:r>
      <w:r w:rsidR="00286756" w:rsidRPr="04008C28">
        <w:rPr>
          <w:rFonts w:eastAsia="Segoe UI" w:cs="Segoe UI"/>
          <w:color w:val="000000" w:themeColor="text1"/>
        </w:rPr>
        <w:t xml:space="preserve">PBAC </w:t>
      </w:r>
      <w:r>
        <w:rPr>
          <w:rFonts w:eastAsia="Segoe UI" w:cs="Segoe UI"/>
          <w:color w:val="000000" w:themeColor="text1"/>
        </w:rPr>
        <w:t>recommendation</w:t>
      </w:r>
      <w:r w:rsidR="00E80B0A">
        <w:rPr>
          <w:rFonts w:eastAsia="Segoe UI" w:cs="Segoe UI"/>
          <w:color w:val="000000" w:themeColor="text1"/>
        </w:rPr>
        <w:t>s</w:t>
      </w:r>
    </w:p>
    <w:p w14:paraId="1488FF40" w14:textId="01F165FA" w:rsidR="00286756" w:rsidRDefault="00F4187E" w:rsidP="00281153">
      <w:pPr>
        <w:pStyle w:val="ListParagraph"/>
        <w:numPr>
          <w:ilvl w:val="2"/>
          <w:numId w:val="40"/>
        </w:numPr>
        <w:spacing w:after="0" w:line="252" w:lineRule="auto"/>
        <w:rPr>
          <w:rFonts w:eastAsia="Segoe UI" w:cs="Segoe UI"/>
          <w:color w:val="000000" w:themeColor="text1"/>
        </w:rPr>
      </w:pPr>
      <w:r>
        <w:rPr>
          <w:rFonts w:eastAsia="Segoe UI" w:cs="Segoe UI"/>
          <w:color w:val="000000" w:themeColor="text1"/>
        </w:rPr>
        <w:t>p</w:t>
      </w:r>
      <w:r w:rsidR="00286756" w:rsidRPr="04008C28">
        <w:rPr>
          <w:rFonts w:eastAsia="Segoe UI" w:cs="Segoe UI"/>
          <w:color w:val="000000" w:themeColor="text1"/>
        </w:rPr>
        <w:t xml:space="preserve">lanned implementation timelines for </w:t>
      </w:r>
      <w:r w:rsidR="00E80B0A">
        <w:rPr>
          <w:rFonts w:eastAsia="Segoe UI" w:cs="Segoe UI"/>
          <w:color w:val="000000" w:themeColor="text1"/>
        </w:rPr>
        <w:t>h</w:t>
      </w:r>
      <w:r w:rsidR="004671F8" w:rsidRPr="004671F8">
        <w:rPr>
          <w:rFonts w:eastAsia="Segoe UI" w:cs="Segoe UI"/>
          <w:color w:val="000000" w:themeColor="text1"/>
        </w:rPr>
        <w:t xml:space="preserve">ighly </w:t>
      </w:r>
      <w:r w:rsidR="00E80B0A">
        <w:rPr>
          <w:rFonts w:eastAsia="Segoe UI" w:cs="Segoe UI"/>
          <w:color w:val="000000" w:themeColor="text1"/>
        </w:rPr>
        <w:t>s</w:t>
      </w:r>
      <w:r w:rsidR="004671F8" w:rsidRPr="004671F8">
        <w:rPr>
          <w:rFonts w:eastAsia="Segoe UI" w:cs="Segoe UI"/>
          <w:color w:val="000000" w:themeColor="text1"/>
        </w:rPr>
        <w:t xml:space="preserve">pecialised </w:t>
      </w:r>
      <w:r w:rsidR="00E80B0A">
        <w:rPr>
          <w:rFonts w:eastAsia="Segoe UI" w:cs="Segoe UI"/>
          <w:color w:val="000000" w:themeColor="text1"/>
        </w:rPr>
        <w:t>t</w:t>
      </w:r>
      <w:r w:rsidR="004671F8" w:rsidRPr="004671F8">
        <w:rPr>
          <w:rFonts w:eastAsia="Segoe UI" w:cs="Segoe UI"/>
          <w:color w:val="000000" w:themeColor="text1"/>
        </w:rPr>
        <w:t>herap</w:t>
      </w:r>
      <w:r w:rsidR="00E80B0A">
        <w:rPr>
          <w:rFonts w:eastAsia="Segoe UI" w:cs="Segoe UI"/>
          <w:color w:val="000000" w:themeColor="text1"/>
        </w:rPr>
        <w:t>ies</w:t>
      </w:r>
      <w:r w:rsidR="004671F8" w:rsidRPr="004671F8" w:rsidDel="004671F8">
        <w:rPr>
          <w:rFonts w:eastAsia="Segoe UI" w:cs="Segoe UI"/>
          <w:color w:val="000000" w:themeColor="text1"/>
        </w:rPr>
        <w:t xml:space="preserve"> </w:t>
      </w:r>
      <w:r w:rsidR="00286756" w:rsidRPr="04008C28">
        <w:rPr>
          <w:rFonts w:eastAsia="Segoe UI" w:cs="Segoe UI"/>
          <w:color w:val="000000" w:themeColor="text1"/>
        </w:rPr>
        <w:t>(</w:t>
      </w:r>
      <w:r w:rsidR="00E80B0A">
        <w:rPr>
          <w:rFonts w:eastAsia="Segoe UI" w:cs="Segoe UI"/>
          <w:color w:val="000000" w:themeColor="text1"/>
        </w:rPr>
        <w:t>see</w:t>
      </w:r>
      <w:r w:rsidR="00286756" w:rsidRPr="003C2F37">
        <w:rPr>
          <w:rFonts w:eastAsia="Segoe UI" w:cs="Segoe UI"/>
          <w:iCs/>
          <w:color w:val="000000" w:themeColor="text1"/>
        </w:rPr>
        <w:t xml:space="preserve"> </w:t>
      </w:r>
      <w:r w:rsidR="00E80B0A">
        <w:rPr>
          <w:rFonts w:eastAsia="Segoe UI" w:cs="Segoe UI"/>
          <w:iCs/>
          <w:color w:val="000000" w:themeColor="text1"/>
        </w:rPr>
        <w:t>‘</w:t>
      </w:r>
      <w:r w:rsidR="0064068E">
        <w:rPr>
          <w:rFonts w:eastAsia="Segoe UI" w:cs="Segoe UI"/>
          <w:iCs/>
          <w:color w:val="000000" w:themeColor="text1"/>
        </w:rPr>
        <w:fldChar w:fldCharType="begin" w:fldLock="1"/>
      </w:r>
      <w:r w:rsidR="0064068E">
        <w:rPr>
          <w:rFonts w:eastAsia="Segoe UI" w:cs="Segoe UI"/>
          <w:iCs/>
          <w:color w:val="000000" w:themeColor="text1"/>
        </w:rPr>
        <w:instrText xml:space="preserve"> REF _Ref166788898 \r \h </w:instrText>
      </w:r>
      <w:r w:rsidR="0064068E">
        <w:rPr>
          <w:rFonts w:eastAsia="Segoe UI" w:cs="Segoe UI"/>
          <w:iCs/>
          <w:color w:val="000000" w:themeColor="text1"/>
        </w:rPr>
      </w:r>
      <w:r w:rsidR="0064068E">
        <w:rPr>
          <w:rFonts w:eastAsia="Segoe UI" w:cs="Segoe UI"/>
          <w:iCs/>
          <w:color w:val="000000" w:themeColor="text1"/>
        </w:rPr>
        <w:fldChar w:fldCharType="separate"/>
      </w:r>
      <w:r w:rsidR="0064068E">
        <w:rPr>
          <w:rFonts w:eastAsia="Segoe UI" w:cs="Segoe UI"/>
          <w:iCs/>
          <w:color w:val="000000" w:themeColor="text1"/>
        </w:rPr>
        <w:t>Recommendation 13</w:t>
      </w:r>
      <w:r w:rsidR="0064068E">
        <w:rPr>
          <w:rFonts w:eastAsia="Segoe UI" w:cs="Segoe UI"/>
          <w:iCs/>
          <w:color w:val="000000" w:themeColor="text1"/>
        </w:rPr>
        <w:fldChar w:fldCharType="end"/>
      </w:r>
      <w:r w:rsidR="00E80B0A">
        <w:rPr>
          <w:rFonts w:eastAsia="Segoe UI" w:cs="Segoe UI"/>
          <w:iCs/>
          <w:color w:val="000000" w:themeColor="text1"/>
        </w:rPr>
        <w:t>. Improved processes, accountability and timeliness for highly specialised therapies and other therapies co</w:t>
      </w:r>
      <w:r w:rsidR="00FA396E">
        <w:rPr>
          <w:rFonts w:eastAsia="Segoe UI" w:cs="Segoe UI"/>
          <w:iCs/>
          <w:color w:val="000000" w:themeColor="text1"/>
        </w:rPr>
        <w:noBreakHyphen/>
      </w:r>
      <w:r w:rsidR="00E80B0A">
        <w:rPr>
          <w:rFonts w:eastAsia="Segoe UI" w:cs="Segoe UI"/>
          <w:iCs/>
          <w:color w:val="000000" w:themeColor="text1"/>
        </w:rPr>
        <w:t xml:space="preserve">funded between the </w:t>
      </w:r>
      <w:r w:rsidR="00FA396E">
        <w:rPr>
          <w:rFonts w:eastAsia="Segoe UI" w:cs="Segoe UI"/>
          <w:iCs/>
          <w:color w:val="000000" w:themeColor="text1"/>
        </w:rPr>
        <w:t>Australian</w:t>
      </w:r>
      <w:r w:rsidR="00E80B0A">
        <w:rPr>
          <w:rFonts w:eastAsia="Segoe UI" w:cs="Segoe UI"/>
          <w:iCs/>
          <w:color w:val="000000" w:themeColor="text1"/>
        </w:rPr>
        <w:t xml:space="preserve"> and state and territory governments’</w:t>
      </w:r>
      <w:r w:rsidR="00286756" w:rsidRPr="00B53475">
        <w:rPr>
          <w:rFonts w:eastAsia="Segoe UI" w:cs="Segoe UI"/>
          <w:i/>
          <w:color w:val="000000" w:themeColor="text1"/>
        </w:rPr>
        <w:t>),</w:t>
      </w:r>
      <w:r w:rsidR="00286756" w:rsidRPr="04008C28">
        <w:rPr>
          <w:rFonts w:eastAsia="Segoe UI" w:cs="Segoe UI"/>
          <w:color w:val="000000" w:themeColor="text1"/>
        </w:rPr>
        <w:t xml:space="preserve"> including reasons for any delays on expected </w:t>
      </w:r>
      <w:r w:rsidR="00F773F5" w:rsidRPr="04008C28">
        <w:rPr>
          <w:rFonts w:eastAsia="Segoe UI" w:cs="Segoe UI"/>
          <w:color w:val="000000" w:themeColor="text1"/>
        </w:rPr>
        <w:t>time</w:t>
      </w:r>
      <w:r w:rsidR="004574C7">
        <w:rPr>
          <w:rFonts w:eastAsia="Segoe UI" w:cs="Segoe UI"/>
          <w:color w:val="000000" w:themeColor="text1"/>
        </w:rPr>
        <w:t xml:space="preserve"> </w:t>
      </w:r>
      <w:r w:rsidR="00F773F5" w:rsidRPr="04008C28">
        <w:rPr>
          <w:rFonts w:eastAsia="Segoe UI" w:cs="Segoe UI"/>
          <w:color w:val="000000" w:themeColor="text1"/>
        </w:rPr>
        <w:t>frames.</w:t>
      </w:r>
    </w:p>
    <w:p w14:paraId="66B4FA63" w14:textId="42832F08" w:rsidR="00286756" w:rsidRDefault="00D2155F" w:rsidP="00281153">
      <w:pPr>
        <w:pStyle w:val="ListParagraph"/>
        <w:numPr>
          <w:ilvl w:val="1"/>
          <w:numId w:val="40"/>
        </w:numPr>
        <w:spacing w:after="0" w:line="252" w:lineRule="auto"/>
        <w:rPr>
          <w:rFonts w:eastAsia="Segoe UI" w:cs="Segoe UI"/>
          <w:color w:val="000000" w:themeColor="text1"/>
        </w:rPr>
      </w:pPr>
      <w:r>
        <w:rPr>
          <w:rFonts w:eastAsia="Segoe UI" w:cs="Segoe UI"/>
          <w:color w:val="000000" w:themeColor="text1"/>
        </w:rPr>
        <w:t>a</w:t>
      </w:r>
      <w:r w:rsidR="7D7C99F5" w:rsidRPr="760B44C9">
        <w:rPr>
          <w:rFonts w:eastAsia="Segoe UI" w:cs="Segoe UI"/>
          <w:color w:val="000000" w:themeColor="text1"/>
        </w:rPr>
        <w:t>ggregated</w:t>
      </w:r>
      <w:r w:rsidR="00286756" w:rsidRPr="04008C28">
        <w:rPr>
          <w:rFonts w:eastAsia="Segoe UI" w:cs="Segoe UI"/>
          <w:color w:val="000000" w:themeColor="text1"/>
        </w:rPr>
        <w:t xml:space="preserve"> information </w:t>
      </w:r>
      <w:r w:rsidR="009F243F">
        <w:rPr>
          <w:rFonts w:eastAsia="Segoe UI" w:cs="Segoe UI"/>
          <w:color w:val="000000" w:themeColor="text1"/>
        </w:rPr>
        <w:t>about</w:t>
      </w:r>
      <w:r w:rsidR="009F243F" w:rsidRPr="760B44C9">
        <w:rPr>
          <w:rFonts w:eastAsia="Segoe UI" w:cs="Segoe UI"/>
          <w:color w:val="000000" w:themeColor="text1"/>
        </w:rPr>
        <w:t xml:space="preserve"> </w:t>
      </w:r>
      <w:r w:rsidR="00286756" w:rsidRPr="04008C28">
        <w:rPr>
          <w:rFonts w:eastAsia="Segoe UI" w:cs="Segoe UI"/>
          <w:color w:val="000000" w:themeColor="text1"/>
        </w:rPr>
        <w:t xml:space="preserve">timelines and decisions, such as </w:t>
      </w:r>
      <w:r w:rsidR="009F243F">
        <w:rPr>
          <w:rFonts w:eastAsia="Segoe UI" w:cs="Segoe UI"/>
          <w:color w:val="000000" w:themeColor="text1"/>
        </w:rPr>
        <w:t xml:space="preserve">for </w:t>
      </w:r>
      <w:r w:rsidR="00286756" w:rsidRPr="04008C28">
        <w:rPr>
          <w:rFonts w:eastAsia="Segoe UI" w:cs="Segoe UI"/>
          <w:color w:val="000000" w:themeColor="text1"/>
        </w:rPr>
        <w:t xml:space="preserve">all applications, all medicines claiming additional clinical benefit, therapies for </w:t>
      </w:r>
      <w:proofErr w:type="gramStart"/>
      <w:r w:rsidR="00286756" w:rsidRPr="04008C28">
        <w:rPr>
          <w:rFonts w:eastAsia="Segoe UI" w:cs="Segoe UI"/>
          <w:color w:val="000000" w:themeColor="text1"/>
        </w:rPr>
        <w:t>particular indications</w:t>
      </w:r>
      <w:proofErr w:type="gramEnd"/>
      <w:r w:rsidR="00286756" w:rsidRPr="04008C28">
        <w:rPr>
          <w:rFonts w:eastAsia="Segoe UI" w:cs="Segoe UI"/>
          <w:color w:val="000000" w:themeColor="text1"/>
        </w:rPr>
        <w:t xml:space="preserve">, and classes of </w:t>
      </w:r>
      <w:r w:rsidR="00F773F5" w:rsidRPr="04008C28">
        <w:rPr>
          <w:rFonts w:eastAsia="Segoe UI" w:cs="Segoe UI"/>
          <w:color w:val="000000" w:themeColor="text1"/>
        </w:rPr>
        <w:t>therapies</w:t>
      </w:r>
      <w:r w:rsidR="00286756" w:rsidRPr="04008C28">
        <w:rPr>
          <w:rFonts w:eastAsia="Segoe UI" w:cs="Segoe UI"/>
          <w:color w:val="000000" w:themeColor="text1"/>
        </w:rPr>
        <w:t xml:space="preserve"> </w:t>
      </w:r>
    </w:p>
    <w:p w14:paraId="47F69463" w14:textId="511B37DC" w:rsidR="00286756" w:rsidRDefault="69273E0B" w:rsidP="00281153">
      <w:pPr>
        <w:pStyle w:val="ListParagraph"/>
        <w:numPr>
          <w:ilvl w:val="1"/>
          <w:numId w:val="40"/>
        </w:numPr>
        <w:spacing w:after="0" w:line="252" w:lineRule="auto"/>
        <w:rPr>
          <w:rFonts w:eastAsia="Segoe UI" w:cs="Segoe UI"/>
          <w:color w:val="000000" w:themeColor="text1"/>
        </w:rPr>
      </w:pPr>
      <w:r w:rsidRPr="760B44C9">
        <w:rPr>
          <w:rFonts w:eastAsia="Segoe UI" w:cs="Segoe UI"/>
          <w:color w:val="000000" w:themeColor="text1"/>
        </w:rPr>
        <w:t>capacity</w:t>
      </w:r>
      <w:r w:rsidR="07C66C12" w:rsidRPr="4B14D880">
        <w:rPr>
          <w:rFonts w:eastAsia="Segoe UI" w:cs="Segoe UI"/>
          <w:color w:val="000000" w:themeColor="text1"/>
        </w:rPr>
        <w:t xml:space="preserve"> to </w:t>
      </w:r>
      <w:r w:rsidR="00286756" w:rsidRPr="4B14D880">
        <w:rPr>
          <w:rFonts w:eastAsia="Segoe UI" w:cs="Segoe UI"/>
          <w:color w:val="000000" w:themeColor="text1"/>
        </w:rPr>
        <w:t>lin</w:t>
      </w:r>
      <w:r w:rsidR="00C07C62" w:rsidRPr="4B14D880">
        <w:rPr>
          <w:rFonts w:eastAsia="Segoe UI" w:cs="Segoe UI"/>
          <w:color w:val="000000" w:themeColor="text1"/>
        </w:rPr>
        <w:t xml:space="preserve">k information for a therapy </w:t>
      </w:r>
      <w:r w:rsidR="00286756" w:rsidRPr="04008C28">
        <w:rPr>
          <w:rFonts w:eastAsia="Segoe UI" w:cs="Segoe UI"/>
          <w:color w:val="000000" w:themeColor="text1"/>
        </w:rPr>
        <w:t xml:space="preserve">across the HTA pathway, including from the </w:t>
      </w:r>
      <w:r w:rsidR="00B750DD" w:rsidRPr="00B750DD">
        <w:rPr>
          <w:rFonts w:eastAsia="Segoe UI" w:cs="Segoe UI"/>
          <w:color w:val="000000" w:themeColor="text1"/>
        </w:rPr>
        <w:t>Australian Register of Therapeutic Goods (ARTG)</w:t>
      </w:r>
      <w:r w:rsidR="00B750DD" w:rsidRPr="00B750DD" w:rsidDel="00B750DD">
        <w:rPr>
          <w:rFonts w:eastAsia="Segoe UI" w:cs="Segoe UI"/>
          <w:color w:val="000000" w:themeColor="text1"/>
        </w:rPr>
        <w:t xml:space="preserve"> </w:t>
      </w:r>
      <w:r w:rsidR="00286756" w:rsidRPr="04008C28">
        <w:rPr>
          <w:rFonts w:eastAsia="Segoe UI" w:cs="Segoe UI"/>
          <w:color w:val="000000" w:themeColor="text1"/>
        </w:rPr>
        <w:t xml:space="preserve">application to </w:t>
      </w:r>
      <w:r w:rsidR="000E3244" w:rsidRPr="000E3244">
        <w:rPr>
          <w:rFonts w:eastAsia="Segoe UI" w:cs="Segoe UI"/>
          <w:color w:val="000000" w:themeColor="text1"/>
        </w:rPr>
        <w:t>Pharmaceutical Benefits Scheme (PBS)</w:t>
      </w:r>
      <w:r w:rsidR="000E3244" w:rsidRPr="000E3244" w:rsidDel="000E3244">
        <w:rPr>
          <w:rFonts w:eastAsia="Segoe UI" w:cs="Segoe UI"/>
          <w:color w:val="000000" w:themeColor="text1"/>
        </w:rPr>
        <w:t xml:space="preserve"> </w:t>
      </w:r>
      <w:r w:rsidR="00286756" w:rsidRPr="04008C28">
        <w:rPr>
          <w:rFonts w:eastAsia="Segoe UI" w:cs="Segoe UI"/>
          <w:color w:val="000000" w:themeColor="text1"/>
        </w:rPr>
        <w:t>listing, with consistent standardised recording of indications, populations and drug name</w:t>
      </w:r>
    </w:p>
    <w:p w14:paraId="59A76D6F" w14:textId="04792CCE" w:rsidR="00286756" w:rsidRDefault="00286756" w:rsidP="00281153">
      <w:pPr>
        <w:pStyle w:val="ListParagraph"/>
        <w:numPr>
          <w:ilvl w:val="1"/>
          <w:numId w:val="40"/>
        </w:numPr>
        <w:spacing w:after="0" w:line="252" w:lineRule="auto"/>
        <w:rPr>
          <w:rFonts w:eastAsia="Segoe UI" w:cs="Segoe UI"/>
          <w:color w:val="000000" w:themeColor="text1"/>
        </w:rPr>
      </w:pPr>
      <w:r w:rsidRPr="04008C28">
        <w:rPr>
          <w:rFonts w:eastAsia="Segoe UI" w:cs="Segoe UI"/>
          <w:color w:val="000000" w:themeColor="text1"/>
        </w:rPr>
        <w:t xml:space="preserve">information about when new medicines or expanded indications are first launched globally relative to when they apply for </w:t>
      </w:r>
      <w:r w:rsidR="0AB8933B" w:rsidRPr="4B14D880">
        <w:rPr>
          <w:rFonts w:eastAsia="Segoe UI" w:cs="Segoe UI"/>
          <w:color w:val="000000" w:themeColor="text1"/>
        </w:rPr>
        <w:t>A</w:t>
      </w:r>
      <w:r w:rsidRPr="4B14D880">
        <w:rPr>
          <w:rFonts w:eastAsia="Segoe UI" w:cs="Segoe UI"/>
          <w:color w:val="000000" w:themeColor="text1"/>
        </w:rPr>
        <w:t>RTG</w:t>
      </w:r>
      <w:r w:rsidRPr="04008C28">
        <w:rPr>
          <w:rFonts w:eastAsia="Segoe UI" w:cs="Segoe UI"/>
          <w:color w:val="000000" w:themeColor="text1"/>
        </w:rPr>
        <w:t xml:space="preserve"> registration and PBS listing</w:t>
      </w:r>
      <w:r w:rsidR="002F0E17">
        <w:rPr>
          <w:rFonts w:eastAsia="Segoe UI" w:cs="Segoe UI"/>
          <w:color w:val="000000" w:themeColor="text1"/>
        </w:rPr>
        <w:t>.</w:t>
      </w:r>
    </w:p>
    <w:p w14:paraId="071E2281" w14:textId="24E1EA22" w:rsidR="00286756" w:rsidRDefault="00A3182C" w:rsidP="00281153">
      <w:pPr>
        <w:pStyle w:val="ListParagraph"/>
        <w:numPr>
          <w:ilvl w:val="0"/>
          <w:numId w:val="40"/>
        </w:numPr>
        <w:spacing w:after="0" w:line="252" w:lineRule="auto"/>
        <w:rPr>
          <w:rFonts w:eastAsia="Segoe UI" w:cs="Segoe UI"/>
          <w:color w:val="000000" w:themeColor="text1"/>
        </w:rPr>
      </w:pPr>
      <w:r>
        <w:rPr>
          <w:rFonts w:eastAsia="Segoe UI" w:cs="Segoe UI"/>
          <w:color w:val="000000" w:themeColor="text1"/>
        </w:rPr>
        <w:t xml:space="preserve">provide </w:t>
      </w:r>
      <w:r w:rsidR="00286756" w:rsidRPr="04008C28">
        <w:rPr>
          <w:rFonts w:eastAsia="Segoe UI" w:cs="Segoe UI"/>
          <w:color w:val="000000" w:themeColor="text1"/>
        </w:rPr>
        <w:t xml:space="preserve">information </w:t>
      </w:r>
      <w:r>
        <w:rPr>
          <w:rFonts w:eastAsia="Segoe UI" w:cs="Segoe UI"/>
          <w:color w:val="000000" w:themeColor="text1"/>
        </w:rPr>
        <w:t>about</w:t>
      </w:r>
      <w:r w:rsidR="00286756" w:rsidRPr="04008C28">
        <w:rPr>
          <w:rFonts w:eastAsia="Segoe UI" w:cs="Segoe UI"/>
          <w:color w:val="000000" w:themeColor="text1"/>
        </w:rPr>
        <w:t xml:space="preserve"> the outcome of any proactive submission sought by the Government (</w:t>
      </w:r>
      <w:r w:rsidRPr="000C5623">
        <w:rPr>
          <w:rFonts w:eastAsia="Segoe UI" w:cs="Segoe UI"/>
          <w:iCs/>
          <w:color w:val="000000" w:themeColor="text1"/>
        </w:rPr>
        <w:t>see</w:t>
      </w:r>
      <w:r w:rsidR="00286756" w:rsidRPr="000C5623">
        <w:rPr>
          <w:rFonts w:eastAsia="Segoe UI" w:cs="Segoe UI"/>
          <w:iCs/>
          <w:color w:val="000000" w:themeColor="text1"/>
        </w:rPr>
        <w:t xml:space="preserve"> </w:t>
      </w:r>
      <w:r>
        <w:rPr>
          <w:rFonts w:eastAsia="Segoe UI" w:cs="Segoe UI"/>
          <w:iCs/>
          <w:color w:val="000000" w:themeColor="text1"/>
        </w:rPr>
        <w:t>‘</w:t>
      </w:r>
      <w:r w:rsidR="003319F2" w:rsidRPr="000C5623">
        <w:rPr>
          <w:rFonts w:eastAsia="Segoe UI" w:cs="Segoe UI"/>
          <w:iCs/>
          <w:color w:val="000000" w:themeColor="text1"/>
        </w:rPr>
        <w:fldChar w:fldCharType="begin" w:fldLock="1"/>
      </w:r>
      <w:r w:rsidR="003319F2" w:rsidRPr="000C5623">
        <w:rPr>
          <w:rFonts w:eastAsia="Segoe UI" w:cs="Segoe UI"/>
          <w:iCs/>
          <w:color w:val="000000" w:themeColor="text1"/>
        </w:rPr>
        <w:instrText xml:space="preserve"> REF _Ref164783637 \r \h </w:instrText>
      </w:r>
      <w:r>
        <w:rPr>
          <w:rFonts w:eastAsia="Segoe UI" w:cs="Segoe UI"/>
          <w:iCs/>
          <w:color w:val="000000" w:themeColor="text1"/>
        </w:rPr>
        <w:instrText xml:space="preserve"> \* MERGEFORMAT </w:instrText>
      </w:r>
      <w:r w:rsidR="003319F2" w:rsidRPr="000C5623">
        <w:rPr>
          <w:rFonts w:eastAsia="Segoe UI" w:cs="Segoe UI"/>
          <w:iCs/>
          <w:color w:val="000000" w:themeColor="text1"/>
        </w:rPr>
      </w:r>
      <w:r w:rsidR="003319F2" w:rsidRPr="000C5623">
        <w:rPr>
          <w:rFonts w:eastAsia="Segoe UI" w:cs="Segoe UI"/>
          <w:iCs/>
          <w:color w:val="000000" w:themeColor="text1"/>
        </w:rPr>
        <w:fldChar w:fldCharType="separate"/>
      </w:r>
      <w:r w:rsidR="00625E33" w:rsidRPr="000C5623">
        <w:rPr>
          <w:rFonts w:eastAsia="Segoe UI" w:cs="Segoe UI"/>
          <w:iCs/>
          <w:color w:val="000000" w:themeColor="text1"/>
        </w:rPr>
        <w:t>Recommendation 46</w:t>
      </w:r>
      <w:r w:rsidR="003319F2" w:rsidRPr="000C5623">
        <w:rPr>
          <w:rFonts w:eastAsia="Segoe UI" w:cs="Segoe UI"/>
          <w:iCs/>
          <w:color w:val="000000" w:themeColor="text1"/>
        </w:rPr>
        <w:fldChar w:fldCharType="end"/>
      </w:r>
      <w:r>
        <w:rPr>
          <w:rFonts w:eastAsia="Segoe UI" w:cs="Segoe UI"/>
          <w:iCs/>
          <w:color w:val="000000" w:themeColor="text1"/>
        </w:rPr>
        <w:t>. Proactive pre-HTA processes supporting introduction of identified health technologies for high unmet clinical need’</w:t>
      </w:r>
      <w:r w:rsidR="00286756" w:rsidRPr="04008C28">
        <w:rPr>
          <w:rFonts w:eastAsia="Segoe UI" w:cs="Segoe UI"/>
          <w:color w:val="000000" w:themeColor="text1"/>
        </w:rPr>
        <w:t>)</w:t>
      </w:r>
      <w:r w:rsidR="00153EE3">
        <w:rPr>
          <w:rFonts w:eastAsia="Segoe UI" w:cs="Segoe UI"/>
          <w:color w:val="000000" w:themeColor="text1"/>
        </w:rPr>
        <w:t>.</w:t>
      </w:r>
    </w:p>
    <w:p w14:paraId="04708F0E" w14:textId="4230534A" w:rsidR="169BEA93" w:rsidRDefault="169BEA93" w:rsidP="004E48B3">
      <w:pPr>
        <w:rPr>
          <w:rFonts w:eastAsia="Segoe UI" w:cs="Segoe UI"/>
          <w:lang w:val="en-US"/>
        </w:rPr>
      </w:pPr>
    </w:p>
    <w:p w14:paraId="27681FAB" w14:textId="0F34FDF1" w:rsidR="647DD0A1" w:rsidRDefault="00AF6B8A" w:rsidP="00125A3F">
      <w:pPr>
        <w:pStyle w:val="Heading2"/>
        <w:rPr>
          <w:rFonts w:eastAsia="Segoe UI"/>
        </w:rPr>
      </w:pPr>
      <w:bookmarkStart w:id="406" w:name="_Toc164685832"/>
      <w:bookmarkStart w:id="407" w:name="_Toc164691441"/>
      <w:bookmarkStart w:id="408" w:name="_Toc164696238"/>
      <w:bookmarkStart w:id="409" w:name="_Toc164696384"/>
      <w:bookmarkStart w:id="410" w:name="_Toc164767773"/>
      <w:bookmarkStart w:id="411" w:name="_Toc165473704"/>
      <w:bookmarkStart w:id="412" w:name="_Toc171935887"/>
      <w:r>
        <w:t xml:space="preserve">Chapter </w:t>
      </w:r>
      <w:r w:rsidR="000C3500">
        <w:t>6</w:t>
      </w:r>
      <w:r w:rsidR="00F64D2D">
        <w:t xml:space="preserve">.2: </w:t>
      </w:r>
      <w:r w:rsidRPr="00BE2571">
        <w:rPr>
          <w:rFonts w:eastAsia="Segoe UI"/>
        </w:rPr>
        <w:t>Consumer, clinical and other stakeholder involvement and consideration in HTA</w:t>
      </w:r>
      <w:bookmarkEnd w:id="406"/>
      <w:bookmarkEnd w:id="407"/>
      <w:bookmarkEnd w:id="408"/>
      <w:bookmarkEnd w:id="409"/>
      <w:bookmarkEnd w:id="410"/>
      <w:bookmarkEnd w:id="411"/>
      <w:r w:rsidR="002E5B76">
        <w:rPr>
          <w:rFonts w:eastAsia="Segoe UI"/>
        </w:rPr>
        <w:t>s</w:t>
      </w:r>
      <w:bookmarkEnd w:id="412"/>
    </w:p>
    <w:p w14:paraId="70330E39" w14:textId="549C33A6" w:rsidR="001C061E" w:rsidRPr="00621C17" w:rsidRDefault="00544066" w:rsidP="00A318F7">
      <w:pPr>
        <w:pStyle w:val="Heading3"/>
      </w:pPr>
      <w:r>
        <w:t>Introduction and context</w:t>
      </w:r>
    </w:p>
    <w:p w14:paraId="4D0DA12C" w14:textId="605BC202" w:rsidR="508915F7" w:rsidRDefault="508915F7" w:rsidP="00FD1A3D">
      <w:pPr>
        <w:rPr>
          <w:lang w:val="en-US"/>
        </w:rPr>
      </w:pPr>
      <w:r w:rsidRPr="638B4448">
        <w:rPr>
          <w:lang w:val="en-US"/>
        </w:rPr>
        <w:t>Stakeholder engagement in HTA</w:t>
      </w:r>
      <w:r w:rsidR="000E08BE">
        <w:rPr>
          <w:lang w:val="en-US"/>
        </w:rPr>
        <w:t>s</w:t>
      </w:r>
      <w:r w:rsidRPr="638B4448">
        <w:rPr>
          <w:lang w:val="en-US"/>
        </w:rPr>
        <w:t xml:space="preserve"> can in</w:t>
      </w:r>
      <w:r w:rsidR="000E08BE">
        <w:rPr>
          <w:lang w:val="en-US"/>
        </w:rPr>
        <w:t>volve</w:t>
      </w:r>
      <w:r w:rsidRPr="638B4448">
        <w:rPr>
          <w:lang w:val="en-US"/>
        </w:rPr>
        <w:t xml:space="preserve"> engaging individuals, representatives or groups of patients, carers, clinicians, sponsors and industry, peak organisations, </w:t>
      </w:r>
      <w:r w:rsidRPr="638B4448">
        <w:rPr>
          <w:lang w:val="en-US"/>
        </w:rPr>
        <w:lastRenderedPageBreak/>
        <w:t xml:space="preserve">academics and subject matter experts, government bodies, and other members of the public. </w:t>
      </w:r>
    </w:p>
    <w:p w14:paraId="4DB953D6" w14:textId="06E3EB93" w:rsidR="508915F7" w:rsidRDefault="508915F7" w:rsidP="00FD1A3D">
      <w:r w:rsidRPr="638B4448">
        <w:rPr>
          <w:lang w:val="en-US"/>
        </w:rPr>
        <w:t xml:space="preserve">For the PBAC and </w:t>
      </w:r>
      <w:r w:rsidR="000E08BE">
        <w:rPr>
          <w:lang w:val="en-US"/>
        </w:rPr>
        <w:t xml:space="preserve">the </w:t>
      </w:r>
      <w:r w:rsidRPr="638B4448">
        <w:rPr>
          <w:lang w:val="en-US"/>
        </w:rPr>
        <w:t xml:space="preserve">MSAC processes, consumers, health practitioners and any other interested groups or organisations </w:t>
      </w:r>
      <w:r w:rsidR="000E08BE">
        <w:rPr>
          <w:lang w:val="en-US"/>
        </w:rPr>
        <w:t>can</w:t>
      </w:r>
      <w:r w:rsidRPr="638B4448">
        <w:rPr>
          <w:lang w:val="en-US"/>
        </w:rPr>
        <w:t xml:space="preserve"> provide input</w:t>
      </w:r>
      <w:r w:rsidR="000E08BE">
        <w:rPr>
          <w:lang w:val="en-US"/>
        </w:rPr>
        <w:t>,</w:t>
      </w:r>
      <w:r w:rsidRPr="638B4448">
        <w:rPr>
          <w:lang w:val="en-US"/>
        </w:rPr>
        <w:t xml:space="preserve"> either directly or via representation through public consultations on committee agendas, hearings about specific medicine submissions, expert clinical consultations (with clinicians and patients who have lived experience of disease) about specific medicine submissions, and formal stakeholder meetings on specific health technologies (including post-market opportunities).</w:t>
      </w:r>
    </w:p>
    <w:p w14:paraId="7B66EB1A" w14:textId="76274104" w:rsidR="1991D903" w:rsidRPr="00042B58" w:rsidRDefault="508915F7" w:rsidP="00FD1A3D">
      <w:r w:rsidRPr="638B4448">
        <w:rPr>
          <w:lang w:val="en-US"/>
        </w:rPr>
        <w:t xml:space="preserve">As noted in the </w:t>
      </w:r>
      <w:r w:rsidR="000E08BE" w:rsidRPr="000C5623">
        <w:rPr>
          <w:i/>
          <w:iCs/>
        </w:rPr>
        <w:t>Conversations for Change report</w:t>
      </w:r>
      <w:r w:rsidR="000E08BE">
        <w:rPr>
          <w:lang w:val="en-US"/>
        </w:rPr>
        <w:t>,</w:t>
      </w:r>
      <w:r w:rsidR="00C059BC">
        <w:rPr>
          <w:rStyle w:val="FootnoteReference"/>
          <w:rFonts w:eastAsia="Segoe UI" w:cs="Segoe UI"/>
          <w:lang w:val="en-US"/>
        </w:rPr>
        <w:footnoteReference w:id="133"/>
      </w:r>
      <w:r w:rsidRPr="638B4448">
        <w:rPr>
          <w:lang w:val="en-US"/>
        </w:rPr>
        <w:t xml:space="preserve"> the visibility of patient involvement and consumer representation in HTA</w:t>
      </w:r>
      <w:r w:rsidR="000E08BE">
        <w:rPr>
          <w:lang w:val="en-US"/>
        </w:rPr>
        <w:t>s</w:t>
      </w:r>
      <w:r w:rsidRPr="638B4448">
        <w:rPr>
          <w:lang w:val="en-US"/>
        </w:rPr>
        <w:t xml:space="preserve"> has increased</w:t>
      </w:r>
      <w:r w:rsidR="0011575D">
        <w:rPr>
          <w:lang w:val="en-US"/>
        </w:rPr>
        <w:t xml:space="preserve"> in recent years</w:t>
      </w:r>
      <w:r w:rsidRPr="638B4448">
        <w:rPr>
          <w:lang w:val="en-US"/>
        </w:rPr>
        <w:t xml:space="preserve">. In 2017, the HTA </w:t>
      </w:r>
      <w:r w:rsidR="00FA254F" w:rsidRPr="0073146B">
        <w:rPr>
          <w:rFonts w:eastAsia="Times New Roman"/>
          <w:color w:val="000000"/>
          <w:lang w:eastAsia="en-AU"/>
        </w:rPr>
        <w:t xml:space="preserve">Consumer Consultative Committee </w:t>
      </w:r>
      <w:r w:rsidRPr="638B4448">
        <w:rPr>
          <w:lang w:val="en-US"/>
        </w:rPr>
        <w:t>was established, followed by the Department’s</w:t>
      </w:r>
      <w:r w:rsidR="006A3A80">
        <w:rPr>
          <w:lang w:val="en-US"/>
        </w:rPr>
        <w:t xml:space="preserve"> </w:t>
      </w:r>
      <w:r w:rsidR="006A3A80" w:rsidRPr="0073146B">
        <w:rPr>
          <w:rFonts w:eastAsia="Times New Roman"/>
          <w:color w:val="000000"/>
          <w:lang w:eastAsia="en-AU"/>
        </w:rPr>
        <w:t>Consumer Evidence and Engagement Unit</w:t>
      </w:r>
      <w:r w:rsidR="006A3A80">
        <w:rPr>
          <w:lang w:val="en-US"/>
        </w:rPr>
        <w:t xml:space="preserve"> </w:t>
      </w:r>
      <w:r w:rsidRPr="638B4448">
        <w:rPr>
          <w:lang w:val="en-US"/>
        </w:rPr>
        <w:t>in 2019. These initiatives have improved the ways consumers and patients engage with HTA processes and are seen as elements of the system that are working effectively.</w:t>
      </w:r>
      <w:r w:rsidR="00042B58" w:rsidRPr="00042B58">
        <w:t xml:space="preserve"> </w:t>
      </w:r>
    </w:p>
    <w:p w14:paraId="0E4EC391" w14:textId="0DFA8FD6" w:rsidR="508915F7" w:rsidRDefault="508915F7" w:rsidP="00FD1A3D">
      <w:r w:rsidRPr="67639D65">
        <w:rPr>
          <w:lang w:val="en-US"/>
        </w:rPr>
        <w:t xml:space="preserve">The Review heard that stakeholders supported systems that allowed consumers, patients and clinicians to make submissions to advisory committees in relation to applications and acknowledged that these were welcomed by advisory committees. </w:t>
      </w:r>
    </w:p>
    <w:p w14:paraId="5415BF02" w14:textId="40116147" w:rsidR="508915F7" w:rsidRDefault="508915F7" w:rsidP="00FD1A3D">
      <w:r w:rsidRPr="67639D65">
        <w:rPr>
          <w:lang w:val="en-US"/>
        </w:rPr>
        <w:t>Many stakeholders also felt it was unclear how submissions from consumers are used and what impact they have on the outcome of the application. Stakeholders were concerned that there is no feedback directly to patient organisations about their submission</w:t>
      </w:r>
      <w:r w:rsidR="008D59BD">
        <w:rPr>
          <w:lang w:val="en-US"/>
        </w:rPr>
        <w:t>s</w:t>
      </w:r>
      <w:r w:rsidRPr="67639D65">
        <w:rPr>
          <w:lang w:val="en-US"/>
        </w:rPr>
        <w:t xml:space="preserve">. </w:t>
      </w:r>
    </w:p>
    <w:p w14:paraId="1F0FB139" w14:textId="04E56E34" w:rsidR="508915F7" w:rsidRDefault="008D59BD" w:rsidP="00FD1A3D">
      <w:pPr>
        <w:rPr>
          <w:lang w:val="en-US"/>
        </w:rPr>
      </w:pPr>
      <w:r>
        <w:rPr>
          <w:lang w:val="en-US"/>
        </w:rPr>
        <w:t>S</w:t>
      </w:r>
      <w:r w:rsidR="508915F7" w:rsidRPr="67639D65">
        <w:rPr>
          <w:lang w:val="en-US"/>
        </w:rPr>
        <w:t xml:space="preserve">takeholders also felt that engagement with patients and consumers was not occurring early enough, both </w:t>
      </w:r>
      <w:r>
        <w:rPr>
          <w:lang w:val="en-US"/>
        </w:rPr>
        <w:t>during</w:t>
      </w:r>
      <w:r w:rsidR="508915F7" w:rsidRPr="67639D65">
        <w:rPr>
          <w:lang w:val="en-US"/>
        </w:rPr>
        <w:t xml:space="preserve"> the design of clinical trials funded by health technology companies and in the HTA process. Consumer and patient representatives expressed that industry and HTA bodies should be engaging </w:t>
      </w:r>
      <w:r>
        <w:rPr>
          <w:lang w:val="en-US"/>
        </w:rPr>
        <w:t>earlier</w:t>
      </w:r>
      <w:r w:rsidR="508915F7" w:rsidRPr="67639D65">
        <w:rPr>
          <w:lang w:val="en-US"/>
        </w:rPr>
        <w:t xml:space="preserve"> to enable them to help identify priorities and enable greater understanding of lived experience.</w:t>
      </w:r>
    </w:p>
    <w:p w14:paraId="37C8C3A5" w14:textId="0F0F2FC6" w:rsidR="4108F915" w:rsidRDefault="00544066" w:rsidP="00A318F7">
      <w:pPr>
        <w:pStyle w:val="Heading3"/>
        <w:rPr>
          <w:rFonts w:asciiTheme="minorHAnsi" w:hAnsiTheme="minorHAnsi" w:cstheme="minorBidi"/>
          <w:i/>
          <w:iCs/>
          <w:u w:val="single"/>
          <w:lang w:val="en-US"/>
        </w:rPr>
      </w:pPr>
      <w:r>
        <w:rPr>
          <w:lang w:val="en-US"/>
        </w:rPr>
        <w:t>Findings</w:t>
      </w:r>
    </w:p>
    <w:p w14:paraId="74E21168" w14:textId="48A5191F" w:rsidR="009D3FF5" w:rsidRDefault="00253BA2" w:rsidP="00FD1A3D">
      <w:pPr>
        <w:rPr>
          <w:lang w:val="en-US"/>
        </w:rPr>
      </w:pPr>
      <w:r>
        <w:rPr>
          <w:lang w:val="en-US"/>
        </w:rPr>
        <w:t>Having</w:t>
      </w:r>
      <w:r w:rsidR="3E1BB4FB" w:rsidRPr="22D94D72">
        <w:rPr>
          <w:lang w:val="en-US"/>
        </w:rPr>
        <w:t xml:space="preserve"> </w:t>
      </w:r>
      <w:r w:rsidR="00746589">
        <w:rPr>
          <w:lang w:val="en-US"/>
        </w:rPr>
        <w:t xml:space="preserve">an </w:t>
      </w:r>
      <w:r w:rsidR="3E1BB4FB" w:rsidRPr="22D94D72">
        <w:rPr>
          <w:lang w:val="en-US"/>
        </w:rPr>
        <w:t xml:space="preserve">engagement framework </w:t>
      </w:r>
      <w:r>
        <w:rPr>
          <w:lang w:val="en-US"/>
        </w:rPr>
        <w:t xml:space="preserve">that </w:t>
      </w:r>
      <w:r w:rsidR="3E1BB4FB" w:rsidRPr="22D94D72">
        <w:rPr>
          <w:lang w:val="en-US"/>
        </w:rPr>
        <w:t>span</w:t>
      </w:r>
      <w:r>
        <w:rPr>
          <w:lang w:val="en-US"/>
        </w:rPr>
        <w:t>s</w:t>
      </w:r>
      <w:r w:rsidR="3E1BB4FB" w:rsidRPr="22D94D72">
        <w:rPr>
          <w:lang w:val="en-US"/>
        </w:rPr>
        <w:t xml:space="preserve"> the HTA continuum would </w:t>
      </w:r>
      <w:r w:rsidR="008D59BD">
        <w:rPr>
          <w:lang w:val="en-US"/>
        </w:rPr>
        <w:t xml:space="preserve">help with </w:t>
      </w:r>
      <w:proofErr w:type="spellStart"/>
      <w:r w:rsidR="3E1BB4FB" w:rsidRPr="22D94D72">
        <w:rPr>
          <w:lang w:val="en-US"/>
        </w:rPr>
        <w:t>realis</w:t>
      </w:r>
      <w:r w:rsidR="008D59BD">
        <w:rPr>
          <w:lang w:val="en-US"/>
        </w:rPr>
        <w:t>ing</w:t>
      </w:r>
      <w:proofErr w:type="spellEnd"/>
      <w:r w:rsidR="3E1BB4FB" w:rsidRPr="22D94D72">
        <w:rPr>
          <w:lang w:val="en-US"/>
        </w:rPr>
        <w:t xml:space="preserve"> the full potential value of </w:t>
      </w:r>
      <w:r w:rsidR="3E1BB4FB" w:rsidRPr="08A2656B">
        <w:rPr>
          <w:lang w:val="en-US"/>
        </w:rPr>
        <w:t>stakeholder</w:t>
      </w:r>
      <w:r w:rsidR="3E1BB4FB" w:rsidRPr="22D94D72">
        <w:rPr>
          <w:lang w:val="en-US"/>
        </w:rPr>
        <w:t xml:space="preserve"> involvement. </w:t>
      </w:r>
    </w:p>
    <w:p w14:paraId="35C56BD9" w14:textId="4B35DA04" w:rsidR="0DAEF714" w:rsidRDefault="32753536" w:rsidP="00FD1A3D">
      <w:pPr>
        <w:rPr>
          <w:lang w:val="en-US"/>
        </w:rPr>
      </w:pPr>
      <w:r w:rsidRPr="1ADB84ED">
        <w:rPr>
          <w:lang w:val="en-US"/>
        </w:rPr>
        <w:t xml:space="preserve">Review participants conveyed </w:t>
      </w:r>
      <w:r w:rsidR="58B43394" w:rsidRPr="1ADB84ED">
        <w:rPr>
          <w:lang w:val="en-US"/>
        </w:rPr>
        <w:t>that</w:t>
      </w:r>
      <w:r w:rsidR="3835460F" w:rsidRPr="1ADB84ED">
        <w:rPr>
          <w:lang w:val="en-US"/>
        </w:rPr>
        <w:t xml:space="preserve"> sustainable and systemic support is essential to </w:t>
      </w:r>
      <w:r w:rsidR="2579F364" w:rsidRPr="1ADB84ED">
        <w:rPr>
          <w:lang w:val="en-US"/>
        </w:rPr>
        <w:t>establish</w:t>
      </w:r>
      <w:r w:rsidR="3835460F" w:rsidRPr="1ADB84ED">
        <w:rPr>
          <w:lang w:val="en-US"/>
        </w:rPr>
        <w:t xml:space="preserve"> and embed engagement. </w:t>
      </w:r>
      <w:r w:rsidR="6CE86677" w:rsidRPr="760B44C9">
        <w:rPr>
          <w:lang w:val="en-US"/>
        </w:rPr>
        <w:t xml:space="preserve">A lack of feedback on how input is used prevents consumers and their organisations knowing </w:t>
      </w:r>
      <w:r w:rsidR="00FA396E">
        <w:rPr>
          <w:lang w:val="en-US"/>
        </w:rPr>
        <w:t>whether</w:t>
      </w:r>
      <w:r w:rsidR="6CE86677" w:rsidRPr="760B44C9">
        <w:rPr>
          <w:lang w:val="en-US"/>
        </w:rPr>
        <w:t xml:space="preserve"> the considerable time</w:t>
      </w:r>
      <w:r w:rsidR="178D62F7" w:rsidRPr="760B44C9">
        <w:rPr>
          <w:lang w:val="en-US"/>
        </w:rPr>
        <w:t xml:space="preserve"> they invested in providing input was worthwhile as they do not know how it was considered or how it could have been improved. </w:t>
      </w:r>
      <w:r w:rsidR="55E3CD99" w:rsidRPr="1ADB84ED">
        <w:rPr>
          <w:lang w:val="en-US"/>
        </w:rPr>
        <w:t xml:space="preserve">Stakeholder engagement mechanisms must be </w:t>
      </w:r>
      <w:r w:rsidR="55E3CD99" w:rsidRPr="1ADB84ED">
        <w:rPr>
          <w:lang w:val="en-US"/>
        </w:rPr>
        <w:lastRenderedPageBreak/>
        <w:t xml:space="preserve">co-designed to ensure that </w:t>
      </w:r>
      <w:r w:rsidR="4ECE76E5" w:rsidRPr="325D96D3">
        <w:rPr>
          <w:lang w:val="en-US"/>
        </w:rPr>
        <w:t xml:space="preserve">individuals and </w:t>
      </w:r>
      <w:r w:rsidR="55E3CD99" w:rsidRPr="1ADB84ED">
        <w:rPr>
          <w:lang w:val="en-US"/>
        </w:rPr>
        <w:t xml:space="preserve">organisations, irrespective of size, have the capacity and opportunity </w:t>
      </w:r>
      <w:r w:rsidR="2D800D1B" w:rsidRPr="1ADB84ED">
        <w:rPr>
          <w:lang w:val="en-US"/>
        </w:rPr>
        <w:t>to participate</w:t>
      </w:r>
      <w:r w:rsidR="55E3CD99" w:rsidRPr="1ADB84ED">
        <w:rPr>
          <w:lang w:val="en-US"/>
        </w:rPr>
        <w:t xml:space="preserve"> in HTA processes</w:t>
      </w:r>
      <w:r w:rsidR="3F8C2F1B" w:rsidRPr="1ADB84ED">
        <w:rPr>
          <w:lang w:val="en-US"/>
        </w:rPr>
        <w:t xml:space="preserve">. </w:t>
      </w:r>
      <w:r w:rsidR="3E4B56D8" w:rsidRPr="1ADB84ED">
        <w:rPr>
          <w:lang w:val="en-US"/>
        </w:rPr>
        <w:t xml:space="preserve">Several </w:t>
      </w:r>
      <w:r w:rsidR="0F5A99ED" w:rsidRPr="1ADB84ED">
        <w:rPr>
          <w:lang w:val="en-US"/>
        </w:rPr>
        <w:t>stakeholders</w:t>
      </w:r>
      <w:r w:rsidR="3E4B56D8" w:rsidRPr="1ADB84ED">
        <w:rPr>
          <w:lang w:val="en-US"/>
        </w:rPr>
        <w:t xml:space="preserve"> raised the importance of </w:t>
      </w:r>
      <w:r w:rsidR="008D59BD">
        <w:rPr>
          <w:lang w:val="en-US"/>
        </w:rPr>
        <w:t xml:space="preserve">having </w:t>
      </w:r>
      <w:r w:rsidR="3E4B56D8" w:rsidRPr="1ADB84ED">
        <w:rPr>
          <w:lang w:val="en-US"/>
        </w:rPr>
        <w:t xml:space="preserve">adequate </w:t>
      </w:r>
      <w:r w:rsidR="4898B2F5" w:rsidRPr="1ADB84ED">
        <w:rPr>
          <w:lang w:val="en-US"/>
        </w:rPr>
        <w:t>funding</w:t>
      </w:r>
      <w:r w:rsidR="3E4B56D8" w:rsidRPr="1ADB84ED">
        <w:rPr>
          <w:lang w:val="en-US"/>
        </w:rPr>
        <w:t xml:space="preserve"> and resources for consumer organisation</w:t>
      </w:r>
      <w:r w:rsidR="008D59BD">
        <w:rPr>
          <w:lang w:val="en-US"/>
        </w:rPr>
        <w:t>s</w:t>
      </w:r>
      <w:r w:rsidR="3E4B56D8" w:rsidRPr="1ADB84ED">
        <w:rPr>
          <w:lang w:val="en-US"/>
        </w:rPr>
        <w:t xml:space="preserve"> to </w:t>
      </w:r>
      <w:r w:rsidR="03A721C5" w:rsidRPr="1ADB84ED">
        <w:rPr>
          <w:lang w:val="en-US"/>
        </w:rPr>
        <w:t>engage</w:t>
      </w:r>
      <w:r w:rsidR="3E4B56D8" w:rsidRPr="1ADB84ED">
        <w:rPr>
          <w:lang w:val="en-US"/>
        </w:rPr>
        <w:t xml:space="preserve"> equitably in HTA processes</w:t>
      </w:r>
      <w:r w:rsidR="23D24907" w:rsidRPr="0A6E28A6">
        <w:rPr>
          <w:lang w:val="en-US"/>
        </w:rPr>
        <w:t>.</w:t>
      </w:r>
    </w:p>
    <w:p w14:paraId="3FD51281" w14:textId="00C1A411" w:rsidR="3E300833" w:rsidRDefault="008D59BD" w:rsidP="00FD1A3D">
      <w:pPr>
        <w:rPr>
          <w:i/>
        </w:rPr>
      </w:pPr>
      <w:r>
        <w:t>Having a</w:t>
      </w:r>
      <w:r w:rsidR="704443DC" w:rsidRPr="2BB2DE82">
        <w:t xml:space="preserve"> </w:t>
      </w:r>
      <w:r w:rsidR="3706E003" w:rsidRPr="2BB2DE82">
        <w:t>stakeholder</w:t>
      </w:r>
      <w:r w:rsidR="704443DC" w:rsidRPr="2BB2DE82">
        <w:t xml:space="preserve"> </w:t>
      </w:r>
      <w:r w:rsidR="6A0442B4" w:rsidRPr="2BB2DE82">
        <w:t>engagement</w:t>
      </w:r>
      <w:r w:rsidR="704443DC" w:rsidRPr="2BB2DE82">
        <w:t xml:space="preserve"> </w:t>
      </w:r>
      <w:r w:rsidR="7F255F30" w:rsidRPr="2BB2DE82">
        <w:t>framework</w:t>
      </w:r>
      <w:r w:rsidR="704443DC" w:rsidRPr="2BB2DE82">
        <w:t xml:space="preserve"> </w:t>
      </w:r>
      <w:r>
        <w:t xml:space="preserve">would </w:t>
      </w:r>
      <w:r w:rsidR="704443DC" w:rsidRPr="2BB2DE82">
        <w:t xml:space="preserve">also </w:t>
      </w:r>
      <w:r>
        <w:t xml:space="preserve">enable </w:t>
      </w:r>
      <w:r w:rsidR="762F3E00" w:rsidRPr="2BB2DE82">
        <w:t>health</w:t>
      </w:r>
      <w:r w:rsidR="49B6C724" w:rsidRPr="2BB2DE82">
        <w:t xml:space="preserve"> professional</w:t>
      </w:r>
      <w:r>
        <w:t>s to</w:t>
      </w:r>
      <w:r w:rsidRPr="2BB2DE82">
        <w:t xml:space="preserve"> </w:t>
      </w:r>
      <w:r w:rsidRPr="41E60381">
        <w:t xml:space="preserve">clearly articulate and </w:t>
      </w:r>
      <w:r w:rsidRPr="2BB2DE82">
        <w:t>augment</w:t>
      </w:r>
      <w:r w:rsidR="49B6C724" w:rsidRPr="2BB2DE82">
        <w:t xml:space="preserve"> </w:t>
      </w:r>
      <w:r w:rsidR="7843FB77" w:rsidRPr="2BB2DE82">
        <w:t xml:space="preserve">HTA </w:t>
      </w:r>
      <w:r w:rsidR="34F16936" w:rsidRPr="2BB2DE82">
        <w:t>processes</w:t>
      </w:r>
      <w:r w:rsidR="0E7FF4A0" w:rsidRPr="5537F5F2">
        <w:t>.</w:t>
      </w:r>
      <w:r w:rsidR="1A24C1C6" w:rsidRPr="0D5FBF1B">
        <w:t xml:space="preserve"> </w:t>
      </w:r>
    </w:p>
    <w:p w14:paraId="32DBEE43" w14:textId="49C090E6" w:rsidR="00B367A4" w:rsidRDefault="00B367A4" w:rsidP="004E48B3">
      <w:pPr>
        <w:spacing w:before="240" w:after="240" w:line="257" w:lineRule="auto"/>
        <w:rPr>
          <w:rFonts w:eastAsia="Segoe UI" w:cs="Segoe UI"/>
          <w:i/>
        </w:rPr>
      </w:pPr>
      <w:r w:rsidRPr="00704A74">
        <w:rPr>
          <w:noProof/>
        </w:rPr>
        <mc:AlternateContent>
          <mc:Choice Requires="wps">
            <w:drawing>
              <wp:inline distT="0" distB="0" distL="0" distR="0" wp14:anchorId="7B83B253" wp14:editId="4B6E95AB">
                <wp:extent cx="5836920" cy="2305050"/>
                <wp:effectExtent l="0" t="0" r="0" b="0"/>
                <wp:docPr id="694" name="Text Box 6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2305050"/>
                        </a:xfrm>
                        <a:prstGeom prst="round2DiagRect">
                          <a:avLst/>
                        </a:prstGeom>
                        <a:solidFill>
                          <a:schemeClr val="bg1">
                            <a:lumMod val="95000"/>
                          </a:schemeClr>
                        </a:solidFill>
                        <a:ln w="9525">
                          <a:noFill/>
                          <a:miter lim="800000"/>
                          <a:headEnd/>
                          <a:tailEnd/>
                        </a:ln>
                      </wps:spPr>
                      <wps:txbx>
                        <w:txbxContent>
                          <w:p w14:paraId="5A93F86F" w14:textId="19E316EC" w:rsidR="00B367A4" w:rsidRPr="00BA3CA7" w:rsidRDefault="00B367A4" w:rsidP="00B367A4">
                            <w:pPr>
                              <w:ind w:right="19"/>
                              <w:rPr>
                                <w:b/>
                                <w:color w:val="005A68" w:themeColor="accent6" w:themeShade="80"/>
                              </w:rPr>
                            </w:pPr>
                            <w:r w:rsidRPr="00BA3CA7">
                              <w:rPr>
                                <w:b/>
                                <w:color w:val="005A68" w:themeColor="accent6" w:themeShade="80"/>
                              </w:rPr>
                              <w:t>What we heard:</w:t>
                            </w:r>
                          </w:p>
                          <w:p w14:paraId="382CF020" w14:textId="2BCA3A0E" w:rsidR="008B08F6" w:rsidRPr="000C5623" w:rsidRDefault="00533449" w:rsidP="000C5623">
                            <w:pPr>
                              <w:ind w:left="283" w:right="19"/>
                              <w:rPr>
                                <w:color w:val="005A68" w:themeColor="accent6" w:themeShade="80"/>
                              </w:rPr>
                            </w:pPr>
                            <w:r>
                              <w:rPr>
                                <w:color w:val="005A68" w:themeColor="accent6" w:themeShade="80"/>
                              </w:rPr>
                              <w:t>‘</w:t>
                            </w:r>
                            <w:r w:rsidR="008B08F6" w:rsidRPr="000C5623">
                              <w:rPr>
                                <w:color w:val="005A68" w:themeColor="accent6" w:themeShade="80"/>
                              </w:rPr>
                              <w:t>We support any measures that increase community member and healthcare professional engagement, ensuring that this occurs as early as possible and frequently throughout the process, and all outputs or decisions made because of that input are transparently shared with the community</w:t>
                            </w:r>
                            <w:r>
                              <w:rPr>
                                <w:color w:val="005A68" w:themeColor="accent6" w:themeShade="80"/>
                              </w:rPr>
                              <w:t>.’</w:t>
                            </w:r>
                          </w:p>
                          <w:p w14:paraId="4E972634" w14:textId="3A759C57" w:rsidR="00B367A4" w:rsidRPr="00BA3CA7" w:rsidRDefault="00704A74" w:rsidP="0019054D">
                            <w:pPr>
                              <w:ind w:right="19"/>
                              <w:jc w:val="right"/>
                              <w:rPr>
                                <w:b/>
                                <w:color w:val="FF0000"/>
                              </w:rPr>
                            </w:pPr>
                            <w:r w:rsidRPr="00BA3CA7">
                              <w:rPr>
                                <w:b/>
                                <w:color w:val="005A68" w:themeColor="accent6" w:themeShade="80"/>
                              </w:rPr>
                              <w:t>Consultation 2 submission</w:t>
                            </w:r>
                            <w:r w:rsidR="00D12BCD">
                              <w:rPr>
                                <w:b/>
                                <w:color w:val="005A68" w:themeColor="accent6" w:themeShade="80"/>
                              </w:rPr>
                              <w:t xml:space="preserve">: </w:t>
                            </w:r>
                            <w:r w:rsidR="00E70074" w:rsidRPr="00E70074">
                              <w:rPr>
                                <w:b/>
                                <w:color w:val="005A68" w:themeColor="accent6" w:themeShade="80"/>
                              </w:rPr>
                              <w:t>Cancer Council, Cancer Nurses Society of Australia, the Clinical Oncology Society of Australia, Private Cancer Physicians of Australia and Medical Oncology Group of Australia</w:t>
                            </w:r>
                          </w:p>
                        </w:txbxContent>
                      </wps:txbx>
                      <wps:bodyPr rot="0" vert="horz" wrap="square" lIns="91440" tIns="45720" rIns="91440" bIns="45720" anchor="t" anchorCtr="0">
                        <a:noAutofit/>
                      </wps:bodyPr>
                    </wps:wsp>
                  </a:graphicData>
                </a:graphic>
              </wp:inline>
            </w:drawing>
          </mc:Choice>
          <mc:Fallback>
            <w:pict>
              <v:shape w14:anchorId="7B83B253" id="Text Box 694" o:spid="_x0000_s1041" style="width:459.6pt;height:181.5pt;visibility:visible;mso-wrap-style:square;mso-left-percent:-10001;mso-top-percent:-10001;mso-position-horizontal:absolute;mso-position-horizontal-relative:char;mso-position-vertical:absolute;mso-position-vertical-relative:line;mso-left-percent:-10001;mso-top-percent:-10001;v-text-anchor:top" coordsize="5836920,23050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" adj="-11796480,,5400" path="m384183,l5836920,r,l5836920,1920867v,212178,-172005,384183,-384183,384183l,2305050r,l,384183c,172005,172005,,384183,xe" fillcolor="#f2f2f2 [3052]" stroked="f">
                <v:stroke joinstyle="miter"/>
                <v:formulas/>
                <v:path arrowok="t" o:connecttype="custom" o:connectlocs="384183,0;5836920,0;5836920,0;5836920,1920867;5452737,2305050;0,2305050;0,2305050;0,384183;384183,0" o:connectangles="0,0,0,0,0,0,0,0,0" textboxrect="0,0,5836920,2305050"/>
                <v:textbox>
                  <w:txbxContent>
                    <w:p w14:paraId="5A93F86F" w14:textId="19E316EC" w:rsidR="00B367A4" w:rsidRPr="00BA3CA7" w:rsidRDefault="00B367A4" w:rsidP="00B367A4">
                      <w:pPr>
                        <w:ind w:right="19"/>
                        <w:rPr>
                          <w:b/>
                          <w:color w:val="005A68" w:themeColor="accent6" w:themeShade="80"/>
                        </w:rPr>
                      </w:pPr>
                      <w:r w:rsidRPr="00BA3CA7">
                        <w:rPr>
                          <w:b/>
                          <w:color w:val="005A68" w:themeColor="accent6" w:themeShade="80"/>
                        </w:rPr>
                        <w:t>What we heard:</w:t>
                      </w:r>
                    </w:p>
                    <w:p w14:paraId="382CF020" w14:textId="2BCA3A0E" w:rsidR="008B08F6" w:rsidRPr="000C5623" w:rsidRDefault="00533449" w:rsidP="000C5623">
                      <w:pPr>
                        <w:ind w:left="283" w:right="19"/>
                        <w:rPr>
                          <w:color w:val="005A68" w:themeColor="accent6" w:themeShade="80"/>
                        </w:rPr>
                      </w:pPr>
                      <w:r>
                        <w:rPr>
                          <w:color w:val="005A68" w:themeColor="accent6" w:themeShade="80"/>
                        </w:rPr>
                        <w:t>‘</w:t>
                      </w:r>
                      <w:r w:rsidR="008B08F6" w:rsidRPr="000C5623">
                        <w:rPr>
                          <w:color w:val="005A68" w:themeColor="accent6" w:themeShade="80"/>
                        </w:rPr>
                        <w:t>We support any measures that increase community member and healthcare professional engagement, ensuring that this occurs as early as possible and frequently throughout the process, and all outputs or decisions made because of that input are transparently shared with the community</w:t>
                      </w:r>
                      <w:r>
                        <w:rPr>
                          <w:color w:val="005A68" w:themeColor="accent6" w:themeShade="80"/>
                        </w:rPr>
                        <w:t>.’</w:t>
                      </w:r>
                    </w:p>
                    <w:p w14:paraId="4E972634" w14:textId="3A759C57" w:rsidR="00B367A4" w:rsidRPr="00BA3CA7" w:rsidRDefault="00704A74" w:rsidP="0019054D">
                      <w:pPr>
                        <w:ind w:right="19"/>
                        <w:jc w:val="right"/>
                        <w:rPr>
                          <w:b/>
                          <w:color w:val="FF0000"/>
                        </w:rPr>
                      </w:pPr>
                      <w:r w:rsidRPr="00BA3CA7">
                        <w:rPr>
                          <w:b/>
                          <w:color w:val="005A68" w:themeColor="accent6" w:themeShade="80"/>
                        </w:rPr>
                        <w:t>Consultation 2 submission</w:t>
                      </w:r>
                      <w:r w:rsidR="00D12BCD">
                        <w:rPr>
                          <w:b/>
                          <w:color w:val="005A68" w:themeColor="accent6" w:themeShade="80"/>
                        </w:rPr>
                        <w:t xml:space="preserve">: </w:t>
                      </w:r>
                      <w:r w:rsidR="00E70074" w:rsidRPr="00E70074">
                        <w:rPr>
                          <w:b/>
                          <w:color w:val="005A68" w:themeColor="accent6" w:themeShade="80"/>
                        </w:rPr>
                        <w:t>Cancer Council, Cancer Nurses Society of Australia, the Clinical Oncology Society of Australia, Private Cancer Physicians of Australia and Medical Oncology Group of Australia</w:t>
                      </w:r>
                    </w:p>
                  </w:txbxContent>
                </v:textbox>
                <w10:anchorlock/>
              </v:shape>
            </w:pict>
          </mc:Fallback>
        </mc:AlternateContent>
      </w:r>
    </w:p>
    <w:p w14:paraId="3AF4D5F0" w14:textId="304CC86F" w:rsidR="00F97E19" w:rsidRDefault="5C3E15D4" w:rsidP="00FD1A3D">
      <w:pPr>
        <w:rPr>
          <w:lang w:val="en-US"/>
        </w:rPr>
      </w:pPr>
      <w:r w:rsidRPr="1274C1A8">
        <w:rPr>
          <w:lang w:val="en-US"/>
        </w:rPr>
        <w:t>Many consumer organisations</w:t>
      </w:r>
      <w:r w:rsidR="00442CA4">
        <w:rPr>
          <w:lang w:val="en-US"/>
        </w:rPr>
        <w:t xml:space="preserve"> – </w:t>
      </w:r>
      <w:r w:rsidRPr="1274C1A8">
        <w:rPr>
          <w:lang w:val="en-US"/>
        </w:rPr>
        <w:t xml:space="preserve">including </w:t>
      </w:r>
      <w:r w:rsidR="5014D924" w:rsidRPr="760B44C9">
        <w:rPr>
          <w:lang w:val="en-US"/>
        </w:rPr>
        <w:t>the Consumers Health Forum</w:t>
      </w:r>
      <w:r w:rsidR="00A150CD">
        <w:rPr>
          <w:lang w:val="en-US"/>
        </w:rPr>
        <w:t xml:space="preserve"> of Australia</w:t>
      </w:r>
      <w:r w:rsidR="5014D924" w:rsidRPr="760B44C9">
        <w:rPr>
          <w:lang w:val="en-US"/>
        </w:rPr>
        <w:t xml:space="preserve">, the Australian Patients </w:t>
      </w:r>
      <w:r w:rsidR="00EC5CE1" w:rsidRPr="760B44C9">
        <w:rPr>
          <w:lang w:val="en-US"/>
        </w:rPr>
        <w:t>Association,</w:t>
      </w:r>
      <w:r w:rsidR="5014D924" w:rsidRPr="1274C1A8">
        <w:rPr>
          <w:lang w:val="en-US"/>
        </w:rPr>
        <w:t xml:space="preserve"> </w:t>
      </w:r>
      <w:r w:rsidR="0A11FFE5" w:rsidRPr="1274C1A8">
        <w:rPr>
          <w:lang w:val="en-US"/>
        </w:rPr>
        <w:t xml:space="preserve">and </w:t>
      </w:r>
      <w:r w:rsidR="7F3AACA2" w:rsidRPr="1274C1A8">
        <w:rPr>
          <w:lang w:val="en-US"/>
        </w:rPr>
        <w:t>51 consumer</w:t>
      </w:r>
      <w:r w:rsidR="00A150CD">
        <w:rPr>
          <w:lang w:val="en-US"/>
        </w:rPr>
        <w:t>-</w:t>
      </w:r>
      <w:r w:rsidR="7F3AACA2" w:rsidRPr="1274C1A8">
        <w:rPr>
          <w:lang w:val="en-US"/>
        </w:rPr>
        <w:t>led organisation</w:t>
      </w:r>
      <w:r w:rsidR="44B1B18E" w:rsidRPr="1274C1A8">
        <w:rPr>
          <w:lang w:val="en-US"/>
        </w:rPr>
        <w:t>s</w:t>
      </w:r>
      <w:r w:rsidR="00A150CD">
        <w:rPr>
          <w:lang w:val="en-US"/>
        </w:rPr>
        <w:t xml:space="preserve"> </w:t>
      </w:r>
      <w:r w:rsidR="00442CA4">
        <w:rPr>
          <w:lang w:val="en-US"/>
        </w:rPr>
        <w:t>(which</w:t>
      </w:r>
      <w:r w:rsidR="00A150CD">
        <w:rPr>
          <w:lang w:val="en-US"/>
        </w:rPr>
        <w:t xml:space="preserve"> provided </w:t>
      </w:r>
      <w:r w:rsidR="00A150CD" w:rsidRPr="1274C1A8">
        <w:rPr>
          <w:lang w:val="en-US"/>
        </w:rPr>
        <w:t>an unprecedented collaborative</w:t>
      </w:r>
      <w:r w:rsidR="00442CA4">
        <w:rPr>
          <w:lang w:val="en-US"/>
        </w:rPr>
        <w:t xml:space="preserve"> response</w:t>
      </w:r>
      <w:r w:rsidR="72BA7368" w:rsidRPr="1274C1A8">
        <w:rPr>
          <w:lang w:val="en-US"/>
        </w:rPr>
        <w:t>)</w:t>
      </w:r>
      <w:r w:rsidR="7F3AACA2" w:rsidRPr="1274C1A8">
        <w:rPr>
          <w:lang w:val="en-US"/>
        </w:rPr>
        <w:t xml:space="preserve"> </w:t>
      </w:r>
      <w:r w:rsidR="00442CA4">
        <w:rPr>
          <w:lang w:val="en-US"/>
        </w:rPr>
        <w:t xml:space="preserve">– </w:t>
      </w:r>
      <w:r w:rsidR="7F3AACA2" w:rsidRPr="1274C1A8">
        <w:rPr>
          <w:lang w:val="en-US"/>
        </w:rPr>
        <w:t>considered that the value of the consumer voice in HTA</w:t>
      </w:r>
      <w:r w:rsidR="00833EA3">
        <w:rPr>
          <w:lang w:val="en-US"/>
        </w:rPr>
        <w:t xml:space="preserve"> policy and methods </w:t>
      </w:r>
      <w:r w:rsidR="7F3AACA2" w:rsidRPr="1274C1A8">
        <w:rPr>
          <w:lang w:val="en-US"/>
        </w:rPr>
        <w:t xml:space="preserve">should be </w:t>
      </w:r>
      <w:r w:rsidR="7F3AACA2" w:rsidRPr="00B61FDC">
        <w:rPr>
          <w:lang w:val="en-US"/>
        </w:rPr>
        <w:t xml:space="preserve">enshrined </w:t>
      </w:r>
      <w:r w:rsidR="00833EA3">
        <w:rPr>
          <w:lang w:val="en-US"/>
        </w:rPr>
        <w:t xml:space="preserve">in </w:t>
      </w:r>
      <w:r w:rsidR="7F3AACA2" w:rsidRPr="00B61FDC">
        <w:rPr>
          <w:lang w:val="en-US"/>
        </w:rPr>
        <w:t>legislation</w:t>
      </w:r>
      <w:r w:rsidR="628B7A63" w:rsidRPr="490A1445">
        <w:rPr>
          <w:lang w:val="en-US"/>
        </w:rPr>
        <w:t xml:space="preserve">. </w:t>
      </w:r>
      <w:r w:rsidR="00442CA4">
        <w:rPr>
          <w:lang w:val="en-US"/>
        </w:rPr>
        <w:t xml:space="preserve">This </w:t>
      </w:r>
      <w:r w:rsidR="628B7A63" w:rsidRPr="490A1445">
        <w:rPr>
          <w:lang w:val="en-US"/>
        </w:rPr>
        <w:t>w</w:t>
      </w:r>
      <w:r w:rsidR="00442CA4">
        <w:rPr>
          <w:lang w:val="en-US"/>
        </w:rPr>
        <w:t xml:space="preserve">ould </w:t>
      </w:r>
      <w:r w:rsidR="7F3AACA2" w:rsidRPr="1274C1A8">
        <w:rPr>
          <w:lang w:val="en-US"/>
        </w:rPr>
        <w:t xml:space="preserve">ensure that </w:t>
      </w:r>
      <w:r w:rsidR="1AD7212B" w:rsidRPr="490A1445">
        <w:rPr>
          <w:lang w:val="en-US"/>
        </w:rPr>
        <w:t>consumer</w:t>
      </w:r>
      <w:r w:rsidR="2C74E17B" w:rsidRPr="490A1445">
        <w:rPr>
          <w:lang w:val="en-US"/>
        </w:rPr>
        <w:t>s</w:t>
      </w:r>
      <w:r w:rsidR="3A5CA237" w:rsidRPr="490A1445">
        <w:rPr>
          <w:lang w:val="en-US"/>
        </w:rPr>
        <w:t xml:space="preserve"> </w:t>
      </w:r>
      <w:r w:rsidR="21A25A6D" w:rsidRPr="490A1445">
        <w:rPr>
          <w:lang w:val="en-US"/>
        </w:rPr>
        <w:t>and</w:t>
      </w:r>
      <w:r w:rsidR="7F3AACA2" w:rsidRPr="490A1445">
        <w:rPr>
          <w:lang w:val="en-US"/>
        </w:rPr>
        <w:t xml:space="preserve"> </w:t>
      </w:r>
      <w:r w:rsidR="7F3AACA2" w:rsidRPr="1274C1A8">
        <w:rPr>
          <w:lang w:val="en-US"/>
        </w:rPr>
        <w:t xml:space="preserve">their knowledge (needs, preferences, </w:t>
      </w:r>
      <w:r w:rsidR="003C7032" w:rsidRPr="1274C1A8">
        <w:rPr>
          <w:lang w:val="en-US"/>
        </w:rPr>
        <w:t>experiences,</w:t>
      </w:r>
      <w:r w:rsidR="7F3AACA2" w:rsidRPr="1274C1A8">
        <w:rPr>
          <w:lang w:val="en-US"/>
        </w:rPr>
        <w:t xml:space="preserve"> </w:t>
      </w:r>
      <w:r w:rsidR="7F3AACA2" w:rsidRPr="490A1445">
        <w:rPr>
          <w:lang w:val="en-US"/>
        </w:rPr>
        <w:t>an</w:t>
      </w:r>
      <w:r w:rsidR="5171C882" w:rsidRPr="490A1445">
        <w:rPr>
          <w:lang w:val="en-US"/>
        </w:rPr>
        <w:t>d</w:t>
      </w:r>
      <w:r w:rsidR="7F3AACA2" w:rsidRPr="1274C1A8">
        <w:rPr>
          <w:lang w:val="en-US"/>
        </w:rPr>
        <w:t xml:space="preserve"> perspectives) </w:t>
      </w:r>
      <w:r w:rsidR="00442CA4">
        <w:rPr>
          <w:lang w:val="en-US"/>
        </w:rPr>
        <w:t>we</w:t>
      </w:r>
      <w:r w:rsidR="6B0F61F1" w:rsidRPr="490A1445">
        <w:rPr>
          <w:lang w:val="en-US"/>
        </w:rPr>
        <w:t xml:space="preserve">re </w:t>
      </w:r>
      <w:r w:rsidR="7F3AACA2" w:rsidRPr="1274C1A8">
        <w:rPr>
          <w:lang w:val="en-US"/>
        </w:rPr>
        <w:t xml:space="preserve">safeguarded as a cornerstone of </w:t>
      </w:r>
      <w:r w:rsidR="00442CA4">
        <w:rPr>
          <w:lang w:val="en-US"/>
        </w:rPr>
        <w:t xml:space="preserve">the </w:t>
      </w:r>
      <w:r w:rsidR="7F3AACA2" w:rsidRPr="1274C1A8">
        <w:rPr>
          <w:lang w:val="en-US"/>
        </w:rPr>
        <w:t>Australian HTA</w:t>
      </w:r>
      <w:r w:rsidR="00442CA4">
        <w:rPr>
          <w:lang w:val="en-US"/>
        </w:rPr>
        <w:t xml:space="preserve"> system</w:t>
      </w:r>
      <w:r w:rsidR="7F3AACA2" w:rsidRPr="1274C1A8">
        <w:rPr>
          <w:lang w:val="en-US"/>
        </w:rPr>
        <w:t xml:space="preserve">. </w:t>
      </w:r>
      <w:r w:rsidR="00C26EF9">
        <w:rPr>
          <w:lang w:val="en-US"/>
        </w:rPr>
        <w:t xml:space="preserve">This </w:t>
      </w:r>
      <w:r w:rsidR="00442CA4">
        <w:rPr>
          <w:lang w:val="en-US"/>
        </w:rPr>
        <w:t>would</w:t>
      </w:r>
      <w:r w:rsidR="00C26EF9">
        <w:rPr>
          <w:lang w:val="en-US"/>
        </w:rPr>
        <w:t xml:space="preserve"> </w:t>
      </w:r>
      <w:r w:rsidR="00442CA4">
        <w:rPr>
          <w:lang w:val="en-US"/>
        </w:rPr>
        <w:t>also maintain</w:t>
      </w:r>
      <w:r w:rsidR="00C26EF9">
        <w:rPr>
          <w:lang w:val="en-US"/>
        </w:rPr>
        <w:t xml:space="preserve"> the </w:t>
      </w:r>
      <w:r w:rsidR="00077F2F">
        <w:rPr>
          <w:lang w:val="en-US"/>
        </w:rPr>
        <w:t>existing consideration of consumer per</w:t>
      </w:r>
      <w:r w:rsidR="00B370DA">
        <w:rPr>
          <w:lang w:val="en-US"/>
        </w:rPr>
        <w:t xml:space="preserve">spectives </w:t>
      </w:r>
      <w:r w:rsidR="2716ABAF">
        <w:rPr>
          <w:lang w:val="en-US"/>
        </w:rPr>
        <w:t>and improve</w:t>
      </w:r>
      <w:r w:rsidR="00442CA4">
        <w:rPr>
          <w:lang w:val="en-US"/>
        </w:rPr>
        <w:t xml:space="preserve"> it</w:t>
      </w:r>
      <w:r w:rsidR="2716ABAF">
        <w:rPr>
          <w:lang w:val="en-US"/>
        </w:rPr>
        <w:t xml:space="preserve"> </w:t>
      </w:r>
      <w:r w:rsidR="00B370DA">
        <w:rPr>
          <w:lang w:val="en-US"/>
        </w:rPr>
        <w:t>over the long term.</w:t>
      </w:r>
      <w:r w:rsidR="00EA7F06">
        <w:rPr>
          <w:lang w:val="en-US"/>
        </w:rPr>
        <w:t xml:space="preserve"> </w:t>
      </w:r>
      <w:r w:rsidR="00257B65">
        <w:rPr>
          <w:lang w:val="en-US"/>
        </w:rPr>
        <w:t>Currently, o</w:t>
      </w:r>
      <w:r w:rsidR="00EA7F06" w:rsidRPr="4C9D975E">
        <w:rPr>
          <w:lang w:val="en-US"/>
        </w:rPr>
        <w:t>ne or more PBAC members</w:t>
      </w:r>
      <w:r w:rsidR="00257B65">
        <w:rPr>
          <w:lang w:val="en-US"/>
        </w:rPr>
        <w:t xml:space="preserve"> can</w:t>
      </w:r>
      <w:r w:rsidR="00EA7F06" w:rsidRPr="4C9D975E">
        <w:rPr>
          <w:lang w:val="en-US"/>
        </w:rPr>
        <w:t xml:space="preserve"> represent consumers on the PBAC (section 100B</w:t>
      </w:r>
      <w:r w:rsidR="00257B65">
        <w:rPr>
          <w:lang w:val="en-US"/>
        </w:rPr>
        <w:t xml:space="preserve"> of the </w:t>
      </w:r>
      <w:r w:rsidR="00CF22E5">
        <w:rPr>
          <w:lang w:val="en-US"/>
        </w:rPr>
        <w:t>NHA</w:t>
      </w:r>
      <w:r w:rsidR="00A16D95" w:rsidRPr="000C5623">
        <w:rPr>
          <w:rStyle w:val="FootnoteReference"/>
          <w:rFonts w:eastAsia="Segoe UI" w:cs="Segoe UI"/>
          <w:iCs/>
          <w:lang w:val="en-US"/>
        </w:rPr>
        <w:footnoteReference w:id="134"/>
      </w:r>
      <w:r w:rsidR="00EA7F06" w:rsidRPr="00257B65">
        <w:rPr>
          <w:lang w:val="en-US"/>
        </w:rPr>
        <w:t>)</w:t>
      </w:r>
      <w:r w:rsidR="00CF22E5">
        <w:rPr>
          <w:lang w:val="en-US"/>
        </w:rPr>
        <w:t>,</w:t>
      </w:r>
      <w:r w:rsidR="00EA7F06" w:rsidRPr="4C9D975E">
        <w:rPr>
          <w:lang w:val="en-US"/>
        </w:rPr>
        <w:t xml:space="preserve"> safeguarding </w:t>
      </w:r>
      <w:r w:rsidR="00EA7F06" w:rsidRPr="11B36CDE">
        <w:rPr>
          <w:lang w:val="en-US"/>
        </w:rPr>
        <w:t>advoca</w:t>
      </w:r>
      <w:r w:rsidR="18AB8F58" w:rsidRPr="11B36CDE">
        <w:rPr>
          <w:lang w:val="en-US"/>
        </w:rPr>
        <w:t>cy</w:t>
      </w:r>
      <w:r w:rsidR="00EA7F06" w:rsidRPr="4C9D975E">
        <w:rPr>
          <w:lang w:val="en-US"/>
        </w:rPr>
        <w:t xml:space="preserve"> for patient needs, </w:t>
      </w:r>
      <w:r w:rsidR="00EC5CE1" w:rsidRPr="4C9D975E">
        <w:rPr>
          <w:lang w:val="en-US"/>
        </w:rPr>
        <w:t>preferences</w:t>
      </w:r>
      <w:r w:rsidR="00EA7F06" w:rsidRPr="4C9D975E">
        <w:rPr>
          <w:lang w:val="en-US"/>
        </w:rPr>
        <w:t xml:space="preserve"> and </w:t>
      </w:r>
      <w:r w:rsidRPr="35819CC5" w:rsidDel="5C3E15D4">
        <w:rPr>
          <w:lang w:val="en-US"/>
        </w:rPr>
        <w:t>perspectives</w:t>
      </w:r>
      <w:r w:rsidR="00EA7F06" w:rsidRPr="4C9D975E">
        <w:rPr>
          <w:lang w:val="en-US"/>
        </w:rPr>
        <w:t>.</w:t>
      </w:r>
      <w:r w:rsidR="0A0386F7" w:rsidRPr="4C9D975E">
        <w:rPr>
          <w:lang w:val="en-US"/>
        </w:rPr>
        <w:t xml:space="preserve"> </w:t>
      </w:r>
      <w:r w:rsidR="00CF22E5">
        <w:rPr>
          <w:lang w:val="en-US"/>
        </w:rPr>
        <w:t>But more</w:t>
      </w:r>
      <w:r w:rsidR="00B74961" w:rsidRPr="4C9D975E">
        <w:rPr>
          <w:lang w:val="en-US"/>
        </w:rPr>
        <w:t xml:space="preserve"> work need</w:t>
      </w:r>
      <w:r w:rsidR="00CF22E5">
        <w:rPr>
          <w:lang w:val="en-US"/>
        </w:rPr>
        <w:t>s</w:t>
      </w:r>
      <w:r w:rsidR="00B74961" w:rsidRPr="4C9D975E">
        <w:rPr>
          <w:lang w:val="en-US"/>
        </w:rPr>
        <w:t xml:space="preserve"> to be </w:t>
      </w:r>
      <w:r w:rsidR="00CF22E5">
        <w:rPr>
          <w:lang w:val="en-US"/>
        </w:rPr>
        <w:t>done</w:t>
      </w:r>
      <w:r w:rsidR="00CF22E5" w:rsidRPr="4C9D975E">
        <w:rPr>
          <w:lang w:val="en-US"/>
        </w:rPr>
        <w:t xml:space="preserve"> </w:t>
      </w:r>
      <w:r w:rsidR="00B74961" w:rsidRPr="4C9D975E">
        <w:rPr>
          <w:lang w:val="en-US"/>
        </w:rPr>
        <w:t>to</w:t>
      </w:r>
      <w:r w:rsidR="00F97E19">
        <w:rPr>
          <w:lang w:val="en-US"/>
        </w:rPr>
        <w:t>:</w:t>
      </w:r>
      <w:r w:rsidR="00B74961" w:rsidRPr="4C9D975E">
        <w:rPr>
          <w:lang w:val="en-US"/>
        </w:rPr>
        <w:t xml:space="preserve"> </w:t>
      </w:r>
    </w:p>
    <w:p w14:paraId="0699DAD6" w14:textId="20F2AAD8" w:rsidR="00D45D6A" w:rsidRPr="00A318F7" w:rsidRDefault="00D60FD1" w:rsidP="00274AA9">
      <w:pPr>
        <w:pStyle w:val="ListBullet"/>
      </w:pPr>
      <w:r w:rsidRPr="00A318F7">
        <w:t>establish what</w:t>
      </w:r>
      <w:r w:rsidR="00EA7F06" w:rsidRPr="00A318F7">
        <w:t xml:space="preserve"> additional </w:t>
      </w:r>
      <w:r w:rsidR="0062751D" w:rsidRPr="00A318F7">
        <w:t>benefits legislation would offer beyond procedures</w:t>
      </w:r>
      <w:r w:rsidR="12DFED15" w:rsidRPr="00A318F7">
        <w:t>,</w:t>
      </w:r>
      <w:r w:rsidR="0062751D" w:rsidRPr="00A318F7">
        <w:t xml:space="preserve"> policies</w:t>
      </w:r>
      <w:r w:rsidR="0087283E" w:rsidRPr="00A318F7">
        <w:t xml:space="preserve"> </w:t>
      </w:r>
      <w:r w:rsidR="15695BBB" w:rsidRPr="00A318F7">
        <w:t>and guidelines</w:t>
      </w:r>
      <w:r w:rsidR="0087283E" w:rsidRPr="00A318F7">
        <w:t xml:space="preserve"> </w:t>
      </w:r>
      <w:r w:rsidR="00CF22E5" w:rsidRPr="00A318F7">
        <w:t>–</w:t>
      </w:r>
      <w:r w:rsidR="0087283E" w:rsidRPr="00A318F7">
        <w:t xml:space="preserve"> particularly the ability to </w:t>
      </w:r>
      <w:r w:rsidR="00CF22E5" w:rsidRPr="00A318F7">
        <w:t>modify</w:t>
      </w:r>
      <w:r w:rsidR="0087283E" w:rsidRPr="00A318F7">
        <w:t xml:space="preserve"> them if they are not achieving their intended purpose</w:t>
      </w:r>
    </w:p>
    <w:p w14:paraId="24661651" w14:textId="5946A771" w:rsidR="088FBE3B" w:rsidRPr="00A318F7" w:rsidRDefault="004B7CF3" w:rsidP="00274AA9">
      <w:pPr>
        <w:pStyle w:val="ListBullet"/>
      </w:pPr>
      <w:r w:rsidRPr="00A318F7">
        <w:t xml:space="preserve">how </w:t>
      </w:r>
      <w:r w:rsidR="003124F8" w:rsidRPr="00A318F7">
        <w:t>enshrining</w:t>
      </w:r>
      <w:r w:rsidRPr="00A318F7">
        <w:t xml:space="preserve"> a voice should be </w:t>
      </w:r>
      <w:r w:rsidR="003124F8" w:rsidRPr="00A318F7">
        <w:t xml:space="preserve">given effect </w:t>
      </w:r>
      <w:r w:rsidR="00B5556D" w:rsidRPr="00A318F7">
        <w:t>– that is</w:t>
      </w:r>
      <w:r w:rsidR="00B23628">
        <w:t>,</w:t>
      </w:r>
      <w:r w:rsidR="003124F8" w:rsidRPr="00A318F7">
        <w:t xml:space="preserve"> how </w:t>
      </w:r>
      <w:r w:rsidR="00B5556D" w:rsidRPr="00A318F7">
        <w:t>should</w:t>
      </w:r>
      <w:r w:rsidR="003124F8" w:rsidRPr="00A318F7">
        <w:t xml:space="preserve"> legislation be amended, </w:t>
      </w:r>
      <w:r w:rsidR="009C2CA7" w:rsidRPr="00A318F7">
        <w:t xml:space="preserve">what change </w:t>
      </w:r>
      <w:r w:rsidR="00B5556D" w:rsidRPr="00A318F7">
        <w:t>should be made to the existing powers and functions under the NHA.</w:t>
      </w:r>
      <w:r w:rsidR="009C2CA7" w:rsidRPr="00A318F7">
        <w:t xml:space="preserve"> </w:t>
      </w:r>
    </w:p>
    <w:p w14:paraId="44F3849B" w14:textId="1FBFBF93" w:rsidR="00924024" w:rsidRDefault="00CF22E5" w:rsidP="004E48B3">
      <w:pPr>
        <w:spacing w:before="240" w:after="0" w:line="257" w:lineRule="auto"/>
        <w:rPr>
          <w:rFonts w:eastAsia="Segoe UI" w:cs="Segoe UI"/>
          <w:color w:val="000000" w:themeColor="text1"/>
        </w:rPr>
      </w:pPr>
      <w:r>
        <w:rPr>
          <w:rStyle w:val="normaltextrun"/>
          <w:rFonts w:eastAsia="Segoe UI" w:cs="Segoe UI"/>
          <w:color w:val="000000" w:themeColor="text1"/>
        </w:rPr>
        <w:t>A</w:t>
      </w:r>
      <w:r w:rsidR="00924024" w:rsidRPr="7B815C66">
        <w:rPr>
          <w:rStyle w:val="normaltextrun"/>
          <w:rFonts w:eastAsia="Segoe UI" w:cs="Segoe UI"/>
          <w:color w:val="000000" w:themeColor="text1"/>
        </w:rPr>
        <w:t xml:space="preserve"> stakeholder</w:t>
      </w:r>
      <w:r w:rsidR="00924024" w:rsidRPr="78573AEB">
        <w:rPr>
          <w:rStyle w:val="normaltextrun"/>
          <w:rFonts w:eastAsia="Segoe UI" w:cs="Segoe UI"/>
          <w:color w:val="000000" w:themeColor="text1"/>
        </w:rPr>
        <w:t xml:space="preserve"> engagement </w:t>
      </w:r>
      <w:r w:rsidR="00924024" w:rsidRPr="38729A65">
        <w:rPr>
          <w:rStyle w:val="normaltextrun"/>
          <w:rFonts w:eastAsia="Segoe UI" w:cs="Segoe UI"/>
          <w:color w:val="000000" w:themeColor="text1"/>
        </w:rPr>
        <w:t>framework</w:t>
      </w:r>
      <w:r w:rsidR="00924024" w:rsidRPr="78573AEB">
        <w:rPr>
          <w:rStyle w:val="normaltextrun"/>
          <w:rFonts w:eastAsia="Segoe UI" w:cs="Segoe UI"/>
          <w:color w:val="000000" w:themeColor="text1"/>
        </w:rPr>
        <w:t xml:space="preserve"> should:</w:t>
      </w:r>
    </w:p>
    <w:p w14:paraId="4D330E4B" w14:textId="1A252201" w:rsidR="0DAEF714" w:rsidRPr="002611B0" w:rsidRDefault="00767840" w:rsidP="00281153">
      <w:pPr>
        <w:pStyle w:val="ListBullet"/>
        <w:numPr>
          <w:ilvl w:val="0"/>
          <w:numId w:val="76"/>
        </w:numPr>
        <w:rPr>
          <w:rStyle w:val="normaltextrun"/>
          <w:color w:val="000000" w:themeColor="text1"/>
        </w:rPr>
      </w:pPr>
      <w:r>
        <w:rPr>
          <w:lang w:val="en-US"/>
        </w:rPr>
        <w:t xml:space="preserve">be </w:t>
      </w:r>
      <w:r w:rsidR="00CF22E5">
        <w:rPr>
          <w:lang w:val="en-US"/>
        </w:rPr>
        <w:t>c</w:t>
      </w:r>
      <w:r w:rsidR="0DAEF714" w:rsidRPr="0001289B">
        <w:rPr>
          <w:lang w:val="en-US"/>
        </w:rPr>
        <w:t>onsistent</w:t>
      </w:r>
      <w:r w:rsidR="0DAEF714" w:rsidRPr="717E76F1">
        <w:rPr>
          <w:rStyle w:val="normaltextrun"/>
          <w:color w:val="000000" w:themeColor="text1"/>
        </w:rPr>
        <w:t xml:space="preserve"> with the principles of the Enhanced </w:t>
      </w:r>
      <w:r w:rsidR="009C423E" w:rsidRPr="3AD943D9">
        <w:t xml:space="preserve">Consumer Engagement </w:t>
      </w:r>
      <w:r w:rsidR="0DAEF714" w:rsidRPr="717E76F1">
        <w:rPr>
          <w:rStyle w:val="normaltextrun"/>
          <w:color w:val="000000" w:themeColor="text1"/>
        </w:rPr>
        <w:t>Process</w:t>
      </w:r>
      <w:r w:rsidR="00FA396E">
        <w:rPr>
          <w:rStyle w:val="normaltextrun"/>
          <w:color w:val="000000" w:themeColor="text1"/>
        </w:rPr>
        <w:t xml:space="preserve"> to</w:t>
      </w:r>
      <w:r w:rsidR="0DAEF714" w:rsidRPr="717E76F1">
        <w:rPr>
          <w:rStyle w:val="normaltextrun"/>
          <w:color w:val="000000" w:themeColor="text1"/>
        </w:rPr>
        <w:t>:</w:t>
      </w:r>
    </w:p>
    <w:p w14:paraId="3AB820DF" w14:textId="09DFEAAE" w:rsidR="0DAEF714" w:rsidRDefault="00A84D78" w:rsidP="00281153">
      <w:pPr>
        <w:pStyle w:val="ListBullet"/>
        <w:numPr>
          <w:ilvl w:val="1"/>
          <w:numId w:val="8"/>
        </w:numPr>
      </w:pPr>
      <w:r>
        <w:rPr>
          <w:rStyle w:val="normaltextrun"/>
          <w:color w:val="000000" w:themeColor="text1"/>
        </w:rPr>
        <w:lastRenderedPageBreak/>
        <w:t>prioritis</w:t>
      </w:r>
      <w:r w:rsidR="009C423E">
        <w:rPr>
          <w:rStyle w:val="normaltextrun"/>
          <w:color w:val="000000" w:themeColor="text1"/>
        </w:rPr>
        <w:t>e</w:t>
      </w:r>
      <w:r>
        <w:rPr>
          <w:rStyle w:val="normaltextrun"/>
          <w:color w:val="000000" w:themeColor="text1"/>
        </w:rPr>
        <w:t xml:space="preserve"> c</w:t>
      </w:r>
      <w:r w:rsidR="0DAEF714" w:rsidRPr="717E76F1">
        <w:rPr>
          <w:rStyle w:val="normaltextrun"/>
          <w:color w:val="000000" w:themeColor="text1"/>
        </w:rPr>
        <w:t>onsumer evidence and experience</w:t>
      </w:r>
      <w:r w:rsidR="009F0220">
        <w:rPr>
          <w:rStyle w:val="normaltextrun"/>
          <w:color w:val="000000" w:themeColor="text1"/>
        </w:rPr>
        <w:t>,</w:t>
      </w:r>
      <w:r w:rsidR="0DAEF714" w:rsidRPr="717E76F1">
        <w:rPr>
          <w:rStyle w:val="normaltextrun"/>
          <w:color w:val="000000" w:themeColor="text1"/>
        </w:rPr>
        <w:t xml:space="preserve"> and </w:t>
      </w:r>
      <w:r>
        <w:rPr>
          <w:rStyle w:val="normaltextrun"/>
          <w:color w:val="000000" w:themeColor="text1"/>
        </w:rPr>
        <w:t>mak</w:t>
      </w:r>
      <w:r w:rsidR="00767840">
        <w:rPr>
          <w:rStyle w:val="normaltextrun"/>
          <w:color w:val="000000" w:themeColor="text1"/>
        </w:rPr>
        <w:t>ing</w:t>
      </w:r>
      <w:r>
        <w:rPr>
          <w:rStyle w:val="normaltextrun"/>
          <w:color w:val="000000" w:themeColor="text1"/>
        </w:rPr>
        <w:t xml:space="preserve"> it </w:t>
      </w:r>
      <w:r w:rsidR="0DAEF714" w:rsidRPr="717E76F1">
        <w:rPr>
          <w:rStyle w:val="normaltextrun"/>
          <w:color w:val="000000" w:themeColor="text1"/>
        </w:rPr>
        <w:t xml:space="preserve">integral </w:t>
      </w:r>
      <w:r w:rsidR="009F0220">
        <w:rPr>
          <w:rStyle w:val="normaltextrun"/>
          <w:color w:val="000000" w:themeColor="text1"/>
        </w:rPr>
        <w:t>to</w:t>
      </w:r>
      <w:r w:rsidR="0DAEF714" w:rsidRPr="717E76F1">
        <w:rPr>
          <w:rStyle w:val="normaltextrun"/>
          <w:color w:val="000000" w:themeColor="text1"/>
        </w:rPr>
        <w:t xml:space="preserve"> </w:t>
      </w:r>
      <w:r w:rsidR="00265977">
        <w:rPr>
          <w:rStyle w:val="normaltextrun"/>
          <w:color w:val="000000" w:themeColor="text1"/>
        </w:rPr>
        <w:t>HTA</w:t>
      </w:r>
      <w:r>
        <w:rPr>
          <w:rStyle w:val="normaltextrun"/>
          <w:color w:val="000000" w:themeColor="text1"/>
        </w:rPr>
        <w:t xml:space="preserve"> </w:t>
      </w:r>
      <w:r w:rsidR="0DAEF714" w:rsidRPr="717E76F1">
        <w:rPr>
          <w:rStyle w:val="normaltextrun"/>
          <w:color w:val="000000" w:themeColor="text1"/>
        </w:rPr>
        <w:t>processes</w:t>
      </w:r>
    </w:p>
    <w:p w14:paraId="44D1EBBF" w14:textId="6E3AD4E6" w:rsidR="0DAEF714" w:rsidRDefault="00767840" w:rsidP="00281153">
      <w:pPr>
        <w:pStyle w:val="ListBullet"/>
        <w:numPr>
          <w:ilvl w:val="1"/>
          <w:numId w:val="8"/>
        </w:numPr>
      </w:pPr>
      <w:r>
        <w:rPr>
          <w:rStyle w:val="normaltextrun"/>
          <w:color w:val="000000" w:themeColor="text1"/>
        </w:rPr>
        <w:t>ensur</w:t>
      </w:r>
      <w:r w:rsidR="009C423E">
        <w:rPr>
          <w:rStyle w:val="normaltextrun"/>
          <w:color w:val="000000" w:themeColor="text1"/>
        </w:rPr>
        <w:t>e</w:t>
      </w:r>
      <w:r>
        <w:rPr>
          <w:rStyle w:val="normaltextrun"/>
          <w:color w:val="000000" w:themeColor="text1"/>
        </w:rPr>
        <w:t xml:space="preserve"> that</w:t>
      </w:r>
      <w:r w:rsidR="009F0220">
        <w:rPr>
          <w:rStyle w:val="normaltextrun"/>
          <w:color w:val="000000" w:themeColor="text1"/>
        </w:rPr>
        <w:t xml:space="preserve"> r</w:t>
      </w:r>
      <w:r w:rsidR="0DAEF714" w:rsidRPr="717E76F1">
        <w:rPr>
          <w:rStyle w:val="normaltextrun"/>
          <w:color w:val="000000" w:themeColor="text1"/>
        </w:rPr>
        <w:t>ecommendations t</w:t>
      </w:r>
      <w:r w:rsidR="009F0220">
        <w:rPr>
          <w:rStyle w:val="normaltextrun"/>
          <w:color w:val="000000" w:themeColor="text1"/>
        </w:rPr>
        <w:t>hat</w:t>
      </w:r>
      <w:r w:rsidR="0DAEF714" w:rsidRPr="717E76F1">
        <w:rPr>
          <w:rStyle w:val="normaltextrun"/>
          <w:color w:val="000000" w:themeColor="text1"/>
        </w:rPr>
        <w:t xml:space="preserve"> </w:t>
      </w:r>
      <w:r w:rsidR="009F0220">
        <w:rPr>
          <w:rStyle w:val="normaltextrun"/>
          <w:color w:val="000000" w:themeColor="text1"/>
        </w:rPr>
        <w:t>improv</w:t>
      </w:r>
      <w:r>
        <w:rPr>
          <w:rStyle w:val="normaltextrun"/>
          <w:color w:val="000000" w:themeColor="text1"/>
        </w:rPr>
        <w:t xml:space="preserve">e </w:t>
      </w:r>
      <w:r w:rsidR="0DAEF714" w:rsidRPr="717E76F1">
        <w:rPr>
          <w:rStyle w:val="normaltextrun"/>
          <w:color w:val="000000" w:themeColor="text1"/>
        </w:rPr>
        <w:t xml:space="preserve">consumer engagement </w:t>
      </w:r>
      <w:r w:rsidR="009F0220">
        <w:rPr>
          <w:rStyle w:val="normaltextrun"/>
          <w:color w:val="000000" w:themeColor="text1"/>
        </w:rPr>
        <w:t xml:space="preserve">do </w:t>
      </w:r>
      <w:r w:rsidR="0DAEF714" w:rsidRPr="717E76F1">
        <w:rPr>
          <w:rStyle w:val="normaltextrun"/>
          <w:color w:val="000000" w:themeColor="text1"/>
        </w:rPr>
        <w:t xml:space="preserve">not delay access to </w:t>
      </w:r>
      <w:r w:rsidR="19256729" w:rsidRPr="760B44C9">
        <w:rPr>
          <w:rStyle w:val="normaltextrun"/>
          <w:color w:val="000000" w:themeColor="text1"/>
        </w:rPr>
        <w:t>health technologies</w:t>
      </w:r>
    </w:p>
    <w:p w14:paraId="444DC4F8" w14:textId="62066487" w:rsidR="0DAEF714" w:rsidRDefault="00767840" w:rsidP="00281153">
      <w:pPr>
        <w:pStyle w:val="ListBullet"/>
        <w:numPr>
          <w:ilvl w:val="1"/>
          <w:numId w:val="8"/>
        </w:numPr>
      </w:pPr>
      <w:r>
        <w:rPr>
          <w:rStyle w:val="normaltextrun"/>
          <w:color w:val="000000" w:themeColor="text1"/>
        </w:rPr>
        <w:t>prioritis</w:t>
      </w:r>
      <w:r w:rsidR="009C423E">
        <w:rPr>
          <w:rStyle w:val="normaltextrun"/>
          <w:color w:val="000000" w:themeColor="text1"/>
        </w:rPr>
        <w:t>e</w:t>
      </w:r>
      <w:r>
        <w:rPr>
          <w:rStyle w:val="normaltextrun"/>
          <w:color w:val="000000" w:themeColor="text1"/>
        </w:rPr>
        <w:t xml:space="preserve"> e</w:t>
      </w:r>
      <w:r w:rsidR="0DAEF714" w:rsidRPr="717E76F1">
        <w:rPr>
          <w:rStyle w:val="normaltextrun"/>
          <w:color w:val="000000" w:themeColor="text1"/>
        </w:rPr>
        <w:t xml:space="preserve">nhancements for consumer engagement </w:t>
      </w:r>
      <w:r>
        <w:rPr>
          <w:rStyle w:val="normaltextrun"/>
          <w:color w:val="000000" w:themeColor="text1"/>
        </w:rPr>
        <w:t>that</w:t>
      </w:r>
      <w:r w:rsidR="0DAEF714" w:rsidRPr="717E76F1">
        <w:rPr>
          <w:rStyle w:val="normaltextrun"/>
          <w:color w:val="000000" w:themeColor="text1"/>
        </w:rPr>
        <w:t xml:space="preserve"> achieve</w:t>
      </w:r>
      <w:r>
        <w:rPr>
          <w:rStyle w:val="normaltextrun"/>
          <w:color w:val="000000" w:themeColor="text1"/>
        </w:rPr>
        <w:t>s</w:t>
      </w:r>
      <w:r w:rsidR="0DAEF714" w:rsidRPr="717E76F1">
        <w:rPr>
          <w:rStyle w:val="normaltextrun"/>
          <w:color w:val="000000" w:themeColor="text1"/>
        </w:rPr>
        <w:t xml:space="preserve"> maximum impact through implementation.</w:t>
      </w:r>
    </w:p>
    <w:p w14:paraId="768A3BFA" w14:textId="656CA4F5" w:rsidR="0DAEF714" w:rsidRPr="0001289B" w:rsidRDefault="00767840" w:rsidP="00281153">
      <w:pPr>
        <w:pStyle w:val="ListBullet"/>
        <w:numPr>
          <w:ilvl w:val="0"/>
          <w:numId w:val="76"/>
        </w:numPr>
        <w:rPr>
          <w:lang w:val="en-US"/>
        </w:rPr>
      </w:pPr>
      <w:r>
        <w:rPr>
          <w:lang w:val="en-US"/>
        </w:rPr>
        <w:t>i</w:t>
      </w:r>
      <w:r w:rsidR="0DAEF714" w:rsidRPr="0001289B">
        <w:rPr>
          <w:lang w:val="en-US"/>
        </w:rPr>
        <w:t>nclude approaches t</w:t>
      </w:r>
      <w:r>
        <w:rPr>
          <w:lang w:val="en-US"/>
        </w:rPr>
        <w:t>hat</w:t>
      </w:r>
      <w:r w:rsidR="0DAEF714" w:rsidRPr="0001289B">
        <w:rPr>
          <w:lang w:val="en-US"/>
        </w:rPr>
        <w:t xml:space="preserve"> improve clinician engagement</w:t>
      </w:r>
    </w:p>
    <w:p w14:paraId="302BD684" w14:textId="417739AA" w:rsidR="0DAEF714" w:rsidRPr="0001289B" w:rsidRDefault="006D16C7" w:rsidP="00281153">
      <w:pPr>
        <w:pStyle w:val="ListBullet"/>
        <w:numPr>
          <w:ilvl w:val="0"/>
          <w:numId w:val="76"/>
        </w:numPr>
        <w:rPr>
          <w:lang w:val="en-US"/>
        </w:rPr>
      </w:pPr>
      <w:r>
        <w:rPr>
          <w:lang w:val="en-US"/>
        </w:rPr>
        <w:t>m</w:t>
      </w:r>
      <w:r w:rsidR="0DAEF714" w:rsidRPr="0001289B">
        <w:rPr>
          <w:lang w:val="en-US"/>
        </w:rPr>
        <w:t xml:space="preserve">ake visible equity and inclusion of First Nations communities </w:t>
      </w:r>
    </w:p>
    <w:p w14:paraId="1CD140A0" w14:textId="2CC697F6" w:rsidR="0DAEF714" w:rsidRPr="0001289B" w:rsidRDefault="00767840" w:rsidP="00281153">
      <w:pPr>
        <w:pStyle w:val="ListBullet"/>
        <w:numPr>
          <w:ilvl w:val="0"/>
          <w:numId w:val="76"/>
        </w:numPr>
        <w:rPr>
          <w:lang w:val="en-US"/>
        </w:rPr>
      </w:pPr>
      <w:r>
        <w:rPr>
          <w:lang w:val="en-US"/>
        </w:rPr>
        <w:t>s</w:t>
      </w:r>
      <w:r w:rsidR="0DAEF714" w:rsidRPr="0001289B">
        <w:rPr>
          <w:lang w:val="en-US"/>
        </w:rPr>
        <w:t xml:space="preserve">upport and </w:t>
      </w:r>
      <w:proofErr w:type="spellStart"/>
      <w:r w:rsidR="002E6F2F">
        <w:rPr>
          <w:lang w:val="en-US"/>
        </w:rPr>
        <w:t>emphasise</w:t>
      </w:r>
      <w:proofErr w:type="spellEnd"/>
      <w:r w:rsidR="0DAEF714" w:rsidRPr="0001289B">
        <w:rPr>
          <w:lang w:val="en-US"/>
        </w:rPr>
        <w:t xml:space="preserve"> equity and inclusion of socially, culturally and linguistically diverse communities and under</w:t>
      </w:r>
      <w:r w:rsidR="00BF6B6E">
        <w:rPr>
          <w:lang w:val="en-US"/>
        </w:rPr>
        <w:t>-</w:t>
      </w:r>
      <w:r w:rsidR="0DAEF714" w:rsidRPr="0001289B">
        <w:rPr>
          <w:lang w:val="en-US"/>
        </w:rPr>
        <w:t>represented groups</w:t>
      </w:r>
    </w:p>
    <w:p w14:paraId="22A8F638" w14:textId="2C39BE74" w:rsidR="0DAEF714" w:rsidRDefault="002E6F2F" w:rsidP="00281153">
      <w:pPr>
        <w:pStyle w:val="ListBullet"/>
        <w:numPr>
          <w:ilvl w:val="0"/>
          <w:numId w:val="76"/>
        </w:numPr>
      </w:pPr>
      <w:r>
        <w:rPr>
          <w:lang w:val="en-US"/>
        </w:rPr>
        <w:t>d</w:t>
      </w:r>
      <w:r w:rsidR="0DAEF714" w:rsidRPr="0001289B">
        <w:rPr>
          <w:lang w:val="en-US"/>
        </w:rPr>
        <w:t>escribe how and why engagement is used to support HTA</w:t>
      </w:r>
      <w:r>
        <w:rPr>
          <w:lang w:val="en-US"/>
        </w:rPr>
        <w:t>s</w:t>
      </w:r>
      <w:r w:rsidR="0DAEF714" w:rsidRPr="0001289B">
        <w:rPr>
          <w:lang w:val="en-US"/>
        </w:rPr>
        <w:t xml:space="preserve"> and </w:t>
      </w:r>
      <w:r>
        <w:rPr>
          <w:lang w:val="en-US"/>
        </w:rPr>
        <w:t>improve</w:t>
      </w:r>
      <w:r w:rsidR="0DAEF714" w:rsidRPr="0001289B">
        <w:rPr>
          <w:lang w:val="en-US"/>
        </w:rPr>
        <w:t xml:space="preserve"> patient outcomes</w:t>
      </w:r>
      <w:r w:rsidR="0DAEF714" w:rsidRPr="717E76F1">
        <w:rPr>
          <w:rStyle w:val="normaltextrun"/>
          <w:color w:val="000000" w:themeColor="text1"/>
        </w:rPr>
        <w:t xml:space="preserve"> across the system</w:t>
      </w:r>
      <w:r>
        <w:rPr>
          <w:rStyle w:val="normaltextrun"/>
          <w:color w:val="000000" w:themeColor="text1"/>
        </w:rPr>
        <w:t>,</w:t>
      </w:r>
      <w:r w:rsidR="0DAEF714" w:rsidRPr="717E76F1">
        <w:rPr>
          <w:rStyle w:val="normaltextrun"/>
          <w:color w:val="000000" w:themeColor="text1"/>
        </w:rPr>
        <w:t xml:space="preserve"> and all relevant processes</w:t>
      </w:r>
      <w:r>
        <w:rPr>
          <w:rStyle w:val="normaltextrun"/>
          <w:color w:val="000000" w:themeColor="text1"/>
        </w:rPr>
        <w:t>,</w:t>
      </w:r>
      <w:r w:rsidR="0DAEF714" w:rsidRPr="717E76F1">
        <w:rPr>
          <w:rStyle w:val="normaltextrun"/>
          <w:color w:val="000000" w:themeColor="text1"/>
        </w:rPr>
        <w:t xml:space="preserve"> including</w:t>
      </w:r>
      <w:r w:rsidR="00FD4C75">
        <w:rPr>
          <w:rStyle w:val="normaltextrun"/>
          <w:color w:val="000000" w:themeColor="text1"/>
        </w:rPr>
        <w:t>:</w:t>
      </w:r>
    </w:p>
    <w:p w14:paraId="46FA8FBF" w14:textId="59C0816C" w:rsidR="0DAEF714" w:rsidRPr="002664F5" w:rsidRDefault="0DAEF714" w:rsidP="00281153">
      <w:pPr>
        <w:pStyle w:val="ListBullet"/>
        <w:numPr>
          <w:ilvl w:val="1"/>
          <w:numId w:val="8"/>
        </w:numPr>
        <w:rPr>
          <w:rStyle w:val="normaltextrun"/>
        </w:rPr>
      </w:pPr>
      <w:r w:rsidRPr="717E76F1">
        <w:rPr>
          <w:rStyle w:val="normaltextrun"/>
          <w:color w:val="000000" w:themeColor="text1"/>
        </w:rPr>
        <w:t>horizon scanning, PICO</w:t>
      </w:r>
      <w:r w:rsidR="002E6F2F">
        <w:rPr>
          <w:rStyle w:val="normaltextrun"/>
          <w:color w:val="000000" w:themeColor="text1"/>
        </w:rPr>
        <w:t>s</w:t>
      </w:r>
      <w:r w:rsidRPr="717E76F1">
        <w:rPr>
          <w:rStyle w:val="normaltextrun"/>
          <w:color w:val="000000" w:themeColor="text1"/>
        </w:rPr>
        <w:t>, pre-submission</w:t>
      </w:r>
      <w:r w:rsidR="002E6F2F">
        <w:rPr>
          <w:rStyle w:val="normaltextrun"/>
          <w:color w:val="000000" w:themeColor="text1"/>
        </w:rPr>
        <w:t>s</w:t>
      </w:r>
      <w:r w:rsidRPr="717E76F1">
        <w:rPr>
          <w:rStyle w:val="normaltextrun"/>
          <w:color w:val="000000" w:themeColor="text1"/>
        </w:rPr>
        <w:t>, evaluation</w:t>
      </w:r>
      <w:r w:rsidR="002E6F2F">
        <w:rPr>
          <w:rStyle w:val="normaltextrun"/>
          <w:color w:val="000000" w:themeColor="text1"/>
        </w:rPr>
        <w:t>s</w:t>
      </w:r>
      <w:r w:rsidRPr="717E76F1">
        <w:rPr>
          <w:rStyle w:val="normaltextrun"/>
          <w:color w:val="000000" w:themeColor="text1"/>
        </w:rPr>
        <w:t>, appraisal</w:t>
      </w:r>
      <w:r w:rsidR="002E6F2F">
        <w:rPr>
          <w:rStyle w:val="normaltextrun"/>
          <w:color w:val="000000" w:themeColor="text1"/>
        </w:rPr>
        <w:t>s</w:t>
      </w:r>
      <w:r w:rsidRPr="717E76F1">
        <w:rPr>
          <w:rStyle w:val="normaltextrun"/>
          <w:color w:val="000000" w:themeColor="text1"/>
        </w:rPr>
        <w:t xml:space="preserve">, </w:t>
      </w:r>
      <w:r w:rsidR="002E6F2F">
        <w:rPr>
          <w:rStyle w:val="normaltextrun"/>
          <w:color w:val="000000" w:themeColor="text1"/>
        </w:rPr>
        <w:t>PMRs</w:t>
      </w:r>
      <w:r w:rsidRPr="717E76F1">
        <w:rPr>
          <w:rStyle w:val="normaltextrun"/>
          <w:color w:val="000000" w:themeColor="text1"/>
        </w:rPr>
        <w:t xml:space="preserve"> and disinvestment in </w:t>
      </w:r>
      <w:r w:rsidR="0016539C">
        <w:rPr>
          <w:rStyle w:val="normaltextrun"/>
          <w:color w:val="000000" w:themeColor="text1"/>
        </w:rPr>
        <w:t>health technologies</w:t>
      </w:r>
    </w:p>
    <w:p w14:paraId="15695E38" w14:textId="77777777" w:rsidR="0DAEF714" w:rsidRPr="002664F5" w:rsidRDefault="0DAEF714" w:rsidP="00281153">
      <w:pPr>
        <w:pStyle w:val="ListBullet"/>
        <w:numPr>
          <w:ilvl w:val="1"/>
          <w:numId w:val="8"/>
        </w:numPr>
        <w:rPr>
          <w:rStyle w:val="normaltextrun"/>
        </w:rPr>
      </w:pPr>
      <w:r w:rsidRPr="717E76F1">
        <w:rPr>
          <w:rStyle w:val="normaltextrun"/>
          <w:color w:val="000000" w:themeColor="text1"/>
        </w:rPr>
        <w:t>the wider health technology pathway of clinical research, other evidence development and regulation</w:t>
      </w:r>
    </w:p>
    <w:p w14:paraId="065036EE" w14:textId="00D8F080" w:rsidR="0DAEF714" w:rsidRPr="002664F5" w:rsidRDefault="0DAEF714" w:rsidP="00281153">
      <w:pPr>
        <w:pStyle w:val="ListBullet"/>
        <w:numPr>
          <w:ilvl w:val="1"/>
          <w:numId w:val="8"/>
        </w:numPr>
        <w:rPr>
          <w:rStyle w:val="normaltextrun"/>
        </w:rPr>
      </w:pPr>
      <w:r w:rsidRPr="717E76F1">
        <w:rPr>
          <w:rStyle w:val="normaltextrun"/>
          <w:color w:val="000000" w:themeColor="text1"/>
        </w:rPr>
        <w:t xml:space="preserve">co-design of new processes and tools arising from </w:t>
      </w:r>
      <w:r w:rsidR="006F36E9">
        <w:rPr>
          <w:rStyle w:val="normaltextrun"/>
          <w:color w:val="000000" w:themeColor="text1"/>
        </w:rPr>
        <w:t>the Review</w:t>
      </w:r>
      <w:r w:rsidR="00453069">
        <w:rPr>
          <w:rStyle w:val="normaltextrun"/>
          <w:color w:val="000000" w:themeColor="text1"/>
        </w:rPr>
        <w:t xml:space="preserve"> </w:t>
      </w:r>
    </w:p>
    <w:p w14:paraId="4E57FEDC" w14:textId="116EDE57" w:rsidR="0DAEF714" w:rsidRPr="0001289B" w:rsidRDefault="000D3601" w:rsidP="00281153">
      <w:pPr>
        <w:pStyle w:val="ListBullet"/>
        <w:numPr>
          <w:ilvl w:val="0"/>
          <w:numId w:val="76"/>
        </w:numPr>
        <w:rPr>
          <w:lang w:val="en-US"/>
        </w:rPr>
      </w:pPr>
      <w:r>
        <w:rPr>
          <w:rStyle w:val="normaltextrun"/>
          <w:color w:val="000000" w:themeColor="text1"/>
        </w:rPr>
        <w:t>d</w:t>
      </w:r>
      <w:r w:rsidR="0DAEF714" w:rsidRPr="717E76F1">
        <w:rPr>
          <w:rStyle w:val="normaltextrun"/>
          <w:color w:val="000000" w:themeColor="text1"/>
        </w:rPr>
        <w:t>evelop opportunities for dialogue including real</w:t>
      </w:r>
      <w:r>
        <w:rPr>
          <w:rStyle w:val="normaltextrun"/>
          <w:color w:val="000000" w:themeColor="text1"/>
        </w:rPr>
        <w:t>-</w:t>
      </w:r>
      <w:r w:rsidR="0DAEF714" w:rsidRPr="717E76F1">
        <w:rPr>
          <w:rStyle w:val="normaltextrun"/>
          <w:color w:val="000000" w:themeColor="text1"/>
        </w:rPr>
        <w:t xml:space="preserve">time interaction at committee </w:t>
      </w:r>
      <w:r w:rsidR="0DAEF714" w:rsidRPr="0001289B">
        <w:rPr>
          <w:lang w:val="en-US"/>
        </w:rPr>
        <w:t>meetings</w:t>
      </w:r>
    </w:p>
    <w:p w14:paraId="20D912D1" w14:textId="655466E7" w:rsidR="0DAEF714" w:rsidRDefault="000D3601" w:rsidP="00281153">
      <w:pPr>
        <w:pStyle w:val="ListBullet"/>
        <w:numPr>
          <w:ilvl w:val="0"/>
          <w:numId w:val="76"/>
        </w:numPr>
      </w:pPr>
      <w:r>
        <w:rPr>
          <w:lang w:val="en-US"/>
        </w:rPr>
        <w:t>s</w:t>
      </w:r>
      <w:r w:rsidR="0DAEF714" w:rsidRPr="0001289B">
        <w:rPr>
          <w:lang w:val="en-US"/>
        </w:rPr>
        <w:t>et out</w:t>
      </w:r>
      <w:r w:rsidR="0DAEF714" w:rsidRPr="717E76F1">
        <w:rPr>
          <w:rStyle w:val="normaltextrun"/>
          <w:color w:val="000000" w:themeColor="text1"/>
        </w:rPr>
        <w:t xml:space="preserve"> the requirements to support this engagement including</w:t>
      </w:r>
      <w:r>
        <w:rPr>
          <w:rStyle w:val="normaltextrun"/>
          <w:color w:val="000000" w:themeColor="text1"/>
        </w:rPr>
        <w:t xml:space="preserve"> through</w:t>
      </w:r>
      <w:r w:rsidR="0DAEF714" w:rsidRPr="717E76F1">
        <w:rPr>
          <w:rStyle w:val="normaltextrun"/>
          <w:color w:val="000000" w:themeColor="text1"/>
        </w:rPr>
        <w:t>:</w:t>
      </w:r>
    </w:p>
    <w:p w14:paraId="42B3AE0C" w14:textId="71FC87B4" w:rsidR="0DAEF714" w:rsidRPr="002664F5" w:rsidRDefault="000D3601" w:rsidP="00281153">
      <w:pPr>
        <w:pStyle w:val="ListBullet"/>
        <w:numPr>
          <w:ilvl w:val="1"/>
          <w:numId w:val="8"/>
        </w:numPr>
        <w:rPr>
          <w:rStyle w:val="normaltextrun"/>
        </w:rPr>
      </w:pPr>
      <w:r>
        <w:rPr>
          <w:rStyle w:val="normaltextrun"/>
          <w:color w:val="000000" w:themeColor="text1"/>
        </w:rPr>
        <w:t>p</w:t>
      </w:r>
      <w:r w:rsidR="0DAEF714" w:rsidRPr="717E76F1">
        <w:rPr>
          <w:rStyle w:val="normaltextrun"/>
          <w:color w:val="000000" w:themeColor="text1"/>
        </w:rPr>
        <w:t>roactive identification of consumers</w:t>
      </w:r>
    </w:p>
    <w:p w14:paraId="0228DF33" w14:textId="05418DBD" w:rsidR="0DAEF714" w:rsidRPr="002664F5" w:rsidRDefault="000D3601" w:rsidP="00281153">
      <w:pPr>
        <w:pStyle w:val="ListBullet"/>
        <w:numPr>
          <w:ilvl w:val="1"/>
          <w:numId w:val="8"/>
        </w:numPr>
        <w:rPr>
          <w:rStyle w:val="normaltextrun"/>
        </w:rPr>
      </w:pPr>
      <w:r>
        <w:rPr>
          <w:rStyle w:val="normaltextrun"/>
          <w:color w:val="000000" w:themeColor="text1"/>
        </w:rPr>
        <w:t>a</w:t>
      </w:r>
      <w:r w:rsidR="0DAEF714" w:rsidRPr="717E76F1">
        <w:rPr>
          <w:rStyle w:val="normaltextrun"/>
          <w:color w:val="000000" w:themeColor="text1"/>
        </w:rPr>
        <w:t>udience</w:t>
      </w:r>
      <w:r>
        <w:rPr>
          <w:rStyle w:val="normaltextrun"/>
          <w:color w:val="000000" w:themeColor="text1"/>
        </w:rPr>
        <w:t>-</w:t>
      </w:r>
      <w:r w:rsidR="0DAEF714" w:rsidRPr="717E76F1">
        <w:rPr>
          <w:rStyle w:val="normaltextrun"/>
          <w:color w:val="000000" w:themeColor="text1"/>
        </w:rPr>
        <w:t xml:space="preserve"> and touchpoint</w:t>
      </w:r>
      <w:r>
        <w:rPr>
          <w:rStyle w:val="normaltextrun"/>
          <w:color w:val="000000" w:themeColor="text1"/>
        </w:rPr>
        <w:t>-</w:t>
      </w:r>
      <w:r w:rsidR="0DAEF714" w:rsidRPr="717E76F1">
        <w:rPr>
          <w:rStyle w:val="normaltextrun"/>
          <w:color w:val="000000" w:themeColor="text1"/>
        </w:rPr>
        <w:t xml:space="preserve">specific plain language </w:t>
      </w:r>
      <w:r w:rsidR="5C271852" w:rsidRPr="63992C91">
        <w:rPr>
          <w:rStyle w:val="normaltextrun"/>
          <w:color w:val="000000" w:themeColor="text1"/>
        </w:rPr>
        <w:t xml:space="preserve">summaries </w:t>
      </w:r>
      <w:r w:rsidR="0DAEF714" w:rsidRPr="717E76F1">
        <w:rPr>
          <w:rStyle w:val="normaltextrun"/>
          <w:color w:val="000000" w:themeColor="text1"/>
        </w:rPr>
        <w:t xml:space="preserve">co-developed to evolve </w:t>
      </w:r>
      <w:r>
        <w:rPr>
          <w:rStyle w:val="normaltextrun"/>
          <w:color w:val="000000" w:themeColor="text1"/>
        </w:rPr>
        <w:t>with</w:t>
      </w:r>
      <w:r w:rsidRPr="717E76F1">
        <w:rPr>
          <w:rStyle w:val="normaltextrun"/>
          <w:color w:val="000000" w:themeColor="text1"/>
        </w:rPr>
        <w:t xml:space="preserve"> </w:t>
      </w:r>
      <w:r w:rsidR="0DAEF714" w:rsidRPr="717E76F1">
        <w:rPr>
          <w:rStyle w:val="normaltextrun"/>
          <w:color w:val="000000" w:themeColor="text1"/>
        </w:rPr>
        <w:t>the process</w:t>
      </w:r>
    </w:p>
    <w:p w14:paraId="75075D06" w14:textId="6C81E2FB" w:rsidR="0DAEF714" w:rsidRPr="002664F5" w:rsidRDefault="000D3601" w:rsidP="00281153">
      <w:pPr>
        <w:pStyle w:val="ListBullet"/>
        <w:numPr>
          <w:ilvl w:val="1"/>
          <w:numId w:val="8"/>
        </w:numPr>
        <w:rPr>
          <w:rStyle w:val="normaltextrun"/>
        </w:rPr>
      </w:pPr>
      <w:r>
        <w:rPr>
          <w:rStyle w:val="normaltextrun"/>
          <w:color w:val="000000" w:themeColor="text1"/>
        </w:rPr>
        <w:t>c</w:t>
      </w:r>
      <w:r w:rsidR="0DAEF714" w:rsidRPr="717E76F1">
        <w:rPr>
          <w:rStyle w:val="normaltextrun"/>
          <w:color w:val="000000" w:themeColor="text1"/>
        </w:rPr>
        <w:t xml:space="preserve">onsumer subgroup requirements, especially considering those that do not engage with </w:t>
      </w:r>
      <w:r>
        <w:rPr>
          <w:rStyle w:val="normaltextrun"/>
          <w:color w:val="000000" w:themeColor="text1"/>
        </w:rPr>
        <w:t xml:space="preserve">the </w:t>
      </w:r>
      <w:r w:rsidR="0DAEF714" w:rsidRPr="717E76F1">
        <w:rPr>
          <w:rStyle w:val="normaltextrun"/>
          <w:color w:val="000000" w:themeColor="text1"/>
        </w:rPr>
        <w:t xml:space="preserve">online </w:t>
      </w:r>
      <w:r w:rsidR="00200F27">
        <w:rPr>
          <w:rStyle w:val="normaltextrun"/>
          <w:color w:val="000000" w:themeColor="text1"/>
        </w:rPr>
        <w:t xml:space="preserve">submission </w:t>
      </w:r>
      <w:r w:rsidR="0DAEF714" w:rsidRPr="717E76F1">
        <w:rPr>
          <w:rStyle w:val="normaltextrun"/>
          <w:color w:val="000000" w:themeColor="text1"/>
        </w:rPr>
        <w:t>portal</w:t>
      </w:r>
      <w:r>
        <w:rPr>
          <w:rStyle w:val="normaltextrun"/>
          <w:color w:val="000000" w:themeColor="text1"/>
        </w:rPr>
        <w:t>, and which</w:t>
      </w:r>
      <w:r w:rsidR="0DAEF714" w:rsidRPr="717E76F1">
        <w:rPr>
          <w:rStyle w:val="normaltextrun"/>
          <w:color w:val="000000" w:themeColor="text1"/>
        </w:rPr>
        <w:t xml:space="preserve"> may require co-designed solutions</w:t>
      </w:r>
    </w:p>
    <w:p w14:paraId="3688A38C" w14:textId="135B8C6A" w:rsidR="0DAEF714" w:rsidRPr="002664F5" w:rsidRDefault="000D3601" w:rsidP="00281153">
      <w:pPr>
        <w:pStyle w:val="ListBullet"/>
        <w:numPr>
          <w:ilvl w:val="1"/>
          <w:numId w:val="8"/>
        </w:numPr>
        <w:rPr>
          <w:rStyle w:val="normaltextrun"/>
        </w:rPr>
      </w:pPr>
      <w:r>
        <w:rPr>
          <w:rStyle w:val="normaltextrun"/>
          <w:color w:val="000000" w:themeColor="text1"/>
        </w:rPr>
        <w:t>t</w:t>
      </w:r>
      <w:r w:rsidR="0DAEF714" w:rsidRPr="717E76F1">
        <w:rPr>
          <w:rStyle w:val="normaltextrun"/>
          <w:color w:val="000000" w:themeColor="text1"/>
        </w:rPr>
        <w:t xml:space="preserve">raining and capacity building for external stakeholders </w:t>
      </w:r>
      <w:r w:rsidR="0D2CF5A3" w:rsidRPr="1E3B686C">
        <w:rPr>
          <w:rStyle w:val="normaltextrun"/>
          <w:color w:val="000000" w:themeColor="text1"/>
        </w:rPr>
        <w:t xml:space="preserve">to </w:t>
      </w:r>
      <w:r w:rsidR="0DAEF714" w:rsidRPr="1E3B686C">
        <w:rPr>
          <w:rStyle w:val="normaltextrun"/>
          <w:color w:val="000000" w:themeColor="text1"/>
        </w:rPr>
        <w:t>improve</w:t>
      </w:r>
      <w:r w:rsidR="0DAEF714" w:rsidRPr="717E76F1">
        <w:rPr>
          <w:rStyle w:val="normaltextrun"/>
          <w:color w:val="000000" w:themeColor="text1"/>
        </w:rPr>
        <w:t xml:space="preserve"> understanding of HTA processes </w:t>
      </w:r>
    </w:p>
    <w:p w14:paraId="32F6FFB6" w14:textId="4931E9E5" w:rsidR="0DAEF714" w:rsidRPr="002664F5" w:rsidRDefault="000D3601" w:rsidP="00281153">
      <w:pPr>
        <w:pStyle w:val="ListBullet"/>
        <w:numPr>
          <w:ilvl w:val="1"/>
          <w:numId w:val="8"/>
        </w:numPr>
        <w:rPr>
          <w:rStyle w:val="normaltextrun"/>
        </w:rPr>
      </w:pPr>
      <w:r>
        <w:rPr>
          <w:rStyle w:val="normaltextrun"/>
          <w:color w:val="000000" w:themeColor="text1"/>
        </w:rPr>
        <w:t>t</w:t>
      </w:r>
      <w:r w:rsidR="0DAEF714" w:rsidRPr="717E76F1">
        <w:rPr>
          <w:rStyle w:val="normaltextrun"/>
          <w:color w:val="000000" w:themeColor="text1"/>
        </w:rPr>
        <w:t>raining and capacity building for HTA staff, committee members and evaluators to improve understanding of consumer evidence and engagement</w:t>
      </w:r>
    </w:p>
    <w:p w14:paraId="48BCB864" w14:textId="0F06CD68" w:rsidR="0DAEF714" w:rsidRPr="002664F5" w:rsidRDefault="000D3601" w:rsidP="00281153">
      <w:pPr>
        <w:pStyle w:val="ListBullet"/>
        <w:numPr>
          <w:ilvl w:val="1"/>
          <w:numId w:val="8"/>
        </w:numPr>
        <w:rPr>
          <w:rStyle w:val="normaltextrun"/>
        </w:rPr>
      </w:pPr>
      <w:r>
        <w:rPr>
          <w:rStyle w:val="normaltextrun"/>
          <w:color w:val="000000" w:themeColor="text1"/>
        </w:rPr>
        <w:t>c</w:t>
      </w:r>
      <w:r w:rsidR="0DAEF714" w:rsidRPr="717E76F1">
        <w:rPr>
          <w:rStyle w:val="normaltextrun"/>
          <w:color w:val="000000" w:themeColor="text1"/>
        </w:rPr>
        <w:t>lear and transparent guidance about how input should be prepared, how it will be used by committees, and approaches for managing confidentiality and conflicts of interest </w:t>
      </w:r>
    </w:p>
    <w:p w14:paraId="0AFAB4EA" w14:textId="1AE6D1FB" w:rsidR="0DAEF714" w:rsidRPr="002664F5" w:rsidRDefault="00C64935" w:rsidP="00281153">
      <w:pPr>
        <w:pStyle w:val="ListBullet"/>
        <w:numPr>
          <w:ilvl w:val="1"/>
          <w:numId w:val="8"/>
        </w:numPr>
        <w:rPr>
          <w:rStyle w:val="normaltextrun"/>
        </w:rPr>
      </w:pPr>
      <w:r>
        <w:rPr>
          <w:rStyle w:val="normaltextrun"/>
          <w:color w:val="000000" w:themeColor="text1"/>
        </w:rPr>
        <w:t>c</w:t>
      </w:r>
      <w:r w:rsidR="0DAEF714" w:rsidRPr="717E76F1">
        <w:rPr>
          <w:rStyle w:val="normaltextrun"/>
          <w:color w:val="000000" w:themeColor="text1"/>
        </w:rPr>
        <w:t>lear reporting to groups about how their input has been used (such as through a values framework and briefings) </w:t>
      </w:r>
    </w:p>
    <w:p w14:paraId="4EFB2DA7" w14:textId="2FA40491" w:rsidR="0DAEF714" w:rsidRPr="002664F5" w:rsidRDefault="00C64935" w:rsidP="00281153">
      <w:pPr>
        <w:pStyle w:val="ListBullet"/>
        <w:numPr>
          <w:ilvl w:val="1"/>
          <w:numId w:val="8"/>
        </w:numPr>
        <w:rPr>
          <w:rStyle w:val="normaltextrun"/>
        </w:rPr>
      </w:pPr>
      <w:r>
        <w:rPr>
          <w:rStyle w:val="normaltextrun"/>
          <w:color w:val="000000" w:themeColor="text1"/>
        </w:rPr>
        <w:t>p</w:t>
      </w:r>
      <w:r w:rsidR="0DAEF714" w:rsidRPr="717E76F1">
        <w:rPr>
          <w:rStyle w:val="normaltextrun"/>
          <w:color w:val="000000" w:themeColor="text1"/>
        </w:rPr>
        <w:t>lans for process review and continuous improvement</w:t>
      </w:r>
    </w:p>
    <w:p w14:paraId="151345CC" w14:textId="24125138" w:rsidR="0DAEF714" w:rsidRPr="002664F5" w:rsidRDefault="00C64935" w:rsidP="00281153">
      <w:pPr>
        <w:pStyle w:val="ListBullet"/>
        <w:numPr>
          <w:ilvl w:val="1"/>
          <w:numId w:val="8"/>
        </w:numPr>
        <w:rPr>
          <w:rStyle w:val="normaltextrun"/>
        </w:rPr>
      </w:pPr>
      <w:r>
        <w:rPr>
          <w:rStyle w:val="normaltextrun"/>
          <w:color w:val="000000" w:themeColor="text1"/>
        </w:rPr>
        <w:t>h</w:t>
      </w:r>
      <w:r w:rsidR="0DAEF714" w:rsidRPr="717E76F1">
        <w:rPr>
          <w:rStyle w:val="normaltextrun"/>
          <w:color w:val="000000" w:themeColor="text1"/>
        </w:rPr>
        <w:t>ow consumer evidence and engagement elsewhere in the health technology process will be transparent to engaged consumers and how their engagement will be documented for later processes</w:t>
      </w:r>
    </w:p>
    <w:p w14:paraId="1F696CB1" w14:textId="377C6CBB" w:rsidR="0DAEF714" w:rsidRPr="002664F5" w:rsidRDefault="00C64935" w:rsidP="00281153">
      <w:pPr>
        <w:pStyle w:val="ListBullet"/>
        <w:numPr>
          <w:ilvl w:val="1"/>
          <w:numId w:val="8"/>
        </w:numPr>
        <w:rPr>
          <w:rStyle w:val="normaltextrun"/>
        </w:rPr>
      </w:pPr>
      <w:r>
        <w:rPr>
          <w:rStyle w:val="normaltextrun"/>
          <w:color w:val="000000" w:themeColor="text1"/>
        </w:rPr>
        <w:t>a</w:t>
      </w:r>
      <w:r w:rsidR="0DAEF714" w:rsidRPr="717E76F1">
        <w:rPr>
          <w:rStyle w:val="normaltextrun"/>
          <w:color w:val="000000" w:themeColor="text1"/>
        </w:rPr>
        <w:t xml:space="preserve">dequate resourcing </w:t>
      </w:r>
      <w:r>
        <w:rPr>
          <w:rStyle w:val="normaltextrun"/>
          <w:color w:val="000000" w:themeColor="text1"/>
        </w:rPr>
        <w:t>for</w:t>
      </w:r>
      <w:r w:rsidRPr="717E76F1">
        <w:rPr>
          <w:rStyle w:val="normaltextrun"/>
          <w:color w:val="000000" w:themeColor="text1"/>
        </w:rPr>
        <w:t xml:space="preserve"> </w:t>
      </w:r>
      <w:r w:rsidR="0DAEF714" w:rsidRPr="717E76F1">
        <w:rPr>
          <w:rStyle w:val="normaltextrun"/>
          <w:color w:val="000000" w:themeColor="text1"/>
        </w:rPr>
        <w:t>engagement and support</w:t>
      </w:r>
      <w:r>
        <w:rPr>
          <w:rStyle w:val="normaltextrun"/>
          <w:color w:val="000000" w:themeColor="text1"/>
        </w:rPr>
        <w:t>.</w:t>
      </w:r>
    </w:p>
    <w:p w14:paraId="272B8813" w14:textId="30CE333E" w:rsidR="2E799DDF" w:rsidRDefault="7051D1E6" w:rsidP="00A318F7">
      <w:pPr>
        <w:pStyle w:val="Heading3"/>
      </w:pPr>
      <w:bookmarkStart w:id="413" w:name="_Toc164691444"/>
      <w:bookmarkStart w:id="414" w:name="_Toc164696241"/>
      <w:bookmarkStart w:id="415" w:name="_Toc164696387"/>
      <w:bookmarkStart w:id="416" w:name="_Toc164767776"/>
      <w:bookmarkStart w:id="417" w:name="_Toc165473707"/>
      <w:r>
        <w:lastRenderedPageBreak/>
        <w:t>Conclusion</w:t>
      </w:r>
      <w:bookmarkEnd w:id="413"/>
      <w:bookmarkEnd w:id="414"/>
      <w:bookmarkEnd w:id="415"/>
      <w:bookmarkEnd w:id="416"/>
      <w:bookmarkEnd w:id="417"/>
    </w:p>
    <w:p w14:paraId="4C10022A" w14:textId="0CB21A6D" w:rsidR="7CA16210" w:rsidRDefault="00DF51B4" w:rsidP="0054031D">
      <w:r>
        <w:t xml:space="preserve">Increasing the </w:t>
      </w:r>
      <w:r w:rsidR="7CA16210" w:rsidRPr="3AD943D9">
        <w:t xml:space="preserve">involvement of consumers and clinicians earlier and more consistently and formally throughout the HTA pathway would improve the performance and person-centredness of the HTA system. When stakeholders (e.g. consumers and clinicians) are only engaged </w:t>
      </w:r>
      <w:r w:rsidR="00E732F6">
        <w:t>after</w:t>
      </w:r>
      <w:r>
        <w:t xml:space="preserve"> </w:t>
      </w:r>
      <w:r w:rsidR="7CA16210" w:rsidRPr="3AD943D9">
        <w:t>a</w:t>
      </w:r>
      <w:r w:rsidR="00AE43EE">
        <w:t>n</w:t>
      </w:r>
      <w:r w:rsidR="7CA16210" w:rsidRPr="3AD943D9">
        <w:t xml:space="preserve"> HTA submission</w:t>
      </w:r>
      <w:r w:rsidR="00E732F6">
        <w:t xml:space="preserve"> has been</w:t>
      </w:r>
      <w:r>
        <w:t xml:space="preserve"> </w:t>
      </w:r>
      <w:r w:rsidR="7CA16210" w:rsidRPr="3AD943D9">
        <w:t>lodge</w:t>
      </w:r>
      <w:r>
        <w:t>d</w:t>
      </w:r>
      <w:r w:rsidR="00E732F6">
        <w:t>,</w:t>
      </w:r>
      <w:r w:rsidR="7CA16210" w:rsidRPr="3AD943D9">
        <w:t xml:space="preserve"> it can </w:t>
      </w:r>
      <w:r w:rsidR="00E732F6">
        <w:t>leave inadequate time</w:t>
      </w:r>
      <w:r w:rsidR="7CA16210" w:rsidRPr="3AD943D9">
        <w:t xml:space="preserve"> </w:t>
      </w:r>
      <w:r w:rsidR="00E732F6">
        <w:t xml:space="preserve">to resolve </w:t>
      </w:r>
      <w:r w:rsidR="7CA16210" w:rsidRPr="3AD943D9">
        <w:t>implementation challenges</w:t>
      </w:r>
      <w:r w:rsidR="00E732F6">
        <w:t>, leading to delays in accessing health technologies</w:t>
      </w:r>
      <w:r w:rsidR="00FB48EF">
        <w:t>.</w:t>
      </w:r>
      <w:r w:rsidR="7CA16210" w:rsidRPr="3AD943D9" w:rsidDel="00FB48EF">
        <w:t xml:space="preserve"> </w:t>
      </w:r>
      <w:r w:rsidR="00E732F6">
        <w:t>I</w:t>
      </w:r>
      <w:r w:rsidR="7CA16210" w:rsidRPr="3AD943D9">
        <w:t xml:space="preserve">t can </w:t>
      </w:r>
      <w:r w:rsidR="00E732F6">
        <w:t xml:space="preserve">also </w:t>
      </w:r>
      <w:r w:rsidR="7CA16210" w:rsidRPr="3AD943D9">
        <w:t xml:space="preserve">result in the submission missing outcomes </w:t>
      </w:r>
      <w:r w:rsidR="00E732F6">
        <w:t>that are</w:t>
      </w:r>
      <w:r w:rsidR="7CA16210" w:rsidRPr="3AD943D9">
        <w:t xml:space="preserve"> importan</w:t>
      </w:r>
      <w:r w:rsidR="00E732F6">
        <w:t xml:space="preserve">t </w:t>
      </w:r>
      <w:r w:rsidR="7CA16210" w:rsidRPr="3AD943D9">
        <w:t>to consumers or</w:t>
      </w:r>
      <w:r w:rsidR="00E732F6">
        <w:t>,</w:t>
      </w:r>
      <w:r w:rsidR="7CA16210" w:rsidRPr="3AD943D9">
        <w:t xml:space="preserve"> in some cases</w:t>
      </w:r>
      <w:r w:rsidR="00E732F6">
        <w:t>,</w:t>
      </w:r>
      <w:r w:rsidR="7CA16210" w:rsidRPr="3AD943D9">
        <w:t xml:space="preserve"> indications for some sub-groups. </w:t>
      </w:r>
    </w:p>
    <w:p w14:paraId="6BEBE73E" w14:textId="4C440059" w:rsidR="00FC55C5" w:rsidRDefault="7CA16210" w:rsidP="0054031D">
      <w:r w:rsidRPr="3AD943D9">
        <w:t>The quality of the information provided by consumers, clinicians and other stakeholders to support submissions could be improved</w:t>
      </w:r>
      <w:r w:rsidR="0F66E704" w:rsidRPr="2FD4CB88">
        <w:t xml:space="preserve"> if stakeholders </w:t>
      </w:r>
      <w:r w:rsidR="006043B1">
        <w:t xml:space="preserve">knew what </w:t>
      </w:r>
      <w:r w:rsidRPr="3AD943D9">
        <w:t xml:space="preserve">information </w:t>
      </w:r>
      <w:r w:rsidR="373FEF5B" w:rsidRPr="6C614FCF">
        <w:t>would</w:t>
      </w:r>
      <w:r w:rsidR="00177C1C" w:rsidRPr="6C614FCF">
        <w:t xml:space="preserve"> </w:t>
      </w:r>
      <w:r w:rsidR="373FEF5B" w:rsidRPr="6C614FCF">
        <w:t>be</w:t>
      </w:r>
      <w:r w:rsidR="00177C1C">
        <w:t xml:space="preserve"> </w:t>
      </w:r>
      <w:r w:rsidRPr="3AD943D9">
        <w:t xml:space="preserve">most useful to the HTA </w:t>
      </w:r>
      <w:r w:rsidR="00C16518">
        <w:t>advisory committee</w:t>
      </w:r>
      <w:r w:rsidRPr="3AD943D9">
        <w:t xml:space="preserve"> and how</w:t>
      </w:r>
      <w:r w:rsidR="006043B1">
        <w:t xml:space="preserve"> to best present</w:t>
      </w:r>
      <w:r w:rsidRPr="3AD943D9">
        <w:t xml:space="preserve"> that information. </w:t>
      </w:r>
    </w:p>
    <w:p w14:paraId="249ED105" w14:textId="59404546" w:rsidR="7CA16210" w:rsidRDefault="00CB6F46" w:rsidP="0054031D">
      <w:r>
        <w:t>F</w:t>
      </w:r>
      <w:r w:rsidR="7CA16210" w:rsidRPr="3AD943D9">
        <w:t>ormalised feedback</w:t>
      </w:r>
      <w:r>
        <w:t xml:space="preserve"> </w:t>
      </w:r>
      <w:r w:rsidRPr="3AD943D9">
        <w:t>in a</w:t>
      </w:r>
      <w:r>
        <w:t>n</w:t>
      </w:r>
      <w:r w:rsidRPr="3AD943D9">
        <w:t xml:space="preserve"> easily understood format </w:t>
      </w:r>
      <w:r w:rsidR="006E02BF">
        <w:t>about</w:t>
      </w:r>
      <w:r w:rsidR="006E02BF" w:rsidRPr="3AD943D9">
        <w:t xml:space="preserve"> </w:t>
      </w:r>
      <w:r w:rsidR="7CA16210" w:rsidRPr="3AD943D9">
        <w:t xml:space="preserve">how </w:t>
      </w:r>
      <w:r>
        <w:t>stakeholders’</w:t>
      </w:r>
      <w:r w:rsidR="7CA16210" w:rsidRPr="3AD943D9">
        <w:t xml:space="preserve"> submission</w:t>
      </w:r>
      <w:r>
        <w:t>s</w:t>
      </w:r>
      <w:r w:rsidR="7CA16210" w:rsidRPr="3AD943D9">
        <w:t xml:space="preserve"> contributed to HTA decision</w:t>
      </w:r>
      <w:r>
        <w:t>s</w:t>
      </w:r>
      <w:r w:rsidR="7CA16210" w:rsidRPr="3AD943D9">
        <w:t xml:space="preserve"> </w:t>
      </w:r>
      <w:r>
        <w:t>is also lacking.</w:t>
      </w:r>
      <w:r w:rsidR="7CA16210" w:rsidRPr="3AD943D9">
        <w:t xml:space="preserve"> </w:t>
      </w:r>
      <w:r w:rsidR="7CA16210" w:rsidRPr="5F2379BB">
        <w:t>While the C</w:t>
      </w:r>
      <w:r w:rsidR="40D1D259" w:rsidRPr="5F2379BB">
        <w:t xml:space="preserve">onsumer </w:t>
      </w:r>
      <w:r w:rsidR="7CA16210" w:rsidRPr="5F2379BB">
        <w:t>C</w:t>
      </w:r>
      <w:r w:rsidR="20082C69" w:rsidRPr="5F2379BB">
        <w:t xml:space="preserve">onsultative </w:t>
      </w:r>
      <w:r w:rsidR="7CA16210" w:rsidRPr="5F2379BB">
        <w:t>C</w:t>
      </w:r>
      <w:r w:rsidR="01DFBDBB" w:rsidRPr="5F2379BB">
        <w:t>ommittee</w:t>
      </w:r>
      <w:r w:rsidR="7CA16210" w:rsidRPr="3AD943D9">
        <w:t xml:space="preserve"> perform</w:t>
      </w:r>
      <w:r>
        <w:t>s</w:t>
      </w:r>
      <w:r w:rsidR="7CA16210" w:rsidRPr="3AD943D9">
        <w:t xml:space="preserve"> this process, it has limited resourc</w:t>
      </w:r>
      <w:r>
        <w:t>es</w:t>
      </w:r>
      <w:r w:rsidR="7CA16210" w:rsidRPr="3AD943D9">
        <w:t xml:space="preserve">, and </w:t>
      </w:r>
      <w:r>
        <w:t xml:space="preserve">it </w:t>
      </w:r>
      <w:r w:rsidR="7CA16210" w:rsidRPr="3AD943D9">
        <w:t xml:space="preserve">is not </w:t>
      </w:r>
      <w:r>
        <w:t>undertaken</w:t>
      </w:r>
      <w:r w:rsidR="7CA16210" w:rsidRPr="3AD943D9">
        <w:t xml:space="preserve"> as a standard course of action.</w:t>
      </w:r>
    </w:p>
    <w:p w14:paraId="4F3DBFA4" w14:textId="5B8DB107" w:rsidR="7CA16210" w:rsidRDefault="7CA16210" w:rsidP="0054031D">
      <w:pPr>
        <w:rPr>
          <w:color w:val="000000" w:themeColor="text1"/>
        </w:rPr>
      </w:pPr>
      <w:r w:rsidRPr="3AD943D9">
        <w:rPr>
          <w:color w:val="000000" w:themeColor="text1"/>
        </w:rPr>
        <w:t xml:space="preserve">Consultation 2 </w:t>
      </w:r>
      <w:r w:rsidR="00CB6F46">
        <w:rPr>
          <w:color w:val="000000" w:themeColor="text1"/>
        </w:rPr>
        <w:t xml:space="preserve">tested </w:t>
      </w:r>
      <w:r w:rsidRPr="3AD943D9">
        <w:rPr>
          <w:color w:val="000000" w:themeColor="text1"/>
        </w:rPr>
        <w:t>options</w:t>
      </w:r>
      <w:r w:rsidR="00CB6F46">
        <w:rPr>
          <w:color w:val="000000" w:themeColor="text1"/>
        </w:rPr>
        <w:t xml:space="preserve"> </w:t>
      </w:r>
      <w:r w:rsidRPr="3AD943D9">
        <w:rPr>
          <w:color w:val="000000" w:themeColor="text1"/>
        </w:rPr>
        <w:t xml:space="preserve">with stakeholders aimed at improving communication of HTA </w:t>
      </w:r>
      <w:r w:rsidR="00CB6F46">
        <w:rPr>
          <w:color w:val="000000" w:themeColor="text1"/>
        </w:rPr>
        <w:t>p</w:t>
      </w:r>
      <w:r w:rsidRPr="3AD943D9">
        <w:rPr>
          <w:color w:val="000000" w:themeColor="text1"/>
        </w:rPr>
        <w:t xml:space="preserve">athways, </w:t>
      </w:r>
      <w:r w:rsidR="00CB6F46">
        <w:rPr>
          <w:color w:val="000000" w:themeColor="text1"/>
        </w:rPr>
        <w:t>p</w:t>
      </w:r>
      <w:r w:rsidRPr="3AD943D9">
        <w:rPr>
          <w:color w:val="000000" w:themeColor="text1"/>
        </w:rPr>
        <w:t xml:space="preserve">rocesses, </w:t>
      </w:r>
      <w:r w:rsidR="00CB6F46">
        <w:rPr>
          <w:color w:val="000000" w:themeColor="text1"/>
        </w:rPr>
        <w:t>d</w:t>
      </w:r>
      <w:r w:rsidRPr="3AD943D9">
        <w:rPr>
          <w:color w:val="000000" w:themeColor="text1"/>
        </w:rPr>
        <w:t>ecisions and stakeholder engagement. Increasing transparency and stakeholder involvement is linked to improved efficiency and service delivery</w:t>
      </w:r>
      <w:r w:rsidR="00CB6F46">
        <w:rPr>
          <w:color w:val="000000" w:themeColor="text1"/>
        </w:rPr>
        <w:t>. M</w:t>
      </w:r>
      <w:r w:rsidRPr="3AD943D9">
        <w:rPr>
          <w:color w:val="000000" w:themeColor="text1"/>
        </w:rPr>
        <w:t>any options that improve transparency or inclusiveness are also likely to have other desirable outcomes such as timel</w:t>
      </w:r>
      <w:r w:rsidR="00CB6F46">
        <w:rPr>
          <w:color w:val="000000" w:themeColor="text1"/>
        </w:rPr>
        <w:t>y</w:t>
      </w:r>
      <w:r w:rsidRPr="3AD943D9">
        <w:rPr>
          <w:color w:val="000000" w:themeColor="text1"/>
        </w:rPr>
        <w:t xml:space="preserve"> access and efficiency. </w:t>
      </w:r>
    </w:p>
    <w:p w14:paraId="025653AB" w14:textId="4512BCB3" w:rsidR="7CA16210" w:rsidRDefault="7CA16210" w:rsidP="0054031D">
      <w:pPr>
        <w:rPr>
          <w:color w:val="000000" w:themeColor="text1"/>
        </w:rPr>
      </w:pPr>
      <w:r w:rsidRPr="3AD943D9">
        <w:rPr>
          <w:color w:val="000000" w:themeColor="text1"/>
        </w:rPr>
        <w:t xml:space="preserve">The development of options was informed by, and integrated, the rich consultation already undertaken for the Conversations for Change consultation and report, key outcomes </w:t>
      </w:r>
      <w:r w:rsidR="002858DD">
        <w:rPr>
          <w:color w:val="000000" w:themeColor="text1"/>
        </w:rPr>
        <w:t xml:space="preserve">of </w:t>
      </w:r>
      <w:r w:rsidRPr="000C5623">
        <w:rPr>
          <w:color w:val="000000" w:themeColor="text1"/>
        </w:rPr>
        <w:t>The New Frontier</w:t>
      </w:r>
      <w:r w:rsidRPr="0019054D">
        <w:rPr>
          <w:i/>
          <w:color w:val="000000" w:themeColor="text1"/>
        </w:rPr>
        <w:t xml:space="preserve"> </w:t>
      </w:r>
      <w:r w:rsidR="00F33A9E">
        <w:rPr>
          <w:color w:val="000000" w:themeColor="text1"/>
        </w:rPr>
        <w:t>i</w:t>
      </w:r>
      <w:r w:rsidR="002858DD" w:rsidRPr="16419134">
        <w:rPr>
          <w:color w:val="000000" w:themeColor="text1"/>
        </w:rPr>
        <w:t>nquiry</w:t>
      </w:r>
      <w:r w:rsidR="00F33A9E">
        <w:rPr>
          <w:color w:val="000000" w:themeColor="text1"/>
        </w:rPr>
        <w:t>,</w:t>
      </w:r>
      <w:r w:rsidR="000E2A55">
        <w:rPr>
          <w:rStyle w:val="FootnoteReference"/>
          <w:rFonts w:eastAsia="Segoe UI" w:cs="Segoe UI"/>
          <w:color w:val="000000" w:themeColor="text1"/>
        </w:rPr>
        <w:footnoteReference w:id="135"/>
      </w:r>
      <w:r w:rsidRPr="3AD943D9">
        <w:rPr>
          <w:color w:val="000000" w:themeColor="text1"/>
        </w:rPr>
        <w:t xml:space="preserve"> and the Review literature analysis and consultations. The Review was also </w:t>
      </w:r>
      <w:r w:rsidR="4A31745A" w:rsidRPr="098326F5">
        <w:rPr>
          <w:color w:val="000000" w:themeColor="text1"/>
        </w:rPr>
        <w:t>cognisant of</w:t>
      </w:r>
      <w:r w:rsidRPr="3AD943D9">
        <w:rPr>
          <w:color w:val="000000" w:themeColor="text1"/>
        </w:rPr>
        <w:t xml:space="preserve"> the proposed recommendations for the co-design of </w:t>
      </w:r>
      <w:r w:rsidR="009C423E">
        <w:rPr>
          <w:color w:val="000000" w:themeColor="text1"/>
        </w:rPr>
        <w:t>the</w:t>
      </w:r>
      <w:r w:rsidRPr="3AD943D9">
        <w:rPr>
          <w:color w:val="000000" w:themeColor="text1"/>
        </w:rPr>
        <w:t xml:space="preserve"> Enhanced Consumer Engagement Process. </w:t>
      </w:r>
    </w:p>
    <w:p w14:paraId="489AA7EE" w14:textId="0DA8F7B9" w:rsidR="05F64839" w:rsidRDefault="7CA16210" w:rsidP="0054031D">
      <w:pPr>
        <w:rPr>
          <w:color w:val="000000" w:themeColor="text1"/>
        </w:rPr>
      </w:pPr>
      <w:r w:rsidRPr="3AD943D9">
        <w:rPr>
          <w:color w:val="000000" w:themeColor="text1"/>
        </w:rPr>
        <w:t xml:space="preserve">As a result of extensive consultation, most options </w:t>
      </w:r>
      <w:r w:rsidR="009C423E">
        <w:rPr>
          <w:color w:val="000000" w:themeColor="text1"/>
        </w:rPr>
        <w:t xml:space="preserve">that </w:t>
      </w:r>
      <w:r w:rsidRPr="3AD943D9">
        <w:rPr>
          <w:color w:val="000000" w:themeColor="text1"/>
        </w:rPr>
        <w:t>proposed to improve communication, transparency and stakeholder engagement reflected stakeholder views</w:t>
      </w:r>
      <w:r w:rsidR="009C423E">
        <w:rPr>
          <w:color w:val="000000" w:themeColor="text1"/>
        </w:rPr>
        <w:t>. They</w:t>
      </w:r>
      <w:r w:rsidRPr="3AD943D9">
        <w:rPr>
          <w:color w:val="000000" w:themeColor="text1"/>
        </w:rPr>
        <w:t xml:space="preserve"> were </w:t>
      </w:r>
      <w:r w:rsidR="2163CAF4" w:rsidRPr="4B510E2F">
        <w:rPr>
          <w:color w:val="000000" w:themeColor="text1"/>
        </w:rPr>
        <w:t xml:space="preserve">strongly </w:t>
      </w:r>
      <w:r w:rsidRPr="4B510E2F">
        <w:rPr>
          <w:color w:val="000000" w:themeColor="text1"/>
        </w:rPr>
        <w:t>supported</w:t>
      </w:r>
      <w:r w:rsidRPr="3AD943D9">
        <w:rPr>
          <w:color w:val="000000" w:themeColor="text1"/>
        </w:rPr>
        <w:t xml:space="preserve"> by stakeholders and have been adopted</w:t>
      </w:r>
      <w:r w:rsidR="009C423E">
        <w:rPr>
          <w:color w:val="000000" w:themeColor="text1"/>
        </w:rPr>
        <w:t xml:space="preserve"> in</w:t>
      </w:r>
      <w:r w:rsidRPr="3AD943D9">
        <w:rPr>
          <w:color w:val="000000" w:themeColor="text1"/>
        </w:rPr>
        <w:t xml:space="preserve"> </w:t>
      </w:r>
      <w:r w:rsidR="009C423E">
        <w:rPr>
          <w:color w:val="000000" w:themeColor="text1"/>
        </w:rPr>
        <w:t xml:space="preserve">the Review’s </w:t>
      </w:r>
      <w:r w:rsidRPr="3AD943D9">
        <w:rPr>
          <w:color w:val="000000" w:themeColor="text1"/>
        </w:rPr>
        <w:t>recommendations</w:t>
      </w:r>
      <w:r w:rsidRPr="3AB70455">
        <w:rPr>
          <w:color w:val="000000" w:themeColor="text1"/>
        </w:rPr>
        <w:t>.</w:t>
      </w:r>
      <w:r w:rsidRPr="3AD943D9">
        <w:rPr>
          <w:color w:val="000000" w:themeColor="text1"/>
        </w:rPr>
        <w:t xml:space="preserve"> </w:t>
      </w:r>
      <w:r w:rsidR="40D0F6AF" w:rsidRPr="564E666E">
        <w:rPr>
          <w:color w:val="000000" w:themeColor="text1"/>
        </w:rPr>
        <w:t>Stakeholders considered</w:t>
      </w:r>
      <w:r w:rsidR="05F64839" w:rsidRPr="7944A148">
        <w:rPr>
          <w:color w:val="000000" w:themeColor="text1"/>
        </w:rPr>
        <w:t xml:space="preserve"> that a number of the recommendations could be implemented relatively </w:t>
      </w:r>
      <w:proofErr w:type="gramStart"/>
      <w:r w:rsidR="05F64839" w:rsidRPr="7944A148">
        <w:rPr>
          <w:color w:val="000000" w:themeColor="text1"/>
        </w:rPr>
        <w:t>quickly</w:t>
      </w:r>
      <w:r w:rsidR="009C423E">
        <w:rPr>
          <w:color w:val="000000" w:themeColor="text1"/>
        </w:rPr>
        <w:t>, and</w:t>
      </w:r>
      <w:proofErr w:type="gramEnd"/>
      <w:r w:rsidR="009C423E">
        <w:rPr>
          <w:color w:val="000000" w:themeColor="text1"/>
        </w:rPr>
        <w:t xml:space="preserve"> have an</w:t>
      </w:r>
      <w:r w:rsidR="05F64839" w:rsidRPr="7944A148">
        <w:rPr>
          <w:color w:val="000000" w:themeColor="text1"/>
        </w:rPr>
        <w:t xml:space="preserve"> immediate impact.</w:t>
      </w:r>
    </w:p>
    <w:p w14:paraId="1F13A6FA" w14:textId="2F16A64F" w:rsidR="00593D5A" w:rsidRDefault="00F215FB" w:rsidP="00A318F7">
      <w:pPr>
        <w:pStyle w:val="Heading3"/>
      </w:pPr>
      <w:bookmarkStart w:id="418" w:name="_Toc164691445"/>
      <w:bookmarkStart w:id="419" w:name="_Toc164696242"/>
      <w:bookmarkStart w:id="420" w:name="_Toc164696388"/>
      <w:bookmarkStart w:id="421" w:name="_Toc164767777"/>
      <w:bookmarkStart w:id="422" w:name="_Toc165473708"/>
      <w:r>
        <w:t>O</w:t>
      </w:r>
      <w:r w:rsidR="00593D5A">
        <w:t xml:space="preserve">bjectives </w:t>
      </w:r>
      <w:r w:rsidR="00740AED">
        <w:t xml:space="preserve">of </w:t>
      </w:r>
      <w:r w:rsidR="00593D5A">
        <w:t>recommendations</w:t>
      </w:r>
      <w:bookmarkEnd w:id="418"/>
      <w:bookmarkEnd w:id="419"/>
      <w:bookmarkEnd w:id="420"/>
      <w:bookmarkEnd w:id="421"/>
      <w:bookmarkEnd w:id="422"/>
    </w:p>
    <w:p w14:paraId="7EC31EC9" w14:textId="3B41E678" w:rsidR="00383CAC" w:rsidRPr="009B12D6" w:rsidRDefault="319CE1FC" w:rsidP="004E48B3">
      <w:pPr>
        <w:spacing w:after="0"/>
        <w:rPr>
          <w:rFonts w:eastAsia="Segoe UI" w:cs="Segoe UI"/>
          <w:color w:val="000000" w:themeColor="text1"/>
        </w:rPr>
      </w:pPr>
      <w:r w:rsidRPr="3001A4B0">
        <w:rPr>
          <w:rFonts w:eastAsia="Segoe UI" w:cs="Segoe UI"/>
          <w:color w:val="000000" w:themeColor="text1"/>
        </w:rPr>
        <w:t>The Review</w:t>
      </w:r>
      <w:r w:rsidR="00E75822">
        <w:rPr>
          <w:rFonts w:eastAsia="Segoe UI" w:cs="Segoe UI"/>
          <w:color w:val="000000" w:themeColor="text1"/>
        </w:rPr>
        <w:t>’s</w:t>
      </w:r>
      <w:r w:rsidRPr="3001A4B0">
        <w:rPr>
          <w:rFonts w:eastAsia="Segoe UI" w:cs="Segoe UI"/>
          <w:color w:val="000000" w:themeColor="text1"/>
        </w:rPr>
        <w:t xml:space="preserve"> recommendations to improve communication, transparency and stakeholder engagement are multifaceted</w:t>
      </w:r>
      <w:r w:rsidR="00211B9F">
        <w:rPr>
          <w:rFonts w:eastAsia="Segoe UI" w:cs="Segoe UI"/>
          <w:color w:val="000000" w:themeColor="text1"/>
        </w:rPr>
        <w:t xml:space="preserve"> and</w:t>
      </w:r>
      <w:r w:rsidRPr="3001A4B0">
        <w:rPr>
          <w:rFonts w:eastAsia="Segoe UI" w:cs="Segoe UI"/>
          <w:color w:val="000000" w:themeColor="text1"/>
        </w:rPr>
        <w:t xml:space="preserve"> person</w:t>
      </w:r>
      <w:r w:rsidR="00760E4C">
        <w:rPr>
          <w:rFonts w:eastAsia="Segoe UI" w:cs="Segoe UI"/>
          <w:color w:val="000000" w:themeColor="text1"/>
        </w:rPr>
        <w:t>-</w:t>
      </w:r>
      <w:r w:rsidRPr="3001A4B0">
        <w:rPr>
          <w:rFonts w:eastAsia="Segoe UI" w:cs="Segoe UI"/>
          <w:color w:val="000000" w:themeColor="text1"/>
        </w:rPr>
        <w:t>centred</w:t>
      </w:r>
      <w:r w:rsidR="00211B9F">
        <w:rPr>
          <w:rFonts w:eastAsia="Segoe UI" w:cs="Segoe UI"/>
          <w:color w:val="000000" w:themeColor="text1"/>
        </w:rPr>
        <w:t>,</w:t>
      </w:r>
      <w:r w:rsidRPr="3001A4B0">
        <w:rPr>
          <w:rFonts w:eastAsia="Segoe UI" w:cs="Segoe UI"/>
          <w:color w:val="000000" w:themeColor="text1"/>
        </w:rPr>
        <w:t xml:space="preserve"> and include short-, </w:t>
      </w:r>
      <w:r w:rsidRPr="3001A4B0">
        <w:rPr>
          <w:rFonts w:eastAsia="Segoe UI" w:cs="Segoe UI"/>
          <w:color w:val="000000" w:themeColor="text1"/>
        </w:rPr>
        <w:lastRenderedPageBreak/>
        <w:t xml:space="preserve">medium- and long-term initiatives. They aim to optimise timely and meaningful engagement by individuals and organisations across the HTA continuum </w:t>
      </w:r>
      <w:proofErr w:type="gramStart"/>
      <w:r w:rsidRPr="3001A4B0">
        <w:rPr>
          <w:rFonts w:eastAsia="Segoe UI" w:cs="Segoe UI"/>
          <w:color w:val="000000" w:themeColor="text1"/>
        </w:rPr>
        <w:t>through the use of</w:t>
      </w:r>
      <w:proofErr w:type="gramEnd"/>
      <w:r w:rsidRPr="3001A4B0">
        <w:rPr>
          <w:rFonts w:eastAsia="Segoe UI" w:cs="Segoe UI"/>
          <w:color w:val="000000" w:themeColor="text1"/>
        </w:rPr>
        <w:t xml:space="preserve"> plain language communications, an end-to-end engagement framework and improved data to monitor progress and performance</w:t>
      </w:r>
      <w:r w:rsidR="00304030">
        <w:rPr>
          <w:rFonts w:eastAsia="Segoe UI" w:cs="Segoe UI"/>
          <w:color w:val="000000" w:themeColor="text1"/>
        </w:rPr>
        <w:t>.</w:t>
      </w:r>
    </w:p>
    <w:p w14:paraId="333D8E1D" w14:textId="77777777" w:rsidR="00593D5A" w:rsidRPr="008A6762" w:rsidRDefault="00593D5A" w:rsidP="00A318F7">
      <w:pPr>
        <w:pStyle w:val="Heading3"/>
      </w:pPr>
      <w:bookmarkStart w:id="423" w:name="_Toc164691446"/>
      <w:bookmarkStart w:id="424" w:name="_Toc164696243"/>
      <w:bookmarkStart w:id="425" w:name="_Toc164696389"/>
      <w:bookmarkStart w:id="426" w:name="_Toc164767778"/>
      <w:bookmarkStart w:id="427" w:name="_Toc165473709"/>
      <w:r w:rsidRPr="008A6762">
        <w:t>Recommendations</w:t>
      </w:r>
      <w:bookmarkEnd w:id="423"/>
      <w:bookmarkEnd w:id="424"/>
      <w:bookmarkEnd w:id="425"/>
      <w:bookmarkEnd w:id="426"/>
      <w:bookmarkEnd w:id="427"/>
    </w:p>
    <w:p w14:paraId="0E54EA22" w14:textId="3A0BDD4E" w:rsidR="59247325" w:rsidRPr="008A6762" w:rsidRDefault="0010775A" w:rsidP="00645D5E">
      <w:pPr>
        <w:pStyle w:val="Recommendation1"/>
      </w:pPr>
      <w:bookmarkStart w:id="428" w:name="_Ref164782061"/>
      <w:bookmarkStart w:id="429" w:name="_Hlk167302146"/>
      <w:r w:rsidRPr="008A6762">
        <w:t>Develop</w:t>
      </w:r>
      <w:r w:rsidR="004A0803">
        <w:t>ing</w:t>
      </w:r>
      <w:r w:rsidRPr="008A6762">
        <w:t xml:space="preserve"> an engagement framework</w:t>
      </w:r>
      <w:bookmarkEnd w:id="428"/>
      <w:r w:rsidRPr="008A6762">
        <w:t xml:space="preserve"> </w:t>
      </w:r>
    </w:p>
    <w:bookmarkEnd w:id="429"/>
    <w:p w14:paraId="26EAF61E" w14:textId="30C700A3" w:rsidR="009509C0" w:rsidRPr="00286CF1" w:rsidRDefault="75250E30" w:rsidP="00EC30C8">
      <w:pPr>
        <w:spacing w:before="120"/>
        <w:rPr>
          <w:rFonts w:eastAsia="Segoe UI" w:cs="Segoe UI"/>
        </w:rPr>
      </w:pPr>
      <w:r w:rsidRPr="008A6762" w:rsidDel="002C4399">
        <w:t xml:space="preserve">The Review recommends </w:t>
      </w:r>
      <w:r w:rsidR="008A6762">
        <w:t xml:space="preserve">that </w:t>
      </w:r>
      <w:r w:rsidRPr="008A6762" w:rsidDel="002C4399">
        <w:t>the Australian Government</w:t>
      </w:r>
      <w:r w:rsidR="00715AD7">
        <w:rPr>
          <w:rStyle w:val="normaltextrun"/>
          <w:rFonts w:eastAsia="Segoe UI" w:cs="Segoe UI"/>
          <w:color w:val="000000" w:themeColor="text1"/>
        </w:rPr>
        <w:t xml:space="preserve"> </w:t>
      </w:r>
      <w:r w:rsidR="008A6762" w:rsidRPr="00715AD7">
        <w:rPr>
          <w:rStyle w:val="normaltextrun"/>
          <w:rFonts w:eastAsia="Segoe UI" w:cs="Segoe UI"/>
          <w:color w:val="000000" w:themeColor="text1"/>
        </w:rPr>
        <w:t>develop a stakeholder engagement framework that is g</w:t>
      </w:r>
      <w:r w:rsidR="455AA5D6" w:rsidRPr="00715AD7">
        <w:rPr>
          <w:rStyle w:val="eop"/>
          <w:rFonts w:eastAsia="Segoe UI" w:cs="Segoe UI"/>
          <w:color w:val="000000" w:themeColor="text1"/>
        </w:rPr>
        <w:t>uided by the recommendations of the</w:t>
      </w:r>
      <w:r w:rsidR="00056C7E" w:rsidRPr="00715AD7">
        <w:rPr>
          <w:rStyle w:val="eop"/>
          <w:rFonts w:eastAsia="Segoe UI" w:cs="Segoe UI"/>
          <w:color w:val="000000" w:themeColor="text1"/>
        </w:rPr>
        <w:t xml:space="preserve"> Co-Design </w:t>
      </w:r>
      <w:r w:rsidR="002B2528" w:rsidRPr="00715AD7">
        <w:rPr>
          <w:rStyle w:val="eop"/>
          <w:rFonts w:eastAsia="Segoe UI" w:cs="Segoe UI"/>
          <w:color w:val="000000" w:themeColor="text1"/>
        </w:rPr>
        <w:t>of an</w:t>
      </w:r>
      <w:r w:rsidR="455AA5D6" w:rsidRPr="00715AD7">
        <w:rPr>
          <w:rStyle w:val="eop"/>
          <w:rFonts w:eastAsia="Segoe UI" w:cs="Segoe UI"/>
          <w:color w:val="000000" w:themeColor="text1"/>
        </w:rPr>
        <w:t xml:space="preserve"> Enhanced Consumer Engagement </w:t>
      </w:r>
      <w:r w:rsidR="00595FC6" w:rsidRPr="00715AD7">
        <w:rPr>
          <w:rStyle w:val="eop"/>
          <w:rFonts w:eastAsia="Segoe UI" w:cs="Segoe UI"/>
          <w:color w:val="000000" w:themeColor="text1"/>
        </w:rPr>
        <w:t>P</w:t>
      </w:r>
      <w:r w:rsidR="002235A0" w:rsidRPr="00715AD7">
        <w:rPr>
          <w:rStyle w:val="eop"/>
          <w:rFonts w:eastAsia="Segoe UI" w:cs="Segoe UI"/>
          <w:color w:val="000000" w:themeColor="text1"/>
        </w:rPr>
        <w:t>rocess</w:t>
      </w:r>
      <w:r w:rsidR="455AA5D6" w:rsidRPr="00715AD7">
        <w:rPr>
          <w:rStyle w:val="eop"/>
          <w:rFonts w:eastAsia="Segoe UI" w:cs="Segoe UI"/>
          <w:color w:val="000000" w:themeColor="text1"/>
        </w:rPr>
        <w:t xml:space="preserve">, this Review, </w:t>
      </w:r>
      <w:r w:rsidR="048758CF" w:rsidRPr="00715AD7">
        <w:rPr>
          <w:rStyle w:val="eop"/>
          <w:rFonts w:eastAsia="Segoe UI" w:cs="Segoe UI"/>
          <w:color w:val="000000" w:themeColor="text1"/>
        </w:rPr>
        <w:t>T</w:t>
      </w:r>
      <w:r w:rsidR="2060A3EA" w:rsidRPr="00715AD7">
        <w:rPr>
          <w:rStyle w:val="eop"/>
          <w:rFonts w:eastAsia="Segoe UI" w:cs="Segoe UI"/>
          <w:color w:val="000000" w:themeColor="text1"/>
        </w:rPr>
        <w:t xml:space="preserve">he </w:t>
      </w:r>
      <w:r w:rsidR="455AA5D6" w:rsidRPr="00715AD7">
        <w:rPr>
          <w:rStyle w:val="normaltextrun"/>
          <w:rFonts w:eastAsia="Segoe UI" w:cs="Segoe UI"/>
          <w:color w:val="000000" w:themeColor="text1"/>
        </w:rPr>
        <w:t xml:space="preserve">New Frontier </w:t>
      </w:r>
      <w:r w:rsidR="00F33A9E" w:rsidRPr="00715AD7">
        <w:rPr>
          <w:rStyle w:val="normaltextrun"/>
          <w:rFonts w:eastAsia="Segoe UI" w:cs="Segoe UI"/>
          <w:color w:val="000000" w:themeColor="text1"/>
        </w:rPr>
        <w:t>i</w:t>
      </w:r>
      <w:r w:rsidR="36567B56" w:rsidRPr="00715AD7">
        <w:rPr>
          <w:rStyle w:val="normaltextrun"/>
          <w:rFonts w:eastAsia="Segoe UI" w:cs="Segoe UI"/>
          <w:color w:val="000000" w:themeColor="text1"/>
        </w:rPr>
        <w:t xml:space="preserve">nquiry </w:t>
      </w:r>
      <w:r w:rsidR="455AA5D6" w:rsidRPr="00715AD7">
        <w:rPr>
          <w:rStyle w:val="normaltextrun"/>
          <w:rFonts w:eastAsia="Segoe UI" w:cs="Segoe UI"/>
          <w:color w:val="000000" w:themeColor="text1"/>
        </w:rPr>
        <w:t xml:space="preserve">and </w:t>
      </w:r>
      <w:r w:rsidR="455AA5D6" w:rsidRPr="00715AD7">
        <w:rPr>
          <w:rStyle w:val="normaltextrun"/>
          <w:rFonts w:eastAsia="Segoe UI" w:cs="Segoe UI"/>
          <w:i/>
          <w:iCs/>
          <w:color w:val="000000" w:themeColor="text1"/>
        </w:rPr>
        <w:t>Conversations for Change</w:t>
      </w:r>
      <w:r w:rsidR="455AA5D6" w:rsidRPr="00715AD7">
        <w:rPr>
          <w:rStyle w:val="normaltextrun"/>
          <w:rFonts w:eastAsia="Segoe UI" w:cs="Segoe UI"/>
          <w:color w:val="000000" w:themeColor="text1"/>
        </w:rPr>
        <w:t xml:space="preserve"> </w:t>
      </w:r>
      <w:r w:rsidR="008A6762" w:rsidRPr="00715AD7">
        <w:rPr>
          <w:rStyle w:val="normaltextrun"/>
          <w:rFonts w:eastAsia="Segoe UI" w:cs="Segoe UI"/>
          <w:i/>
          <w:iCs/>
          <w:color w:val="000000" w:themeColor="text1"/>
        </w:rPr>
        <w:t>report</w:t>
      </w:r>
      <w:r w:rsidR="455AA5D6" w:rsidRPr="00715AD7">
        <w:rPr>
          <w:rStyle w:val="normaltextrun"/>
          <w:rFonts w:eastAsia="Segoe UI" w:cs="Segoe UI"/>
          <w:color w:val="000000" w:themeColor="text1"/>
        </w:rPr>
        <w:t xml:space="preserve">. This framework should describe how and why engagement with stakeholders is used across all </w:t>
      </w:r>
      <w:r w:rsidR="00BA5F59" w:rsidRPr="00715AD7">
        <w:rPr>
          <w:rStyle w:val="normaltextrun"/>
          <w:rFonts w:eastAsia="Segoe UI" w:cs="Segoe UI"/>
          <w:color w:val="000000" w:themeColor="text1"/>
        </w:rPr>
        <w:t>HTA</w:t>
      </w:r>
      <w:r w:rsidR="00BA5F59" w:rsidRPr="00715AD7" w:rsidDel="00BA5F59">
        <w:rPr>
          <w:rStyle w:val="normaltextrun"/>
          <w:rFonts w:eastAsia="Segoe UI" w:cs="Segoe UI"/>
          <w:color w:val="000000" w:themeColor="text1"/>
        </w:rPr>
        <w:t xml:space="preserve"> </w:t>
      </w:r>
      <w:r w:rsidR="455AA5D6" w:rsidRPr="00715AD7">
        <w:rPr>
          <w:rStyle w:val="normaltextrun"/>
          <w:rFonts w:eastAsia="Segoe UI" w:cs="Segoe UI"/>
          <w:color w:val="000000" w:themeColor="text1"/>
        </w:rPr>
        <w:t>processes</w:t>
      </w:r>
      <w:r w:rsidR="008A6762" w:rsidRPr="00715AD7">
        <w:rPr>
          <w:rStyle w:val="normaltextrun"/>
          <w:rFonts w:eastAsia="Segoe UI" w:cs="Segoe UI"/>
          <w:color w:val="000000" w:themeColor="text1"/>
        </w:rPr>
        <w:t>,</w:t>
      </w:r>
      <w:r w:rsidR="1582277D" w:rsidRPr="00715AD7">
        <w:rPr>
          <w:rStyle w:val="normaltextrun"/>
          <w:rFonts w:eastAsia="Segoe UI" w:cs="Segoe UI"/>
          <w:color w:val="000000" w:themeColor="text1"/>
        </w:rPr>
        <w:t xml:space="preserve"> from horizon scanning to post-market review</w:t>
      </w:r>
      <w:r w:rsidR="236A644B" w:rsidRPr="00715AD7">
        <w:rPr>
          <w:rStyle w:val="normaltextrun"/>
          <w:rFonts w:eastAsia="Segoe UI" w:cs="Segoe UI"/>
          <w:color w:val="000000" w:themeColor="text1"/>
        </w:rPr>
        <w:t xml:space="preserve">. The framework </w:t>
      </w:r>
      <w:r w:rsidR="008A6762" w:rsidRPr="00715AD7">
        <w:rPr>
          <w:rStyle w:val="normaltextrun"/>
          <w:rFonts w:eastAsia="Segoe UI" w:cs="Segoe UI"/>
          <w:color w:val="000000" w:themeColor="text1"/>
        </w:rPr>
        <w:t>should</w:t>
      </w:r>
      <w:r w:rsidR="455AA5D6" w:rsidRPr="00715AD7">
        <w:rPr>
          <w:rStyle w:val="normaltextrun"/>
          <w:rFonts w:eastAsia="Segoe UI" w:cs="Segoe UI"/>
          <w:color w:val="000000" w:themeColor="text1"/>
        </w:rPr>
        <w:t xml:space="preserve"> focus on consumers</w:t>
      </w:r>
      <w:r w:rsidR="0C644C0F" w:rsidRPr="00715AD7">
        <w:rPr>
          <w:rStyle w:val="normaltextrun"/>
          <w:rFonts w:eastAsia="Segoe UI" w:cs="Segoe UI"/>
          <w:color w:val="000000" w:themeColor="text1"/>
        </w:rPr>
        <w:t>, including co-design of engagement processes for under</w:t>
      </w:r>
      <w:r w:rsidR="00BF6B6E" w:rsidRPr="00715AD7">
        <w:rPr>
          <w:rStyle w:val="normaltextrun"/>
          <w:rFonts w:eastAsia="Segoe UI" w:cs="Segoe UI"/>
          <w:color w:val="000000" w:themeColor="text1"/>
        </w:rPr>
        <w:t>-</w:t>
      </w:r>
      <w:r w:rsidR="0C644C0F" w:rsidRPr="00715AD7">
        <w:rPr>
          <w:rStyle w:val="normaltextrun"/>
          <w:rFonts w:eastAsia="Segoe UI" w:cs="Segoe UI"/>
          <w:color w:val="000000" w:themeColor="text1"/>
        </w:rPr>
        <w:t>represented communities</w:t>
      </w:r>
      <w:r w:rsidR="455AA5D6" w:rsidRPr="00715AD7">
        <w:rPr>
          <w:rStyle w:val="normaltextrun"/>
          <w:rFonts w:eastAsia="Segoe UI" w:cs="Segoe UI"/>
          <w:color w:val="000000" w:themeColor="text1"/>
        </w:rPr>
        <w:t xml:space="preserve">. Additionally, the framework should acknowledge that the policies, methods and decisions </w:t>
      </w:r>
      <w:r w:rsidR="008A6762" w:rsidRPr="00715AD7">
        <w:rPr>
          <w:rStyle w:val="normaltextrun"/>
          <w:rFonts w:eastAsia="Segoe UI" w:cs="Segoe UI"/>
          <w:color w:val="000000" w:themeColor="text1"/>
        </w:rPr>
        <w:t xml:space="preserve">for </w:t>
      </w:r>
      <w:r w:rsidR="455AA5D6" w:rsidRPr="00715AD7">
        <w:rPr>
          <w:rStyle w:val="normaltextrun"/>
          <w:rFonts w:eastAsia="Segoe UI" w:cs="Segoe UI"/>
          <w:color w:val="000000" w:themeColor="text1"/>
        </w:rPr>
        <w:t xml:space="preserve">the HTA pathway have impacts </w:t>
      </w:r>
      <w:r w:rsidR="001A32CC" w:rsidRPr="00715AD7">
        <w:rPr>
          <w:rStyle w:val="normaltextrun"/>
          <w:rFonts w:eastAsia="Segoe UI" w:cs="Segoe UI"/>
          <w:color w:val="000000" w:themeColor="text1"/>
        </w:rPr>
        <w:t xml:space="preserve">throughout </w:t>
      </w:r>
      <w:r w:rsidR="455AA5D6" w:rsidRPr="00715AD7">
        <w:rPr>
          <w:rStyle w:val="normaltextrun"/>
          <w:rFonts w:eastAsia="Segoe UI" w:cs="Segoe UI"/>
          <w:color w:val="000000" w:themeColor="text1"/>
        </w:rPr>
        <w:t>the whole health technology lifecycle and can be used to improve stakeholder engagement outside the direct HTA processes.</w:t>
      </w:r>
      <w:r w:rsidR="00453069" w:rsidRPr="00715AD7">
        <w:rPr>
          <w:rStyle w:val="normaltextrun"/>
          <w:rFonts w:eastAsia="Segoe UI" w:cs="Segoe UI"/>
          <w:color w:val="000000" w:themeColor="text1"/>
        </w:rPr>
        <w:t xml:space="preserve"> </w:t>
      </w:r>
    </w:p>
    <w:p w14:paraId="0B4ECA04" w14:textId="44829F79" w:rsidR="00090769" w:rsidRDefault="00090769" w:rsidP="00645D5E">
      <w:pPr>
        <w:pStyle w:val="Recommendation1"/>
      </w:pPr>
      <w:bookmarkStart w:id="430" w:name="_Hlk167302180"/>
      <w:r>
        <w:t>Improving involvement of consumers in HTA</w:t>
      </w:r>
      <w:r w:rsidR="00284FDD">
        <w:t>s</w:t>
      </w:r>
      <w:r>
        <w:t xml:space="preserve"> </w:t>
      </w:r>
    </w:p>
    <w:bookmarkEnd w:id="430"/>
    <w:p w14:paraId="2AD2CC0E" w14:textId="4FCDF2C1" w:rsidR="00090769" w:rsidRDefault="00090769" w:rsidP="001A7B6A">
      <w:pPr>
        <w:spacing w:before="120"/>
        <w:rPr>
          <w:rStyle w:val="eop"/>
          <w:color w:val="000000" w:themeColor="text1"/>
        </w:rPr>
      </w:pPr>
      <w:r w:rsidRPr="00405FD7" w:rsidDel="002C4399">
        <w:t xml:space="preserve">The Review recommends </w:t>
      </w:r>
      <w:r w:rsidR="008A6762">
        <w:t xml:space="preserve">that </w:t>
      </w:r>
      <w:r w:rsidRPr="00405FD7" w:rsidDel="002C4399">
        <w:t>the Australian Government</w:t>
      </w:r>
      <w:r w:rsidR="008001B4" w:rsidRPr="000C5623">
        <w:rPr>
          <w:rStyle w:val="eop"/>
          <w:color w:val="000000" w:themeColor="text1"/>
        </w:rPr>
        <w:t>,</w:t>
      </w:r>
      <w:r w:rsidR="008001B4">
        <w:rPr>
          <w:rStyle w:val="eop"/>
          <w:color w:val="000000" w:themeColor="text1"/>
        </w:rPr>
        <w:t xml:space="preserve"> in a</w:t>
      </w:r>
      <w:r>
        <w:rPr>
          <w:rStyle w:val="eop"/>
          <w:color w:val="000000" w:themeColor="text1"/>
        </w:rPr>
        <w:t xml:space="preserve">ddition to other recommendations </w:t>
      </w:r>
      <w:r w:rsidR="00495C38">
        <w:rPr>
          <w:rStyle w:val="eop"/>
          <w:color w:val="000000" w:themeColor="text1"/>
        </w:rPr>
        <w:t>to improve</w:t>
      </w:r>
      <w:r>
        <w:rPr>
          <w:rStyle w:val="eop"/>
          <w:color w:val="000000" w:themeColor="text1"/>
        </w:rPr>
        <w:t xml:space="preserve"> engagement, inclusion and </w:t>
      </w:r>
      <w:r w:rsidR="00495C38">
        <w:rPr>
          <w:rStyle w:val="eop"/>
          <w:color w:val="000000" w:themeColor="text1"/>
        </w:rPr>
        <w:t>use of</w:t>
      </w:r>
      <w:r>
        <w:rPr>
          <w:rStyle w:val="eop"/>
          <w:color w:val="000000" w:themeColor="text1"/>
        </w:rPr>
        <w:t xml:space="preserve"> consumer evidence, support consumers to engage with </w:t>
      </w:r>
      <w:r w:rsidR="00BA5F59" w:rsidRPr="00BA5F59">
        <w:rPr>
          <w:rStyle w:val="eop"/>
          <w:color w:val="000000" w:themeColor="text1"/>
        </w:rPr>
        <w:t>HTA</w:t>
      </w:r>
      <w:r w:rsidR="00BA5F59" w:rsidRPr="00BA5F59" w:rsidDel="00BA5F59">
        <w:rPr>
          <w:rStyle w:val="eop"/>
          <w:color w:val="000000" w:themeColor="text1"/>
        </w:rPr>
        <w:t xml:space="preserve"> </w:t>
      </w:r>
      <w:r>
        <w:rPr>
          <w:rStyle w:val="eop"/>
          <w:color w:val="000000" w:themeColor="text1"/>
        </w:rPr>
        <w:t xml:space="preserve">processes through: </w:t>
      </w:r>
    </w:p>
    <w:p w14:paraId="73EB0C99" w14:textId="53221FF3" w:rsidR="00090769" w:rsidRPr="00E42503" w:rsidRDefault="00153EE3" w:rsidP="00281153">
      <w:pPr>
        <w:pStyle w:val="ListParagraph"/>
        <w:numPr>
          <w:ilvl w:val="0"/>
          <w:numId w:val="107"/>
        </w:numPr>
        <w:rPr>
          <w:rStyle w:val="normaltextrun"/>
          <w:color w:val="000000" w:themeColor="text1"/>
        </w:rPr>
      </w:pPr>
      <w:r w:rsidRPr="00E42503">
        <w:rPr>
          <w:rStyle w:val="normaltextrun"/>
          <w:color w:val="000000" w:themeColor="text1"/>
        </w:rPr>
        <w:t>a</w:t>
      </w:r>
      <w:r w:rsidR="00090769" w:rsidRPr="00E42503">
        <w:rPr>
          <w:rStyle w:val="normaltextrun"/>
          <w:color w:val="000000" w:themeColor="text1"/>
        </w:rPr>
        <w:t>ctively engaging consumers across the HTA system and all relevant processes including horizon scanning</w:t>
      </w:r>
      <w:r w:rsidR="008A6762" w:rsidRPr="00E42503">
        <w:rPr>
          <w:rStyle w:val="normaltextrun"/>
          <w:color w:val="000000" w:themeColor="text1"/>
        </w:rPr>
        <w:t>;</w:t>
      </w:r>
      <w:r w:rsidR="00090769" w:rsidRPr="00E42503">
        <w:rPr>
          <w:rStyle w:val="normaltextrun"/>
          <w:color w:val="000000" w:themeColor="text1"/>
        </w:rPr>
        <w:t xml:space="preserve"> </w:t>
      </w:r>
      <w:r w:rsidR="00AE3491" w:rsidRPr="00E42503">
        <w:rPr>
          <w:rStyle w:val="normaltextrun"/>
          <w:color w:val="000000" w:themeColor="text1"/>
        </w:rPr>
        <w:t xml:space="preserve">the </w:t>
      </w:r>
      <w:r w:rsidR="00632694" w:rsidRPr="00E42503">
        <w:rPr>
          <w:rStyle w:val="normaltextrun"/>
          <w:color w:val="000000" w:themeColor="text1"/>
        </w:rPr>
        <w:t>Population, Intervention, Comparator, and Outcome</w:t>
      </w:r>
      <w:r w:rsidR="00712D80">
        <w:rPr>
          <w:rStyle w:val="normaltextrun"/>
          <w:color w:val="000000" w:themeColor="text1"/>
        </w:rPr>
        <w:t xml:space="preserve"> (PICO)</w:t>
      </w:r>
      <w:r w:rsidR="003A4757">
        <w:rPr>
          <w:rStyle w:val="normaltextrun"/>
          <w:color w:val="000000" w:themeColor="text1"/>
        </w:rPr>
        <w:t xml:space="preserve"> scoping</w:t>
      </w:r>
      <w:r w:rsidR="008A6762" w:rsidRPr="00E42503">
        <w:rPr>
          <w:rStyle w:val="normaltextrun"/>
          <w:color w:val="000000" w:themeColor="text1"/>
        </w:rPr>
        <w:t>;</w:t>
      </w:r>
      <w:r w:rsidR="00090769" w:rsidRPr="00E42503">
        <w:rPr>
          <w:rStyle w:val="normaltextrun"/>
          <w:color w:val="000000" w:themeColor="text1"/>
        </w:rPr>
        <w:t xml:space="preserve"> pre-submission</w:t>
      </w:r>
      <w:r w:rsidR="008A6762" w:rsidRPr="00E42503">
        <w:rPr>
          <w:rStyle w:val="normaltextrun"/>
          <w:color w:val="000000" w:themeColor="text1"/>
        </w:rPr>
        <w:t>s;</w:t>
      </w:r>
      <w:r w:rsidR="00090769" w:rsidRPr="00E42503">
        <w:rPr>
          <w:rStyle w:val="normaltextrun"/>
          <w:color w:val="000000" w:themeColor="text1"/>
        </w:rPr>
        <w:t xml:space="preserve"> evaluation</w:t>
      </w:r>
      <w:r w:rsidR="008A6762" w:rsidRPr="00E42503">
        <w:rPr>
          <w:rStyle w:val="normaltextrun"/>
          <w:color w:val="000000" w:themeColor="text1"/>
        </w:rPr>
        <w:t>s;</w:t>
      </w:r>
      <w:r w:rsidR="00090769" w:rsidRPr="00E42503">
        <w:rPr>
          <w:rStyle w:val="normaltextrun"/>
          <w:color w:val="000000" w:themeColor="text1"/>
        </w:rPr>
        <w:t xml:space="preserve"> appraisal</w:t>
      </w:r>
      <w:r w:rsidR="008A6762" w:rsidRPr="00E42503">
        <w:rPr>
          <w:rStyle w:val="normaltextrun"/>
          <w:color w:val="000000" w:themeColor="text1"/>
        </w:rPr>
        <w:t>s;</w:t>
      </w:r>
      <w:r w:rsidR="00090769" w:rsidRPr="00E42503">
        <w:rPr>
          <w:rStyle w:val="normaltextrun"/>
          <w:color w:val="000000" w:themeColor="text1"/>
        </w:rPr>
        <w:t xml:space="preserve"> post</w:t>
      </w:r>
      <w:r w:rsidR="008A6762" w:rsidRPr="00E42503">
        <w:rPr>
          <w:rStyle w:val="normaltextrun"/>
          <w:color w:val="000000" w:themeColor="text1"/>
        </w:rPr>
        <w:t>-</w:t>
      </w:r>
      <w:r w:rsidR="00090769" w:rsidRPr="00E42503">
        <w:rPr>
          <w:rStyle w:val="normaltextrun"/>
          <w:color w:val="000000" w:themeColor="text1"/>
        </w:rPr>
        <w:t>market reviews, and disinvestment decisions</w:t>
      </w:r>
    </w:p>
    <w:p w14:paraId="1B4F4FC8" w14:textId="3044E709" w:rsidR="00090769" w:rsidRPr="00E42503" w:rsidRDefault="00153EE3" w:rsidP="00281153">
      <w:pPr>
        <w:pStyle w:val="ListParagraph"/>
        <w:numPr>
          <w:ilvl w:val="0"/>
          <w:numId w:val="107"/>
        </w:numPr>
        <w:rPr>
          <w:rStyle w:val="normaltextrun"/>
          <w:color w:val="000000" w:themeColor="text1"/>
        </w:rPr>
      </w:pPr>
      <w:r w:rsidRPr="00E42503">
        <w:rPr>
          <w:rStyle w:val="normaltextrun"/>
          <w:color w:val="000000" w:themeColor="text1"/>
        </w:rPr>
        <w:t>u</w:t>
      </w:r>
      <w:r w:rsidR="00090769" w:rsidRPr="00E42503">
        <w:rPr>
          <w:rStyle w:val="normaltextrun"/>
          <w:color w:val="000000" w:themeColor="text1"/>
        </w:rPr>
        <w:t xml:space="preserve">pdating the </w:t>
      </w:r>
      <w:r w:rsidR="00632694" w:rsidRPr="00E42503">
        <w:rPr>
          <w:rStyle w:val="normaltextrun"/>
          <w:color w:val="000000" w:themeColor="text1"/>
        </w:rPr>
        <w:t>Pharmaceutical Benefits Advisory Committee (PBAC)</w:t>
      </w:r>
      <w:r w:rsidR="00090769" w:rsidRPr="00E42503">
        <w:rPr>
          <w:rStyle w:val="normaltextrun"/>
          <w:color w:val="000000" w:themeColor="text1"/>
        </w:rPr>
        <w:t xml:space="preserve"> </w:t>
      </w:r>
      <w:r w:rsidR="008A6762" w:rsidRPr="00E42503">
        <w:rPr>
          <w:rStyle w:val="normaltextrun"/>
          <w:color w:val="000000" w:themeColor="text1"/>
        </w:rPr>
        <w:t>G</w:t>
      </w:r>
      <w:r w:rsidR="00090769" w:rsidRPr="00E42503">
        <w:rPr>
          <w:rStyle w:val="normaltextrun"/>
          <w:color w:val="000000" w:themeColor="text1"/>
        </w:rPr>
        <w:t xml:space="preserve">uidelines to specifically request information about how consumers were engaged in the pre-HTA processes including clinical trial design </w:t>
      </w:r>
    </w:p>
    <w:p w14:paraId="4CB46B6B" w14:textId="4B5564DE" w:rsidR="00090769" w:rsidRPr="00E42503" w:rsidRDefault="00153EE3" w:rsidP="00281153">
      <w:pPr>
        <w:pStyle w:val="ListParagraph"/>
        <w:numPr>
          <w:ilvl w:val="0"/>
          <w:numId w:val="107"/>
        </w:numPr>
        <w:rPr>
          <w:rStyle w:val="normaltextrun"/>
          <w:color w:val="000000" w:themeColor="text1"/>
        </w:rPr>
      </w:pPr>
      <w:r w:rsidRPr="00E42503">
        <w:rPr>
          <w:rStyle w:val="normaltextrun"/>
          <w:color w:val="000000" w:themeColor="text1"/>
        </w:rPr>
        <w:t>d</w:t>
      </w:r>
      <w:r w:rsidR="00090769" w:rsidRPr="00E42503">
        <w:rPr>
          <w:rStyle w:val="normaltextrun"/>
          <w:color w:val="000000" w:themeColor="text1"/>
        </w:rPr>
        <w:t>evelop</w:t>
      </w:r>
      <w:r w:rsidR="008A6762" w:rsidRPr="00E42503">
        <w:rPr>
          <w:rStyle w:val="normaltextrun"/>
          <w:color w:val="000000" w:themeColor="text1"/>
        </w:rPr>
        <w:t>ing</w:t>
      </w:r>
      <w:r w:rsidR="00090769" w:rsidRPr="00E42503">
        <w:rPr>
          <w:rStyle w:val="normaltextrun"/>
          <w:color w:val="000000" w:themeColor="text1"/>
        </w:rPr>
        <w:t xml:space="preserve"> education and training to improve consumers</w:t>
      </w:r>
      <w:r w:rsidR="008A6762" w:rsidRPr="00E42503">
        <w:rPr>
          <w:rStyle w:val="normaltextrun"/>
          <w:color w:val="000000" w:themeColor="text1"/>
        </w:rPr>
        <w:t>’</w:t>
      </w:r>
      <w:r w:rsidR="00090769" w:rsidRPr="00E42503">
        <w:rPr>
          <w:rStyle w:val="normaltextrun"/>
          <w:color w:val="000000" w:themeColor="text1"/>
        </w:rPr>
        <w:t xml:space="preserve"> ability to understand and engage with the HTA processes, including </w:t>
      </w:r>
      <w:r w:rsidR="00090769" w:rsidRPr="00E42503">
        <w:rPr>
          <w:rStyle w:val="normaltextrun"/>
          <w:rFonts w:cs="Segoe UI"/>
        </w:rPr>
        <w:t>how input should be prepared, and how it will be used by committees.</w:t>
      </w:r>
    </w:p>
    <w:p w14:paraId="51FAEAA4" w14:textId="6FA52EBC" w:rsidR="72B3C763" w:rsidRPr="00DB7AFF" w:rsidRDefault="00E65E40" w:rsidP="004E48B3">
      <w:pPr>
        <w:pStyle w:val="Heading2"/>
        <w:rPr>
          <w:rFonts w:eastAsia="Segoe UI"/>
          <w:b/>
          <w:color w:val="00808A" w:themeColor="accent3"/>
        </w:rPr>
      </w:pPr>
      <w:bookmarkStart w:id="431" w:name="_Toc164767779"/>
      <w:bookmarkStart w:id="432" w:name="_Toc165473710"/>
      <w:bookmarkStart w:id="433" w:name="_Toc171935888"/>
      <w:bookmarkStart w:id="434" w:name="_Toc164685833"/>
      <w:bookmarkStart w:id="435" w:name="_Toc164691447"/>
      <w:bookmarkStart w:id="436" w:name="_Toc164696244"/>
      <w:bookmarkStart w:id="437" w:name="_Toc164696390"/>
      <w:r>
        <w:rPr>
          <w:rFonts w:eastAsia="Segoe UI"/>
        </w:rPr>
        <w:t xml:space="preserve">Chapter </w:t>
      </w:r>
      <w:r w:rsidR="000C3500">
        <w:rPr>
          <w:rFonts w:eastAsia="Segoe UI"/>
        </w:rPr>
        <w:t>6</w:t>
      </w:r>
      <w:r>
        <w:rPr>
          <w:rFonts w:eastAsia="Segoe UI"/>
        </w:rPr>
        <w:t xml:space="preserve">.3: </w:t>
      </w:r>
      <w:r w:rsidR="0071117C" w:rsidRPr="00DB7AFF">
        <w:rPr>
          <w:rFonts w:eastAsia="Segoe UI"/>
        </w:rPr>
        <w:t>Development of an explicit qualitative value framework</w:t>
      </w:r>
      <w:bookmarkEnd w:id="431"/>
      <w:bookmarkEnd w:id="432"/>
      <w:bookmarkEnd w:id="433"/>
      <w:r w:rsidR="0071117C" w:rsidRPr="00DB7AFF">
        <w:rPr>
          <w:rFonts w:eastAsia="Segoe UI"/>
        </w:rPr>
        <w:t xml:space="preserve"> </w:t>
      </w:r>
      <w:bookmarkEnd w:id="434"/>
      <w:bookmarkEnd w:id="435"/>
      <w:bookmarkEnd w:id="436"/>
      <w:bookmarkEnd w:id="437"/>
    </w:p>
    <w:p w14:paraId="6F71EC47" w14:textId="056115F2" w:rsidR="001C061E" w:rsidRPr="00621C17" w:rsidRDefault="00544066" w:rsidP="00A318F7">
      <w:pPr>
        <w:pStyle w:val="Heading3"/>
      </w:pPr>
      <w:r>
        <w:t>Introduction and context</w:t>
      </w:r>
    </w:p>
    <w:p w14:paraId="52F1DEED" w14:textId="386ED875" w:rsidR="72B3C763" w:rsidRDefault="72B3C763" w:rsidP="00D33477">
      <w:r w:rsidRPr="52FE5B6D">
        <w:t xml:space="preserve">Review participants </w:t>
      </w:r>
      <w:r w:rsidR="00DB7AFF">
        <w:t xml:space="preserve">raised a common concern </w:t>
      </w:r>
      <w:r w:rsidRPr="52FE5B6D">
        <w:t xml:space="preserve">that </w:t>
      </w:r>
      <w:r w:rsidR="000B7DAC">
        <w:t>PSDs</w:t>
      </w:r>
      <w:r w:rsidRPr="52FE5B6D">
        <w:t xml:space="preserve"> do not sufficiently communicate </w:t>
      </w:r>
      <w:r w:rsidR="00DB7AFF">
        <w:t>the</w:t>
      </w:r>
      <w:r w:rsidRPr="52FE5B6D">
        <w:t xml:space="preserve"> influence certain types of evidence</w:t>
      </w:r>
      <w:r w:rsidR="00DB7AFF">
        <w:t>,</w:t>
      </w:r>
      <w:r w:rsidRPr="52FE5B6D">
        <w:t xml:space="preserve"> such as patient and consumer input</w:t>
      </w:r>
      <w:r w:rsidR="00DB7AFF">
        <w:t>,</w:t>
      </w:r>
      <w:r w:rsidRPr="52FE5B6D">
        <w:t xml:space="preserve"> ha</w:t>
      </w:r>
      <w:r w:rsidR="00DB7AFF">
        <w:t>s</w:t>
      </w:r>
      <w:r w:rsidRPr="52FE5B6D">
        <w:t xml:space="preserve"> on decisions to recommend or not recommend </w:t>
      </w:r>
      <w:r w:rsidR="00DB7AFF">
        <w:t xml:space="preserve">funding of </w:t>
      </w:r>
      <w:r w:rsidRPr="52FE5B6D">
        <w:t xml:space="preserve">a health </w:t>
      </w:r>
      <w:r w:rsidRPr="52FE5B6D">
        <w:lastRenderedPageBreak/>
        <w:t>technology.</w:t>
      </w:r>
      <w:r w:rsidR="00453069">
        <w:t xml:space="preserve"> </w:t>
      </w:r>
      <w:r w:rsidRPr="00152FE2">
        <w:t xml:space="preserve">There was agreement that better communication of the factors beyond clinical effectiveness, safety and cost-effectiveness that are considered by HTA </w:t>
      </w:r>
      <w:r w:rsidR="00C16518">
        <w:t xml:space="preserve">advisory </w:t>
      </w:r>
      <w:r w:rsidRPr="00152FE2">
        <w:t>committees</w:t>
      </w:r>
      <w:r w:rsidR="00DB7AFF">
        <w:t>,</w:t>
      </w:r>
      <w:r w:rsidRPr="00152FE2">
        <w:t xml:space="preserve"> and the</w:t>
      </w:r>
      <w:r w:rsidR="00DB7AFF">
        <w:t>ir</w:t>
      </w:r>
      <w:r w:rsidRPr="00152FE2">
        <w:t xml:space="preserve"> influence on decisions</w:t>
      </w:r>
      <w:r w:rsidR="00DB7AFF">
        <w:t>,</w:t>
      </w:r>
      <w:r w:rsidRPr="00152FE2">
        <w:t xml:space="preserve"> would enhance transparency and understanding.</w:t>
      </w:r>
    </w:p>
    <w:p w14:paraId="4D94E732" w14:textId="40F0847B" w:rsidR="72B3C763" w:rsidRDefault="72B3C763" w:rsidP="00D33477">
      <w:r w:rsidRPr="52FE5B6D">
        <w:t>The PBAC</w:t>
      </w:r>
      <w:r w:rsidR="00EF28C6">
        <w:rPr>
          <w:rStyle w:val="FootnoteReference"/>
          <w:rFonts w:eastAsia="Segoe UI" w:cs="Segoe UI"/>
          <w:color w:val="000000" w:themeColor="text1"/>
        </w:rPr>
        <w:footnoteReference w:id="136"/>
      </w:r>
      <w:r w:rsidRPr="52FE5B6D">
        <w:t xml:space="preserve"> and </w:t>
      </w:r>
      <w:r w:rsidR="00DB7AFF">
        <w:t xml:space="preserve">the </w:t>
      </w:r>
      <w:r w:rsidRPr="52FE5B6D">
        <w:t>MSAC</w:t>
      </w:r>
      <w:r w:rsidR="00E136D3">
        <w:rPr>
          <w:rStyle w:val="FootnoteReference"/>
          <w:rFonts w:eastAsia="Segoe UI" w:cs="Segoe UI"/>
          <w:color w:val="000000" w:themeColor="text1"/>
        </w:rPr>
        <w:footnoteReference w:id="137"/>
      </w:r>
      <w:r w:rsidRPr="52FE5B6D">
        <w:t xml:space="preserve"> </w:t>
      </w:r>
      <w:r w:rsidR="00E419DF">
        <w:t>G</w:t>
      </w:r>
      <w:r w:rsidRPr="52FE5B6D">
        <w:t xml:space="preserve">uidelines state that decision-making is informed by less readily quantifiable factors beyond clinical effectiveness, safety and </w:t>
      </w:r>
      <w:r w:rsidR="73EF56CD" w:rsidRPr="18ED8ACE">
        <w:t>cost-effectiveness</w:t>
      </w:r>
      <w:r w:rsidRPr="52FE5B6D">
        <w:t xml:space="preserve">. These include equity, clinical need, severity, </w:t>
      </w:r>
      <w:r w:rsidR="00C03616">
        <w:t xml:space="preserve">the </w:t>
      </w:r>
      <w:r w:rsidRPr="52FE5B6D">
        <w:t xml:space="preserve">value of knowing prognosis or diagnosis, public health issues and other relevant considerations. In this sense, </w:t>
      </w:r>
      <w:r w:rsidR="00DB7AFF">
        <w:t xml:space="preserve">the </w:t>
      </w:r>
      <w:r w:rsidR="00B25060">
        <w:t>PBAC</w:t>
      </w:r>
      <w:r w:rsidRPr="52FE5B6D">
        <w:t xml:space="preserve"> can be considered as </w:t>
      </w:r>
      <w:r w:rsidR="00DB7AFF">
        <w:t>m</w:t>
      </w:r>
      <w:r w:rsidRPr="52FE5B6D">
        <w:t>aking value-based assessment</w:t>
      </w:r>
      <w:r w:rsidR="00DB7AFF">
        <w:t>s that</w:t>
      </w:r>
      <w:r w:rsidRPr="52FE5B6D">
        <w:t xml:space="preserve"> incorporat</w:t>
      </w:r>
      <w:r w:rsidR="00DB7AFF">
        <w:t>e</w:t>
      </w:r>
      <w:r w:rsidRPr="52FE5B6D">
        <w:t xml:space="preserve"> broader value domains qualitatively rather than quantitatively. However, there is no guidance </w:t>
      </w:r>
      <w:r w:rsidR="00DB7AFF">
        <w:t xml:space="preserve">on how to present </w:t>
      </w:r>
      <w:r w:rsidRPr="52FE5B6D">
        <w:t>that information</w:t>
      </w:r>
      <w:r w:rsidR="00DB7AFF">
        <w:t>,</w:t>
      </w:r>
      <w:r w:rsidRPr="52FE5B6D">
        <w:t xml:space="preserve"> nor how </w:t>
      </w:r>
      <w:r w:rsidR="00754759">
        <w:t>HTA advisory committees</w:t>
      </w:r>
      <w:r w:rsidRPr="52FE5B6D">
        <w:t xml:space="preserve"> consistently consider and appl</w:t>
      </w:r>
      <w:r w:rsidR="00DB7AFF">
        <w:t>y</w:t>
      </w:r>
      <w:r w:rsidRPr="52FE5B6D">
        <w:t xml:space="preserve"> that information in </w:t>
      </w:r>
      <w:r w:rsidR="00DB7AFF">
        <w:t>their</w:t>
      </w:r>
      <w:r w:rsidRPr="52FE5B6D">
        <w:t xml:space="preserve"> decisions. </w:t>
      </w:r>
    </w:p>
    <w:p w14:paraId="2F18042A" w14:textId="661735C7" w:rsidR="72B3C763" w:rsidRDefault="006F39BB" w:rsidP="00D33477">
      <w:r>
        <w:t>B</w:t>
      </w:r>
      <w:r w:rsidR="72B3C763" w:rsidRPr="00152FE2">
        <w:t>roader value elements are considered by most HTA agencies around the world</w:t>
      </w:r>
      <w:bookmarkStart w:id="438" w:name="_Ref165581131"/>
      <w:r w:rsidR="00DB7AFF">
        <w:t>,</w:t>
      </w:r>
      <w:r w:rsidR="007A50EA">
        <w:rPr>
          <w:rStyle w:val="FootnoteReference"/>
          <w:rFonts w:eastAsia="Segoe UI" w:cs="Segoe UI"/>
          <w:color w:val="000000" w:themeColor="text1"/>
        </w:rPr>
        <w:footnoteReference w:id="138"/>
      </w:r>
      <w:bookmarkEnd w:id="438"/>
      <w:r w:rsidR="72B3C763" w:rsidRPr="00152FE2">
        <w:t xml:space="preserve"> but the</w:t>
      </w:r>
      <w:r w:rsidR="00DB7AFF">
        <w:t>ir</w:t>
      </w:r>
      <w:r w:rsidR="72B3C763" w:rsidRPr="00152FE2">
        <w:t xml:space="preserve"> role and </w:t>
      </w:r>
      <w:r w:rsidR="00DB7AFF">
        <w:t>effect</w:t>
      </w:r>
      <w:r w:rsidR="72B3C763" w:rsidRPr="00152FE2">
        <w:t xml:space="preserve"> on decision-making lack transparency</w:t>
      </w:r>
      <w:r w:rsidR="72B3C763" w:rsidRPr="52FE5B6D">
        <w:t xml:space="preserve">. Several studies identified in </w:t>
      </w:r>
      <w:r w:rsidR="00DB7AFF" w:rsidRPr="006C1FCA">
        <w:rPr>
          <w:i/>
        </w:rPr>
        <w:t>Clinical Evaluation</w:t>
      </w:r>
      <w:r w:rsidR="00DB7AFF" w:rsidRPr="006C1FCA">
        <w:rPr>
          <w:rStyle w:val="Hyperlink"/>
          <w:rFonts w:eastAsia="Segoe UI" w:cs="Segoe UI"/>
          <w:i/>
          <w:iCs/>
          <w:color w:val="auto"/>
          <w:u w:val="none"/>
        </w:rPr>
        <w:t xml:space="preserve"> Methods in HTA</w:t>
      </w:r>
      <w:r w:rsidR="00DB7AFF">
        <w:rPr>
          <w:rStyle w:val="FootnoteReference"/>
          <w:rFonts w:eastAsia="Segoe UI" w:cs="Segoe UI"/>
          <w:i/>
          <w:iCs/>
        </w:rPr>
        <w:footnoteReference w:id="139"/>
      </w:r>
      <w:r w:rsidR="00DB7AFF" w:rsidRPr="52FE5B6D" w:rsidDel="00DB7AFF">
        <w:t xml:space="preserve"> </w:t>
      </w:r>
      <w:r w:rsidR="72B3C763" w:rsidRPr="52FE5B6D">
        <w:t>suggested that a method to increase the transparency of the incorporation of broader value elements into decision-making, and improve consistency of decisions, is to use value frameworks such as multiple criteria decision analyses (MCDA).</w:t>
      </w:r>
      <w:r w:rsidR="00453069">
        <w:t xml:space="preserve"> </w:t>
      </w:r>
    </w:p>
    <w:p w14:paraId="584730A7" w14:textId="49EAE177" w:rsidR="72B3C763" w:rsidRDefault="72B3C763" w:rsidP="00D33477">
      <w:r w:rsidRPr="52FE5B6D">
        <w:t xml:space="preserve">Three types of value frameworks were identified in </w:t>
      </w:r>
      <w:bookmarkStart w:id="439" w:name="_Hlk167609823"/>
      <w:r w:rsidR="00A43254" w:rsidRPr="006C1FCA">
        <w:rPr>
          <w:i/>
        </w:rPr>
        <w:t>Clinical Evaluation</w:t>
      </w:r>
      <w:r w:rsidR="007A50EA" w:rsidRPr="006C1FCA">
        <w:rPr>
          <w:rStyle w:val="Hyperlink"/>
          <w:rFonts w:eastAsia="Segoe UI" w:cs="Segoe UI"/>
          <w:i/>
          <w:iCs/>
          <w:color w:val="auto"/>
          <w:u w:val="none"/>
        </w:rPr>
        <w:t xml:space="preserve"> Methods in HTA</w:t>
      </w:r>
      <w:bookmarkStart w:id="440" w:name="_Ref164781191"/>
      <w:bookmarkEnd w:id="439"/>
      <w:r w:rsidR="00EB5CFF">
        <w:rPr>
          <w:rStyle w:val="Hyperlink"/>
          <w:rFonts w:eastAsia="Segoe UI" w:cs="Segoe UI"/>
          <w:color w:val="auto"/>
          <w:u w:val="none"/>
        </w:rPr>
        <w:t>:</w:t>
      </w:r>
      <w:bookmarkEnd w:id="440"/>
      <w:r w:rsidRPr="000D09BB">
        <w:t xml:space="preserve"> </w:t>
      </w:r>
    </w:p>
    <w:p w14:paraId="24FB158B" w14:textId="0BD574EE" w:rsidR="72B3C763" w:rsidRDefault="00EB5CFF" w:rsidP="00274AA9">
      <w:pPr>
        <w:pStyle w:val="ListBullet"/>
      </w:pPr>
      <w:r>
        <w:t>q</w:t>
      </w:r>
      <w:r w:rsidR="72B3C763" w:rsidRPr="52FE5B6D">
        <w:t>ualitative MCDA (qualitative value framework)</w:t>
      </w:r>
      <w:r w:rsidR="00453069">
        <w:t xml:space="preserve"> </w:t>
      </w:r>
    </w:p>
    <w:p w14:paraId="77B6ADFA" w14:textId="1F56EB29" w:rsidR="00343178" w:rsidRDefault="00EB5CFF" w:rsidP="00274AA9">
      <w:pPr>
        <w:pStyle w:val="ListBullet"/>
      </w:pPr>
      <w:r>
        <w:t>q</w:t>
      </w:r>
      <w:r w:rsidR="72B3C763" w:rsidRPr="00343178">
        <w:t>uantitative MCDA (each value element for decision-making is scored and then synthesised using predetermined weights</w:t>
      </w:r>
      <w:r>
        <w:t>, and</w:t>
      </w:r>
      <w:r w:rsidR="72B3C763" w:rsidRPr="00343178">
        <w:t xml:space="preserve"> an overall score is generated)</w:t>
      </w:r>
      <w:r w:rsidR="00453069">
        <w:t xml:space="preserve"> </w:t>
      </w:r>
    </w:p>
    <w:p w14:paraId="03FC1A34" w14:textId="64885125" w:rsidR="72B3C763" w:rsidRPr="00343178" w:rsidRDefault="72B3C763" w:rsidP="00274AA9">
      <w:pPr>
        <w:pStyle w:val="ListBullet"/>
      </w:pPr>
      <w:r w:rsidRPr="76C41307">
        <w:t>MCDA with decision rules (i.e. value-based decision</w:t>
      </w:r>
      <w:r w:rsidR="00EB5CFF">
        <w:t xml:space="preserve"> </w:t>
      </w:r>
      <w:r w:rsidRPr="76C41307">
        <w:t xml:space="preserve">rules). </w:t>
      </w:r>
    </w:p>
    <w:p w14:paraId="57F90D75" w14:textId="779F9C7F" w:rsidR="72B3C763" w:rsidRDefault="72B3C763" w:rsidP="004E48B3">
      <w:pPr>
        <w:spacing w:before="240" w:after="240"/>
        <w:rPr>
          <w:rFonts w:eastAsia="Segoe UI" w:cs="Segoe UI"/>
          <w:color w:val="000000" w:themeColor="text1"/>
        </w:rPr>
      </w:pPr>
      <w:r w:rsidRPr="00152FE2">
        <w:rPr>
          <w:rFonts w:eastAsia="Segoe UI" w:cs="Segoe UI"/>
          <w:color w:val="000000" w:themeColor="text1"/>
        </w:rPr>
        <w:t>The use of MCDA in HTA</w:t>
      </w:r>
      <w:r w:rsidR="00EB5CFF">
        <w:rPr>
          <w:rFonts w:eastAsia="Segoe UI" w:cs="Segoe UI"/>
          <w:color w:val="000000" w:themeColor="text1"/>
        </w:rPr>
        <w:t>s</w:t>
      </w:r>
      <w:r w:rsidRPr="00152FE2">
        <w:rPr>
          <w:rFonts w:eastAsia="Segoe UI" w:cs="Segoe UI"/>
          <w:color w:val="000000" w:themeColor="text1"/>
        </w:rPr>
        <w:t xml:space="preserve"> is not widespread.</w:t>
      </w:r>
      <w:r w:rsidR="00EB5CFF">
        <w:rPr>
          <w:rFonts w:eastAsia="Segoe UI" w:cs="Segoe UI"/>
          <w:color w:val="000000" w:themeColor="text1"/>
        </w:rPr>
        <w:t xml:space="preserve"> </w:t>
      </w:r>
      <w:r w:rsidR="00D914B8" w:rsidRPr="006C1FCA">
        <w:rPr>
          <w:rFonts w:eastAsia="Segoe UI" w:cs="Segoe UI"/>
          <w:i/>
          <w:iCs/>
          <w:color w:val="000000" w:themeColor="text1"/>
        </w:rPr>
        <w:t>Clinical Evaluation Methods in HTA</w:t>
      </w:r>
      <w:r w:rsidR="003A3F8B" w:rsidRPr="000D2D42">
        <w:rPr>
          <w:rFonts w:eastAsia="Segoe UI" w:cs="Segoe UI"/>
          <w:i/>
          <w:color w:val="000000" w:themeColor="text1"/>
        </w:rPr>
        <w:t xml:space="preserve"> </w:t>
      </w:r>
      <w:r w:rsidRPr="00EB5CFF">
        <w:rPr>
          <w:rFonts w:eastAsia="Segoe UI" w:cs="Segoe UI"/>
          <w:color w:val="000000" w:themeColor="text1"/>
        </w:rPr>
        <w:t xml:space="preserve">found </w:t>
      </w:r>
      <w:r w:rsidRPr="00152FE2">
        <w:rPr>
          <w:rFonts w:eastAsia="Segoe UI" w:cs="Segoe UI"/>
          <w:color w:val="000000" w:themeColor="text1"/>
        </w:rPr>
        <w:t>that only one jurisdiction (NICE) used a formal weighting of benefits approach</w:t>
      </w:r>
      <w:r w:rsidR="00EB5CFF">
        <w:rPr>
          <w:rFonts w:eastAsia="Segoe UI" w:cs="Segoe UI"/>
          <w:color w:val="000000" w:themeColor="text1"/>
        </w:rPr>
        <w:t xml:space="preserve"> (</w:t>
      </w:r>
      <w:r w:rsidRPr="00152FE2">
        <w:rPr>
          <w:rFonts w:eastAsia="Segoe UI" w:cs="Segoe UI"/>
          <w:color w:val="000000" w:themeColor="text1"/>
        </w:rPr>
        <w:t>QALY weightings that differ from the reference case</w:t>
      </w:r>
      <w:r w:rsidR="00EB5CFF">
        <w:rPr>
          <w:rFonts w:eastAsia="Segoe UI" w:cs="Segoe UI"/>
          <w:color w:val="000000" w:themeColor="text1"/>
        </w:rPr>
        <w:t>)</w:t>
      </w:r>
      <w:r w:rsidRPr="00152FE2">
        <w:rPr>
          <w:rFonts w:eastAsia="Segoe UI" w:cs="Segoe UI"/>
          <w:color w:val="000000" w:themeColor="text1"/>
        </w:rPr>
        <w:t xml:space="preserve"> in decision-making. </w:t>
      </w:r>
      <w:r w:rsidR="0096209D">
        <w:rPr>
          <w:rFonts w:eastAsia="Segoe UI" w:cs="Segoe UI"/>
          <w:color w:val="000000" w:themeColor="text1"/>
        </w:rPr>
        <w:t>Canada’s</w:t>
      </w:r>
      <w:r w:rsidRPr="00152FE2">
        <w:rPr>
          <w:rFonts w:eastAsia="Segoe UI" w:cs="Segoe UI"/>
          <w:color w:val="000000" w:themeColor="text1"/>
        </w:rPr>
        <w:t xml:space="preserve"> Ontario </w:t>
      </w:r>
      <w:r w:rsidR="0096209D" w:rsidRPr="00152FE2">
        <w:rPr>
          <w:rFonts w:eastAsia="Segoe UI" w:cs="Segoe UI"/>
          <w:color w:val="000000" w:themeColor="text1"/>
        </w:rPr>
        <w:t xml:space="preserve">jurisdiction </w:t>
      </w:r>
      <w:r w:rsidRPr="00152FE2">
        <w:rPr>
          <w:rFonts w:eastAsia="Segoe UI" w:cs="Segoe UI"/>
          <w:color w:val="000000" w:themeColor="text1"/>
        </w:rPr>
        <w:t>did not endorse the MCDA approach</w:t>
      </w:r>
      <w:r w:rsidR="0096209D">
        <w:rPr>
          <w:rFonts w:eastAsia="Segoe UI" w:cs="Segoe UI"/>
          <w:color w:val="000000" w:themeColor="text1"/>
        </w:rPr>
        <w:t>, finding that</w:t>
      </w:r>
      <w:r w:rsidRPr="00152FE2">
        <w:rPr>
          <w:rFonts w:eastAsia="Segoe UI" w:cs="Segoe UI"/>
          <w:color w:val="000000" w:themeColor="text1"/>
        </w:rPr>
        <w:t xml:space="preserve"> structured </w:t>
      </w:r>
      <w:r w:rsidR="00830AFC">
        <w:rPr>
          <w:rFonts w:eastAsia="Segoe UI" w:cs="Segoe UI"/>
          <w:color w:val="000000" w:themeColor="text1"/>
        </w:rPr>
        <w:t>decision-making</w:t>
      </w:r>
      <w:r w:rsidRPr="00152FE2">
        <w:rPr>
          <w:rFonts w:eastAsia="Segoe UI" w:cs="Segoe UI"/>
          <w:color w:val="000000" w:themeColor="text1"/>
        </w:rPr>
        <w:t xml:space="preserve"> introduced undesirable rigidity into the process</w:t>
      </w:r>
      <w:r w:rsidR="0096209D">
        <w:rPr>
          <w:rFonts w:eastAsia="Segoe UI" w:cs="Segoe UI"/>
          <w:color w:val="000000" w:themeColor="text1"/>
        </w:rPr>
        <w:t>.</w:t>
      </w:r>
      <w:r w:rsidRPr="00152FE2">
        <w:rPr>
          <w:rFonts w:eastAsia="Segoe UI" w:cs="Segoe UI"/>
          <w:color w:val="000000" w:themeColor="text1"/>
        </w:rPr>
        <w:t xml:space="preserve"> Many countries used a more informal approach</w:t>
      </w:r>
      <w:r w:rsidR="0096209D">
        <w:rPr>
          <w:rFonts w:eastAsia="Segoe UI" w:cs="Segoe UI"/>
          <w:color w:val="000000" w:themeColor="text1"/>
        </w:rPr>
        <w:t>,</w:t>
      </w:r>
      <w:r w:rsidRPr="00152FE2">
        <w:rPr>
          <w:rFonts w:eastAsia="Segoe UI" w:cs="Segoe UI"/>
          <w:color w:val="000000" w:themeColor="text1"/>
        </w:rPr>
        <w:t xml:space="preserve"> taking other information, such as consumer experiences and equity </w:t>
      </w:r>
      <w:r w:rsidRPr="00152FE2">
        <w:rPr>
          <w:rFonts w:eastAsia="Segoe UI" w:cs="Segoe UI"/>
          <w:color w:val="000000" w:themeColor="text1"/>
        </w:rPr>
        <w:lastRenderedPageBreak/>
        <w:t>issues</w:t>
      </w:r>
      <w:r w:rsidR="0096209D">
        <w:rPr>
          <w:rFonts w:eastAsia="Segoe UI" w:cs="Segoe UI"/>
          <w:color w:val="000000" w:themeColor="text1"/>
        </w:rPr>
        <w:t>,</w:t>
      </w:r>
      <w:r w:rsidRPr="00152FE2">
        <w:rPr>
          <w:rFonts w:eastAsia="Segoe UI" w:cs="Segoe UI"/>
          <w:color w:val="000000" w:themeColor="text1"/>
        </w:rPr>
        <w:t xml:space="preserve"> into consideration during decision-making</w:t>
      </w:r>
      <w:r w:rsidR="008C7302" w:rsidRPr="00152FE2">
        <w:rPr>
          <w:rFonts w:eastAsia="Segoe UI" w:cs="Segoe UI"/>
          <w:color w:val="000000" w:themeColor="text1"/>
        </w:rPr>
        <w:t>.</w:t>
      </w:r>
      <w:r w:rsidRPr="00152FE2">
        <w:rPr>
          <w:rFonts w:eastAsia="Segoe UI" w:cs="Segoe UI"/>
          <w:color w:val="000000" w:themeColor="text1"/>
        </w:rPr>
        <w:t xml:space="preserve"> Equity is usually considered in a deliberative manner by appraisal committees</w:t>
      </w:r>
      <w:r w:rsidR="008C7302" w:rsidRPr="00152FE2">
        <w:rPr>
          <w:rFonts w:eastAsia="Segoe UI" w:cs="Segoe UI"/>
          <w:color w:val="000000" w:themeColor="text1"/>
        </w:rPr>
        <w:t>.</w:t>
      </w:r>
    </w:p>
    <w:p w14:paraId="34FDE5F3" w14:textId="5311CA7E" w:rsidR="72B3C763" w:rsidRDefault="00544066" w:rsidP="00A318F7">
      <w:pPr>
        <w:pStyle w:val="Heading3"/>
        <w:rPr>
          <w:rFonts w:eastAsia="Segoe UI" w:cs="Segoe UI"/>
          <w:i/>
          <w:u w:val="single"/>
        </w:rPr>
      </w:pPr>
      <w:r>
        <w:t>Findings</w:t>
      </w:r>
    </w:p>
    <w:p w14:paraId="02B78785" w14:textId="61DAEAE3" w:rsidR="72B3C763" w:rsidRDefault="0096209D" w:rsidP="00D10C97">
      <w:r>
        <w:t>M</w:t>
      </w:r>
      <w:r w:rsidR="72B3C763" w:rsidRPr="00152FE2">
        <w:t>ore explicit guidance is needed on how elements beyond clinical effectiveness, cost</w:t>
      </w:r>
      <w:r w:rsidR="00BB34D8">
        <w:t>-</w:t>
      </w:r>
      <w:r w:rsidR="72B3C763" w:rsidRPr="00152FE2">
        <w:t>effectiveness and financial impact</w:t>
      </w:r>
      <w:r>
        <w:t xml:space="preserve"> –</w:t>
      </w:r>
      <w:r w:rsidRPr="00152FE2">
        <w:t xml:space="preserve"> </w:t>
      </w:r>
      <w:r w:rsidR="72B3C763" w:rsidRPr="00152FE2">
        <w:t xml:space="preserve">such as patient and consumer input, equity, clinical need, severity, </w:t>
      </w:r>
      <w:r w:rsidR="00C03616">
        <w:t xml:space="preserve">the </w:t>
      </w:r>
      <w:r w:rsidR="72B3C763" w:rsidRPr="00152FE2">
        <w:t xml:space="preserve">value of knowing prognosis or diagnosis, public health issues and other relevant considerations </w:t>
      </w:r>
      <w:r>
        <w:t xml:space="preserve">– </w:t>
      </w:r>
      <w:r w:rsidR="72B3C763" w:rsidRPr="00152FE2">
        <w:t xml:space="preserve">are being considered by </w:t>
      </w:r>
      <w:r w:rsidR="6534FB1A" w:rsidRPr="0DBC9CA5">
        <w:t>HTA</w:t>
      </w:r>
      <w:r w:rsidR="00BF330A">
        <w:t xml:space="preserve"> </w:t>
      </w:r>
      <w:r w:rsidR="72B3C763" w:rsidRPr="00152FE2">
        <w:t>advisory committees and what impact they have on decision-making.</w:t>
      </w:r>
      <w:r w:rsidR="72B3C763" w:rsidRPr="52FE5B6D">
        <w:t xml:space="preserve"> </w:t>
      </w:r>
    </w:p>
    <w:p w14:paraId="34DC8FDB" w14:textId="5605DECC" w:rsidR="72B3C763" w:rsidRDefault="0096209D" w:rsidP="00D10C97">
      <w:r>
        <w:t>O</w:t>
      </w:r>
      <w:r w:rsidR="72B3C763" w:rsidRPr="52FE5B6D">
        <w:t xml:space="preserve">ther jurisdictions have developed explicit value frameworks for this purpose. </w:t>
      </w:r>
      <w:r>
        <w:t>I</w:t>
      </w:r>
      <w:r w:rsidR="72B3C763" w:rsidRPr="52FE5B6D">
        <w:t>n this context</w:t>
      </w:r>
      <w:r>
        <w:t>, ‘value’</w:t>
      </w:r>
      <w:r w:rsidR="72B3C763" w:rsidRPr="52FE5B6D">
        <w:t xml:space="preserve"> </w:t>
      </w:r>
      <w:r w:rsidR="00825265">
        <w:t>means</w:t>
      </w:r>
      <w:r w:rsidR="72B3C763" w:rsidRPr="52FE5B6D">
        <w:t xml:space="preserve"> consider important</w:t>
      </w:r>
      <w:r>
        <w:t>. T</w:t>
      </w:r>
      <w:r w:rsidR="72B3C763" w:rsidRPr="52FE5B6D">
        <w:t xml:space="preserve">he term </w:t>
      </w:r>
      <w:r w:rsidR="00825265">
        <w:t>‘</w:t>
      </w:r>
      <w:r w:rsidR="72B3C763" w:rsidRPr="52FE5B6D">
        <w:t>explicit</w:t>
      </w:r>
      <w:r w:rsidR="00825265">
        <w:t>’</w:t>
      </w:r>
      <w:r w:rsidR="72B3C763" w:rsidRPr="52FE5B6D">
        <w:t xml:space="preserve"> </w:t>
      </w:r>
      <w:r w:rsidR="00825265">
        <w:t>refers to</w:t>
      </w:r>
      <w:r w:rsidR="72B3C763" w:rsidRPr="52FE5B6D">
        <w:t xml:space="preserve"> the value elements the committee considers, how they consider them, and </w:t>
      </w:r>
      <w:r w:rsidR="00825265">
        <w:t>their known</w:t>
      </w:r>
      <w:r w:rsidR="72B3C763" w:rsidRPr="52FE5B6D">
        <w:t xml:space="preserve"> impact on decision-making. </w:t>
      </w:r>
    </w:p>
    <w:p w14:paraId="035049F2" w14:textId="738125BF" w:rsidR="72B3C763" w:rsidRDefault="72B3C763" w:rsidP="00D10C97">
      <w:r w:rsidRPr="52FE5B6D">
        <w:t xml:space="preserve">The use of an explicit value framework embeds a patient-centric approach and provides greater confidence that </w:t>
      </w:r>
      <w:r w:rsidR="5E2E46AD" w:rsidRPr="68A12142">
        <w:t xml:space="preserve">HTA </w:t>
      </w:r>
      <w:r w:rsidR="00BF330A">
        <w:t xml:space="preserve">advisory </w:t>
      </w:r>
      <w:r w:rsidRPr="52FE5B6D">
        <w:t>committees are considering factors that are of value to patients and society.</w:t>
      </w:r>
      <w:r w:rsidR="00453069">
        <w:t xml:space="preserve"> </w:t>
      </w:r>
    </w:p>
    <w:p w14:paraId="10D4846C" w14:textId="2671DF8E" w:rsidR="72B3C763" w:rsidRDefault="72B3C763" w:rsidP="00D10C97">
      <w:r w:rsidRPr="00152FE2">
        <w:t>Patient</w:t>
      </w:r>
      <w:r w:rsidR="00740AFB">
        <w:t>,</w:t>
      </w:r>
      <w:r w:rsidRPr="00152FE2">
        <w:t xml:space="preserve"> consumer, industry and clinical organisation</w:t>
      </w:r>
      <w:r w:rsidR="1EC0B66B" w:rsidRPr="00152FE2">
        <w:t>s</w:t>
      </w:r>
      <w:r w:rsidRPr="00152FE2">
        <w:t xml:space="preserve"> felt that develop</w:t>
      </w:r>
      <w:r w:rsidR="00740AFB">
        <w:t>ing</w:t>
      </w:r>
      <w:r w:rsidRPr="00152FE2">
        <w:t xml:space="preserve"> an explicit qualitative value framework would have a positive or very positive impact </w:t>
      </w:r>
      <w:r w:rsidR="00740AFB">
        <w:t>for</w:t>
      </w:r>
      <w:r w:rsidRPr="00152FE2">
        <w:t xml:space="preserve"> them or their organisation and would provide transparency and additional context around </w:t>
      </w:r>
      <w:r w:rsidR="00830AFC">
        <w:t>decision-making</w:t>
      </w:r>
      <w:r w:rsidRPr="00152FE2">
        <w:t>.</w:t>
      </w:r>
    </w:p>
    <w:p w14:paraId="63C318C0" w14:textId="39322A7F" w:rsidR="72B3C763" w:rsidRDefault="72B3C763" w:rsidP="00D10C97">
      <w:r w:rsidRPr="52FE5B6D">
        <w:t xml:space="preserve">Review participants </w:t>
      </w:r>
      <w:r w:rsidR="00740AFB">
        <w:t>thought</w:t>
      </w:r>
      <w:r w:rsidRPr="52FE5B6D">
        <w:t xml:space="preserve"> the framework should be developed in consultation with stakeholders</w:t>
      </w:r>
      <w:r w:rsidR="753B4A47" w:rsidRPr="5EDE250B">
        <w:t>.</w:t>
      </w:r>
      <w:r w:rsidRPr="52FE5B6D">
        <w:t xml:space="preserve"> Some industry stakeholders </w:t>
      </w:r>
      <w:r w:rsidR="00740AFB">
        <w:t>said</w:t>
      </w:r>
      <w:r w:rsidRPr="52FE5B6D">
        <w:t xml:space="preserve"> the framework should be developed separately from HTA </w:t>
      </w:r>
      <w:r w:rsidR="00C16518">
        <w:t xml:space="preserve">advisory </w:t>
      </w:r>
      <w:r w:rsidRPr="52FE5B6D">
        <w:t>committee</w:t>
      </w:r>
      <w:r w:rsidR="00740AFB">
        <w:t>s</w:t>
      </w:r>
      <w:r w:rsidRPr="52FE5B6D">
        <w:t xml:space="preserve">. This view was not shared </w:t>
      </w:r>
      <w:r w:rsidR="00740AFB">
        <w:t>by</w:t>
      </w:r>
      <w:r w:rsidRPr="52FE5B6D">
        <w:t xml:space="preserve"> other stakeholder groups. </w:t>
      </w:r>
    </w:p>
    <w:p w14:paraId="24C11CFE" w14:textId="799A234C" w:rsidR="72B3C763" w:rsidRDefault="72B3C763" w:rsidP="00D10C97">
      <w:r w:rsidRPr="52FE5B6D">
        <w:t xml:space="preserve">The option proposed in the Review focused on making more explicit how the </w:t>
      </w:r>
      <w:r w:rsidRPr="004D1D40">
        <w:t>currently</w:t>
      </w:r>
      <w:r w:rsidRPr="52FE5B6D">
        <w:t xml:space="preserve"> considered less quantifiable elements </w:t>
      </w:r>
      <w:r w:rsidR="004D1D40">
        <w:t xml:space="preserve">– </w:t>
      </w:r>
      <w:r w:rsidRPr="52FE5B6D">
        <w:t xml:space="preserve">such as patient and consumer input, equity, clinical need, severity, </w:t>
      </w:r>
      <w:r w:rsidR="00C03616">
        <w:t xml:space="preserve">the </w:t>
      </w:r>
      <w:r w:rsidRPr="52FE5B6D">
        <w:t>value of knowing prognosis or diagnosis</w:t>
      </w:r>
      <w:r w:rsidR="004D1D40">
        <w:t>, and</w:t>
      </w:r>
      <w:r w:rsidRPr="52FE5B6D">
        <w:t xml:space="preserve"> public health issues </w:t>
      </w:r>
      <w:r w:rsidR="004D1D40">
        <w:t xml:space="preserve">– </w:t>
      </w:r>
      <w:r w:rsidRPr="52FE5B6D">
        <w:t xml:space="preserve">influence HTA </w:t>
      </w:r>
      <w:r w:rsidR="00C16518">
        <w:t xml:space="preserve">advisory </w:t>
      </w:r>
      <w:r w:rsidRPr="52FE5B6D">
        <w:t xml:space="preserve">committee </w:t>
      </w:r>
      <w:r w:rsidR="00830AFC">
        <w:t>decision-making</w:t>
      </w:r>
      <w:r w:rsidRPr="52FE5B6D">
        <w:t xml:space="preserve">. </w:t>
      </w:r>
    </w:p>
    <w:p w14:paraId="01466CDA" w14:textId="78F3BB18" w:rsidR="72B3C763" w:rsidRDefault="72B3C763" w:rsidP="00D10C97">
      <w:r w:rsidRPr="52FE5B6D">
        <w:t xml:space="preserve">There were mixed views on the range of elements that should be represented in the qualitative framework. Some stakeholders, </w:t>
      </w:r>
      <w:r w:rsidR="00311A83">
        <w:t>mainly</w:t>
      </w:r>
      <w:r w:rsidR="00311A83" w:rsidRPr="52FE5B6D">
        <w:t xml:space="preserve"> </w:t>
      </w:r>
      <w:r w:rsidRPr="52FE5B6D">
        <w:t>industry participants, explore</w:t>
      </w:r>
      <w:r w:rsidR="00311A83">
        <w:t>d</w:t>
      </w:r>
      <w:r w:rsidRPr="52FE5B6D">
        <w:t xml:space="preserve"> </w:t>
      </w:r>
      <w:r w:rsidR="00C03616">
        <w:t xml:space="preserve">the </w:t>
      </w:r>
      <w:r w:rsidRPr="52FE5B6D">
        <w:t>inclusion of a much broader range of elements</w:t>
      </w:r>
      <w:r w:rsidR="00C03616">
        <w:t>:</w:t>
      </w:r>
      <w:r w:rsidRPr="52FE5B6D">
        <w:t xml:space="preserve"> societal benefits such as productivity benefits, reduced carer burden, treatment choice and real option value (e.g. life-extending treatments </w:t>
      </w:r>
      <w:r w:rsidR="00311A83">
        <w:t xml:space="preserve">that </w:t>
      </w:r>
      <w:r w:rsidRPr="52FE5B6D">
        <w:t xml:space="preserve">may </w:t>
      </w:r>
      <w:r w:rsidR="00311A83">
        <w:t>increase</w:t>
      </w:r>
      <w:r w:rsidRPr="52FE5B6D">
        <w:t xml:space="preserve"> treatment options in the future). The PBAC </w:t>
      </w:r>
      <w:r w:rsidR="00BA4CDE">
        <w:t>G</w:t>
      </w:r>
      <w:r w:rsidRPr="52FE5B6D">
        <w:t>uidelines include a dedicated appendix describing how non-health benefits</w:t>
      </w:r>
      <w:r w:rsidR="00311A83">
        <w:t>,</w:t>
      </w:r>
      <w:r w:rsidRPr="52FE5B6D">
        <w:t xml:space="preserve"> such as productivity</w:t>
      </w:r>
      <w:r w:rsidR="00311A83">
        <w:t>,</w:t>
      </w:r>
      <w:r w:rsidRPr="52FE5B6D">
        <w:t xml:space="preserve"> can be included as a supplementary quantitative analysis in addition to the base case.</w:t>
      </w:r>
      <w:r w:rsidR="00E04A25">
        <w:rPr>
          <w:rStyle w:val="FootnoteReference"/>
        </w:rPr>
        <w:footnoteReference w:id="140"/>
      </w:r>
      <w:r w:rsidRPr="52FE5B6D">
        <w:t xml:space="preserve"> </w:t>
      </w:r>
    </w:p>
    <w:p w14:paraId="66744E65" w14:textId="74F26B2B" w:rsidR="72B3C763" w:rsidRDefault="00311A83" w:rsidP="00D10C97">
      <w:r>
        <w:lastRenderedPageBreak/>
        <w:t>A</w:t>
      </w:r>
      <w:r w:rsidRPr="52FE5B6D">
        <w:t xml:space="preserve">ll stakeholders </w:t>
      </w:r>
      <w:r>
        <w:t>consistently highlighted c</w:t>
      </w:r>
      <w:r w:rsidR="72B3C763" w:rsidRPr="52FE5B6D">
        <w:t>onsideration of equity and priority populations</w:t>
      </w:r>
      <w:r>
        <w:t>,</w:t>
      </w:r>
      <w:r w:rsidR="72B3C763" w:rsidRPr="52FE5B6D">
        <w:t xml:space="preserve"> such as First Nations people</w:t>
      </w:r>
      <w:r>
        <w:t>,</w:t>
      </w:r>
      <w:r w:rsidR="72B3C763" w:rsidRPr="52FE5B6D">
        <w:t xml:space="preserve"> as an essential element for inclusion. It was suggested that a checklist should be developed </w:t>
      </w:r>
      <w:r w:rsidRPr="52FE5B6D">
        <w:t>to consistently assess health inequality impacts</w:t>
      </w:r>
      <w:r w:rsidRPr="52FE5B6D" w:rsidDel="00311A83">
        <w:t xml:space="preserve"> </w:t>
      </w:r>
      <w:r>
        <w:t>in</w:t>
      </w:r>
      <w:r w:rsidRPr="52FE5B6D">
        <w:t xml:space="preserve"> </w:t>
      </w:r>
      <w:r w:rsidR="72B3C763" w:rsidRPr="52FE5B6D">
        <w:t>Australia.</w:t>
      </w:r>
    </w:p>
    <w:p w14:paraId="7BAE68C4" w14:textId="0EBC60F8" w:rsidR="00F72AD5" w:rsidRDefault="00F72AD5" w:rsidP="00F72AD5">
      <w:pPr>
        <w:pStyle w:val="Heading3"/>
      </w:pPr>
      <w:bookmarkStart w:id="441" w:name="_Toc164691450"/>
      <w:bookmarkStart w:id="442" w:name="_Toc164696247"/>
      <w:bookmarkStart w:id="443" w:name="_Toc164696393"/>
      <w:bookmarkStart w:id="444" w:name="_Toc164767782"/>
      <w:bookmarkStart w:id="445" w:name="_Toc165473713"/>
      <w:r>
        <w:t>Conclusion</w:t>
      </w:r>
    </w:p>
    <w:p w14:paraId="5656FD53" w14:textId="72CDB230" w:rsidR="00F72AD5" w:rsidRPr="00F72AD5" w:rsidRDefault="00EA0E13" w:rsidP="00F72AD5">
      <w:r>
        <w:t xml:space="preserve">The absence of guidance and other communications demonstrating how </w:t>
      </w:r>
      <w:r w:rsidR="008A20D4">
        <w:t xml:space="preserve">wider </w:t>
      </w:r>
      <w:r w:rsidR="00C7288A">
        <w:t>e</w:t>
      </w:r>
      <w:r w:rsidR="00C7288A" w:rsidRPr="00152FE2">
        <w:t>lements (beyond clinical effectiveness, cost</w:t>
      </w:r>
      <w:r w:rsidR="00BB34D8">
        <w:t>-</w:t>
      </w:r>
      <w:r w:rsidR="00C7288A" w:rsidRPr="00152FE2">
        <w:t>effectiveness and financial impact)</w:t>
      </w:r>
      <w:r w:rsidR="00C7288A">
        <w:t xml:space="preserve"> are considered by HTA advisory committees has </w:t>
      </w:r>
      <w:r w:rsidR="00A16400">
        <w:t>created uncertainty about the influence the</w:t>
      </w:r>
      <w:r w:rsidR="008A20D4">
        <w:t xml:space="preserve">y have on </w:t>
      </w:r>
      <w:r w:rsidR="00830AFC">
        <w:t>decision-making</w:t>
      </w:r>
      <w:r w:rsidR="008A20D4">
        <w:t xml:space="preserve">. </w:t>
      </w:r>
    </w:p>
    <w:p w14:paraId="256C5E1C" w14:textId="667D9AF4" w:rsidR="00212761" w:rsidRPr="00212761" w:rsidRDefault="00212761" w:rsidP="00A318F7">
      <w:pPr>
        <w:pStyle w:val="Heading3"/>
      </w:pPr>
      <w:r>
        <w:t xml:space="preserve">Objectives </w:t>
      </w:r>
      <w:r w:rsidR="00740AED">
        <w:t>of</w:t>
      </w:r>
      <w:r>
        <w:t xml:space="preserve"> recommendations</w:t>
      </w:r>
      <w:bookmarkEnd w:id="441"/>
      <w:bookmarkEnd w:id="442"/>
      <w:bookmarkEnd w:id="443"/>
      <w:bookmarkEnd w:id="444"/>
      <w:bookmarkEnd w:id="445"/>
    </w:p>
    <w:p w14:paraId="5A4AF6C9" w14:textId="5E876C19" w:rsidR="22C3AB65" w:rsidRDefault="78F25CA9" w:rsidP="004E48B3">
      <w:r>
        <w:t>The Review</w:t>
      </w:r>
      <w:r w:rsidR="00AF337F">
        <w:t>’s</w:t>
      </w:r>
      <w:r>
        <w:t xml:space="preserve"> recommendation</w:t>
      </w:r>
      <w:r w:rsidR="00AF337F">
        <w:t>s</w:t>
      </w:r>
      <w:r>
        <w:t xml:space="preserve"> aim to ensure that the wider elements </w:t>
      </w:r>
      <w:r w:rsidR="001155A2">
        <w:t xml:space="preserve">HTA advisory committees </w:t>
      </w:r>
      <w:proofErr w:type="gramStart"/>
      <w:r>
        <w:t>take into account</w:t>
      </w:r>
      <w:proofErr w:type="gramEnd"/>
      <w:r>
        <w:t xml:space="preserve"> </w:t>
      </w:r>
      <w:r w:rsidR="6B9B5D80">
        <w:t>in</w:t>
      </w:r>
      <w:r>
        <w:t xml:space="preserve"> </w:t>
      </w:r>
      <w:r w:rsidR="001155A2">
        <w:t>deci</w:t>
      </w:r>
      <w:r w:rsidR="000B18B2">
        <w:t>ding</w:t>
      </w:r>
      <w:r w:rsidR="5D96CA80">
        <w:t xml:space="preserve"> whether a hea</w:t>
      </w:r>
      <w:r w:rsidR="00B83227">
        <w:t>l</w:t>
      </w:r>
      <w:r w:rsidR="5D96CA80">
        <w:t xml:space="preserve">th technology </w:t>
      </w:r>
      <w:r w:rsidR="45127D57">
        <w:t>should</w:t>
      </w:r>
      <w:r w:rsidR="5D96CA80">
        <w:t xml:space="preserve"> be funded</w:t>
      </w:r>
      <w:r>
        <w:t xml:space="preserve"> are </w:t>
      </w:r>
      <w:r w:rsidR="0C9D87A0">
        <w:t>visible</w:t>
      </w:r>
      <w:r w:rsidR="001155A2">
        <w:t xml:space="preserve"> and</w:t>
      </w:r>
      <w:r w:rsidR="0C9D87A0">
        <w:t xml:space="preserve"> </w:t>
      </w:r>
      <w:r w:rsidR="67B35D23">
        <w:t>applied consistently</w:t>
      </w:r>
      <w:r w:rsidR="001155A2">
        <w:t>. T</w:t>
      </w:r>
      <w:r w:rsidR="66FE382B">
        <w:t xml:space="preserve">he influence of wider elements </w:t>
      </w:r>
      <w:r w:rsidR="59B6B6AE">
        <w:t xml:space="preserve">in committee deliberations </w:t>
      </w:r>
      <w:r w:rsidR="001155A2">
        <w:t>should be</w:t>
      </w:r>
      <w:r w:rsidR="59B6B6AE">
        <w:t xml:space="preserve"> </w:t>
      </w:r>
      <w:r w:rsidR="162C7079">
        <w:t>transparent</w:t>
      </w:r>
      <w:r w:rsidR="31EC26A7">
        <w:t xml:space="preserve"> and </w:t>
      </w:r>
      <w:r w:rsidR="59B6B6AE">
        <w:t>clearly described in plain language</w:t>
      </w:r>
      <w:r w:rsidR="00ACA06D">
        <w:t>.</w:t>
      </w:r>
    </w:p>
    <w:p w14:paraId="3A76A014" w14:textId="2EABE00F" w:rsidR="72B3C763" w:rsidRDefault="72B3C763" w:rsidP="00A318F7">
      <w:pPr>
        <w:pStyle w:val="Heading3"/>
      </w:pPr>
      <w:bookmarkStart w:id="446" w:name="_Toc164691451"/>
      <w:bookmarkStart w:id="447" w:name="_Toc164696248"/>
      <w:bookmarkStart w:id="448" w:name="_Toc164696394"/>
      <w:bookmarkStart w:id="449" w:name="_Toc164767783"/>
      <w:bookmarkStart w:id="450" w:name="_Toc165473714"/>
      <w:r w:rsidRPr="52FE5B6D">
        <w:t>Recommendations</w:t>
      </w:r>
      <w:bookmarkEnd w:id="446"/>
      <w:bookmarkEnd w:id="447"/>
      <w:bookmarkEnd w:id="448"/>
      <w:bookmarkEnd w:id="449"/>
      <w:bookmarkEnd w:id="450"/>
    </w:p>
    <w:p w14:paraId="4C3E957C" w14:textId="2BEE51EC" w:rsidR="00707F80" w:rsidRPr="000B6D2F" w:rsidRDefault="004A0803" w:rsidP="00645D5E">
      <w:pPr>
        <w:pStyle w:val="Recommendation1"/>
      </w:pPr>
      <w:bookmarkStart w:id="451" w:name="_Ref164782186"/>
      <w:bookmarkStart w:id="452" w:name="_Hlk167302212"/>
      <w:r w:rsidRPr="000B6D2F">
        <w:t>Developing an e</w:t>
      </w:r>
      <w:r w:rsidR="00707F80" w:rsidRPr="000B6D2F">
        <w:t>xplicit qualitative value</w:t>
      </w:r>
      <w:r w:rsidR="76D66EE5" w:rsidRPr="000B6D2F">
        <w:t>s</w:t>
      </w:r>
      <w:r w:rsidR="00707F80" w:rsidRPr="000B6D2F">
        <w:t xml:space="preserve"> framework</w:t>
      </w:r>
      <w:bookmarkEnd w:id="451"/>
    </w:p>
    <w:bookmarkEnd w:id="452"/>
    <w:p w14:paraId="7EFD7CE9" w14:textId="52301F4E" w:rsidR="00AD74CA" w:rsidRPr="00CC00D3" w:rsidRDefault="72B3C763" w:rsidP="00E42503">
      <w:pPr>
        <w:rPr>
          <w:rStyle w:val="normaltextrun"/>
          <w:rFonts w:eastAsia="Segoe UI" w:cs="Segoe UI"/>
          <w:color w:val="000000" w:themeColor="text1"/>
        </w:rPr>
      </w:pPr>
      <w:r w:rsidRPr="00405FD7">
        <w:t>The Review recommend</w:t>
      </w:r>
      <w:r w:rsidR="00A86E29">
        <w:t>s</w:t>
      </w:r>
      <w:r w:rsidR="00E01EE1" w:rsidRPr="00405FD7">
        <w:t xml:space="preserve"> </w:t>
      </w:r>
      <w:r w:rsidR="0084266A">
        <w:t xml:space="preserve">that </w:t>
      </w:r>
      <w:r w:rsidR="00E01EE1" w:rsidRPr="00405FD7">
        <w:t>the Australian Government</w:t>
      </w:r>
      <w:r w:rsidR="00E01EE1">
        <w:t xml:space="preserve"> </w:t>
      </w:r>
      <w:r w:rsidR="000E1358">
        <w:t>s</w:t>
      </w:r>
      <w:r w:rsidR="00D024D2">
        <w:t>upport and resource the development of an</w:t>
      </w:r>
      <w:r w:rsidR="00D024D2" w:rsidRPr="008E3615">
        <w:t xml:space="preserve"> explicit qualitative value</w:t>
      </w:r>
      <w:r w:rsidR="00D024D2">
        <w:t>s</w:t>
      </w:r>
      <w:r w:rsidR="00D024D2" w:rsidRPr="008E3615">
        <w:t xml:space="preserve"> framework</w:t>
      </w:r>
      <w:r w:rsidR="00ED2A42">
        <w:t xml:space="preserve"> by</w:t>
      </w:r>
      <w:r w:rsidRPr="000C5623">
        <w:t xml:space="preserve"> </w:t>
      </w:r>
      <w:r w:rsidR="00424522" w:rsidRPr="000C5623">
        <w:t xml:space="preserve">HTA </w:t>
      </w:r>
      <w:r w:rsidR="00C16518" w:rsidRPr="000C5623">
        <w:t>advisory committee</w:t>
      </w:r>
      <w:r w:rsidR="00ED2A42" w:rsidRPr="000C5623">
        <w:t>s</w:t>
      </w:r>
      <w:r w:rsidRPr="000C5623">
        <w:t xml:space="preserve"> in consultation with </w:t>
      </w:r>
      <w:r w:rsidR="00E01EE1" w:rsidRPr="000C5623">
        <w:t>a range of stakeholders</w:t>
      </w:r>
      <w:r w:rsidR="00ED2A42" w:rsidRPr="000C5623">
        <w:t>.</w:t>
      </w:r>
      <w:r w:rsidR="00E01EE1" w:rsidRPr="000C5623">
        <w:t xml:space="preserve"> </w:t>
      </w:r>
      <w:r w:rsidR="00395E47" w:rsidRPr="000C5623">
        <w:t>The frame</w:t>
      </w:r>
      <w:r w:rsidR="00AD74CA" w:rsidRPr="000C5623">
        <w:t>work should:</w:t>
      </w:r>
      <w:r w:rsidR="00AD74CA" w:rsidRPr="00CC00D3">
        <w:rPr>
          <w:rStyle w:val="normaltextrun"/>
          <w:rFonts w:eastAsia="Segoe UI" w:cs="Segoe UI"/>
          <w:color w:val="000000" w:themeColor="text1"/>
        </w:rPr>
        <w:t xml:space="preserve"> </w:t>
      </w:r>
    </w:p>
    <w:p w14:paraId="13CBA8F7" w14:textId="47E5A05B" w:rsidR="00AD74CA" w:rsidRPr="00E42503" w:rsidRDefault="009E1BBA" w:rsidP="00281153">
      <w:pPr>
        <w:pStyle w:val="ListParagraph"/>
        <w:numPr>
          <w:ilvl w:val="0"/>
          <w:numId w:val="108"/>
        </w:numPr>
        <w:ind w:left="927"/>
        <w:rPr>
          <w:rStyle w:val="normaltextrun"/>
          <w:rFonts w:eastAsia="Segoe UI" w:cs="Segoe UI"/>
          <w:color w:val="000000" w:themeColor="text1"/>
        </w:rPr>
      </w:pPr>
      <w:r>
        <w:rPr>
          <w:rStyle w:val="normaltextrun"/>
          <w:rFonts w:eastAsia="Segoe UI" w:cs="Segoe UI"/>
          <w:color w:val="000000" w:themeColor="text1"/>
        </w:rPr>
        <w:t>publish</w:t>
      </w:r>
      <w:r w:rsidR="00E01EE1" w:rsidRPr="00E85361">
        <w:rPr>
          <w:rStyle w:val="normaltextrun"/>
          <w:rFonts w:eastAsia="Segoe UI" w:cs="Segoe UI"/>
          <w:color w:val="000000" w:themeColor="text1"/>
        </w:rPr>
        <w:t xml:space="preserve"> </w:t>
      </w:r>
      <w:r w:rsidR="00E01EE1" w:rsidRPr="00E42503">
        <w:rPr>
          <w:rStyle w:val="normaltextrun"/>
          <w:rFonts w:eastAsia="Segoe UI" w:cs="Segoe UI"/>
          <w:color w:val="000000" w:themeColor="text1"/>
        </w:rPr>
        <w:t>explicit</w:t>
      </w:r>
      <w:r>
        <w:rPr>
          <w:rStyle w:val="normaltextrun"/>
          <w:rFonts w:eastAsia="Segoe UI" w:cs="Segoe UI"/>
          <w:color w:val="000000" w:themeColor="text1"/>
        </w:rPr>
        <w:t xml:space="preserve"> </w:t>
      </w:r>
      <w:r w:rsidR="00E01EE1" w:rsidRPr="00E42503">
        <w:rPr>
          <w:rStyle w:val="normaltextrun"/>
          <w:rFonts w:eastAsia="Segoe UI" w:cs="Segoe UI"/>
          <w:color w:val="000000" w:themeColor="text1"/>
        </w:rPr>
        <w:t xml:space="preserve">guidance </w:t>
      </w:r>
      <w:r w:rsidR="00AD74CA" w:rsidRPr="00E42503">
        <w:rPr>
          <w:rStyle w:val="normaltextrun"/>
          <w:rFonts w:eastAsia="Segoe UI" w:cs="Segoe UI"/>
          <w:color w:val="000000" w:themeColor="text1"/>
        </w:rPr>
        <w:t>about</w:t>
      </w:r>
      <w:r w:rsidR="00E01EE1" w:rsidRPr="00E42503">
        <w:rPr>
          <w:rStyle w:val="normaltextrun"/>
          <w:rFonts w:eastAsia="Segoe UI" w:cs="Segoe UI"/>
          <w:color w:val="000000" w:themeColor="text1"/>
        </w:rPr>
        <w:t xml:space="preserve"> the elements (beyond clinical effectiveness, cost-effectiveness and financial impact) </w:t>
      </w:r>
      <w:r w:rsidR="0084266A" w:rsidRPr="00E42503">
        <w:rPr>
          <w:rStyle w:val="normaltextrun"/>
          <w:rFonts w:eastAsia="Segoe UI" w:cs="Segoe UI"/>
          <w:color w:val="000000" w:themeColor="text1"/>
        </w:rPr>
        <w:t>each</w:t>
      </w:r>
      <w:r w:rsidR="00E01EE1" w:rsidRPr="00E42503">
        <w:rPr>
          <w:rStyle w:val="normaltextrun"/>
          <w:rFonts w:eastAsia="Segoe UI" w:cs="Segoe UI"/>
          <w:color w:val="000000" w:themeColor="text1"/>
        </w:rPr>
        <w:t xml:space="preserve"> committee will consider, how they will consider them, and </w:t>
      </w:r>
      <w:r w:rsidR="0084266A" w:rsidRPr="00E42503">
        <w:rPr>
          <w:rStyle w:val="normaltextrun"/>
          <w:rFonts w:eastAsia="Segoe UI" w:cs="Segoe UI"/>
          <w:color w:val="000000" w:themeColor="text1"/>
        </w:rPr>
        <w:t>their</w:t>
      </w:r>
      <w:r w:rsidR="00E01EE1" w:rsidRPr="00E42503">
        <w:rPr>
          <w:rStyle w:val="normaltextrun"/>
          <w:rFonts w:eastAsia="Segoe UI" w:cs="Segoe UI"/>
          <w:color w:val="000000" w:themeColor="text1"/>
        </w:rPr>
        <w:t xml:space="preserve"> impact on decision-making</w:t>
      </w:r>
    </w:p>
    <w:p w14:paraId="0191AB8F" w14:textId="01A14085" w:rsidR="00B8736E" w:rsidRPr="00E42503" w:rsidRDefault="00AB1F2E" w:rsidP="00281153">
      <w:pPr>
        <w:pStyle w:val="ListParagraph"/>
        <w:numPr>
          <w:ilvl w:val="0"/>
          <w:numId w:val="108"/>
        </w:numPr>
        <w:ind w:left="927"/>
        <w:rPr>
          <w:rStyle w:val="normaltextrun"/>
          <w:rFonts w:eastAsia="Segoe UI" w:cs="Segoe UI"/>
          <w:color w:val="000000" w:themeColor="text1"/>
        </w:rPr>
      </w:pPr>
      <w:r w:rsidRPr="00E42503">
        <w:rPr>
          <w:rStyle w:val="normaltextrun"/>
          <w:rFonts w:eastAsia="Segoe UI" w:cs="Segoe UI"/>
          <w:color w:val="000000" w:themeColor="text1"/>
        </w:rPr>
        <w:t>a</w:t>
      </w:r>
      <w:r w:rsidR="00E01EE1" w:rsidRPr="00E42503">
        <w:rPr>
          <w:rStyle w:val="normaltextrun"/>
          <w:rFonts w:eastAsia="Segoe UI" w:cs="Segoe UI"/>
          <w:color w:val="000000" w:themeColor="text1"/>
        </w:rPr>
        <w:t>llow enough flexibility for the deliberation process itself to add value to the decisions</w:t>
      </w:r>
      <w:r w:rsidR="00C73A7C" w:rsidRPr="00E42503">
        <w:rPr>
          <w:rStyle w:val="normaltextrun"/>
          <w:rFonts w:eastAsia="Segoe UI" w:cs="Segoe UI"/>
          <w:color w:val="000000" w:themeColor="text1"/>
        </w:rPr>
        <w:t>; that is,</w:t>
      </w:r>
      <w:r w:rsidR="00E01EE1" w:rsidRPr="00E42503">
        <w:rPr>
          <w:rStyle w:val="normaltextrun"/>
          <w:rFonts w:eastAsia="Segoe UI" w:cs="Segoe UI"/>
          <w:color w:val="000000" w:themeColor="text1"/>
        </w:rPr>
        <w:t xml:space="preserve"> not be pre-weighted and scored</w:t>
      </w:r>
    </w:p>
    <w:p w14:paraId="0911CFFD" w14:textId="79B2D593" w:rsidR="00E01EE1" w:rsidRPr="00E42503" w:rsidRDefault="00AB1F2E" w:rsidP="00281153">
      <w:pPr>
        <w:pStyle w:val="ListParagraph"/>
        <w:numPr>
          <w:ilvl w:val="0"/>
          <w:numId w:val="108"/>
        </w:numPr>
        <w:ind w:left="927"/>
        <w:rPr>
          <w:rStyle w:val="normaltextrun"/>
          <w:rFonts w:eastAsia="Segoe UI" w:cs="Segoe UI"/>
          <w:color w:val="000000" w:themeColor="text1"/>
        </w:rPr>
      </w:pPr>
      <w:r w:rsidRPr="00E42503">
        <w:rPr>
          <w:rStyle w:val="normaltextrun"/>
          <w:rFonts w:eastAsia="Segoe UI" w:cs="Segoe UI"/>
          <w:color w:val="000000" w:themeColor="text1"/>
        </w:rPr>
        <w:t>e</w:t>
      </w:r>
      <w:r w:rsidR="00E8760F" w:rsidRPr="00E42503">
        <w:rPr>
          <w:rStyle w:val="normaltextrun"/>
          <w:rFonts w:eastAsia="Segoe UI" w:cs="Segoe UI"/>
          <w:color w:val="000000" w:themeColor="text1"/>
        </w:rPr>
        <w:t>nsure</w:t>
      </w:r>
      <w:r w:rsidR="00E01EE1" w:rsidRPr="00E42503">
        <w:rPr>
          <w:rStyle w:val="normaltextrun"/>
          <w:rFonts w:eastAsia="Segoe UI" w:cs="Segoe UI"/>
          <w:color w:val="000000" w:themeColor="text1"/>
        </w:rPr>
        <w:t xml:space="preserve"> consideration of the value elements </w:t>
      </w:r>
      <w:r w:rsidR="00E8760F" w:rsidRPr="00E42503">
        <w:rPr>
          <w:rStyle w:val="normaltextrun"/>
          <w:rFonts w:eastAsia="Segoe UI" w:cs="Segoe UI"/>
          <w:color w:val="000000" w:themeColor="text1"/>
        </w:rPr>
        <w:t>is</w:t>
      </w:r>
      <w:r w:rsidR="00E01EE1" w:rsidRPr="00E42503">
        <w:rPr>
          <w:rStyle w:val="normaltextrun"/>
          <w:rFonts w:eastAsia="Segoe UI" w:cs="Segoe UI"/>
          <w:color w:val="000000" w:themeColor="text1"/>
        </w:rPr>
        <w:t xml:space="preserve"> explicit before, during and after consideration of a technology</w:t>
      </w:r>
      <w:r w:rsidR="000B18B2">
        <w:rPr>
          <w:rStyle w:val="normaltextrun"/>
          <w:rFonts w:eastAsia="Segoe UI" w:cs="Segoe UI"/>
          <w:color w:val="000000" w:themeColor="text1"/>
        </w:rPr>
        <w:t>,</w:t>
      </w:r>
      <w:r w:rsidR="00E01EE1" w:rsidRPr="00E42503">
        <w:rPr>
          <w:rStyle w:val="normaltextrun"/>
          <w:rFonts w:eastAsia="Segoe UI" w:cs="Segoe UI"/>
          <w:color w:val="000000" w:themeColor="text1"/>
        </w:rPr>
        <w:t xml:space="preserve"> and transparently communicate</w:t>
      </w:r>
      <w:r w:rsidRPr="00E42503">
        <w:rPr>
          <w:rStyle w:val="normaltextrun"/>
          <w:rFonts w:eastAsia="Segoe UI" w:cs="Segoe UI"/>
          <w:color w:val="000000" w:themeColor="text1"/>
        </w:rPr>
        <w:t xml:space="preserve"> these considerations</w:t>
      </w:r>
      <w:r w:rsidR="00E01EE1" w:rsidRPr="00E42503">
        <w:rPr>
          <w:rStyle w:val="normaltextrun"/>
          <w:rFonts w:eastAsia="Segoe UI" w:cs="Segoe UI"/>
          <w:color w:val="000000" w:themeColor="text1"/>
        </w:rPr>
        <w:t xml:space="preserve"> in </w:t>
      </w:r>
      <w:r w:rsidRPr="00E42503">
        <w:rPr>
          <w:rStyle w:val="normaltextrun"/>
          <w:rFonts w:eastAsia="Segoe UI" w:cs="Segoe UI"/>
          <w:color w:val="000000" w:themeColor="text1"/>
        </w:rPr>
        <w:t>p</w:t>
      </w:r>
      <w:r w:rsidR="00E01EE1" w:rsidRPr="00E42503">
        <w:rPr>
          <w:rStyle w:val="normaltextrun"/>
          <w:rFonts w:eastAsia="Segoe UI" w:cs="Segoe UI"/>
          <w:color w:val="000000" w:themeColor="text1"/>
        </w:rPr>
        <w:t xml:space="preserve">ublic </w:t>
      </w:r>
      <w:r w:rsidRPr="00E42503">
        <w:rPr>
          <w:rStyle w:val="normaltextrun"/>
          <w:rFonts w:eastAsia="Segoe UI" w:cs="Segoe UI"/>
          <w:color w:val="000000" w:themeColor="text1"/>
        </w:rPr>
        <w:t>s</w:t>
      </w:r>
      <w:r w:rsidR="00E01EE1" w:rsidRPr="00E42503">
        <w:rPr>
          <w:rStyle w:val="normaltextrun"/>
          <w:rFonts w:eastAsia="Segoe UI" w:cs="Segoe UI"/>
          <w:color w:val="000000" w:themeColor="text1"/>
        </w:rPr>
        <w:t xml:space="preserve">ummary </w:t>
      </w:r>
      <w:r w:rsidRPr="00E42503">
        <w:rPr>
          <w:rStyle w:val="normaltextrun"/>
          <w:rFonts w:eastAsia="Segoe UI" w:cs="Segoe UI"/>
          <w:color w:val="000000" w:themeColor="text1"/>
        </w:rPr>
        <w:t>d</w:t>
      </w:r>
      <w:r w:rsidR="00E01EE1" w:rsidRPr="00E42503">
        <w:rPr>
          <w:rStyle w:val="normaltextrun"/>
          <w:rFonts w:eastAsia="Segoe UI" w:cs="Segoe UI"/>
          <w:color w:val="000000" w:themeColor="text1"/>
        </w:rPr>
        <w:t>ocuments</w:t>
      </w:r>
    </w:p>
    <w:p w14:paraId="0B64C048" w14:textId="4BB8E7C3" w:rsidR="00E01EE1" w:rsidRPr="00E42503" w:rsidRDefault="00BF0CA7" w:rsidP="00281153">
      <w:pPr>
        <w:pStyle w:val="ListParagraph"/>
        <w:numPr>
          <w:ilvl w:val="0"/>
          <w:numId w:val="108"/>
        </w:numPr>
        <w:ind w:left="927"/>
        <w:rPr>
          <w:rStyle w:val="normaltextrun"/>
          <w:rFonts w:eastAsia="Segoe UI" w:cs="Segoe UI"/>
          <w:color w:val="000000" w:themeColor="text1"/>
        </w:rPr>
      </w:pPr>
      <w:r w:rsidRPr="00E42503">
        <w:rPr>
          <w:rStyle w:val="normaltextrun"/>
          <w:rFonts w:eastAsia="Segoe UI" w:cs="Segoe UI"/>
          <w:color w:val="000000" w:themeColor="text1"/>
        </w:rPr>
        <w:t>i</w:t>
      </w:r>
      <w:r w:rsidR="00A14A4D" w:rsidRPr="00E42503">
        <w:rPr>
          <w:rStyle w:val="normaltextrun"/>
          <w:rFonts w:eastAsia="Segoe UI" w:cs="Segoe UI"/>
          <w:color w:val="000000" w:themeColor="text1"/>
        </w:rPr>
        <w:t>nclude</w:t>
      </w:r>
      <w:r w:rsidR="00737144" w:rsidRPr="00E42503">
        <w:rPr>
          <w:rStyle w:val="normaltextrun"/>
          <w:rFonts w:eastAsia="Segoe UI" w:cs="Segoe UI"/>
          <w:color w:val="000000" w:themeColor="text1"/>
        </w:rPr>
        <w:t xml:space="preserve"> </w:t>
      </w:r>
      <w:r w:rsidR="00E01EE1" w:rsidRPr="00E42503">
        <w:rPr>
          <w:rStyle w:val="normaltextrun"/>
          <w:rFonts w:eastAsia="Segoe UI" w:cs="Segoe UI"/>
          <w:color w:val="000000" w:themeColor="text1"/>
        </w:rPr>
        <w:t xml:space="preserve">documentation </w:t>
      </w:r>
      <w:r w:rsidR="00FB0902" w:rsidRPr="00E42503">
        <w:rPr>
          <w:rStyle w:val="normaltextrun"/>
          <w:rFonts w:eastAsia="Segoe UI" w:cs="Segoe UI"/>
          <w:color w:val="000000" w:themeColor="text1"/>
        </w:rPr>
        <w:t>on</w:t>
      </w:r>
      <w:r w:rsidR="00E01EE1" w:rsidRPr="00E42503">
        <w:rPr>
          <w:rStyle w:val="normaltextrun"/>
          <w:rFonts w:eastAsia="Segoe UI" w:cs="Segoe UI"/>
          <w:color w:val="000000" w:themeColor="text1"/>
        </w:rPr>
        <w:t xml:space="preserve"> how </w:t>
      </w:r>
      <w:r w:rsidRPr="00E42503">
        <w:rPr>
          <w:rStyle w:val="normaltextrun"/>
          <w:rFonts w:eastAsia="Segoe UI" w:cs="Segoe UI"/>
          <w:color w:val="000000" w:themeColor="text1"/>
        </w:rPr>
        <w:t>it</w:t>
      </w:r>
      <w:r w:rsidR="00E01EE1" w:rsidRPr="00E42503">
        <w:rPr>
          <w:rStyle w:val="normaltextrun"/>
          <w:rFonts w:eastAsia="Segoe UI" w:cs="Segoe UI"/>
          <w:color w:val="000000" w:themeColor="text1"/>
        </w:rPr>
        <w:t xml:space="preserve"> will be considered during committee deliberations and guidance</w:t>
      </w:r>
      <w:r w:rsidRPr="00E42503">
        <w:rPr>
          <w:rStyle w:val="normaltextrun"/>
          <w:rFonts w:eastAsia="Segoe UI" w:cs="Segoe UI"/>
          <w:color w:val="000000" w:themeColor="text1"/>
        </w:rPr>
        <w:t>,</w:t>
      </w:r>
      <w:r w:rsidR="00E01EE1" w:rsidRPr="00E42503">
        <w:rPr>
          <w:rStyle w:val="normaltextrun"/>
          <w:rFonts w:eastAsia="Segoe UI" w:cs="Segoe UI"/>
          <w:color w:val="000000" w:themeColor="text1"/>
        </w:rPr>
        <w:t xml:space="preserve"> </w:t>
      </w:r>
      <w:r w:rsidR="001C3485" w:rsidRPr="00E42503">
        <w:rPr>
          <w:rStyle w:val="normaltextrun"/>
          <w:rFonts w:eastAsia="Segoe UI" w:cs="Segoe UI"/>
          <w:color w:val="000000" w:themeColor="text1"/>
        </w:rPr>
        <w:t>including</w:t>
      </w:r>
      <w:r w:rsidR="00E42503" w:rsidRPr="00E42503">
        <w:rPr>
          <w:rStyle w:val="normaltextrun"/>
          <w:rFonts w:eastAsia="Segoe UI" w:cs="Segoe UI"/>
          <w:color w:val="000000" w:themeColor="text1"/>
        </w:rPr>
        <w:t xml:space="preserve"> </w:t>
      </w:r>
      <w:r w:rsidR="00E01EE1" w:rsidRPr="00E42503">
        <w:rPr>
          <w:rStyle w:val="normaltextrun"/>
          <w:rFonts w:eastAsia="Segoe UI" w:cs="Segoe UI"/>
          <w:color w:val="000000" w:themeColor="text1"/>
        </w:rPr>
        <w:t>explaining how sponsors could provide data to respond to additional value elements</w:t>
      </w:r>
      <w:r w:rsidR="00E05E42">
        <w:rPr>
          <w:rStyle w:val="normaltextrun"/>
          <w:rFonts w:eastAsia="Segoe UI" w:cs="Segoe UI"/>
          <w:color w:val="000000" w:themeColor="text1"/>
        </w:rPr>
        <w:t xml:space="preserve"> and</w:t>
      </w:r>
      <w:r w:rsidR="00E42503" w:rsidRPr="00E42503">
        <w:rPr>
          <w:rStyle w:val="normaltextrun"/>
          <w:rFonts w:eastAsia="Segoe UI" w:cs="Segoe UI"/>
          <w:color w:val="000000" w:themeColor="text1"/>
        </w:rPr>
        <w:t xml:space="preserve"> </w:t>
      </w:r>
      <w:r w:rsidR="001C3485" w:rsidRPr="00E85361">
        <w:rPr>
          <w:rStyle w:val="normaltextrun"/>
          <w:rFonts w:eastAsia="Segoe UI" w:cs="Segoe UI"/>
          <w:color w:val="000000" w:themeColor="text1"/>
        </w:rPr>
        <w:t>explaining how</w:t>
      </w:r>
      <w:r w:rsidR="00E01EE1" w:rsidRPr="00E42503">
        <w:rPr>
          <w:rStyle w:val="normaltextrun"/>
          <w:rFonts w:eastAsia="Segoe UI" w:cs="Segoe UI"/>
          <w:color w:val="000000" w:themeColor="text1"/>
        </w:rPr>
        <w:t xml:space="preserve"> patients </w:t>
      </w:r>
      <w:r w:rsidR="001C3485" w:rsidRPr="00E85361">
        <w:rPr>
          <w:rStyle w:val="normaltextrun"/>
          <w:rFonts w:eastAsia="Segoe UI" w:cs="Segoe UI"/>
          <w:color w:val="000000" w:themeColor="text1"/>
        </w:rPr>
        <w:t>and</w:t>
      </w:r>
      <w:r w:rsidR="00E01EE1" w:rsidRPr="00E42503">
        <w:rPr>
          <w:rStyle w:val="normaltextrun"/>
          <w:rFonts w:eastAsia="Segoe UI" w:cs="Segoe UI"/>
          <w:color w:val="000000" w:themeColor="text1"/>
        </w:rPr>
        <w:t xml:space="preserve"> citizens could provide submissions to respond to additional value elements</w:t>
      </w:r>
    </w:p>
    <w:p w14:paraId="3065888E" w14:textId="5D425EDA" w:rsidR="0090422C" w:rsidRDefault="001C3485" w:rsidP="00281153">
      <w:pPr>
        <w:pStyle w:val="ListParagraph"/>
        <w:numPr>
          <w:ilvl w:val="0"/>
          <w:numId w:val="108"/>
        </w:numPr>
        <w:ind w:left="927"/>
        <w:rPr>
          <w:rStyle w:val="normaltextrun"/>
          <w:rFonts w:eastAsia="Segoe UI" w:cs="Segoe UI"/>
          <w:color w:val="000000" w:themeColor="text1"/>
        </w:rPr>
      </w:pPr>
      <w:r w:rsidRPr="00E42503">
        <w:rPr>
          <w:rStyle w:val="normaltextrun"/>
          <w:rFonts w:eastAsia="Segoe UI" w:cs="Segoe UI"/>
          <w:color w:val="000000" w:themeColor="text1"/>
        </w:rPr>
        <w:t>be i</w:t>
      </w:r>
      <w:r w:rsidR="00E01EE1" w:rsidRPr="00E42503">
        <w:rPr>
          <w:rStyle w:val="normaltextrun"/>
          <w:rFonts w:eastAsia="Segoe UI" w:cs="Segoe UI"/>
          <w:color w:val="000000" w:themeColor="text1"/>
        </w:rPr>
        <w:t>nformed by published research and public consultation</w:t>
      </w:r>
    </w:p>
    <w:p w14:paraId="1DD95864" w14:textId="3C2B47D1" w:rsidR="00300258" w:rsidRDefault="0090422C" w:rsidP="00281153">
      <w:pPr>
        <w:pStyle w:val="ListParagraph"/>
        <w:numPr>
          <w:ilvl w:val="0"/>
          <w:numId w:val="108"/>
        </w:numPr>
        <w:ind w:left="927"/>
        <w:rPr>
          <w:rStyle w:val="normaltextrun"/>
          <w:rFonts w:eastAsia="Segoe UI" w:cs="Segoe UI"/>
          <w:color w:val="000000" w:themeColor="text1"/>
        </w:rPr>
      </w:pPr>
      <w:r>
        <w:rPr>
          <w:rStyle w:val="normaltextrun"/>
          <w:rFonts w:eastAsia="Segoe UI" w:cs="Segoe UI"/>
          <w:color w:val="000000" w:themeColor="text1"/>
        </w:rPr>
        <w:t>i</w:t>
      </w:r>
      <w:r w:rsidR="00A14A4D" w:rsidRPr="00E42503">
        <w:rPr>
          <w:rStyle w:val="normaltextrun"/>
          <w:rFonts w:eastAsia="Segoe UI" w:cs="Segoe UI"/>
          <w:color w:val="000000" w:themeColor="text1"/>
        </w:rPr>
        <w:t>nclude</w:t>
      </w:r>
      <w:r w:rsidR="001C3485" w:rsidRPr="00E42503">
        <w:rPr>
          <w:rStyle w:val="normaltextrun"/>
          <w:rFonts w:eastAsia="Segoe UI" w:cs="Segoe UI"/>
          <w:color w:val="000000" w:themeColor="text1"/>
        </w:rPr>
        <w:t xml:space="preserve"> a</w:t>
      </w:r>
      <w:r w:rsidR="006244E2" w:rsidRPr="00E42503">
        <w:rPr>
          <w:rStyle w:val="normaltextrun"/>
          <w:rFonts w:eastAsia="Segoe UI" w:cs="Segoe UI"/>
          <w:color w:val="000000" w:themeColor="text1"/>
        </w:rPr>
        <w:t xml:space="preserve"> checklist to assist HTA decision-makers to integrate equity considerations into their deliberations in a more comprehensive</w:t>
      </w:r>
      <w:r w:rsidR="000C1462">
        <w:rPr>
          <w:rStyle w:val="normaltextrun"/>
          <w:rFonts w:eastAsia="Segoe UI" w:cs="Segoe UI"/>
          <w:color w:val="000000" w:themeColor="text1"/>
        </w:rPr>
        <w:t>, consistent</w:t>
      </w:r>
      <w:r w:rsidR="006244E2" w:rsidRPr="00E42503">
        <w:rPr>
          <w:rStyle w:val="normaltextrun"/>
          <w:rFonts w:eastAsia="Segoe UI" w:cs="Segoe UI"/>
          <w:color w:val="000000" w:themeColor="text1"/>
        </w:rPr>
        <w:t xml:space="preserve"> and systematic way. The checklist should</w:t>
      </w:r>
      <w:r w:rsidR="00E42503" w:rsidRPr="00E42503">
        <w:rPr>
          <w:rStyle w:val="normaltextrun"/>
          <w:rFonts w:eastAsia="Segoe UI" w:cs="Segoe UI"/>
          <w:color w:val="000000" w:themeColor="text1"/>
        </w:rPr>
        <w:t xml:space="preserve"> </w:t>
      </w:r>
      <w:r w:rsidR="00E6160D" w:rsidRPr="00E42503">
        <w:rPr>
          <w:rStyle w:val="normaltextrun"/>
          <w:rFonts w:eastAsia="Segoe UI" w:cs="Segoe UI"/>
          <w:color w:val="000000" w:themeColor="text1"/>
        </w:rPr>
        <w:t>account for the fa</w:t>
      </w:r>
      <w:r w:rsidR="0034332D" w:rsidRPr="00E42503">
        <w:rPr>
          <w:rStyle w:val="normaltextrun"/>
          <w:rFonts w:eastAsia="Segoe UI" w:cs="Segoe UI"/>
          <w:color w:val="000000" w:themeColor="text1"/>
        </w:rPr>
        <w:t>ct</w:t>
      </w:r>
      <w:r w:rsidR="00E01EE1" w:rsidRPr="00E42503">
        <w:rPr>
          <w:rStyle w:val="normaltextrun"/>
          <w:rFonts w:eastAsia="Segoe UI" w:cs="Segoe UI"/>
          <w:color w:val="000000" w:themeColor="text1"/>
        </w:rPr>
        <w:t xml:space="preserve"> that some new health technologies may have a negative impact on health equity</w:t>
      </w:r>
      <w:r w:rsidR="00E42503">
        <w:rPr>
          <w:rStyle w:val="normaltextrun"/>
          <w:rFonts w:eastAsia="Segoe UI" w:cs="Segoe UI"/>
          <w:color w:val="000000" w:themeColor="text1"/>
        </w:rPr>
        <w:t xml:space="preserve">. It should </w:t>
      </w:r>
      <w:r w:rsidR="00E42503">
        <w:rPr>
          <w:rStyle w:val="normaltextrun"/>
          <w:rFonts w:eastAsia="Segoe UI" w:cs="Segoe UI"/>
          <w:color w:val="000000" w:themeColor="text1"/>
        </w:rPr>
        <w:lastRenderedPageBreak/>
        <w:t xml:space="preserve">also </w:t>
      </w:r>
      <w:r w:rsidR="00E01EE1" w:rsidRPr="00E42503">
        <w:rPr>
          <w:rStyle w:val="normaltextrun"/>
          <w:rFonts w:eastAsia="Segoe UI" w:cs="Segoe UI"/>
          <w:color w:val="000000" w:themeColor="text1"/>
        </w:rPr>
        <w:t>include explicit consideration of priority populations such as First Nations people</w:t>
      </w:r>
    </w:p>
    <w:p w14:paraId="3280E92D" w14:textId="47D76C4E" w:rsidR="005D30EA" w:rsidRPr="005D30EA" w:rsidRDefault="00300258" w:rsidP="00281153">
      <w:pPr>
        <w:pStyle w:val="ListParagraph"/>
        <w:numPr>
          <w:ilvl w:val="0"/>
          <w:numId w:val="108"/>
        </w:numPr>
        <w:ind w:left="927"/>
        <w:rPr>
          <w:rStyle w:val="normaltextrun"/>
          <w:rFonts w:eastAsia="Segoe UI" w:cs="Segoe UI"/>
          <w:color w:val="000000" w:themeColor="text1"/>
        </w:rPr>
      </w:pPr>
      <w:r w:rsidRPr="00300258">
        <w:rPr>
          <w:rStyle w:val="normaltextrun"/>
          <w:rFonts w:eastAsia="Segoe UI" w:cs="Segoe UI"/>
          <w:color w:val="000000" w:themeColor="text1"/>
        </w:rPr>
        <w:t>b</w:t>
      </w:r>
      <w:r w:rsidR="00A94EFC" w:rsidRPr="00300258">
        <w:rPr>
          <w:rStyle w:val="normaltextrun"/>
          <w:rFonts w:eastAsia="Segoe UI" w:cs="Segoe UI"/>
          <w:color w:val="000000" w:themeColor="text1"/>
        </w:rPr>
        <w:t xml:space="preserve">e </w:t>
      </w:r>
      <w:r w:rsidR="006F74BF" w:rsidRPr="00300258">
        <w:rPr>
          <w:rStyle w:val="normaltextrun"/>
          <w:rFonts w:eastAsia="Segoe UI" w:cs="Segoe UI"/>
          <w:color w:val="000000" w:themeColor="text1"/>
        </w:rPr>
        <w:t>consistent with Recommendation 34: Overarching principles for adopting methods in Australian HTA</w:t>
      </w:r>
      <w:r w:rsidR="00BD017E">
        <w:rPr>
          <w:rStyle w:val="normaltextrun"/>
          <w:rFonts w:eastAsia="Segoe UI" w:cs="Segoe UI"/>
          <w:color w:val="000000" w:themeColor="text1"/>
        </w:rPr>
        <w:t xml:space="preserve">. </w:t>
      </w:r>
      <w:r w:rsidR="005D30EA" w:rsidRPr="005D30EA">
        <w:rPr>
          <w:rStyle w:val="normaltextrun"/>
          <w:rFonts w:eastAsia="Segoe UI" w:cs="Segoe UI"/>
          <w:color w:val="000000" w:themeColor="text1"/>
        </w:rPr>
        <w:br w:type="page"/>
      </w:r>
    </w:p>
    <w:p w14:paraId="20C4BE0A" w14:textId="3D3E3C7D" w:rsidR="00613CA3" w:rsidRPr="00D20132" w:rsidRDefault="00613CA3" w:rsidP="00AD3C9E">
      <w:pPr>
        <w:pStyle w:val="Heading1"/>
      </w:pPr>
      <w:bookmarkStart w:id="453" w:name="_Toc164685834"/>
      <w:bookmarkStart w:id="454" w:name="_Toc164691452"/>
      <w:bookmarkStart w:id="455" w:name="_Toc164696249"/>
      <w:bookmarkStart w:id="456" w:name="_Toc164696395"/>
      <w:bookmarkStart w:id="457" w:name="_Toc164767784"/>
      <w:bookmarkStart w:id="458" w:name="_Ref164783022"/>
      <w:bookmarkStart w:id="459" w:name="_Ref164783027"/>
      <w:bookmarkStart w:id="460" w:name="_Toc165473715"/>
      <w:bookmarkStart w:id="461" w:name="_Toc171935889"/>
      <w:r w:rsidRPr="00D20132">
        <w:lastRenderedPageBreak/>
        <w:t xml:space="preserve">Chapter </w:t>
      </w:r>
      <w:r w:rsidR="00872D38">
        <w:t>7</w:t>
      </w:r>
      <w:r w:rsidR="0039491E">
        <w:t>:</w:t>
      </w:r>
      <w:r w:rsidRPr="00D20132">
        <w:t xml:space="preserve"> </w:t>
      </w:r>
      <w:r>
        <w:t xml:space="preserve">Enhancing </w:t>
      </w:r>
      <w:r w:rsidR="00033C3B">
        <w:t>r</w:t>
      </w:r>
      <w:r w:rsidR="0010775A">
        <w:t>eal</w:t>
      </w:r>
      <w:r w:rsidR="0014467F">
        <w:t>-</w:t>
      </w:r>
      <w:r w:rsidR="00033C3B">
        <w:t>w</w:t>
      </w:r>
      <w:r w:rsidR="0010775A">
        <w:t>or</w:t>
      </w:r>
      <w:r w:rsidR="00F23B84">
        <w:t>l</w:t>
      </w:r>
      <w:r w:rsidR="0010775A">
        <w:t xml:space="preserve">d </w:t>
      </w:r>
      <w:r w:rsidR="00033C3B">
        <w:t>d</w:t>
      </w:r>
      <w:r w:rsidR="0010775A">
        <w:t xml:space="preserve">ata </w:t>
      </w:r>
      <w:r w:rsidR="00CE1A53">
        <w:t xml:space="preserve">and </w:t>
      </w:r>
      <w:r w:rsidR="00033C3B">
        <w:t>r</w:t>
      </w:r>
      <w:r w:rsidR="0010775A">
        <w:t>eal</w:t>
      </w:r>
      <w:r w:rsidR="0014467F">
        <w:t>-</w:t>
      </w:r>
      <w:r w:rsidR="00033C3B">
        <w:t>w</w:t>
      </w:r>
      <w:r w:rsidR="0010775A">
        <w:t xml:space="preserve">orld </w:t>
      </w:r>
      <w:r w:rsidR="00033C3B">
        <w:t>e</w:t>
      </w:r>
      <w:r w:rsidR="0010775A">
        <w:t>vidence</w:t>
      </w:r>
      <w:r>
        <w:t xml:space="preserve"> for HTA</w:t>
      </w:r>
      <w:bookmarkEnd w:id="453"/>
      <w:bookmarkEnd w:id="454"/>
      <w:bookmarkEnd w:id="455"/>
      <w:bookmarkEnd w:id="456"/>
      <w:bookmarkEnd w:id="457"/>
      <w:bookmarkEnd w:id="458"/>
      <w:bookmarkEnd w:id="459"/>
      <w:bookmarkEnd w:id="460"/>
      <w:r w:rsidR="00566A40">
        <w:t>s</w:t>
      </w:r>
      <w:bookmarkEnd w:id="461"/>
    </w:p>
    <w:p w14:paraId="36BB4865" w14:textId="77777777" w:rsidR="00613CA3" w:rsidRPr="00D20132" w:rsidRDefault="00613CA3" w:rsidP="002B25F3">
      <w:pPr>
        <w:pStyle w:val="Heading2"/>
      </w:pPr>
      <w:bookmarkStart w:id="462" w:name="_Toc164685835"/>
      <w:bookmarkStart w:id="463" w:name="_Toc164691453"/>
      <w:bookmarkStart w:id="464" w:name="_Toc164696250"/>
      <w:bookmarkStart w:id="465" w:name="_Toc164696396"/>
      <w:bookmarkStart w:id="466" w:name="_Toc164767785"/>
      <w:bookmarkStart w:id="467" w:name="_Toc165473716"/>
      <w:bookmarkStart w:id="468" w:name="_Toc171935890"/>
      <w:r w:rsidRPr="00D20132">
        <w:t>Introduction</w:t>
      </w:r>
      <w:bookmarkEnd w:id="462"/>
      <w:bookmarkEnd w:id="463"/>
      <w:bookmarkEnd w:id="464"/>
      <w:bookmarkEnd w:id="465"/>
      <w:bookmarkEnd w:id="466"/>
      <w:bookmarkEnd w:id="467"/>
      <w:bookmarkEnd w:id="468"/>
    </w:p>
    <w:p w14:paraId="49D51E76" w14:textId="0BC1B8F5" w:rsidR="00613CA3" w:rsidRDefault="00613CA3" w:rsidP="00F21679">
      <w:r w:rsidRPr="00E44E60">
        <w:t xml:space="preserve">The health technology pipeline is dynamic </w:t>
      </w:r>
      <w:r w:rsidR="00566A40">
        <w:t>–</w:t>
      </w:r>
      <w:r w:rsidRPr="00E44E60" w:rsidDel="00566A40">
        <w:t xml:space="preserve"> </w:t>
      </w:r>
      <w:r w:rsidRPr="00E44E60">
        <w:t>technologies evolve from concept development to clinical testing, regulatory and subsid</w:t>
      </w:r>
      <w:bookmarkStart w:id="469" w:name="_Ref165471188"/>
      <w:r w:rsidRPr="00E44E60">
        <w:t>y</w:t>
      </w:r>
      <w:bookmarkEnd w:id="469"/>
      <w:r w:rsidRPr="00E44E60">
        <w:t xml:space="preserve"> approval, and post-market surveillance</w:t>
      </w:r>
      <w:bookmarkStart w:id="470" w:name="_Ref164758374"/>
      <w:r w:rsidR="00566A40">
        <w:t>.</w:t>
      </w:r>
      <w:r>
        <w:rPr>
          <w:rStyle w:val="FootnoteReference"/>
        </w:rPr>
        <w:footnoteReference w:id="141"/>
      </w:r>
      <w:bookmarkEnd w:id="470"/>
      <w:r w:rsidRPr="00E44E60">
        <w:t xml:space="preserve"> </w:t>
      </w:r>
      <w:r>
        <w:t xml:space="preserve">Evidence-informed evaluations are undertaken to guide decisions </w:t>
      </w:r>
      <w:r w:rsidR="00566A40">
        <w:t xml:space="preserve">at points in </w:t>
      </w:r>
      <w:r w:rsidR="00CB31EB">
        <w:t>th</w:t>
      </w:r>
      <w:r w:rsidR="00566A40">
        <w:t>e</w:t>
      </w:r>
      <w:r w:rsidR="00CB31EB">
        <w:t xml:space="preserve"> pipeline</w:t>
      </w:r>
      <w:r w:rsidR="00566A40">
        <w:t>,</w:t>
      </w:r>
      <w:r w:rsidR="00CB31EB">
        <w:t xml:space="preserve"> </w:t>
      </w:r>
      <w:r>
        <w:t>impacting the development of, and access to, health technologies.</w:t>
      </w:r>
      <w:r w:rsidR="00453069">
        <w:t xml:space="preserve"> </w:t>
      </w:r>
    </w:p>
    <w:p w14:paraId="0FFE718F" w14:textId="6B16F547" w:rsidR="00613CA3" w:rsidRDefault="00613CA3" w:rsidP="00F21679">
      <w:r w:rsidRPr="004D4600">
        <w:t xml:space="preserve">Decision-making </w:t>
      </w:r>
      <w:r w:rsidR="00566A40">
        <w:t>in</w:t>
      </w:r>
      <w:r w:rsidR="00566A40" w:rsidRPr="004D4600">
        <w:t xml:space="preserve"> </w:t>
      </w:r>
      <w:r w:rsidRPr="004D4600">
        <w:t>the pipeline is iterative. At each point</w:t>
      </w:r>
      <w:r>
        <w:t>,</w:t>
      </w:r>
      <w:r w:rsidRPr="004D4600">
        <w:t xml:space="preserve"> decision-makers must assess whether the evidence addresses their uncertainties, fully or partially. Where significant uncertainty exists, new evidence must be generated; every time new information is generated, evidence gaps are narrowed or closed and/or new questions arise</w:t>
      </w:r>
      <w:r w:rsidR="00566A40">
        <w:t>.</w:t>
      </w:r>
      <w:r w:rsidR="0049320A">
        <w:rPr>
          <w:rStyle w:val="FootnoteReference"/>
        </w:rPr>
        <w:footnoteReference w:id="142"/>
      </w:r>
      <w:r>
        <w:t xml:space="preserve"> </w:t>
      </w:r>
    </w:p>
    <w:p w14:paraId="2F572283" w14:textId="79906501" w:rsidR="00613CA3" w:rsidRDefault="00613CA3" w:rsidP="00AB2E3C">
      <w:r w:rsidRPr="00A5718C">
        <w:t xml:space="preserve">As discussed in </w:t>
      </w:r>
      <w:r w:rsidR="00711990">
        <w:t>Chapter</w:t>
      </w:r>
      <w:r w:rsidRPr="00A5718C">
        <w:t xml:space="preserve"> </w:t>
      </w:r>
      <w:r w:rsidR="00A5718C" w:rsidRPr="00A5718C">
        <w:t>8.3</w:t>
      </w:r>
      <w:r w:rsidRPr="00A5718C">
        <w:t xml:space="preserve">, </w:t>
      </w:r>
      <w:r w:rsidR="00005B71" w:rsidRPr="0073146B">
        <w:rPr>
          <w:rFonts w:eastAsia="Times New Roman" w:cs="Segoe UI"/>
          <w:color w:val="000000"/>
          <w:lang w:eastAsia="en-AU"/>
        </w:rPr>
        <w:t>randomised controlled trials</w:t>
      </w:r>
      <w:r w:rsidR="00005B71" w:rsidRPr="00A5718C">
        <w:t xml:space="preserve"> </w:t>
      </w:r>
      <w:r w:rsidR="00005B71">
        <w:t>(</w:t>
      </w:r>
      <w:r w:rsidRPr="00A5718C">
        <w:t>RCTs</w:t>
      </w:r>
      <w:r w:rsidR="00005B71">
        <w:t>)</w:t>
      </w:r>
      <w:r w:rsidRPr="00A5718C">
        <w:t xml:space="preserve"> are the gold</w:t>
      </w:r>
      <w:r w:rsidR="00C601C8">
        <w:t xml:space="preserve"> </w:t>
      </w:r>
      <w:r w:rsidRPr="00A5718C">
        <w:t>standard in establishing the comparative effectiveness of health technologies, but the</w:t>
      </w:r>
      <w:r w:rsidR="00C601C8">
        <w:t>y have</w:t>
      </w:r>
      <w:r w:rsidRPr="00A5718C">
        <w:t xml:space="preserve"> limitations and </w:t>
      </w:r>
      <w:r w:rsidR="00C601C8">
        <w:t xml:space="preserve">in some </w:t>
      </w:r>
      <w:r w:rsidRPr="00A5718C">
        <w:t>circumstances are not feasible</w:t>
      </w:r>
      <w:r w:rsidR="007260E2" w:rsidRPr="004D4600">
        <w:t>.</w:t>
      </w:r>
      <w:r w:rsidR="0049320A">
        <w:rPr>
          <w:rStyle w:val="FootnoteReference"/>
        </w:rPr>
        <w:footnoteReference w:id="143"/>
      </w:r>
      <w:r w:rsidRPr="00A5718C">
        <w:rPr>
          <w:vertAlign w:val="superscript"/>
        </w:rPr>
        <w:t xml:space="preserve"> </w:t>
      </w:r>
      <w:r w:rsidR="00B138D7">
        <w:t>In</w:t>
      </w:r>
      <w:r w:rsidRPr="00A5718C" w:rsidDel="00B138D7">
        <w:t xml:space="preserve"> </w:t>
      </w:r>
      <w:r w:rsidRPr="00A5718C">
        <w:t>an increasing number of scenarios</w:t>
      </w:r>
      <w:r w:rsidR="00B138D7">
        <w:t>, it’s not feasible to gather</w:t>
      </w:r>
      <w:r w:rsidRPr="00A5718C" w:rsidDel="00B138D7">
        <w:t xml:space="preserve"> </w:t>
      </w:r>
      <w:r w:rsidRPr="00A5718C">
        <w:t>sufficient RCT evidence</w:t>
      </w:r>
      <w:r w:rsidR="0090205D" w:rsidRPr="00A5718C">
        <w:t>. This is</w:t>
      </w:r>
      <w:r w:rsidRPr="00A5718C">
        <w:t xml:space="preserve"> driven in part by emerging technologies </w:t>
      </w:r>
      <w:r w:rsidR="00FD7519">
        <w:t>that</w:t>
      </w:r>
      <w:r w:rsidR="00FD7519" w:rsidRPr="00A5718C">
        <w:t xml:space="preserve"> </w:t>
      </w:r>
      <w:r w:rsidRPr="00A5718C">
        <w:t xml:space="preserve">treat </w:t>
      </w:r>
      <w:r w:rsidRPr="00B61FDC">
        <w:t>rare diseases and other small populations</w:t>
      </w:r>
      <w:r w:rsidR="00FD7519">
        <w:t>,</w:t>
      </w:r>
      <w:r w:rsidRPr="00A5718C">
        <w:t xml:space="preserve"> such as those defined by precision medicine. Emerging technologies (e</w:t>
      </w:r>
      <w:r w:rsidR="00F17D1A" w:rsidRPr="00A5718C">
        <w:t>.</w:t>
      </w:r>
      <w:r w:rsidRPr="00A5718C">
        <w:t>g</w:t>
      </w:r>
      <w:r w:rsidR="00E020B0" w:rsidRPr="00A5718C">
        <w:t>.</w:t>
      </w:r>
      <w:r w:rsidRPr="00A5718C">
        <w:t xml:space="preserve"> ATMPs) also often carry a high</w:t>
      </w:r>
      <w:r w:rsidR="00B138D7">
        <w:t xml:space="preserve"> </w:t>
      </w:r>
      <w:r w:rsidRPr="00A5718C">
        <w:t>level of uncertainty around long-term claims and late</w:t>
      </w:r>
      <w:r w:rsidR="554F83C9" w:rsidRPr="00A5718C">
        <w:t xml:space="preserve"> </w:t>
      </w:r>
      <w:r w:rsidRPr="00A5718C">
        <w:t xml:space="preserve">effects, which are </w:t>
      </w:r>
      <w:r w:rsidR="00D87B0F" w:rsidRPr="00A5718C">
        <w:t xml:space="preserve">not routinely </w:t>
      </w:r>
      <w:r w:rsidR="005B1A6B" w:rsidRPr="00A5718C">
        <w:t>assessed</w:t>
      </w:r>
      <w:r w:rsidRPr="00A5718C">
        <w:t xml:space="preserve"> in RCTs. Further, </w:t>
      </w:r>
      <w:r w:rsidR="00C37371" w:rsidRPr="00A5718C">
        <w:t>there is</w:t>
      </w:r>
      <w:r w:rsidRPr="00A5718C">
        <w:t xml:space="preserve"> increasing recognition of the importance of addressing inequities in populations not adequately represented in clinical trials (e</w:t>
      </w:r>
      <w:r w:rsidR="0037624E" w:rsidRPr="00A5718C">
        <w:t>.</w:t>
      </w:r>
      <w:r w:rsidRPr="00A5718C">
        <w:t>g</w:t>
      </w:r>
      <w:r w:rsidR="0037624E" w:rsidRPr="00A5718C">
        <w:t>.</w:t>
      </w:r>
      <w:r w:rsidRPr="00A5718C">
        <w:t xml:space="preserve"> minorit</w:t>
      </w:r>
      <w:r w:rsidR="000C3467" w:rsidRPr="00A5718C">
        <w:t>y groups</w:t>
      </w:r>
      <w:r w:rsidR="00CC1F1F" w:rsidRPr="00A5718C">
        <w:t xml:space="preserve"> or</w:t>
      </w:r>
      <w:r w:rsidR="005A6A0C" w:rsidRPr="00A5718C">
        <w:t xml:space="preserve"> </w:t>
      </w:r>
      <w:r w:rsidRPr="00A5718C">
        <w:t>those ineligible for trials</w:t>
      </w:r>
      <w:r w:rsidR="00CC1F1F" w:rsidRPr="00A5718C">
        <w:t>)</w:t>
      </w:r>
      <w:r w:rsidR="008F7E96">
        <w:t>.</w:t>
      </w:r>
      <w:r>
        <w:t xml:space="preserve"> </w:t>
      </w:r>
    </w:p>
    <w:p w14:paraId="2525B4D8" w14:textId="337FC3B6" w:rsidR="00613CA3" w:rsidRDefault="00613CA3" w:rsidP="00AB2E3C">
      <w:r w:rsidRPr="00D20132">
        <w:rPr>
          <w:rFonts w:cs="Segoe UI"/>
        </w:rPr>
        <w:t>This chapter</w:t>
      </w:r>
      <w:r w:rsidRPr="00D20132" w:rsidDel="00C3345B">
        <w:rPr>
          <w:rFonts w:cs="Segoe UI"/>
        </w:rPr>
        <w:t xml:space="preserve"> </w:t>
      </w:r>
      <w:r w:rsidRPr="00D20132">
        <w:rPr>
          <w:rFonts w:cs="Segoe UI"/>
        </w:rPr>
        <w:t>cover</w:t>
      </w:r>
      <w:r w:rsidR="00C3345B">
        <w:rPr>
          <w:rFonts w:cs="Segoe UI"/>
        </w:rPr>
        <w:t>s</w:t>
      </w:r>
      <w:r w:rsidRPr="00D20132">
        <w:rPr>
          <w:rFonts w:cs="Segoe UI"/>
        </w:rPr>
        <w:t xml:space="preserve"> the Review’s analysis, findings and recommendations on </w:t>
      </w:r>
      <w:r>
        <w:rPr>
          <w:rFonts w:cs="Segoe UI"/>
        </w:rPr>
        <w:t xml:space="preserve">how to establish </w:t>
      </w:r>
      <w:r>
        <w:t>supporting structures to facilitate timely access to</w:t>
      </w:r>
      <w:r w:rsidRPr="005D7817">
        <w:t xml:space="preserve"> </w:t>
      </w:r>
      <w:r w:rsidRPr="00191278">
        <w:t xml:space="preserve">best-possible, high-quality </w:t>
      </w:r>
      <w:r w:rsidR="00506E65">
        <w:t>real-world</w:t>
      </w:r>
      <w:r w:rsidR="007D01DE">
        <w:t xml:space="preserve"> </w:t>
      </w:r>
      <w:r w:rsidRPr="00191278">
        <w:t xml:space="preserve">evidence </w:t>
      </w:r>
      <w:r w:rsidR="00BB50A0">
        <w:t xml:space="preserve">(RWE) </w:t>
      </w:r>
      <w:r w:rsidRPr="00191278">
        <w:t>for HTA</w:t>
      </w:r>
      <w:r w:rsidR="00C3345B">
        <w:t>s</w:t>
      </w:r>
      <w:r w:rsidRPr="00B57B49">
        <w:t xml:space="preserve"> </w:t>
      </w:r>
      <w:r>
        <w:t>across the lifecycle</w:t>
      </w:r>
      <w:r w:rsidR="008D33C7">
        <w:t xml:space="preserve"> </w:t>
      </w:r>
      <w:r>
        <w:t>including:</w:t>
      </w:r>
    </w:p>
    <w:p w14:paraId="32977B7E" w14:textId="4783E9C5" w:rsidR="00613CA3" w:rsidRDefault="00C3345B" w:rsidP="00274AA9">
      <w:pPr>
        <w:pStyle w:val="ListBullet"/>
      </w:pPr>
      <w:r>
        <w:t>d</w:t>
      </w:r>
      <w:r w:rsidR="00613CA3">
        <w:t>eveloping a comprehensive data</w:t>
      </w:r>
      <w:r>
        <w:t xml:space="preserve"> </w:t>
      </w:r>
      <w:r w:rsidR="00613CA3">
        <w:t xml:space="preserve">strategy and strategic oversight to optimise </w:t>
      </w:r>
      <w:r>
        <w:t>real-world data (</w:t>
      </w:r>
      <w:r w:rsidR="00613CA3">
        <w:t>RWD</w:t>
      </w:r>
      <w:r>
        <w:t>)</w:t>
      </w:r>
      <w:r w:rsidR="00613CA3">
        <w:t xml:space="preserve"> and RWE for HTA</w:t>
      </w:r>
      <w:r>
        <w:t>s</w:t>
      </w:r>
    </w:p>
    <w:p w14:paraId="78694D03" w14:textId="2AABFD70" w:rsidR="00613CA3" w:rsidRDefault="004C219F" w:rsidP="00274AA9">
      <w:pPr>
        <w:pStyle w:val="ListBullet"/>
      </w:pPr>
      <w:r>
        <w:lastRenderedPageBreak/>
        <w:t>d</w:t>
      </w:r>
      <w:r w:rsidR="00613CA3">
        <w:t>evelo</w:t>
      </w:r>
      <w:r w:rsidR="006C42B9">
        <w:t>p</w:t>
      </w:r>
      <w:r w:rsidR="00953BDD">
        <w:t>ing</w:t>
      </w:r>
      <w:r w:rsidR="00613CA3">
        <w:t xml:space="preserve"> national data infrastructure</w:t>
      </w:r>
      <w:r w:rsidR="00613CA3" w:rsidRPr="00780CC4">
        <w:t xml:space="preserve"> </w:t>
      </w:r>
      <w:r w:rsidR="00613CA3">
        <w:t>to support the generation of RWD and RWE for HTA</w:t>
      </w:r>
      <w:r>
        <w:t>s</w:t>
      </w:r>
      <w:r w:rsidR="008F7E96">
        <w:t>.</w:t>
      </w:r>
    </w:p>
    <w:p w14:paraId="398761EB" w14:textId="7B633106" w:rsidR="00942C64" w:rsidRDefault="00613CA3" w:rsidP="00AB2E3C">
      <w:r w:rsidRPr="00B40C61">
        <w:t>Government initiatives</w:t>
      </w:r>
      <w:r w:rsidR="00B40C61" w:rsidRPr="000C5623">
        <w:t xml:space="preserve"> that are already available,</w:t>
      </w:r>
      <w:r w:rsidRPr="00B40C61">
        <w:t xml:space="preserve"> </w:t>
      </w:r>
      <w:r w:rsidR="00176AB3" w:rsidRPr="00B40C61">
        <w:t>such as the Medical Research Future Fund</w:t>
      </w:r>
      <w:r w:rsidR="00B40C61" w:rsidRPr="000C5623">
        <w:t>,</w:t>
      </w:r>
      <w:r w:rsidR="00176AB3" w:rsidRPr="00B40C61">
        <w:t xml:space="preserve"> </w:t>
      </w:r>
      <w:r w:rsidRPr="00B40C61">
        <w:t>improve the quality and availability of evidence published by external stakeholders</w:t>
      </w:r>
      <w:r w:rsidR="00176AB3" w:rsidRPr="00B40C61">
        <w:t xml:space="preserve">. These initiatives </w:t>
      </w:r>
      <w:r w:rsidRPr="00B40C61">
        <w:t>can be used to support HTA</w:t>
      </w:r>
      <w:r w:rsidR="00D154DA" w:rsidRPr="00B40C61">
        <w:t>s</w:t>
      </w:r>
      <w:r w:rsidRPr="00B40C61">
        <w:t>.</w:t>
      </w:r>
      <w:r>
        <w:t xml:space="preserve"> </w:t>
      </w:r>
    </w:p>
    <w:p w14:paraId="7ABC6DCA" w14:textId="5A16C10D" w:rsidR="00613CA3" w:rsidRDefault="00613CA3" w:rsidP="00AB2E3C">
      <w:r w:rsidRPr="00B61FDC">
        <w:t xml:space="preserve">The most effective way to optimise the generation of evidence to support Australian HTA needs is to </w:t>
      </w:r>
      <w:r w:rsidR="00AB4240" w:rsidRPr="00B61FDC">
        <w:t xml:space="preserve">communicate </w:t>
      </w:r>
      <w:r w:rsidRPr="00B61FDC">
        <w:t xml:space="preserve">how different types of evidence </w:t>
      </w:r>
      <w:r w:rsidR="007C172B" w:rsidRPr="00B61FDC">
        <w:t>are</w:t>
      </w:r>
      <w:r w:rsidRPr="00B61FDC">
        <w:t xml:space="preserve"> used to inform HTA</w:t>
      </w:r>
      <w:r w:rsidR="00176AB3" w:rsidRPr="00B61FDC">
        <w:t xml:space="preserve"> </w:t>
      </w:r>
      <w:r w:rsidRPr="00B61FDC">
        <w:t>decision-making.</w:t>
      </w:r>
      <w:r w:rsidR="00B40C61" w:rsidRPr="00B61FDC">
        <w:t xml:space="preserve"> Several of the Review’s </w:t>
      </w:r>
      <w:r w:rsidRPr="00B61FDC">
        <w:t>recommendations</w:t>
      </w:r>
      <w:r w:rsidR="00B40C61" w:rsidRPr="00B61FDC">
        <w:t xml:space="preserve"> </w:t>
      </w:r>
      <w:r w:rsidRPr="00B61FDC">
        <w:t>would encourage the development of fit-for-purpose evidence</w:t>
      </w:r>
      <w:r w:rsidR="00B40C61" w:rsidRPr="00B61FDC">
        <w:t>, and investing in developing</w:t>
      </w:r>
      <w:r w:rsidRPr="00B61FDC">
        <w:t xml:space="preserve"> effective communications would </w:t>
      </w:r>
      <w:r w:rsidR="00B40C61" w:rsidRPr="00B61FDC">
        <w:t>improve the quality of evidence submitted with evaluations, making some HTA processes</w:t>
      </w:r>
      <w:r w:rsidRPr="00B61FDC">
        <w:t xml:space="preserve"> </w:t>
      </w:r>
      <w:r w:rsidR="00B40C61" w:rsidRPr="00B61FDC">
        <w:t>more efficient. The recommendations are</w:t>
      </w:r>
      <w:r w:rsidR="00B40C61">
        <w:t>:</w:t>
      </w:r>
    </w:p>
    <w:p w14:paraId="30311885" w14:textId="0361ABAA" w:rsidR="00613CA3" w:rsidRPr="00E822FF" w:rsidRDefault="003635D4" w:rsidP="00370AD3">
      <w:pPr>
        <w:pStyle w:val="ListBullet"/>
        <w:numPr>
          <w:ilvl w:val="0"/>
          <w:numId w:val="77"/>
        </w:numPr>
        <w:jc w:val="left"/>
      </w:pPr>
      <w:r>
        <w:fldChar w:fldCharType="begin" w:fldLock="1"/>
      </w:r>
      <w:r>
        <w:instrText xml:space="preserve"> REF _Ref164782061 \r \h </w:instrText>
      </w:r>
      <w:r w:rsidR="00370AD3">
        <w:instrText xml:space="preserve"> \* MERGEFORMAT </w:instrText>
      </w:r>
      <w:r>
        <w:fldChar w:fldCharType="separate"/>
      </w:r>
      <w:r>
        <w:t>Recommendation 24</w:t>
      </w:r>
      <w:r>
        <w:fldChar w:fldCharType="end"/>
      </w:r>
      <w:r w:rsidR="00C00B51">
        <w:t>:</w:t>
      </w:r>
      <w:r w:rsidR="00613CA3" w:rsidRPr="00E822FF">
        <w:t xml:space="preserve"> Develop</w:t>
      </w:r>
      <w:r w:rsidR="006122E3">
        <w:t xml:space="preserve">ing </w:t>
      </w:r>
      <w:r w:rsidR="00613CA3" w:rsidRPr="00E822FF">
        <w:t>an engagement framework</w:t>
      </w:r>
    </w:p>
    <w:p w14:paraId="66867EE1" w14:textId="5503456A" w:rsidR="00613CA3" w:rsidRPr="00E822FF" w:rsidRDefault="003635D4" w:rsidP="00370AD3">
      <w:pPr>
        <w:pStyle w:val="ListBullet"/>
        <w:numPr>
          <w:ilvl w:val="0"/>
          <w:numId w:val="77"/>
        </w:numPr>
        <w:jc w:val="left"/>
      </w:pPr>
      <w:r>
        <w:fldChar w:fldCharType="begin" w:fldLock="1"/>
      </w:r>
      <w:r>
        <w:instrText xml:space="preserve"> REF _Ref164782186 \r \h </w:instrText>
      </w:r>
      <w:r w:rsidR="00370AD3">
        <w:instrText xml:space="preserve"> \* MERGEFORMAT </w:instrText>
      </w:r>
      <w:r>
        <w:fldChar w:fldCharType="separate"/>
      </w:r>
      <w:r>
        <w:t>Recommendation 26</w:t>
      </w:r>
      <w:r>
        <w:fldChar w:fldCharType="end"/>
      </w:r>
      <w:r w:rsidR="00C00B51">
        <w:t>:</w:t>
      </w:r>
      <w:r w:rsidR="00613CA3" w:rsidRPr="00E822FF">
        <w:t xml:space="preserve"> Explicit qualitative value</w:t>
      </w:r>
      <w:r w:rsidR="006122E3">
        <w:t>s</w:t>
      </w:r>
      <w:r w:rsidR="00613CA3" w:rsidRPr="00E822FF">
        <w:t xml:space="preserve"> framework</w:t>
      </w:r>
    </w:p>
    <w:p w14:paraId="714D8A9E" w14:textId="798AD73C" w:rsidR="00B966E6" w:rsidRPr="00E822FF" w:rsidRDefault="003635D4" w:rsidP="00370AD3">
      <w:pPr>
        <w:pStyle w:val="ListBullet"/>
        <w:numPr>
          <w:ilvl w:val="0"/>
          <w:numId w:val="77"/>
        </w:numPr>
        <w:jc w:val="left"/>
      </w:pPr>
      <w:r>
        <w:fldChar w:fldCharType="begin" w:fldLock="1"/>
      </w:r>
      <w:r>
        <w:instrText xml:space="preserve"> REF _Ref164782216 \r \h </w:instrText>
      </w:r>
      <w:r w:rsidR="00370AD3">
        <w:instrText xml:space="preserve"> \* MERGEFORMAT </w:instrText>
      </w:r>
      <w:r>
        <w:fldChar w:fldCharType="separate"/>
      </w:r>
      <w:r>
        <w:t>Recommendation 33</w:t>
      </w:r>
      <w:r>
        <w:fldChar w:fldCharType="end"/>
      </w:r>
      <w:r w:rsidR="00C00B51">
        <w:t>:</w:t>
      </w:r>
      <w:r w:rsidR="00B966E6" w:rsidRPr="00E822FF">
        <w:t xml:space="preserve"> Methods for</w:t>
      </w:r>
      <w:r w:rsidR="00B966E6" w:rsidRPr="00E822FF" w:rsidDel="006122E3">
        <w:t xml:space="preserve"> </w:t>
      </w:r>
      <w:r w:rsidR="00B966E6" w:rsidRPr="00E822FF">
        <w:t>assess</w:t>
      </w:r>
      <w:r w:rsidR="006122E3">
        <w:t>ing</w:t>
      </w:r>
      <w:r w:rsidR="00B966E6" w:rsidRPr="00E822FF">
        <w:t xml:space="preserve"> consumer evidence</w:t>
      </w:r>
    </w:p>
    <w:p w14:paraId="0DF9EAE9" w14:textId="5E700FEE" w:rsidR="00DD23D6" w:rsidRPr="00E822FF" w:rsidRDefault="003635D4" w:rsidP="00370AD3">
      <w:pPr>
        <w:pStyle w:val="ListBullet"/>
        <w:numPr>
          <w:ilvl w:val="0"/>
          <w:numId w:val="77"/>
        </w:numPr>
        <w:jc w:val="left"/>
      </w:pPr>
      <w:r>
        <w:fldChar w:fldCharType="begin" w:fldLock="1"/>
      </w:r>
      <w:r>
        <w:instrText xml:space="preserve"> REF _Ref164782266 \r \h </w:instrText>
      </w:r>
      <w:r w:rsidR="00370AD3">
        <w:instrText xml:space="preserve"> \* MERGEFORMAT </w:instrText>
      </w:r>
      <w:r>
        <w:fldChar w:fldCharType="separate"/>
      </w:r>
      <w:r>
        <w:t>Recommendation 34</w:t>
      </w:r>
      <w:r>
        <w:fldChar w:fldCharType="end"/>
      </w:r>
      <w:r w:rsidR="00C00B51">
        <w:t>:</w:t>
      </w:r>
      <w:r w:rsidR="00DD23D6" w:rsidRPr="00E822FF">
        <w:t xml:space="preserve"> Overarching principles for adopting methods in Australian</w:t>
      </w:r>
      <w:r w:rsidR="006122E3">
        <w:t> </w:t>
      </w:r>
      <w:r w:rsidR="00DD23D6" w:rsidRPr="00E822FF">
        <w:t>HTA</w:t>
      </w:r>
    </w:p>
    <w:p w14:paraId="50BE7267" w14:textId="0C201679" w:rsidR="00613CA3" w:rsidRPr="00E822FF" w:rsidRDefault="003635D4" w:rsidP="00370AD3">
      <w:pPr>
        <w:pStyle w:val="ListBullet"/>
        <w:numPr>
          <w:ilvl w:val="0"/>
          <w:numId w:val="77"/>
        </w:numPr>
        <w:jc w:val="left"/>
      </w:pPr>
      <w:r>
        <w:fldChar w:fldCharType="begin" w:fldLock="1"/>
      </w:r>
      <w:r>
        <w:instrText xml:space="preserve"> REF _Ref164782336 \r \h </w:instrText>
      </w:r>
      <w:r w:rsidR="00370AD3">
        <w:instrText xml:space="preserve"> \* MERGEFORMAT </w:instrText>
      </w:r>
      <w:r>
        <w:fldChar w:fldCharType="separate"/>
      </w:r>
      <w:r>
        <w:t>Recommendation 35</w:t>
      </w:r>
      <w:r>
        <w:fldChar w:fldCharType="end"/>
      </w:r>
      <w:r w:rsidR="00C00B51">
        <w:t>:</w:t>
      </w:r>
      <w:r w:rsidR="00613CA3" w:rsidRPr="00E822FF">
        <w:t xml:space="preserve"> Methods for assess</w:t>
      </w:r>
      <w:r w:rsidR="006122E3">
        <w:t>ing</w:t>
      </w:r>
      <w:r w:rsidR="00613CA3" w:rsidRPr="00E822FF">
        <w:t xml:space="preserve"> non-randomised and observational evidence</w:t>
      </w:r>
      <w:r w:rsidR="006122E3">
        <w:t>.</w:t>
      </w:r>
    </w:p>
    <w:p w14:paraId="3A3502BA" w14:textId="5DF96EC6" w:rsidR="00AB35A7" w:rsidRPr="008F3DDB" w:rsidRDefault="008E2F2D" w:rsidP="002B25F3">
      <w:pPr>
        <w:pStyle w:val="Heading2"/>
      </w:pPr>
      <w:bookmarkStart w:id="471" w:name="_Toc164685836"/>
      <w:bookmarkStart w:id="472" w:name="_Toc164691454"/>
      <w:bookmarkStart w:id="473" w:name="_Toc164696251"/>
      <w:bookmarkStart w:id="474" w:name="_Toc164696397"/>
      <w:bookmarkStart w:id="475" w:name="_Toc164767786"/>
      <w:bookmarkStart w:id="476" w:name="_Toc165473717"/>
      <w:bookmarkStart w:id="477" w:name="_Toc171935891"/>
      <w:r>
        <w:t xml:space="preserve">Chapter </w:t>
      </w:r>
      <w:r w:rsidR="00872D38">
        <w:t>7</w:t>
      </w:r>
      <w:r w:rsidR="00613CA3" w:rsidRPr="00613CA3">
        <w:t>.1</w:t>
      </w:r>
      <w:r>
        <w:t>:</w:t>
      </w:r>
      <w:r w:rsidR="00613CA3" w:rsidRPr="00613CA3">
        <w:t xml:space="preserve"> Optimising </w:t>
      </w:r>
      <w:r w:rsidR="00992A7D" w:rsidRPr="00992A7D">
        <w:t>real-wor</w:t>
      </w:r>
      <w:r w:rsidR="00D11F57">
        <w:t>l</w:t>
      </w:r>
      <w:r w:rsidR="00992A7D" w:rsidRPr="00992A7D">
        <w:t>d data and real</w:t>
      </w:r>
      <w:r w:rsidR="006122E3">
        <w:noBreakHyphen/>
      </w:r>
      <w:r w:rsidR="00992A7D" w:rsidRPr="00992A7D">
        <w:t xml:space="preserve">world evidence </w:t>
      </w:r>
      <w:r w:rsidR="00613CA3" w:rsidRPr="00613CA3">
        <w:t>for HTA</w:t>
      </w:r>
      <w:bookmarkEnd w:id="471"/>
      <w:bookmarkEnd w:id="472"/>
      <w:bookmarkEnd w:id="473"/>
      <w:bookmarkEnd w:id="474"/>
      <w:bookmarkEnd w:id="475"/>
      <w:bookmarkEnd w:id="476"/>
      <w:bookmarkEnd w:id="477"/>
    </w:p>
    <w:p w14:paraId="68B05C66" w14:textId="0DC1D0A5" w:rsidR="001C061E" w:rsidRPr="00621C17" w:rsidRDefault="00544066" w:rsidP="00A318F7">
      <w:pPr>
        <w:pStyle w:val="Heading3"/>
      </w:pPr>
      <w:bookmarkStart w:id="478" w:name="_Toc164685837"/>
      <w:bookmarkStart w:id="479" w:name="_Toc164691456"/>
      <w:r>
        <w:t>Introduction and context</w:t>
      </w:r>
    </w:p>
    <w:p w14:paraId="026388A1" w14:textId="538B13B1" w:rsidR="00613CA3" w:rsidRPr="00DD30A9" w:rsidRDefault="00613CA3" w:rsidP="00BD34D3">
      <w:pPr>
        <w:pStyle w:val="Heading4"/>
        <w:jc w:val="both"/>
      </w:pPr>
      <w:r w:rsidRPr="00B158A3">
        <w:t>Real</w:t>
      </w:r>
      <w:r w:rsidR="007E3D0D">
        <w:t>-</w:t>
      </w:r>
      <w:r w:rsidRPr="00B158A3">
        <w:t xml:space="preserve">world </w:t>
      </w:r>
      <w:r w:rsidRPr="00DD30A9">
        <w:t xml:space="preserve">data and </w:t>
      </w:r>
      <w:r w:rsidR="000F356D">
        <w:t>r</w:t>
      </w:r>
      <w:r w:rsidRPr="00DD30A9">
        <w:t>eal</w:t>
      </w:r>
      <w:r w:rsidR="009748F8" w:rsidRPr="0019054D">
        <w:rPr>
          <w:color w:val="005A68" w:themeColor="accent6" w:themeShade="80"/>
        </w:rPr>
        <w:t>-</w:t>
      </w:r>
      <w:r w:rsidRPr="00DD30A9">
        <w:t>world evidence in HTA</w:t>
      </w:r>
      <w:bookmarkEnd w:id="478"/>
      <w:bookmarkEnd w:id="479"/>
      <w:r w:rsidR="00124C8A">
        <w:t>s</w:t>
      </w:r>
    </w:p>
    <w:p w14:paraId="3F7D4987" w14:textId="03F075C7" w:rsidR="00613CA3" w:rsidRDefault="00613CA3" w:rsidP="00F21679">
      <w:pPr>
        <w:spacing w:after="240"/>
      </w:pPr>
      <w:r w:rsidRPr="006122E3">
        <w:t xml:space="preserve">RWD and RWE </w:t>
      </w:r>
      <w:r w:rsidR="00124C8A">
        <w:t>(</w:t>
      </w:r>
      <w:r w:rsidRPr="006122E3">
        <w:t xml:space="preserve">generated </w:t>
      </w:r>
      <w:r w:rsidR="00124C8A">
        <w:t xml:space="preserve">by </w:t>
      </w:r>
      <w:r w:rsidRPr="006122E3">
        <w:t>analysi</w:t>
      </w:r>
      <w:r w:rsidR="00124C8A">
        <w:t>ng</w:t>
      </w:r>
      <w:r w:rsidRPr="006122E3">
        <w:t xml:space="preserve"> RWD</w:t>
      </w:r>
      <w:r w:rsidR="00124C8A">
        <w:t>)</w:t>
      </w:r>
      <w:r w:rsidRPr="00E44E60">
        <w:t xml:space="preserve"> play an important role in supporting the evidentiary needs of decision-makers across the health technology pipeline, including </w:t>
      </w:r>
      <w:r>
        <w:t>to inform HTA</w:t>
      </w:r>
      <w:r w:rsidR="006122E3">
        <w:t>s</w:t>
      </w:r>
      <w:r>
        <w:t xml:space="preserve"> </w:t>
      </w:r>
      <w:r w:rsidRPr="00E44E60">
        <w:t>for subsidy approvals</w:t>
      </w:r>
      <w:r>
        <w:t xml:space="preserve"> and PMR</w:t>
      </w:r>
      <w:r w:rsidR="006122E3">
        <w:t>s</w:t>
      </w:r>
      <w:r w:rsidR="00810951" w:rsidRPr="00810951">
        <w:rPr>
          <w:vertAlign w:val="superscript"/>
        </w:rPr>
        <w:fldChar w:fldCharType="begin" w:fldLock="1"/>
      </w:r>
      <w:r w:rsidR="00810951" w:rsidRPr="00810951">
        <w:rPr>
          <w:vertAlign w:val="superscript"/>
        </w:rPr>
        <w:instrText xml:space="preserve"> NOTEREF _Ref164758374 \h  \* MERGEFORMAT </w:instrText>
      </w:r>
      <w:r w:rsidR="00810951" w:rsidRPr="00810951">
        <w:rPr>
          <w:vertAlign w:val="superscript"/>
        </w:rPr>
      </w:r>
      <w:r w:rsidR="00847484">
        <w:rPr>
          <w:vertAlign w:val="superscript"/>
        </w:rPr>
        <w:fldChar w:fldCharType="separate"/>
      </w:r>
      <w:r w:rsidR="00810951" w:rsidRPr="00810951">
        <w:rPr>
          <w:vertAlign w:val="superscript"/>
        </w:rPr>
        <w:fldChar w:fldCharType="end"/>
      </w:r>
      <w:r w:rsidR="00810951">
        <w:t>.</w:t>
      </w:r>
    </w:p>
    <w:p w14:paraId="11F3476A" w14:textId="213269D3" w:rsidR="00AA67C1" w:rsidRDefault="00AA67C1" w:rsidP="00F21679">
      <w:r>
        <w:rPr>
          <w:noProof/>
        </w:rPr>
        <w:lastRenderedPageBreak/>
        <mc:AlternateContent>
          <mc:Choice Requires="wps">
            <w:drawing>
              <wp:inline distT="0" distB="0" distL="0" distR="0" wp14:anchorId="43B1BA2F" wp14:editId="780EE110">
                <wp:extent cx="5731510" cy="2870200"/>
                <wp:effectExtent l="0" t="0" r="2540" b="6350"/>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2870200"/>
                        </a:xfrm>
                        <a:prstGeom prst="rect">
                          <a:avLst/>
                        </a:prstGeom>
                        <a:solidFill>
                          <a:schemeClr val="bg1">
                            <a:lumMod val="95000"/>
                          </a:schemeClr>
                        </a:solidFill>
                        <a:ln>
                          <a:noFill/>
                          <a:headEnd/>
                          <a:tailEnd/>
                        </a:ln>
                      </wps:spPr>
                      <wps:style>
                        <a:lnRef idx="2">
                          <a:schemeClr val="accent5"/>
                        </a:lnRef>
                        <a:fillRef idx="1">
                          <a:schemeClr val="lt1"/>
                        </a:fillRef>
                        <a:effectRef idx="0">
                          <a:schemeClr val="accent5"/>
                        </a:effectRef>
                        <a:fontRef idx="minor">
                          <a:schemeClr val="dk1"/>
                        </a:fontRef>
                      </wps:style>
                      <wps:txbx>
                        <w:txbxContent>
                          <w:p w14:paraId="74CAE0F7" w14:textId="76945C63" w:rsidR="00AA67C1" w:rsidRPr="00BD34D3" w:rsidRDefault="00F1224F" w:rsidP="00405FD7">
                            <w:pPr>
                              <w:pStyle w:val="Call-outbox"/>
                              <w:spacing w:after="240"/>
                              <w:jc w:val="both"/>
                              <w:rPr>
                                <w:b w:val="0"/>
                                <w:i w:val="0"/>
                                <w:color w:val="0E6C9B"/>
                              </w:rPr>
                            </w:pPr>
                            <w:r w:rsidRPr="00BD34D3">
                              <w:rPr>
                                <w:b w:val="0"/>
                                <w:i w:val="0"/>
                                <w:color w:val="0E6C9B"/>
                              </w:rPr>
                              <w:t xml:space="preserve">Terminology: </w:t>
                            </w:r>
                            <w:r w:rsidR="00AA67C1" w:rsidRPr="00BD34D3">
                              <w:rPr>
                                <w:b w:val="0"/>
                                <w:i w:val="0"/>
                                <w:color w:val="0E6C9B"/>
                              </w:rPr>
                              <w:t>Real</w:t>
                            </w:r>
                            <w:r w:rsidR="007E3D0D">
                              <w:rPr>
                                <w:b w:val="0"/>
                                <w:i w:val="0"/>
                                <w:color w:val="0E6C9B"/>
                              </w:rPr>
                              <w:t>-w</w:t>
                            </w:r>
                            <w:r w:rsidR="00AA67C1" w:rsidRPr="00BD34D3">
                              <w:rPr>
                                <w:b w:val="0"/>
                                <w:i w:val="0"/>
                                <w:color w:val="0E6C9B"/>
                              </w:rPr>
                              <w:t xml:space="preserve">orld </w:t>
                            </w:r>
                            <w:r w:rsidR="007E3D0D">
                              <w:rPr>
                                <w:b w:val="0"/>
                                <w:i w:val="0"/>
                                <w:color w:val="0E6C9B"/>
                              </w:rPr>
                              <w:t>d</w:t>
                            </w:r>
                            <w:r w:rsidR="00AA67C1" w:rsidRPr="00BD34D3">
                              <w:rPr>
                                <w:b w:val="0"/>
                                <w:i w:val="0"/>
                                <w:color w:val="0E6C9B"/>
                              </w:rPr>
                              <w:t xml:space="preserve">ata and </w:t>
                            </w:r>
                            <w:r w:rsidR="007E3D0D">
                              <w:rPr>
                                <w:b w:val="0"/>
                                <w:i w:val="0"/>
                                <w:color w:val="0E6C9B"/>
                              </w:rPr>
                              <w:t>r</w:t>
                            </w:r>
                            <w:r w:rsidR="00AA67C1" w:rsidRPr="00BD34D3">
                              <w:rPr>
                                <w:b w:val="0"/>
                                <w:i w:val="0"/>
                                <w:color w:val="0E6C9B"/>
                              </w:rPr>
                              <w:t>eal</w:t>
                            </w:r>
                            <w:r w:rsidR="007E3D0D">
                              <w:rPr>
                                <w:b w:val="0"/>
                                <w:i w:val="0"/>
                                <w:color w:val="0E6C9B"/>
                              </w:rPr>
                              <w:t>-w</w:t>
                            </w:r>
                            <w:r w:rsidR="00AA67C1" w:rsidRPr="00BD34D3">
                              <w:rPr>
                                <w:b w:val="0"/>
                                <w:i w:val="0"/>
                                <w:color w:val="0E6C9B"/>
                              </w:rPr>
                              <w:t xml:space="preserve">orld </w:t>
                            </w:r>
                            <w:r w:rsidR="007E3D0D">
                              <w:rPr>
                                <w:b w:val="0"/>
                                <w:i w:val="0"/>
                                <w:color w:val="0E6C9B"/>
                              </w:rPr>
                              <w:t>e</w:t>
                            </w:r>
                            <w:r w:rsidR="00AA67C1" w:rsidRPr="00BD34D3">
                              <w:rPr>
                                <w:b w:val="0"/>
                                <w:i w:val="0"/>
                                <w:color w:val="0E6C9B"/>
                              </w:rPr>
                              <w:t>vidence</w:t>
                            </w:r>
                          </w:p>
                          <w:p w14:paraId="2A9DF413" w14:textId="29131381" w:rsidR="00F1224F" w:rsidRDefault="00F1224F" w:rsidP="00F21679">
                            <w:pPr>
                              <w:spacing w:after="200"/>
                            </w:pPr>
                            <w:r w:rsidRPr="00F1224F">
                              <w:rPr>
                                <w:b/>
                                <w:bCs/>
                              </w:rPr>
                              <w:t>Real</w:t>
                            </w:r>
                            <w:r w:rsidR="007E3D0D">
                              <w:rPr>
                                <w:b/>
                                <w:bCs/>
                              </w:rPr>
                              <w:t>-w</w:t>
                            </w:r>
                            <w:r w:rsidRPr="00F1224F">
                              <w:rPr>
                                <w:b/>
                                <w:bCs/>
                              </w:rPr>
                              <w:t xml:space="preserve">orld </w:t>
                            </w:r>
                            <w:r w:rsidR="007E3D0D">
                              <w:rPr>
                                <w:b/>
                                <w:bCs/>
                              </w:rPr>
                              <w:t>d</w:t>
                            </w:r>
                            <w:r w:rsidRPr="00F1224F">
                              <w:rPr>
                                <w:b/>
                                <w:bCs/>
                              </w:rPr>
                              <w:t>ata</w:t>
                            </w:r>
                            <w:r w:rsidRPr="00F1224F" w:rsidDel="00124C8A">
                              <w:rPr>
                                <w:b/>
                              </w:rPr>
                              <w:t xml:space="preserve"> </w:t>
                            </w:r>
                            <w:r w:rsidRPr="00F1224F">
                              <w:t>is defined by the International Network of Agencies for H</w:t>
                            </w:r>
                            <w:r w:rsidR="00124C8A">
                              <w:t xml:space="preserve">ealth </w:t>
                            </w:r>
                            <w:r w:rsidRPr="00F1224F">
                              <w:t>T</w:t>
                            </w:r>
                            <w:r w:rsidR="00124C8A">
                              <w:t xml:space="preserve">echnology </w:t>
                            </w:r>
                            <w:r w:rsidRPr="00F1224F">
                              <w:t>A</w:t>
                            </w:r>
                            <w:r w:rsidR="00124C8A">
                              <w:t>ssessment</w:t>
                            </w:r>
                            <w:r w:rsidRPr="00F1224F" w:rsidDel="00124C8A">
                              <w:t xml:space="preserve"> </w:t>
                            </w:r>
                            <w:r w:rsidRPr="00F1224F">
                              <w:t>as data collected during the routine delivery of health</w:t>
                            </w:r>
                            <w:r w:rsidR="00AD398A">
                              <w:t xml:space="preserve"> </w:t>
                            </w:r>
                            <w:r w:rsidRPr="00F1224F">
                              <w:t xml:space="preserve">care, outside clinical trial conditions. Other agencies and groups have more expansive definitions that also include data collected routinely across all aspects of health </w:t>
                            </w:r>
                            <w:r w:rsidR="000B18B2">
                              <w:t xml:space="preserve">care </w:t>
                            </w:r>
                            <w:r w:rsidRPr="00F1224F">
                              <w:t>and social care, through disease and health technology</w:t>
                            </w:r>
                            <w:r w:rsidR="00124C8A">
                              <w:t>–</w:t>
                            </w:r>
                            <w:r w:rsidRPr="00F1224F">
                              <w:t xml:space="preserve">specific registries and directly from patients through digital platforms. </w:t>
                            </w:r>
                          </w:p>
                          <w:p w14:paraId="332164F8" w14:textId="0749F099" w:rsidR="0071653E" w:rsidRDefault="00F1224F" w:rsidP="00F21679">
                            <w:pPr>
                              <w:spacing w:after="200"/>
                            </w:pPr>
                            <w:r w:rsidRPr="00F1224F">
                              <w:rPr>
                                <w:b/>
                                <w:bCs/>
                              </w:rPr>
                              <w:t>Real</w:t>
                            </w:r>
                            <w:r w:rsidR="007E3D0D">
                              <w:rPr>
                                <w:b/>
                                <w:bCs/>
                              </w:rPr>
                              <w:t>-w</w:t>
                            </w:r>
                            <w:r w:rsidRPr="00F1224F">
                              <w:rPr>
                                <w:b/>
                                <w:bCs/>
                              </w:rPr>
                              <w:t xml:space="preserve">orld </w:t>
                            </w:r>
                            <w:r w:rsidR="007E3D0D">
                              <w:rPr>
                                <w:b/>
                                <w:bCs/>
                              </w:rPr>
                              <w:t>e</w:t>
                            </w:r>
                            <w:r w:rsidRPr="00F1224F">
                              <w:rPr>
                                <w:b/>
                                <w:bCs/>
                              </w:rPr>
                              <w:t>vidence</w:t>
                            </w:r>
                            <w:r w:rsidRPr="00F1224F" w:rsidDel="00124C8A">
                              <w:rPr>
                                <w:b/>
                              </w:rPr>
                              <w:t xml:space="preserve"> </w:t>
                            </w:r>
                            <w:r w:rsidRPr="00F1224F">
                              <w:t>is the clinical evidence regarding the usage and potential benefits or risks of a health technology derived from analysis of RWD.</w:t>
                            </w:r>
                            <w:r w:rsidR="0071653E" w:rsidRPr="0071653E">
                              <w:t xml:space="preserve"> </w:t>
                            </w:r>
                          </w:p>
                          <w:p w14:paraId="18B9307C" w14:textId="21C1EB80" w:rsidR="00AA67C1" w:rsidRPr="0071653E" w:rsidRDefault="0071653E" w:rsidP="00F21679">
                            <w:pPr>
                              <w:spacing w:after="200"/>
                              <w:rPr>
                                <w:i/>
                                <w:sz w:val="22"/>
                                <w:szCs w:val="22"/>
                              </w:rPr>
                            </w:pPr>
                            <w:r w:rsidRPr="000C5623">
                              <w:rPr>
                                <w:sz w:val="22"/>
                                <w:szCs w:val="22"/>
                              </w:rPr>
                              <w:t>(</w:t>
                            </w:r>
                            <w:r w:rsidR="000B18B2">
                              <w:rPr>
                                <w:i/>
                                <w:iCs/>
                                <w:sz w:val="22"/>
                                <w:szCs w:val="22"/>
                              </w:rPr>
                              <w:t>S</w:t>
                            </w:r>
                            <w:r w:rsidRPr="001156F2">
                              <w:rPr>
                                <w:i/>
                                <w:iCs/>
                                <w:sz w:val="22"/>
                                <w:szCs w:val="22"/>
                              </w:rPr>
                              <w:t xml:space="preserve">ee </w:t>
                            </w:r>
                            <w:hyperlink r:id="rId26" w:history="1">
                              <w:r w:rsidRPr="001156F2">
                                <w:rPr>
                                  <w:rStyle w:val="Hyperlink"/>
                                  <w:i/>
                                  <w:iCs/>
                                  <w:sz w:val="22"/>
                                  <w:szCs w:val="22"/>
                                </w:rPr>
                                <w:t>Optimised real world evidence to support health technology assessment in Australia</w:t>
                              </w:r>
                            </w:hyperlink>
                            <w:r w:rsidR="000B18B2">
                              <w:rPr>
                                <w:rStyle w:val="Hyperlink"/>
                                <w:i/>
                                <w:iCs/>
                                <w:sz w:val="22"/>
                                <w:szCs w:val="22"/>
                              </w:rPr>
                              <w:t>.</w:t>
                            </w:r>
                            <w:r w:rsidRPr="000C5623">
                              <w:rPr>
                                <w:sz w:val="22"/>
                                <w:szCs w:val="22"/>
                              </w:rPr>
                              <w:t>)</w:t>
                            </w:r>
                          </w:p>
                        </w:txbxContent>
                      </wps:txbx>
                      <wps:bodyPr rot="0" vert="horz" wrap="square" lIns="91440" tIns="45720" rIns="91440" bIns="45720" anchor="t" anchorCtr="0">
                        <a:noAutofit/>
                      </wps:bodyPr>
                    </wps:wsp>
                  </a:graphicData>
                </a:graphic>
              </wp:inline>
            </w:drawing>
          </mc:Choice>
          <mc:Fallback>
            <w:pict>
              <v:shape w14:anchorId="43B1BA2F" id="Text Box 3" o:spid="_x0000_s1042" type="#_x0000_t202" style="width:451.3pt;height:2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" fillcolor="#f2f2f2 [3052]" stroked="f" strokeweight="1pt">
                <v:textbox>
                  <w:txbxContent>
                    <w:p w14:paraId="74CAE0F7" w14:textId="76945C63" w:rsidR="00AA67C1" w:rsidRPr="00BD34D3" w:rsidRDefault="00F1224F" w:rsidP="00405FD7">
                      <w:pPr>
                        <w:pStyle w:val="Call-outbox"/>
                        <w:spacing w:after="240"/>
                        <w:jc w:val="both"/>
                        <w:rPr>
                          <w:b w:val="0"/>
                          <w:i w:val="0"/>
                          <w:color w:val="0E6C9B"/>
                        </w:rPr>
                      </w:pPr>
                      <w:r w:rsidRPr="00BD34D3">
                        <w:rPr>
                          <w:b w:val="0"/>
                          <w:i w:val="0"/>
                          <w:color w:val="0E6C9B"/>
                        </w:rPr>
                        <w:t xml:space="preserve">Terminology: </w:t>
                      </w:r>
                      <w:r w:rsidR="00AA67C1" w:rsidRPr="00BD34D3">
                        <w:rPr>
                          <w:b w:val="0"/>
                          <w:i w:val="0"/>
                          <w:color w:val="0E6C9B"/>
                        </w:rPr>
                        <w:t>Real</w:t>
                      </w:r>
                      <w:r w:rsidR="007E3D0D">
                        <w:rPr>
                          <w:b w:val="0"/>
                          <w:i w:val="0"/>
                          <w:color w:val="0E6C9B"/>
                        </w:rPr>
                        <w:t>-w</w:t>
                      </w:r>
                      <w:r w:rsidR="00AA67C1" w:rsidRPr="00BD34D3">
                        <w:rPr>
                          <w:b w:val="0"/>
                          <w:i w:val="0"/>
                          <w:color w:val="0E6C9B"/>
                        </w:rPr>
                        <w:t xml:space="preserve">orld </w:t>
                      </w:r>
                      <w:r w:rsidR="007E3D0D">
                        <w:rPr>
                          <w:b w:val="0"/>
                          <w:i w:val="0"/>
                          <w:color w:val="0E6C9B"/>
                        </w:rPr>
                        <w:t>d</w:t>
                      </w:r>
                      <w:r w:rsidR="00AA67C1" w:rsidRPr="00BD34D3">
                        <w:rPr>
                          <w:b w:val="0"/>
                          <w:i w:val="0"/>
                          <w:color w:val="0E6C9B"/>
                        </w:rPr>
                        <w:t xml:space="preserve">ata and </w:t>
                      </w:r>
                      <w:r w:rsidR="007E3D0D">
                        <w:rPr>
                          <w:b w:val="0"/>
                          <w:i w:val="0"/>
                          <w:color w:val="0E6C9B"/>
                        </w:rPr>
                        <w:t>r</w:t>
                      </w:r>
                      <w:r w:rsidR="00AA67C1" w:rsidRPr="00BD34D3">
                        <w:rPr>
                          <w:b w:val="0"/>
                          <w:i w:val="0"/>
                          <w:color w:val="0E6C9B"/>
                        </w:rPr>
                        <w:t>eal</w:t>
                      </w:r>
                      <w:r w:rsidR="007E3D0D">
                        <w:rPr>
                          <w:b w:val="0"/>
                          <w:i w:val="0"/>
                          <w:color w:val="0E6C9B"/>
                        </w:rPr>
                        <w:t>-w</w:t>
                      </w:r>
                      <w:r w:rsidR="00AA67C1" w:rsidRPr="00BD34D3">
                        <w:rPr>
                          <w:b w:val="0"/>
                          <w:i w:val="0"/>
                          <w:color w:val="0E6C9B"/>
                        </w:rPr>
                        <w:t xml:space="preserve">orld </w:t>
                      </w:r>
                      <w:r w:rsidR="007E3D0D">
                        <w:rPr>
                          <w:b w:val="0"/>
                          <w:i w:val="0"/>
                          <w:color w:val="0E6C9B"/>
                        </w:rPr>
                        <w:t>e</w:t>
                      </w:r>
                      <w:r w:rsidR="00AA67C1" w:rsidRPr="00BD34D3">
                        <w:rPr>
                          <w:b w:val="0"/>
                          <w:i w:val="0"/>
                          <w:color w:val="0E6C9B"/>
                        </w:rPr>
                        <w:t>vidence</w:t>
                      </w:r>
                    </w:p>
                    <w:p w14:paraId="2A9DF413" w14:textId="29131381" w:rsidR="00F1224F" w:rsidRDefault="00F1224F" w:rsidP="00F21679">
                      <w:pPr>
                        <w:spacing w:after="200"/>
                      </w:pPr>
                      <w:r w:rsidRPr="00F1224F">
                        <w:rPr>
                          <w:b/>
                          <w:bCs/>
                        </w:rPr>
                        <w:t>Real</w:t>
                      </w:r>
                      <w:r w:rsidR="007E3D0D">
                        <w:rPr>
                          <w:b/>
                          <w:bCs/>
                        </w:rPr>
                        <w:t>-w</w:t>
                      </w:r>
                      <w:r w:rsidRPr="00F1224F">
                        <w:rPr>
                          <w:b/>
                          <w:bCs/>
                        </w:rPr>
                        <w:t xml:space="preserve">orld </w:t>
                      </w:r>
                      <w:r w:rsidR="007E3D0D">
                        <w:rPr>
                          <w:b/>
                          <w:bCs/>
                        </w:rPr>
                        <w:t>d</w:t>
                      </w:r>
                      <w:r w:rsidRPr="00F1224F">
                        <w:rPr>
                          <w:b/>
                          <w:bCs/>
                        </w:rPr>
                        <w:t>ata</w:t>
                      </w:r>
                      <w:r w:rsidRPr="00F1224F" w:rsidDel="00124C8A">
                        <w:rPr>
                          <w:b/>
                        </w:rPr>
                        <w:t xml:space="preserve"> </w:t>
                      </w:r>
                      <w:r w:rsidRPr="00F1224F">
                        <w:t>is defined by the International Network of Agencies for H</w:t>
                      </w:r>
                      <w:r w:rsidR="00124C8A">
                        <w:t xml:space="preserve">ealth </w:t>
                      </w:r>
                      <w:r w:rsidRPr="00F1224F">
                        <w:t>T</w:t>
                      </w:r>
                      <w:r w:rsidR="00124C8A">
                        <w:t xml:space="preserve">echnology </w:t>
                      </w:r>
                      <w:r w:rsidRPr="00F1224F">
                        <w:t>A</w:t>
                      </w:r>
                      <w:r w:rsidR="00124C8A">
                        <w:t>ssessment</w:t>
                      </w:r>
                      <w:r w:rsidRPr="00F1224F" w:rsidDel="00124C8A">
                        <w:t xml:space="preserve"> </w:t>
                      </w:r>
                      <w:r w:rsidRPr="00F1224F">
                        <w:t>as data collected during the routine delivery of health</w:t>
                      </w:r>
                      <w:r w:rsidR="00AD398A">
                        <w:t xml:space="preserve"> </w:t>
                      </w:r>
                      <w:r w:rsidRPr="00F1224F">
                        <w:t xml:space="preserve">care, outside clinical trial conditions. Other agencies and groups have more expansive definitions that also include data collected routinely across all aspects of health </w:t>
                      </w:r>
                      <w:r w:rsidR="000B18B2">
                        <w:t xml:space="preserve">care </w:t>
                      </w:r>
                      <w:r w:rsidRPr="00F1224F">
                        <w:t>and social care, through disease and health technology</w:t>
                      </w:r>
                      <w:r w:rsidR="00124C8A">
                        <w:t>–</w:t>
                      </w:r>
                      <w:r w:rsidRPr="00F1224F">
                        <w:t xml:space="preserve">specific registries and directly from patients through digital platforms. </w:t>
                      </w:r>
                    </w:p>
                    <w:p w14:paraId="332164F8" w14:textId="0749F099" w:rsidR="0071653E" w:rsidRDefault="00F1224F" w:rsidP="00F21679">
                      <w:pPr>
                        <w:spacing w:after="200"/>
                      </w:pPr>
                      <w:r w:rsidRPr="00F1224F">
                        <w:rPr>
                          <w:b/>
                          <w:bCs/>
                        </w:rPr>
                        <w:t>Real</w:t>
                      </w:r>
                      <w:r w:rsidR="007E3D0D">
                        <w:rPr>
                          <w:b/>
                          <w:bCs/>
                        </w:rPr>
                        <w:t>-w</w:t>
                      </w:r>
                      <w:r w:rsidRPr="00F1224F">
                        <w:rPr>
                          <w:b/>
                          <w:bCs/>
                        </w:rPr>
                        <w:t xml:space="preserve">orld </w:t>
                      </w:r>
                      <w:r w:rsidR="007E3D0D">
                        <w:rPr>
                          <w:b/>
                          <w:bCs/>
                        </w:rPr>
                        <w:t>e</w:t>
                      </w:r>
                      <w:r w:rsidRPr="00F1224F">
                        <w:rPr>
                          <w:b/>
                          <w:bCs/>
                        </w:rPr>
                        <w:t>vidence</w:t>
                      </w:r>
                      <w:r w:rsidRPr="00F1224F" w:rsidDel="00124C8A">
                        <w:rPr>
                          <w:b/>
                        </w:rPr>
                        <w:t xml:space="preserve"> </w:t>
                      </w:r>
                      <w:r w:rsidRPr="00F1224F">
                        <w:t>is the clinical evidence regarding the usage and potential benefits or risks of a health technology derived from analysis of RWD.</w:t>
                      </w:r>
                      <w:r w:rsidR="0071653E" w:rsidRPr="0071653E">
                        <w:t xml:space="preserve"> </w:t>
                      </w:r>
                    </w:p>
                    <w:p w14:paraId="18B9307C" w14:textId="21C1EB80" w:rsidR="00AA67C1" w:rsidRPr="0071653E" w:rsidRDefault="0071653E" w:rsidP="00F21679">
                      <w:pPr>
                        <w:spacing w:after="200"/>
                        <w:rPr>
                          <w:i/>
                          <w:sz w:val="22"/>
                          <w:szCs w:val="22"/>
                        </w:rPr>
                      </w:pPr>
                      <w:r w:rsidRPr="000C5623">
                        <w:rPr>
                          <w:sz w:val="22"/>
                          <w:szCs w:val="22"/>
                        </w:rPr>
                        <w:t>(</w:t>
                      </w:r>
                      <w:r w:rsidR="000B18B2">
                        <w:rPr>
                          <w:i/>
                          <w:iCs/>
                          <w:sz w:val="22"/>
                          <w:szCs w:val="22"/>
                        </w:rPr>
                        <w:t>S</w:t>
                      </w:r>
                      <w:r w:rsidRPr="001156F2">
                        <w:rPr>
                          <w:i/>
                          <w:iCs/>
                          <w:sz w:val="22"/>
                          <w:szCs w:val="22"/>
                        </w:rPr>
                        <w:t xml:space="preserve">ee </w:t>
                      </w:r>
                      <w:hyperlink r:id="rId27" w:history="1">
                        <w:r w:rsidRPr="001156F2">
                          <w:rPr>
                            <w:rStyle w:val="Hyperlink"/>
                            <w:i/>
                            <w:iCs/>
                            <w:sz w:val="22"/>
                            <w:szCs w:val="22"/>
                          </w:rPr>
                          <w:t>Optimised real world evidence to support health technology assessment in Australia</w:t>
                        </w:r>
                      </w:hyperlink>
                      <w:r w:rsidR="000B18B2">
                        <w:rPr>
                          <w:rStyle w:val="Hyperlink"/>
                          <w:i/>
                          <w:iCs/>
                          <w:sz w:val="22"/>
                          <w:szCs w:val="22"/>
                        </w:rPr>
                        <w:t>.</w:t>
                      </w:r>
                      <w:r w:rsidRPr="000C5623">
                        <w:rPr>
                          <w:sz w:val="22"/>
                          <w:szCs w:val="22"/>
                        </w:rPr>
                        <w:t>)</w:t>
                      </w:r>
                    </w:p>
                  </w:txbxContent>
                </v:textbox>
                <w10:anchorlock/>
              </v:shape>
            </w:pict>
          </mc:Fallback>
        </mc:AlternateContent>
      </w:r>
    </w:p>
    <w:p w14:paraId="0990CD91" w14:textId="32764604" w:rsidR="00613CA3" w:rsidRDefault="00613CA3" w:rsidP="00F21679">
      <w:r>
        <w:t xml:space="preserve">RWD is </w:t>
      </w:r>
      <w:proofErr w:type="gramStart"/>
      <w:r>
        <w:t>most commonly used</w:t>
      </w:r>
      <w:proofErr w:type="gramEnd"/>
      <w:r>
        <w:t xml:space="preserve"> </w:t>
      </w:r>
      <w:r w:rsidR="00E01EBA">
        <w:t>to inform</w:t>
      </w:r>
      <w:r w:rsidR="00124C8A">
        <w:t xml:space="preserve"> </w:t>
      </w:r>
      <w:r w:rsidR="00AE3491">
        <w:t xml:space="preserve">the </w:t>
      </w:r>
      <w:r w:rsidR="00124C8A" w:rsidRPr="000860DE">
        <w:t>PICO</w:t>
      </w:r>
      <w:r w:rsidR="00124C8A">
        <w:t xml:space="preserve"> </w:t>
      </w:r>
      <w:r>
        <w:t>in HTA evaluations for subsidy approvals</w:t>
      </w:r>
      <w:r w:rsidRPr="000860DE">
        <w:t xml:space="preserve">, </w:t>
      </w:r>
      <w:r w:rsidR="00124C8A">
        <w:t xml:space="preserve">to </w:t>
      </w:r>
      <w:r>
        <w:t xml:space="preserve">generate </w:t>
      </w:r>
      <w:r w:rsidRPr="000860DE">
        <w:t xml:space="preserve">local inputs </w:t>
      </w:r>
      <w:r w:rsidR="00124C8A">
        <w:t>for</w:t>
      </w:r>
      <w:r w:rsidRPr="000860DE">
        <w:t xml:space="preserve"> cost-effectiveness modelling</w:t>
      </w:r>
      <w:r w:rsidR="00124C8A">
        <w:t xml:space="preserve"> and</w:t>
      </w:r>
      <w:r w:rsidRPr="000860DE" w:rsidDel="00124C8A">
        <w:t xml:space="preserve"> </w:t>
      </w:r>
      <w:r w:rsidR="00124C8A">
        <w:t xml:space="preserve">to </w:t>
      </w:r>
      <w:r w:rsidRPr="000860DE">
        <w:t>predict overall usage and costs</w:t>
      </w:r>
      <w:r w:rsidR="00124C8A">
        <w:t xml:space="preserve">. It is also used </w:t>
      </w:r>
      <w:r>
        <w:t>in the post-subsidy space to understand usage patterns and cost</w:t>
      </w:r>
      <w:r w:rsidRPr="000860DE">
        <w:t>.</w:t>
      </w:r>
      <w:r>
        <w:t xml:space="preserve"> </w:t>
      </w:r>
    </w:p>
    <w:p w14:paraId="13A7B59C" w14:textId="7E68D334" w:rsidR="00613CA3" w:rsidRPr="00AA77F5" w:rsidRDefault="000B18B2" w:rsidP="008B7E13">
      <w:pPr>
        <w:pStyle w:val="Heading5"/>
        <w:rPr>
          <w:color w:val="00717A"/>
          <w:sz w:val="28"/>
        </w:rPr>
      </w:pPr>
      <w:bookmarkStart w:id="480" w:name="_Toc164685838"/>
      <w:bookmarkStart w:id="481" w:name="_Toc164691457"/>
      <w:r>
        <w:t>Using real-world evidence</w:t>
      </w:r>
      <w:r w:rsidR="00613CA3" w:rsidRPr="0019054D">
        <w:t xml:space="preserve"> and </w:t>
      </w:r>
      <w:r>
        <w:t>real-world</w:t>
      </w:r>
      <w:r w:rsidRPr="0019054D">
        <w:t xml:space="preserve"> </w:t>
      </w:r>
      <w:r>
        <w:t xml:space="preserve">data </w:t>
      </w:r>
      <w:r w:rsidR="00613CA3" w:rsidRPr="0019054D">
        <w:t>to address uncertainties</w:t>
      </w:r>
      <w:bookmarkEnd w:id="480"/>
      <w:bookmarkEnd w:id="481"/>
      <w:r w:rsidR="00613CA3" w:rsidRPr="0019054D">
        <w:t xml:space="preserve"> </w:t>
      </w:r>
    </w:p>
    <w:p w14:paraId="23EED107" w14:textId="37F66565" w:rsidR="00613CA3" w:rsidRDefault="00613CA3" w:rsidP="00F21679">
      <w:r w:rsidRPr="00464148">
        <w:t>RWE</w:t>
      </w:r>
      <w:r w:rsidR="004A1C28">
        <w:t xml:space="preserve"> </w:t>
      </w:r>
      <w:r w:rsidRPr="00464148">
        <w:t xml:space="preserve">can </w:t>
      </w:r>
      <w:r w:rsidR="000B18B2">
        <w:t>help to</w:t>
      </w:r>
      <w:r w:rsidRPr="00464148">
        <w:t xml:space="preserve"> resolv</w:t>
      </w:r>
      <w:r w:rsidR="000B18B2">
        <w:t>e</w:t>
      </w:r>
      <w:r w:rsidRPr="00464148">
        <w:t xml:space="preserve"> uncertainties in the HTA evaluation</w:t>
      </w:r>
      <w:r w:rsidR="00277022">
        <w:t xml:space="preserve"> of technologies in the Australian setting</w:t>
      </w:r>
      <w:r w:rsidR="00124C8A">
        <w:t>. This</w:t>
      </w:r>
      <w:r w:rsidRPr="00464148">
        <w:t xml:space="preserve"> includ</w:t>
      </w:r>
      <w:r w:rsidR="00124C8A">
        <w:t>es assessing</w:t>
      </w:r>
      <w:r w:rsidRPr="00464148">
        <w:t xml:space="preserve"> anticipated benefits and risks in specific populations</w:t>
      </w:r>
      <w:r w:rsidR="00124C8A">
        <w:t>,</w:t>
      </w:r>
      <w:r w:rsidR="0035201B">
        <w:t xml:space="preserve"> and</w:t>
      </w:r>
      <w:r w:rsidR="00CE765E">
        <w:t xml:space="preserve"> </w:t>
      </w:r>
      <w:r w:rsidRPr="00464148">
        <w:t>long-term outcomes</w:t>
      </w:r>
      <w:r w:rsidR="0037283F">
        <w:t>.</w:t>
      </w:r>
    </w:p>
    <w:p w14:paraId="1BD5CB98" w14:textId="029C9449" w:rsidR="00613CA3" w:rsidRPr="00417ECF" w:rsidRDefault="00613CA3" w:rsidP="00A43353">
      <w:r>
        <w:t>RWD and RWE</w:t>
      </w:r>
      <w:r w:rsidR="00A01163">
        <w:t xml:space="preserve"> </w:t>
      </w:r>
      <w:r w:rsidR="00AA4180">
        <w:t>have an</w:t>
      </w:r>
      <w:r>
        <w:t xml:space="preserve"> increasing role </w:t>
      </w:r>
      <w:r w:rsidR="00485F5E">
        <w:t xml:space="preserve">in </w:t>
      </w:r>
      <w:r w:rsidR="003A4DDB">
        <w:t>contributing</w:t>
      </w:r>
      <w:r>
        <w:t xml:space="preserve"> information on the outcomes associated with funded technologies</w:t>
      </w:r>
      <w:r w:rsidR="000079AC">
        <w:t xml:space="preserve">. </w:t>
      </w:r>
      <w:r w:rsidR="005169C6">
        <w:t>This is particularly relevant for</w:t>
      </w:r>
      <w:r>
        <w:t xml:space="preserve"> provisional list</w:t>
      </w:r>
      <w:r w:rsidR="000079AC">
        <w:t>ings</w:t>
      </w:r>
      <w:r>
        <w:t xml:space="preserve"> w</w:t>
      </w:r>
      <w:r w:rsidR="00124C8A">
        <w:t>ith</w:t>
      </w:r>
      <w:r>
        <w:t xml:space="preserve"> uncertainty around long-term outcomes </w:t>
      </w:r>
      <w:r w:rsidR="008C71A8">
        <w:t>f</w:t>
      </w:r>
      <w:r>
        <w:t xml:space="preserve">or </w:t>
      </w:r>
      <w:r w:rsidR="00124C8A">
        <w:t>a</w:t>
      </w:r>
      <w:r>
        <w:t xml:space="preserve"> specific patient population. Having systems in place to en</w:t>
      </w:r>
      <w:r w:rsidR="009A7275">
        <w:t>hance</w:t>
      </w:r>
      <w:r>
        <w:t xml:space="preserve"> the timely and accurate collection and reporting of u</w:t>
      </w:r>
      <w:r w:rsidR="008F0B58">
        <w:t>sage</w:t>
      </w:r>
      <w:r>
        <w:t xml:space="preserve"> and outcome data associated with provisionally listed technologies will be critical to the establishment of any </w:t>
      </w:r>
      <w:r w:rsidR="004F2905">
        <w:t>MEA</w:t>
      </w:r>
      <w:r>
        <w:t xml:space="preserve">-type </w:t>
      </w:r>
      <w:r w:rsidRPr="00417ECF">
        <w:t>arrangement</w:t>
      </w:r>
      <w:r>
        <w:t>s</w:t>
      </w:r>
      <w:r w:rsidRPr="00417ECF">
        <w:t xml:space="preserve">. </w:t>
      </w:r>
    </w:p>
    <w:p w14:paraId="73F035B8" w14:textId="4BF157A9" w:rsidR="00613CA3" w:rsidRPr="00464148" w:rsidRDefault="00613CA3" w:rsidP="00A43353">
      <w:r w:rsidRPr="00464148">
        <w:t xml:space="preserve">RWE may be used to address uncertainties in </w:t>
      </w:r>
      <w:r w:rsidR="003C666B">
        <w:t>an</w:t>
      </w:r>
      <w:r w:rsidRPr="00464148">
        <w:t xml:space="preserve"> HTA evaluation </w:t>
      </w:r>
      <w:r w:rsidR="003C666B">
        <w:t>before</w:t>
      </w:r>
      <w:r w:rsidRPr="00464148">
        <w:t xml:space="preserve"> subsidy approval to:</w:t>
      </w:r>
    </w:p>
    <w:p w14:paraId="6149DA30" w14:textId="075B57F6" w:rsidR="00613CA3" w:rsidRDefault="00613CA3" w:rsidP="00281153">
      <w:pPr>
        <w:pStyle w:val="ListBullet"/>
        <w:numPr>
          <w:ilvl w:val="0"/>
          <w:numId w:val="77"/>
        </w:numPr>
      </w:pPr>
      <w:r>
        <w:t xml:space="preserve">estimate </w:t>
      </w:r>
      <w:r w:rsidR="003C666B">
        <w:t xml:space="preserve">the </w:t>
      </w:r>
      <w:r>
        <w:t xml:space="preserve">comparative effectiveness of </w:t>
      </w:r>
      <w:r w:rsidR="003C666B">
        <w:t xml:space="preserve">the </w:t>
      </w:r>
      <w:r>
        <w:t>health technolog</w:t>
      </w:r>
      <w:r w:rsidR="003C666B">
        <w:t>y</w:t>
      </w:r>
      <w:r>
        <w:t xml:space="preserve"> relative to existing treatments in the real</w:t>
      </w:r>
      <w:r w:rsidR="000616C0">
        <w:t>-</w:t>
      </w:r>
      <w:r w:rsidR="002B5BAE">
        <w:t>world setting</w:t>
      </w:r>
      <w:r w:rsidR="003C666B">
        <w:t>,</w:t>
      </w:r>
      <w:r>
        <w:t xml:space="preserve"> </w:t>
      </w:r>
      <w:r w:rsidR="009641CA">
        <w:t xml:space="preserve">such as </w:t>
      </w:r>
      <w:r>
        <w:t xml:space="preserve">in scenarios outlined in </w:t>
      </w:r>
      <w:r w:rsidR="00AD2DBA">
        <w:fldChar w:fldCharType="begin" w:fldLock="1"/>
      </w:r>
      <w:r w:rsidR="00AD2DBA">
        <w:instrText xml:space="preserve"> REF _Ref164767052 \h </w:instrText>
      </w:r>
      <w:r w:rsidR="00F21679">
        <w:instrText xml:space="preserve"> \* MERGEFORMAT </w:instrText>
      </w:r>
      <w:r w:rsidR="00AD2DBA">
        <w:fldChar w:fldCharType="separate"/>
      </w:r>
      <w:r w:rsidR="00AD2DBA">
        <w:t>Figure</w:t>
      </w:r>
      <w:r w:rsidR="00842D9A">
        <w:t xml:space="preserve"> </w:t>
      </w:r>
      <w:r w:rsidR="00AD2DBA">
        <w:fldChar w:fldCharType="end"/>
      </w:r>
      <w:r w:rsidR="00775F31">
        <w:t>5</w:t>
      </w:r>
      <w:r w:rsidR="00453069">
        <w:t xml:space="preserve"> </w:t>
      </w:r>
    </w:p>
    <w:p w14:paraId="63188501" w14:textId="04BCCF82" w:rsidR="00613CA3" w:rsidRDefault="00613CA3" w:rsidP="00281153">
      <w:pPr>
        <w:pStyle w:val="ListBullet"/>
        <w:numPr>
          <w:ilvl w:val="0"/>
          <w:numId w:val="77"/>
        </w:numPr>
      </w:pPr>
      <w:r>
        <w:t>generate inputs for cost</w:t>
      </w:r>
      <w:r w:rsidR="00BB34D8">
        <w:t>-</w:t>
      </w:r>
      <w:r>
        <w:t>effectiveness analys</w:t>
      </w:r>
      <w:r w:rsidR="00990A01">
        <w:t>i</w:t>
      </w:r>
      <w:r>
        <w:t xml:space="preserve">s by </w:t>
      </w:r>
      <w:r w:rsidR="006B4874">
        <w:t>providing</w:t>
      </w:r>
      <w:r>
        <w:t xml:space="preserve"> insights about </w:t>
      </w:r>
      <w:r w:rsidR="004254D3">
        <w:t xml:space="preserve">the </w:t>
      </w:r>
      <w:r>
        <w:t>resource use and associated costs in the real</w:t>
      </w:r>
      <w:r w:rsidR="000616C0">
        <w:t>-</w:t>
      </w:r>
      <w:r>
        <w:t>world setting</w:t>
      </w:r>
      <w:r w:rsidR="009B7247" w:rsidRPr="00E44E60">
        <w:t>.</w:t>
      </w:r>
      <w:r w:rsidR="00775F31">
        <w:rPr>
          <w:rStyle w:val="FootnoteReference"/>
        </w:rPr>
        <w:footnoteReference w:id="144"/>
      </w:r>
    </w:p>
    <w:p w14:paraId="54FA8890" w14:textId="77777777" w:rsidR="00230CC6" w:rsidRDefault="5B7A9163" w:rsidP="002B3036">
      <w:pPr>
        <w:pStyle w:val="Caption"/>
        <w:keepNext/>
        <w:spacing w:after="120"/>
      </w:pPr>
      <w:r>
        <w:rPr>
          <w:noProof/>
        </w:rPr>
        <w:lastRenderedPageBreak/>
        <w:drawing>
          <wp:inline distT="0" distB="0" distL="0" distR="0" wp14:anchorId="285EDF40" wp14:editId="023EAAEF">
            <wp:extent cx="5753098" cy="2714625"/>
            <wp:effectExtent l="0" t="0" r="0" b="0"/>
            <wp:docPr id="966009658" name="Picture 966009658" descr="A chart of types of uncertainty and how real world evidence can be leverag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009658" name="Picture 966009658" descr="A chart of types of uncertainty and how real world evidence can be leveraged"/>
                    <pic:cNvPicPr/>
                  </pic:nvPicPr>
                  <pic:blipFill>
                    <a:blip r:embed="rId28">
                      <a:extLst>
                        <a:ext uri="{28A0092B-C50C-407E-A947-70E740481C1C}">
                          <a14:useLocalDpi xmlns:a14="http://schemas.microsoft.com/office/drawing/2010/main" val="0"/>
                        </a:ext>
                      </a:extLst>
                    </a:blip>
                    <a:stretch>
                      <a:fillRect/>
                    </a:stretch>
                  </pic:blipFill>
                  <pic:spPr>
                    <a:xfrm>
                      <a:off x="0" y="0"/>
                      <a:ext cx="5753098" cy="2714625"/>
                    </a:xfrm>
                    <a:prstGeom prst="rect">
                      <a:avLst/>
                    </a:prstGeom>
                  </pic:spPr>
                </pic:pic>
              </a:graphicData>
            </a:graphic>
          </wp:inline>
        </w:drawing>
      </w:r>
    </w:p>
    <w:p w14:paraId="236FA200" w14:textId="09BA8E87" w:rsidR="009E77B4" w:rsidRPr="009E77B4" w:rsidRDefault="009E77B4" w:rsidP="00A318F7">
      <w:pPr>
        <w:pStyle w:val="Caption"/>
        <w:keepNext/>
        <w:rPr>
          <w:bCs/>
        </w:rPr>
      </w:pPr>
      <w:bookmarkStart w:id="482" w:name="_Toc171935093"/>
      <w:r w:rsidRPr="00775F31">
        <w:t xml:space="preserve">Figure </w:t>
      </w:r>
      <w:r w:rsidRPr="00775F31">
        <w:fldChar w:fldCharType="begin" w:fldLock="1"/>
      </w:r>
      <w:r w:rsidRPr="00775F31">
        <w:instrText>SEQ Figure \* ARABIC</w:instrText>
      </w:r>
      <w:r w:rsidRPr="00775F31">
        <w:fldChar w:fldCharType="separate"/>
      </w:r>
      <w:r w:rsidR="00FA396E">
        <w:rPr>
          <w:noProof/>
        </w:rPr>
        <w:t>5</w:t>
      </w:r>
      <w:r w:rsidRPr="00775F31">
        <w:fldChar w:fldCharType="end"/>
      </w:r>
      <w:r w:rsidR="00FA396E">
        <w:t>:</w:t>
      </w:r>
      <w:r w:rsidRPr="00775F31">
        <w:t xml:space="preserve"> S</w:t>
      </w:r>
      <w:r w:rsidRPr="00B0058A">
        <w:t>cenarios where RWD can generate comparative treatment effects in HTA</w:t>
      </w:r>
      <w:r w:rsidR="001156F2">
        <w:rPr>
          <w:rStyle w:val="FootnoteReference"/>
        </w:rPr>
        <w:footnoteReference w:id="145"/>
      </w:r>
      <w:bookmarkEnd w:id="482"/>
    </w:p>
    <w:p w14:paraId="0C3C8D09" w14:textId="5A7161ED" w:rsidR="00613CA3" w:rsidRPr="00B363A8" w:rsidRDefault="00B95964" w:rsidP="00F21679">
      <w:pPr>
        <w:spacing w:after="0"/>
        <w:rPr>
          <w:bCs/>
        </w:rPr>
      </w:pPr>
      <w:r>
        <w:rPr>
          <w:bCs/>
        </w:rPr>
        <w:t xml:space="preserve">In the post-subsidy setting, </w:t>
      </w:r>
      <w:r w:rsidR="00613CA3" w:rsidRPr="00B363A8">
        <w:rPr>
          <w:bCs/>
        </w:rPr>
        <w:t>RWE</w:t>
      </w:r>
      <w:r>
        <w:rPr>
          <w:bCs/>
        </w:rPr>
        <w:t xml:space="preserve"> can</w:t>
      </w:r>
      <w:r w:rsidR="00613CA3" w:rsidRPr="00B363A8">
        <w:rPr>
          <w:bCs/>
        </w:rPr>
        <w:t>:</w:t>
      </w:r>
    </w:p>
    <w:p w14:paraId="09FB39AF" w14:textId="0A9386FE" w:rsidR="00613CA3" w:rsidRDefault="00613CA3" w:rsidP="00281153">
      <w:pPr>
        <w:pStyle w:val="ListBullet"/>
        <w:numPr>
          <w:ilvl w:val="0"/>
          <w:numId w:val="77"/>
        </w:numPr>
      </w:pPr>
      <w:r>
        <w:t>support continuous assessment of use, safety, clinical</w:t>
      </w:r>
      <w:r w:rsidR="001156F2">
        <w:t xml:space="preserve"> effectiveness,</w:t>
      </w:r>
      <w:r>
        <w:t xml:space="preserve"> cost-</w:t>
      </w:r>
      <w:r w:rsidR="00AF5888">
        <w:t xml:space="preserve"> </w:t>
      </w:r>
      <w:r>
        <w:t>effectiveness and economic impact of health technologies in the Australian setting (which can include diverse populations, and complex, dynamic healthcare settings)</w:t>
      </w:r>
    </w:p>
    <w:p w14:paraId="05E0B6E2" w14:textId="3803BC46" w:rsidR="00613CA3" w:rsidRDefault="00FD1F82" w:rsidP="00281153">
      <w:pPr>
        <w:pStyle w:val="ListBullet"/>
        <w:numPr>
          <w:ilvl w:val="0"/>
          <w:numId w:val="77"/>
        </w:numPr>
      </w:pPr>
      <w:r>
        <w:t xml:space="preserve">generate </w:t>
      </w:r>
      <w:r w:rsidR="00613CA3">
        <w:t xml:space="preserve">input </w:t>
      </w:r>
      <w:r w:rsidR="001156F2">
        <w:t>for</w:t>
      </w:r>
      <w:r w:rsidR="00613CA3">
        <w:t xml:space="preserve"> clinical practice guidelines and benchmark guideline-recommended versus actual care</w:t>
      </w:r>
    </w:p>
    <w:p w14:paraId="18D4BA72" w14:textId="025AABBD" w:rsidR="00613CA3" w:rsidRDefault="00613CA3" w:rsidP="00281153">
      <w:pPr>
        <w:pStyle w:val="ListBullet"/>
        <w:numPr>
          <w:ilvl w:val="0"/>
          <w:numId w:val="77"/>
        </w:numPr>
      </w:pPr>
      <w:r>
        <w:t xml:space="preserve">empower patients to make informed treatment choices using </w:t>
      </w:r>
      <w:r w:rsidR="001156F2">
        <w:t xml:space="preserve">the </w:t>
      </w:r>
      <w:r>
        <w:t>outcomes of patients with similar characteristics</w:t>
      </w:r>
      <w:r w:rsidR="006121A4">
        <w:t>.</w:t>
      </w:r>
      <w:r w:rsidR="001156F2">
        <w:rPr>
          <w:rStyle w:val="FootnoteReference"/>
        </w:rPr>
        <w:footnoteReference w:id="146"/>
      </w:r>
    </w:p>
    <w:p w14:paraId="34015FB0" w14:textId="4AC6A7AD" w:rsidR="00613CA3" w:rsidRDefault="00613CA3" w:rsidP="00F21679">
      <w:r>
        <w:t>Where a decision is taken to resolve uncertainty about the clinical</w:t>
      </w:r>
      <w:r w:rsidR="00673A91">
        <w:t xml:space="preserve"> </w:t>
      </w:r>
      <w:r w:rsidR="00BB34D8">
        <w:t>effectiveness</w:t>
      </w:r>
      <w:r>
        <w:t xml:space="preserve"> and</w:t>
      </w:r>
      <w:r w:rsidR="005D713E">
        <w:t>/or</w:t>
      </w:r>
      <w:r>
        <w:t xml:space="preserve"> cost-effectiveness </w:t>
      </w:r>
      <w:r w:rsidR="00D47FC1">
        <w:t xml:space="preserve">or safety </w:t>
      </w:r>
      <w:r>
        <w:t xml:space="preserve">of </w:t>
      </w:r>
      <w:r w:rsidR="00D31625">
        <w:t xml:space="preserve">a </w:t>
      </w:r>
      <w:r>
        <w:t>health technolog</w:t>
      </w:r>
      <w:r w:rsidR="00D31625">
        <w:t>y</w:t>
      </w:r>
      <w:r>
        <w:t xml:space="preserve"> after </w:t>
      </w:r>
      <w:r w:rsidR="00D31625">
        <w:t>it has</w:t>
      </w:r>
      <w:r w:rsidR="001156F2">
        <w:t xml:space="preserve"> been</w:t>
      </w:r>
      <w:r>
        <w:t xml:space="preserve"> funded, information on the health outcomes of patients receiving the health technology needs to be collecte</w:t>
      </w:r>
      <w:r w:rsidRPr="00AB26FC">
        <w:t>d</w:t>
      </w:r>
      <w:r w:rsidR="00BB34D8" w:rsidRPr="00AB26FC">
        <w:t>.</w:t>
      </w:r>
      <w:r w:rsidR="005C39FD">
        <w:rPr>
          <w:rStyle w:val="FootnoteReference"/>
        </w:rPr>
        <w:footnoteReference w:id="147"/>
      </w:r>
      <w:r w:rsidR="00AB26FC" w:rsidRPr="00AB26FC" w:rsidDel="00AB26FC">
        <w:t xml:space="preserve"> </w:t>
      </w:r>
    </w:p>
    <w:p w14:paraId="5135B317" w14:textId="2FF9B4BA" w:rsidR="00A244E6" w:rsidRDefault="00980A16" w:rsidP="00F21679">
      <w:r>
        <w:t xml:space="preserve">In Australia, </w:t>
      </w:r>
      <w:r w:rsidR="00E364C1">
        <w:t xml:space="preserve">there </w:t>
      </w:r>
      <w:r w:rsidR="00D31625">
        <w:t>are</w:t>
      </w:r>
      <w:r w:rsidR="00E364C1">
        <w:t xml:space="preserve"> </w:t>
      </w:r>
      <w:r w:rsidR="00FE5644">
        <w:t>numerous</w:t>
      </w:r>
      <w:r w:rsidR="00E364C1">
        <w:t xml:space="preserve"> instances where </w:t>
      </w:r>
      <w:r w:rsidRPr="00980A16">
        <w:t xml:space="preserve">RWE </w:t>
      </w:r>
      <w:r w:rsidR="00D31625">
        <w:t>w</w:t>
      </w:r>
      <w:r w:rsidRPr="00980A16">
        <w:t>as used to enhance and complement available RCT evidence</w:t>
      </w:r>
      <w:r w:rsidR="00D31625">
        <w:t>. It</w:t>
      </w:r>
      <w:r w:rsidR="00F057EF">
        <w:t xml:space="preserve"> </w:t>
      </w:r>
      <w:r w:rsidR="00CD0190">
        <w:t xml:space="preserve">has been </w:t>
      </w:r>
      <w:r w:rsidRPr="00980A16">
        <w:t>influential in reducing uncertainty in decision-making</w:t>
      </w:r>
      <w:r w:rsidR="00BC6D90">
        <w:t>, both at the time o</w:t>
      </w:r>
      <w:r w:rsidR="004D4096">
        <w:t xml:space="preserve">f </w:t>
      </w:r>
      <w:r w:rsidR="00D068C2">
        <w:t xml:space="preserve">initial </w:t>
      </w:r>
      <w:r w:rsidR="00FA32FA">
        <w:t>funding</w:t>
      </w:r>
      <w:r w:rsidR="00D068C2">
        <w:t xml:space="preserve"> </w:t>
      </w:r>
      <w:r w:rsidR="00602E33">
        <w:t>decisions and post-subsid</w:t>
      </w:r>
      <w:r w:rsidR="00FA32FA">
        <w:t>isation</w:t>
      </w:r>
      <w:r w:rsidR="00602E33">
        <w:t xml:space="preserve">. </w:t>
      </w:r>
      <w:r w:rsidR="001E586E">
        <w:t xml:space="preserve">This has </w:t>
      </w:r>
      <w:r w:rsidRPr="00980A16">
        <w:t>increas</w:t>
      </w:r>
      <w:r w:rsidR="001E586E">
        <w:t>ed</w:t>
      </w:r>
      <w:r w:rsidRPr="00980A16">
        <w:t xml:space="preserve"> timely access to therapies through the ability to monitor health outcomes </w:t>
      </w:r>
      <w:r w:rsidR="00D31625">
        <w:t>after</w:t>
      </w:r>
      <w:r w:rsidR="00D31625" w:rsidRPr="00980A16">
        <w:t xml:space="preserve"> </w:t>
      </w:r>
      <w:r w:rsidRPr="00980A16">
        <w:t>listing</w:t>
      </w:r>
      <w:r w:rsidR="00D31625">
        <w:t xml:space="preserve"> on the PBS</w:t>
      </w:r>
      <w:r w:rsidR="001E586E">
        <w:t xml:space="preserve">. </w:t>
      </w:r>
      <w:r w:rsidR="00477EA9">
        <w:t>For example, s</w:t>
      </w:r>
      <w:r w:rsidR="00477EA9" w:rsidRPr="00477EA9">
        <w:t>everal new</w:t>
      </w:r>
      <w:r w:rsidR="005B7CFC">
        <w:t>-</w:t>
      </w:r>
      <w:r w:rsidR="00477EA9" w:rsidRPr="00477EA9">
        <w:t xml:space="preserve">generation </w:t>
      </w:r>
      <w:bookmarkStart w:id="483" w:name="_Hlk167620430"/>
      <w:r w:rsidR="00477EA9" w:rsidRPr="00477EA9">
        <w:t>direct</w:t>
      </w:r>
      <w:r w:rsidR="005B7CFC">
        <w:t>-</w:t>
      </w:r>
      <w:r w:rsidR="00477EA9" w:rsidRPr="00477EA9">
        <w:t>acting antiviral (DAA)</w:t>
      </w:r>
      <w:bookmarkEnd w:id="483"/>
      <w:r w:rsidR="00477EA9" w:rsidRPr="00477EA9">
        <w:t xml:space="preserve"> medicines for the treatment of chronic hepatitis C were listed on the </w:t>
      </w:r>
      <w:r w:rsidR="00477EA9" w:rsidRPr="00477EA9">
        <w:lastRenderedPageBreak/>
        <w:t>PBS from 1 March 2016</w:t>
      </w:r>
      <w:r w:rsidR="00561E0E">
        <w:t>.</w:t>
      </w:r>
      <w:r w:rsidR="00C2776A">
        <w:rPr>
          <w:rStyle w:val="FootnoteReference"/>
        </w:rPr>
        <w:footnoteReference w:id="148"/>
      </w:r>
      <w:r w:rsidR="00477EA9" w:rsidRPr="00477EA9">
        <w:t xml:space="preserve"> Due to the high opportunity cost, approval for listing on the PBS</w:t>
      </w:r>
      <w:r w:rsidR="0097230C">
        <w:t xml:space="preserve"> included allocating</w:t>
      </w:r>
      <w:r w:rsidR="00477EA9" w:rsidRPr="00477EA9">
        <w:t xml:space="preserve"> funding to develop a national registry for the ongoing assessment of the cost-effectiveness and health outcomes of the DAA</w:t>
      </w:r>
      <w:r w:rsidR="0097230C">
        <w:t>s</w:t>
      </w:r>
      <w:r w:rsidR="00477EA9" w:rsidRPr="00477EA9">
        <w:t>. At its December 2020 meeting, the PBAC considered that an economic evaluation based on the real-world registry data demonstrated that the DAA listings were cost-effective in practice and the committee was comfortable recommend</w:t>
      </w:r>
      <w:r w:rsidR="002F015A">
        <w:t>ing</w:t>
      </w:r>
      <w:r w:rsidR="00477EA9" w:rsidRPr="00477EA9">
        <w:t xml:space="preserve"> </w:t>
      </w:r>
      <w:r w:rsidR="0097230C">
        <w:t xml:space="preserve">not to </w:t>
      </w:r>
      <w:r w:rsidR="00477EA9" w:rsidRPr="00477EA9">
        <w:t>change the PBS listings</w:t>
      </w:r>
      <w:r w:rsidR="0097230C">
        <w:t>.</w:t>
      </w:r>
      <w:r w:rsidR="0012509C">
        <w:rPr>
          <w:rStyle w:val="FootnoteReference"/>
        </w:rPr>
        <w:footnoteReference w:id="149"/>
      </w:r>
    </w:p>
    <w:p w14:paraId="23C625F9" w14:textId="465BC8C4" w:rsidR="00613CA3" w:rsidRPr="008F3DDB" w:rsidRDefault="00613CA3" w:rsidP="00F21679">
      <w:pPr>
        <w:pStyle w:val="Heading5"/>
        <w:rPr>
          <w:color w:val="005A68" w:themeColor="accent6" w:themeShade="80"/>
        </w:rPr>
      </w:pPr>
      <w:r w:rsidRPr="0019054D">
        <w:t>Difficul</w:t>
      </w:r>
      <w:r w:rsidRPr="008F3DDB">
        <w:rPr>
          <w:color w:val="005A68" w:themeColor="accent6" w:themeShade="80"/>
        </w:rPr>
        <w:t>ties in timely access to outcome data associated with provisionally listed health technologies</w:t>
      </w:r>
    </w:p>
    <w:p w14:paraId="00B5B6E5" w14:textId="199704C3" w:rsidR="00613CA3" w:rsidRPr="004076DF" w:rsidRDefault="00613CA3" w:rsidP="00F21679">
      <w:r>
        <w:t xml:space="preserve">Australia’s processes and systems for collecting the information needed to determine the clinical </w:t>
      </w:r>
      <w:r w:rsidR="00BB34D8">
        <w:t xml:space="preserve">effectiveness </w:t>
      </w:r>
      <w:r>
        <w:t xml:space="preserve">and cost-effectiveness of </w:t>
      </w:r>
      <w:r w:rsidR="008D7CF4">
        <w:t xml:space="preserve">provisionally listed </w:t>
      </w:r>
      <w:r>
        <w:t xml:space="preserve">health technologies after they are </w:t>
      </w:r>
      <w:r w:rsidRPr="004076DF">
        <w:t xml:space="preserve">funded are in early development. </w:t>
      </w:r>
    </w:p>
    <w:p w14:paraId="56362F07" w14:textId="684DE1ED" w:rsidR="00613CA3" w:rsidRPr="00683AED" w:rsidRDefault="00613CA3" w:rsidP="00F21679">
      <w:r w:rsidRPr="00683AED">
        <w:t xml:space="preserve">The experience </w:t>
      </w:r>
      <w:r w:rsidR="002F015A">
        <w:t>with</w:t>
      </w:r>
      <w:r w:rsidRPr="00683AED">
        <w:t xml:space="preserve"> health technologies that have been funded in Australia </w:t>
      </w:r>
      <w:r w:rsidR="00806DEE" w:rsidRPr="00683AED">
        <w:t xml:space="preserve">through </w:t>
      </w:r>
      <w:r w:rsidR="00E2095C" w:rsidRPr="004076DF">
        <w:t>MEA</w:t>
      </w:r>
      <w:r w:rsidRPr="00683AED">
        <w:t xml:space="preserve">-type approaches is that </w:t>
      </w:r>
      <w:r w:rsidR="002F015A">
        <w:t>i</w:t>
      </w:r>
      <w:r w:rsidRPr="00683AED">
        <w:t xml:space="preserve">t </w:t>
      </w:r>
      <w:r w:rsidR="002F015A">
        <w:t>i</w:t>
      </w:r>
      <w:r w:rsidRPr="00683AED">
        <w:t xml:space="preserve">s difficult to establish how well the </w:t>
      </w:r>
      <w:r w:rsidR="0071166C" w:rsidRPr="00683AED">
        <w:t xml:space="preserve">health </w:t>
      </w:r>
      <w:r w:rsidRPr="00683AED">
        <w:t>technology is performing due to:</w:t>
      </w:r>
    </w:p>
    <w:p w14:paraId="77B71674" w14:textId="791717B2" w:rsidR="00613CA3" w:rsidRPr="00683AED" w:rsidRDefault="002F015A" w:rsidP="00281153">
      <w:pPr>
        <w:pStyle w:val="ListBullet"/>
        <w:numPr>
          <w:ilvl w:val="0"/>
          <w:numId w:val="67"/>
        </w:numPr>
      </w:pPr>
      <w:r>
        <w:t>c</w:t>
      </w:r>
      <w:r w:rsidR="00004D72" w:rsidRPr="00683AED">
        <w:t>hallenges</w:t>
      </w:r>
      <w:r w:rsidR="00613CA3" w:rsidRPr="00683AED">
        <w:t xml:space="preserve"> in establishing a suitable data collection system or involving a suitable registry</w:t>
      </w:r>
    </w:p>
    <w:p w14:paraId="45E54F8F" w14:textId="05F50506" w:rsidR="00613CA3" w:rsidRPr="00683AED" w:rsidRDefault="002F015A" w:rsidP="00281153">
      <w:pPr>
        <w:pStyle w:val="ListBullet"/>
        <w:numPr>
          <w:ilvl w:val="0"/>
          <w:numId w:val="67"/>
        </w:numPr>
      </w:pPr>
      <w:r>
        <w:t>q</w:t>
      </w:r>
      <w:r w:rsidR="00613CA3" w:rsidRPr="00683AED">
        <w:t>uality and completeness of collected data</w:t>
      </w:r>
    </w:p>
    <w:p w14:paraId="0929FEB0" w14:textId="23CE6650" w:rsidR="00613CA3" w:rsidRPr="00683AED" w:rsidRDefault="002F015A" w:rsidP="00281153">
      <w:pPr>
        <w:pStyle w:val="ListBullet"/>
        <w:numPr>
          <w:ilvl w:val="0"/>
          <w:numId w:val="67"/>
        </w:numPr>
      </w:pPr>
      <w:r>
        <w:t>r</w:t>
      </w:r>
      <w:r w:rsidR="00613CA3" w:rsidRPr="00683AED">
        <w:t>eporting</w:t>
      </w:r>
      <w:r w:rsidR="004B20B0" w:rsidRPr="00683AED">
        <w:t xml:space="preserve"> limitations</w:t>
      </w:r>
      <w:r w:rsidR="00DA6A02" w:rsidRPr="00683AED">
        <w:t xml:space="preserve">, such as inadequate resources to </w:t>
      </w:r>
      <w:r w:rsidR="00E67E03" w:rsidRPr="00683AED">
        <w:t>complete data analys</w:t>
      </w:r>
      <w:r>
        <w:t>i</w:t>
      </w:r>
      <w:r w:rsidR="00E67E03" w:rsidRPr="00683AED">
        <w:t>s within the required time</w:t>
      </w:r>
      <w:r w:rsidR="004574C7">
        <w:t xml:space="preserve"> </w:t>
      </w:r>
      <w:r w:rsidR="00E67E03" w:rsidRPr="00683AED">
        <w:t>frame.</w:t>
      </w:r>
    </w:p>
    <w:p w14:paraId="2B1C6255" w14:textId="519E615D" w:rsidR="00613CA3" w:rsidRDefault="002F015A" w:rsidP="00F21679">
      <w:r>
        <w:t>T</w:t>
      </w:r>
      <w:r w:rsidR="00613CA3" w:rsidRPr="004076DF">
        <w:t xml:space="preserve">here </w:t>
      </w:r>
      <w:r>
        <w:t>are few or</w:t>
      </w:r>
      <w:r w:rsidR="00613CA3" w:rsidRPr="004076DF">
        <w:t xml:space="preserve"> </w:t>
      </w:r>
      <w:r w:rsidR="00613CA3" w:rsidRPr="00683AED">
        <w:t>no consequence</w:t>
      </w:r>
      <w:r>
        <w:t>s</w:t>
      </w:r>
      <w:r w:rsidR="00613CA3" w:rsidRPr="00683AED">
        <w:t xml:space="preserve"> for sponsor</w:t>
      </w:r>
      <w:r>
        <w:t>s</w:t>
      </w:r>
      <w:r w:rsidR="00613CA3" w:rsidRPr="00683AED">
        <w:t xml:space="preserve"> </w:t>
      </w:r>
      <w:r w:rsidR="00096712" w:rsidRPr="00683AED">
        <w:t>of health technolog</w:t>
      </w:r>
      <w:r>
        <w:t>ies</w:t>
      </w:r>
      <w:r w:rsidR="00613CA3" w:rsidRPr="00683AED">
        <w:t xml:space="preserve"> if</w:t>
      </w:r>
      <w:r w:rsidR="00613CA3" w:rsidRPr="00683AED" w:rsidDel="002F015A">
        <w:t xml:space="preserve"> </w:t>
      </w:r>
      <w:r w:rsidR="00613CA3" w:rsidRPr="00683AED">
        <w:t>data is not collected as required</w:t>
      </w:r>
      <w:r>
        <w:t>. This is due to</w:t>
      </w:r>
      <w:r w:rsidR="00613CA3" w:rsidRPr="00683AED">
        <w:t xml:space="preserve"> </w:t>
      </w:r>
      <w:r w:rsidR="003D40FD">
        <w:t>HTA advisory</w:t>
      </w:r>
      <w:r w:rsidR="003D40FD" w:rsidRPr="00683AED">
        <w:t xml:space="preserve"> </w:t>
      </w:r>
      <w:r w:rsidR="00613CA3" w:rsidRPr="00683AED">
        <w:t xml:space="preserve">committees </w:t>
      </w:r>
      <w:r>
        <w:t>being</w:t>
      </w:r>
      <w:r w:rsidR="00613CA3" w:rsidRPr="00683AED">
        <w:t xml:space="preserve"> limited in </w:t>
      </w:r>
      <w:r>
        <w:t>the</w:t>
      </w:r>
      <w:r w:rsidR="00613CA3" w:rsidRPr="00683AED">
        <w:t xml:space="preserve"> </w:t>
      </w:r>
      <w:bookmarkStart w:id="484" w:name="_Int_yllJEIZb"/>
      <w:r w:rsidR="00613CA3" w:rsidRPr="00683AED">
        <w:t>advice</w:t>
      </w:r>
      <w:bookmarkEnd w:id="484"/>
      <w:r w:rsidR="00613CA3" w:rsidRPr="00683AED">
        <w:t xml:space="preserve"> they can provide that would revise the cost-effectiveness of the treatment in the absence of complete, high</w:t>
      </w:r>
      <w:r>
        <w:t>-</w:t>
      </w:r>
      <w:r w:rsidR="00613CA3" w:rsidRPr="00683AED">
        <w:t xml:space="preserve">quality </w:t>
      </w:r>
      <w:r w:rsidR="002A21BB" w:rsidRPr="00683AED">
        <w:t>and timely</w:t>
      </w:r>
      <w:r w:rsidR="00613CA3" w:rsidRPr="00683AED">
        <w:t xml:space="preserve"> data.</w:t>
      </w:r>
      <w:r w:rsidR="00613CA3" w:rsidRPr="004076DF">
        <w:t xml:space="preserve"> </w:t>
      </w:r>
      <w:r w:rsidR="001346B3" w:rsidRPr="004076DF">
        <w:t xml:space="preserve">This is highlighted in the example for </w:t>
      </w:r>
      <w:proofErr w:type="spellStart"/>
      <w:r w:rsidR="000636F3" w:rsidRPr="004076DF">
        <w:t>tisagenlecleucel</w:t>
      </w:r>
      <w:proofErr w:type="spellEnd"/>
      <w:r>
        <w:t xml:space="preserve"> (TIS)</w:t>
      </w:r>
      <w:r w:rsidR="000636F3" w:rsidRPr="004076DF">
        <w:t>.</w:t>
      </w:r>
    </w:p>
    <w:p w14:paraId="27EB3C17" w14:textId="261292DA" w:rsidR="00613CA3" w:rsidRPr="004E09AA" w:rsidRDefault="005B2056" w:rsidP="00F21679">
      <w:r>
        <w:rPr>
          <w:noProof/>
        </w:rPr>
        <w:lastRenderedPageBreak/>
        <mc:AlternateContent>
          <mc:Choice Requires="wps">
            <w:drawing>
              <wp:inline distT="0" distB="0" distL="0" distR="0" wp14:anchorId="45516ECB" wp14:editId="346150FC">
                <wp:extent cx="5731510" cy="5284381"/>
                <wp:effectExtent l="0" t="0" r="2540" b="0"/>
                <wp:docPr id="680" name="Text Box 6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5284381"/>
                        </a:xfrm>
                        <a:prstGeom prst="rect">
                          <a:avLst/>
                        </a:prstGeom>
                        <a:solidFill>
                          <a:schemeClr val="bg1">
                            <a:lumMod val="95000"/>
                          </a:schemeClr>
                        </a:solidFill>
                        <a:ln>
                          <a:noFill/>
                          <a:headEnd/>
                          <a:tailEnd/>
                        </a:ln>
                      </wps:spPr>
                      <wps:style>
                        <a:lnRef idx="2">
                          <a:schemeClr val="accent5"/>
                        </a:lnRef>
                        <a:fillRef idx="1">
                          <a:schemeClr val="lt1"/>
                        </a:fillRef>
                        <a:effectRef idx="0">
                          <a:schemeClr val="accent5"/>
                        </a:effectRef>
                        <a:fontRef idx="minor">
                          <a:schemeClr val="dk1"/>
                        </a:fontRef>
                      </wps:style>
                      <wps:txbx>
                        <w:txbxContent>
                          <w:p w14:paraId="7D24A3AB" w14:textId="1A2E6690" w:rsidR="005B2056" w:rsidRPr="00BD34D3" w:rsidRDefault="005B2056" w:rsidP="00405FD7">
                            <w:pPr>
                              <w:pStyle w:val="Call-outbox"/>
                              <w:spacing w:after="240"/>
                              <w:rPr>
                                <w:b w:val="0"/>
                                <w:i w:val="0"/>
                                <w:color w:val="094767" w:themeColor="accent4" w:themeShade="80"/>
                              </w:rPr>
                            </w:pPr>
                            <w:r w:rsidRPr="00BD34D3">
                              <w:rPr>
                                <w:b w:val="0"/>
                                <w:i w:val="0"/>
                                <w:color w:val="0E6C9B"/>
                              </w:rPr>
                              <w:t>Chimeric antigen receptor T (CAR-T) cell therapy tisagenlecleucel</w:t>
                            </w:r>
                          </w:p>
                          <w:p w14:paraId="01A7C665" w14:textId="2CEA6D39" w:rsidR="005B2056" w:rsidRDefault="002F015A" w:rsidP="00F21679">
                            <w:pPr>
                              <w:spacing w:after="0"/>
                              <w:suppressOverlap/>
                            </w:pPr>
                            <w:r>
                              <w:t xml:space="preserve">The </w:t>
                            </w:r>
                            <w:r w:rsidR="005B2056">
                              <w:t>MSAC supported funding TIS in 2019 for treat</w:t>
                            </w:r>
                            <w:r w:rsidR="00083BE6">
                              <w:t>ing</w:t>
                            </w:r>
                            <w:r w:rsidR="005B2056">
                              <w:t xml:space="preserve"> acute lymphoblastic leukaemia </w:t>
                            </w:r>
                            <w:r w:rsidR="00BD4F76">
                              <w:t xml:space="preserve">(ALL) </w:t>
                            </w:r>
                            <w:r w:rsidR="005B2056">
                              <w:t xml:space="preserve">in </w:t>
                            </w:r>
                            <w:bookmarkStart w:id="485" w:name="_Hlk167621048"/>
                            <w:r w:rsidR="005B2056">
                              <w:t xml:space="preserve">paediatric and young adult patients (pALL) </w:t>
                            </w:r>
                            <w:bookmarkEnd w:id="485"/>
                            <w:r w:rsidR="005B2056">
                              <w:t>(</w:t>
                            </w:r>
                            <w:r w:rsidR="005B2056" w:rsidRPr="00690111">
                              <w:rPr>
                                <w:i/>
                                <w:iCs/>
                              </w:rPr>
                              <w:t>MSAC application 1748</w:t>
                            </w:r>
                            <w:r w:rsidR="005B2056">
                              <w:t>). Public funding was supported on the basis that clinical, economic and financial uncertainty would be resolved after it was funded th</w:t>
                            </w:r>
                            <w:r w:rsidR="00343B51">
                              <w:t>r</w:t>
                            </w:r>
                            <w:r w:rsidR="005B2056">
                              <w:t xml:space="preserve">ough: </w:t>
                            </w:r>
                          </w:p>
                          <w:p w14:paraId="1C72BA21" w14:textId="386CE425" w:rsidR="005B2056" w:rsidRDefault="00690111" w:rsidP="00281153">
                            <w:pPr>
                              <w:pStyle w:val="ListBullet"/>
                              <w:numPr>
                                <w:ilvl w:val="0"/>
                                <w:numId w:val="5"/>
                              </w:numPr>
                            </w:pPr>
                            <w:r>
                              <w:t>o</w:t>
                            </w:r>
                            <w:r w:rsidR="005B2056">
                              <w:t>ngoing data collection in a registry</w:t>
                            </w:r>
                          </w:p>
                          <w:p w14:paraId="785B489F" w14:textId="4479415F" w:rsidR="005B2056" w:rsidRDefault="00690111" w:rsidP="00281153">
                            <w:pPr>
                              <w:pStyle w:val="ListBullet"/>
                              <w:numPr>
                                <w:ilvl w:val="0"/>
                                <w:numId w:val="5"/>
                              </w:numPr>
                            </w:pPr>
                            <w:r>
                              <w:t>a</w:t>
                            </w:r>
                            <w:r w:rsidR="005B2056">
                              <w:t xml:space="preserve"> full review of clinical effectiveness, cost-effectiveness and budget impact</w:t>
                            </w:r>
                          </w:p>
                          <w:p w14:paraId="60FDEFC9" w14:textId="42B95A99" w:rsidR="005B2056" w:rsidRDefault="00690111" w:rsidP="00281153">
                            <w:pPr>
                              <w:pStyle w:val="ListBullet"/>
                              <w:numPr>
                                <w:ilvl w:val="0"/>
                                <w:numId w:val="5"/>
                              </w:numPr>
                            </w:pPr>
                            <w:r>
                              <w:t>a</w:t>
                            </w:r>
                            <w:r w:rsidR="005B2056">
                              <w:t xml:space="preserve"> pay for performance arrangement</w:t>
                            </w:r>
                          </w:p>
                          <w:p w14:paraId="08E4E989" w14:textId="5BD56FFB" w:rsidR="005B2056" w:rsidRDefault="00690111" w:rsidP="00281153">
                            <w:pPr>
                              <w:pStyle w:val="ListBullet"/>
                              <w:numPr>
                                <w:ilvl w:val="0"/>
                                <w:numId w:val="5"/>
                              </w:numPr>
                            </w:pPr>
                            <w:r>
                              <w:t>f</w:t>
                            </w:r>
                            <w:r w:rsidR="005B2056">
                              <w:t>inancial caps.</w:t>
                            </w:r>
                          </w:p>
                          <w:p w14:paraId="50DFD561" w14:textId="48136566" w:rsidR="005B2056" w:rsidRDefault="00690111" w:rsidP="00F21679">
                            <w:pPr>
                              <w:spacing w:after="200"/>
                              <w:suppressOverlap/>
                            </w:pPr>
                            <w:r>
                              <w:t>A</w:t>
                            </w:r>
                            <w:r w:rsidR="005B2056">
                              <w:t xml:space="preserve"> review </w:t>
                            </w:r>
                            <w:r>
                              <w:t xml:space="preserve">by the MSAC </w:t>
                            </w:r>
                            <w:r w:rsidR="005B2056">
                              <w:t>in July 2023</w:t>
                            </w:r>
                            <w:r w:rsidR="005B2056" w:rsidDel="00690111">
                              <w:t xml:space="preserve"> </w:t>
                            </w:r>
                            <w:r>
                              <w:t xml:space="preserve">found </w:t>
                            </w:r>
                            <w:r w:rsidR="005B2056">
                              <w:t xml:space="preserve">that the available evidence did not fully address the uncertainties that existed when it initially supported funding. Uncertainty </w:t>
                            </w:r>
                            <w:r>
                              <w:t xml:space="preserve">about </w:t>
                            </w:r>
                            <w:r w:rsidR="005B2056">
                              <w:t xml:space="preserve">clinical outcomes beyond 12 months was not resolved due to incomplete and inadequate data. </w:t>
                            </w:r>
                          </w:p>
                          <w:p w14:paraId="550C17B5" w14:textId="0B357B66" w:rsidR="005B2056" w:rsidRDefault="00690111" w:rsidP="00F21679">
                            <w:pPr>
                              <w:spacing w:after="0"/>
                            </w:pPr>
                            <w:r>
                              <w:t xml:space="preserve">The </w:t>
                            </w:r>
                            <w:r w:rsidR="005B2056" w:rsidRPr="00974B00">
                              <w:t xml:space="preserve">MSAC has </w:t>
                            </w:r>
                            <w:r w:rsidR="005B2056">
                              <w:t>since</w:t>
                            </w:r>
                            <w:r w:rsidR="005B2056" w:rsidRPr="00974B00">
                              <w:t xml:space="preserve"> provided new advice relati</w:t>
                            </w:r>
                            <w:r w:rsidR="005B2056">
                              <w:t>ng</w:t>
                            </w:r>
                            <w:r w:rsidR="005B2056" w:rsidRPr="00974B00">
                              <w:t xml:space="preserve"> to the purpose of reviews in the CAR</w:t>
                            </w:r>
                            <w:r w:rsidR="002F015A">
                              <w:noBreakHyphen/>
                            </w:r>
                            <w:r w:rsidR="005B2056" w:rsidRPr="00974B00">
                              <w:t>T cell therapy space</w:t>
                            </w:r>
                            <w:r w:rsidR="005B2056">
                              <w:t>. T</w:t>
                            </w:r>
                            <w:r w:rsidR="005B2056" w:rsidRPr="00974B00">
                              <w:t xml:space="preserve">he PSD for </w:t>
                            </w:r>
                            <w:r w:rsidR="005B2056" w:rsidRPr="00F136E3">
                              <w:rPr>
                                <w:i/>
                                <w:iCs/>
                              </w:rPr>
                              <w:t>MSAC application 1723.1</w:t>
                            </w:r>
                            <w:r w:rsidR="005B2056" w:rsidRPr="00974B00">
                              <w:t xml:space="preserve"> </w:t>
                            </w:r>
                            <w:r w:rsidR="005B2056">
                              <w:t>(b</w:t>
                            </w:r>
                            <w:r w:rsidR="005B2056" w:rsidRPr="00117E57">
                              <w:t>rexucabtagene</w:t>
                            </w:r>
                            <w:r w:rsidR="005B2056" w:rsidRPr="00097D95">
                              <w:t xml:space="preserve"> for </w:t>
                            </w:r>
                            <w:r w:rsidR="007E6F1D">
                              <w:t>relapsed</w:t>
                            </w:r>
                            <w:r w:rsidR="00D34AEF">
                              <w:t xml:space="preserve"> or refractory B</w:t>
                            </w:r>
                            <w:r w:rsidR="007E6F1D">
                              <w:t>-cell ALL (</w:t>
                            </w:r>
                            <w:r w:rsidR="005B2056" w:rsidRPr="00097D95">
                              <w:t>R/R B-ALL</w:t>
                            </w:r>
                            <w:r w:rsidR="005B2056">
                              <w:rPr>
                                <w:i/>
                                <w:iCs/>
                              </w:rPr>
                              <w:t>)</w:t>
                            </w:r>
                            <w:r w:rsidR="005B2056">
                              <w:t xml:space="preserve"> noted </w:t>
                            </w:r>
                            <w:r w:rsidR="005B2056" w:rsidRPr="00716CD1">
                              <w:t xml:space="preserve">challenges </w:t>
                            </w:r>
                            <w:r w:rsidR="005D1760" w:rsidRPr="00716CD1">
                              <w:t>conducting a cost-effectiveness review informed by registry data</w:t>
                            </w:r>
                            <w:r w:rsidR="005D1760">
                              <w:t xml:space="preserve"> to</w:t>
                            </w:r>
                            <w:r w:rsidR="005B2056" w:rsidRPr="00716CD1">
                              <w:t xml:space="preserve"> reduc</w:t>
                            </w:r>
                            <w:r w:rsidR="005D1760">
                              <w:t xml:space="preserve">e </w:t>
                            </w:r>
                            <w:r w:rsidR="005B2056" w:rsidRPr="00716CD1">
                              <w:t xml:space="preserve">the price of already funded therapies </w:t>
                            </w:r>
                            <w:r w:rsidR="005B2056">
                              <w:t>(a</w:t>
                            </w:r>
                            <w:r w:rsidR="005B2056" w:rsidRPr="00716CD1">
                              <w:t>s highlighted by the July 2023 review of TIS for pALL</w:t>
                            </w:r>
                            <w:r w:rsidR="005B2056">
                              <w:t xml:space="preserve">). It was </w:t>
                            </w:r>
                            <w:r w:rsidR="005B2056" w:rsidRPr="00716CD1">
                              <w:t>reiterated that the Commonwealth and jurisdiction</w:t>
                            </w:r>
                            <w:r w:rsidR="006A47DD">
                              <w:t xml:space="preserve">al </w:t>
                            </w:r>
                            <w:r w:rsidR="00C10649">
                              <w:t>g</w:t>
                            </w:r>
                            <w:r w:rsidR="006A47DD">
                              <w:t>overnments</w:t>
                            </w:r>
                            <w:r w:rsidR="005B2056" w:rsidRPr="00716CD1">
                              <w:t>, along with other relevant stakeholders,</w:t>
                            </w:r>
                            <w:r w:rsidR="005B2056">
                              <w:t xml:space="preserve"> need to </w:t>
                            </w:r>
                            <w:r w:rsidR="005B2056" w:rsidRPr="00716CD1">
                              <w:t xml:space="preserve">work together to determine the most appropriate data collection mechanism </w:t>
                            </w:r>
                            <w:r w:rsidR="005B2056">
                              <w:t>for</w:t>
                            </w:r>
                            <w:r w:rsidR="005B2056" w:rsidRPr="00716CD1">
                              <w:t xml:space="preserve"> HSTs.</w:t>
                            </w:r>
                          </w:p>
                        </w:txbxContent>
                      </wps:txbx>
                      <wps:bodyPr rot="0" vert="horz" wrap="square" lIns="91440" tIns="45720" rIns="91440" bIns="45720" anchor="t" anchorCtr="0">
                        <a:noAutofit/>
                      </wps:bodyPr>
                    </wps:wsp>
                  </a:graphicData>
                </a:graphic>
              </wp:inline>
            </w:drawing>
          </mc:Choice>
          <mc:Fallback>
            <w:pict>
              <v:shape w14:anchorId="45516ECB" id="Text Box 680" o:spid="_x0000_s1043" type="#_x0000_t202" style="width:451.3pt;height:416.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" fillcolor="#f2f2f2 [3052]" stroked="f" strokeweight="1pt">
                <v:textbox>
                  <w:txbxContent>
                    <w:p w14:paraId="7D24A3AB" w14:textId="1A2E6690" w:rsidR="005B2056" w:rsidRPr="00BD34D3" w:rsidRDefault="005B2056" w:rsidP="00405FD7">
                      <w:pPr>
                        <w:pStyle w:val="Call-outbox"/>
                        <w:spacing w:after="240"/>
                        <w:rPr>
                          <w:b w:val="0"/>
                          <w:i w:val="0"/>
                          <w:color w:val="094767" w:themeColor="accent4" w:themeShade="80"/>
                        </w:rPr>
                      </w:pPr>
                      <w:r w:rsidRPr="00BD34D3">
                        <w:rPr>
                          <w:b w:val="0"/>
                          <w:i w:val="0"/>
                          <w:color w:val="0E6C9B"/>
                        </w:rPr>
                        <w:t>Chimeric antigen receptor T (CAR-T) cell therapy tisagenlecleucel</w:t>
                      </w:r>
                    </w:p>
                    <w:p w14:paraId="01A7C665" w14:textId="2CEA6D39" w:rsidR="005B2056" w:rsidRDefault="002F015A" w:rsidP="00F21679">
                      <w:pPr>
                        <w:spacing w:after="0"/>
                        <w:suppressOverlap/>
                      </w:pPr>
                      <w:r>
                        <w:t xml:space="preserve">The </w:t>
                      </w:r>
                      <w:r w:rsidR="005B2056">
                        <w:t>MSAC supported funding TIS in 2019 for treat</w:t>
                      </w:r>
                      <w:r w:rsidR="00083BE6">
                        <w:t>ing</w:t>
                      </w:r>
                      <w:r w:rsidR="005B2056">
                        <w:t xml:space="preserve"> acute lymphoblastic leukaemia </w:t>
                      </w:r>
                      <w:r w:rsidR="00BD4F76">
                        <w:t xml:space="preserve">(ALL) </w:t>
                      </w:r>
                      <w:r w:rsidR="005B2056">
                        <w:t xml:space="preserve">in </w:t>
                      </w:r>
                      <w:bookmarkStart w:id="487" w:name="_Hlk167621048"/>
                      <w:r w:rsidR="005B2056">
                        <w:t xml:space="preserve">paediatric and young adult patients (pALL) </w:t>
                      </w:r>
                      <w:bookmarkEnd w:id="487"/>
                      <w:r w:rsidR="005B2056">
                        <w:t>(</w:t>
                      </w:r>
                      <w:r w:rsidR="005B2056" w:rsidRPr="00690111">
                        <w:rPr>
                          <w:i/>
                          <w:iCs/>
                        </w:rPr>
                        <w:t>MSAC application 1748</w:t>
                      </w:r>
                      <w:r w:rsidR="005B2056">
                        <w:t>). Public funding was supported on the basis that clinical, economic and financial uncertainty would be resolved after it was funded th</w:t>
                      </w:r>
                      <w:r w:rsidR="00343B51">
                        <w:t>r</w:t>
                      </w:r>
                      <w:r w:rsidR="005B2056">
                        <w:t xml:space="preserve">ough: </w:t>
                      </w:r>
                    </w:p>
                    <w:p w14:paraId="1C72BA21" w14:textId="386CE425" w:rsidR="005B2056" w:rsidRDefault="00690111" w:rsidP="00281153">
                      <w:pPr>
                        <w:pStyle w:val="ListBullet"/>
                        <w:numPr>
                          <w:ilvl w:val="0"/>
                          <w:numId w:val="5"/>
                        </w:numPr>
                      </w:pPr>
                      <w:r>
                        <w:t>o</w:t>
                      </w:r>
                      <w:r w:rsidR="005B2056">
                        <w:t>ngoing data collection in a registry</w:t>
                      </w:r>
                    </w:p>
                    <w:p w14:paraId="785B489F" w14:textId="4479415F" w:rsidR="005B2056" w:rsidRDefault="00690111" w:rsidP="00281153">
                      <w:pPr>
                        <w:pStyle w:val="ListBullet"/>
                        <w:numPr>
                          <w:ilvl w:val="0"/>
                          <w:numId w:val="5"/>
                        </w:numPr>
                      </w:pPr>
                      <w:r>
                        <w:t>a</w:t>
                      </w:r>
                      <w:r w:rsidR="005B2056">
                        <w:t xml:space="preserve"> full review of clinical effectiveness, cost-effectiveness and budget impact</w:t>
                      </w:r>
                    </w:p>
                    <w:p w14:paraId="60FDEFC9" w14:textId="42B95A99" w:rsidR="005B2056" w:rsidRDefault="00690111" w:rsidP="00281153">
                      <w:pPr>
                        <w:pStyle w:val="ListBullet"/>
                        <w:numPr>
                          <w:ilvl w:val="0"/>
                          <w:numId w:val="5"/>
                        </w:numPr>
                      </w:pPr>
                      <w:r>
                        <w:t>a</w:t>
                      </w:r>
                      <w:r w:rsidR="005B2056">
                        <w:t xml:space="preserve"> pay for performance arrangement</w:t>
                      </w:r>
                    </w:p>
                    <w:p w14:paraId="08E4E989" w14:textId="5BD56FFB" w:rsidR="005B2056" w:rsidRDefault="00690111" w:rsidP="00281153">
                      <w:pPr>
                        <w:pStyle w:val="ListBullet"/>
                        <w:numPr>
                          <w:ilvl w:val="0"/>
                          <w:numId w:val="5"/>
                        </w:numPr>
                      </w:pPr>
                      <w:r>
                        <w:t>f</w:t>
                      </w:r>
                      <w:r w:rsidR="005B2056">
                        <w:t>inancial caps.</w:t>
                      </w:r>
                    </w:p>
                    <w:p w14:paraId="50DFD561" w14:textId="48136566" w:rsidR="005B2056" w:rsidRDefault="00690111" w:rsidP="00F21679">
                      <w:pPr>
                        <w:spacing w:after="200"/>
                        <w:suppressOverlap/>
                      </w:pPr>
                      <w:r>
                        <w:t>A</w:t>
                      </w:r>
                      <w:r w:rsidR="005B2056">
                        <w:t xml:space="preserve"> review </w:t>
                      </w:r>
                      <w:r>
                        <w:t xml:space="preserve">by the MSAC </w:t>
                      </w:r>
                      <w:r w:rsidR="005B2056">
                        <w:t>in July 2023</w:t>
                      </w:r>
                      <w:r w:rsidR="005B2056" w:rsidDel="00690111">
                        <w:t xml:space="preserve"> </w:t>
                      </w:r>
                      <w:r>
                        <w:t xml:space="preserve">found </w:t>
                      </w:r>
                      <w:r w:rsidR="005B2056">
                        <w:t xml:space="preserve">that the available evidence did not fully address the uncertainties that existed when it initially supported funding. Uncertainty </w:t>
                      </w:r>
                      <w:r>
                        <w:t xml:space="preserve">about </w:t>
                      </w:r>
                      <w:r w:rsidR="005B2056">
                        <w:t xml:space="preserve">clinical outcomes beyond 12 months was not resolved due to incomplete and inadequate data. </w:t>
                      </w:r>
                    </w:p>
                    <w:p w14:paraId="550C17B5" w14:textId="0B357B66" w:rsidR="005B2056" w:rsidRDefault="00690111" w:rsidP="00F21679">
                      <w:pPr>
                        <w:spacing w:after="0"/>
                      </w:pPr>
                      <w:r>
                        <w:t xml:space="preserve">The </w:t>
                      </w:r>
                      <w:r w:rsidR="005B2056" w:rsidRPr="00974B00">
                        <w:t xml:space="preserve">MSAC has </w:t>
                      </w:r>
                      <w:r w:rsidR="005B2056">
                        <w:t>since</w:t>
                      </w:r>
                      <w:r w:rsidR="005B2056" w:rsidRPr="00974B00">
                        <w:t xml:space="preserve"> provided new advice relati</w:t>
                      </w:r>
                      <w:r w:rsidR="005B2056">
                        <w:t>ng</w:t>
                      </w:r>
                      <w:r w:rsidR="005B2056" w:rsidRPr="00974B00">
                        <w:t xml:space="preserve"> to the purpose of reviews in the CAR</w:t>
                      </w:r>
                      <w:r w:rsidR="002F015A">
                        <w:noBreakHyphen/>
                      </w:r>
                      <w:r w:rsidR="005B2056" w:rsidRPr="00974B00">
                        <w:t>T cell therapy space</w:t>
                      </w:r>
                      <w:r w:rsidR="005B2056">
                        <w:t>. T</w:t>
                      </w:r>
                      <w:r w:rsidR="005B2056" w:rsidRPr="00974B00">
                        <w:t xml:space="preserve">he PSD for </w:t>
                      </w:r>
                      <w:r w:rsidR="005B2056" w:rsidRPr="00F136E3">
                        <w:rPr>
                          <w:i/>
                          <w:iCs/>
                        </w:rPr>
                        <w:t>MSAC application 1723.1</w:t>
                      </w:r>
                      <w:r w:rsidR="005B2056" w:rsidRPr="00974B00">
                        <w:t xml:space="preserve"> </w:t>
                      </w:r>
                      <w:r w:rsidR="005B2056">
                        <w:t>(b</w:t>
                      </w:r>
                      <w:r w:rsidR="005B2056" w:rsidRPr="00117E57">
                        <w:t>rexucabtagene</w:t>
                      </w:r>
                      <w:r w:rsidR="005B2056" w:rsidRPr="00097D95">
                        <w:t xml:space="preserve"> for </w:t>
                      </w:r>
                      <w:r w:rsidR="007E6F1D">
                        <w:t>relapsed</w:t>
                      </w:r>
                      <w:r w:rsidR="00D34AEF">
                        <w:t xml:space="preserve"> or refractory B</w:t>
                      </w:r>
                      <w:r w:rsidR="007E6F1D">
                        <w:t>-cell ALL (</w:t>
                      </w:r>
                      <w:r w:rsidR="005B2056" w:rsidRPr="00097D95">
                        <w:t>R/R B-ALL</w:t>
                      </w:r>
                      <w:r w:rsidR="005B2056">
                        <w:rPr>
                          <w:i/>
                          <w:iCs/>
                        </w:rPr>
                        <w:t>)</w:t>
                      </w:r>
                      <w:r w:rsidR="005B2056">
                        <w:t xml:space="preserve"> noted </w:t>
                      </w:r>
                      <w:r w:rsidR="005B2056" w:rsidRPr="00716CD1">
                        <w:t xml:space="preserve">challenges </w:t>
                      </w:r>
                      <w:r w:rsidR="005D1760" w:rsidRPr="00716CD1">
                        <w:t>conducting a cost-effectiveness review informed by registry data</w:t>
                      </w:r>
                      <w:r w:rsidR="005D1760">
                        <w:t xml:space="preserve"> to</w:t>
                      </w:r>
                      <w:r w:rsidR="005B2056" w:rsidRPr="00716CD1">
                        <w:t xml:space="preserve"> reduc</w:t>
                      </w:r>
                      <w:r w:rsidR="005D1760">
                        <w:t xml:space="preserve">e </w:t>
                      </w:r>
                      <w:r w:rsidR="005B2056" w:rsidRPr="00716CD1">
                        <w:t xml:space="preserve">the price of already funded therapies </w:t>
                      </w:r>
                      <w:r w:rsidR="005B2056">
                        <w:t>(a</w:t>
                      </w:r>
                      <w:r w:rsidR="005B2056" w:rsidRPr="00716CD1">
                        <w:t>s highlighted by the July 2023 review of TIS for pALL</w:t>
                      </w:r>
                      <w:r w:rsidR="005B2056">
                        <w:t xml:space="preserve">). It was </w:t>
                      </w:r>
                      <w:r w:rsidR="005B2056" w:rsidRPr="00716CD1">
                        <w:t>reiterated that the Commonwealth and jurisdiction</w:t>
                      </w:r>
                      <w:r w:rsidR="006A47DD">
                        <w:t xml:space="preserve">al </w:t>
                      </w:r>
                      <w:r w:rsidR="00C10649">
                        <w:t>g</w:t>
                      </w:r>
                      <w:r w:rsidR="006A47DD">
                        <w:t>overnments</w:t>
                      </w:r>
                      <w:r w:rsidR="005B2056" w:rsidRPr="00716CD1">
                        <w:t>, along with other relevant stakeholders,</w:t>
                      </w:r>
                      <w:r w:rsidR="005B2056">
                        <w:t xml:space="preserve"> need to </w:t>
                      </w:r>
                      <w:r w:rsidR="005B2056" w:rsidRPr="00716CD1">
                        <w:t xml:space="preserve">work together to determine the most appropriate data collection mechanism </w:t>
                      </w:r>
                      <w:r w:rsidR="005B2056">
                        <w:t>for</w:t>
                      </w:r>
                      <w:r w:rsidR="005B2056" w:rsidRPr="00716CD1">
                        <w:t xml:space="preserve"> HSTs.</w:t>
                      </w:r>
                    </w:p>
                  </w:txbxContent>
                </v:textbox>
                <w10:anchorlock/>
              </v:shape>
            </w:pict>
          </mc:Fallback>
        </mc:AlternateContent>
      </w:r>
    </w:p>
    <w:p w14:paraId="066D12CE" w14:textId="440A134A" w:rsidR="00613CA3" w:rsidRPr="008F3DDB" w:rsidRDefault="00613CA3" w:rsidP="00F21679">
      <w:pPr>
        <w:pStyle w:val="Heading5"/>
        <w:rPr>
          <w:color w:val="005A68" w:themeColor="accent6" w:themeShade="80"/>
        </w:rPr>
      </w:pPr>
      <w:r w:rsidRPr="0019054D">
        <w:t>Quality and completeness of</w:t>
      </w:r>
      <w:r w:rsidR="005B7CFC">
        <w:t xml:space="preserve"> real-world evidence</w:t>
      </w:r>
      <w:r w:rsidRPr="0019054D">
        <w:t xml:space="preserve"> and application </w:t>
      </w:r>
      <w:r w:rsidR="001848EC">
        <w:t>for</w:t>
      </w:r>
      <w:r w:rsidRPr="008F3DDB">
        <w:rPr>
          <w:color w:val="005A68" w:themeColor="accent6" w:themeShade="80"/>
        </w:rPr>
        <w:t xml:space="preserve"> HTA</w:t>
      </w:r>
      <w:r w:rsidR="001848EC">
        <w:rPr>
          <w:color w:val="005A68" w:themeColor="accent6" w:themeShade="80"/>
        </w:rPr>
        <w:t>s</w:t>
      </w:r>
    </w:p>
    <w:p w14:paraId="21771126" w14:textId="5192C3F1" w:rsidR="00613CA3" w:rsidRDefault="00613CA3" w:rsidP="00F21679">
      <w:pPr>
        <w:rPr>
          <w:rFonts w:cs="Segoe UI"/>
        </w:rPr>
      </w:pPr>
      <w:r>
        <w:t>While</w:t>
      </w:r>
      <w:r w:rsidDel="001848EC">
        <w:t xml:space="preserve"> </w:t>
      </w:r>
      <w:r>
        <w:t>recent interest in RWE has resulted in several frameworks and guidance documents describing practices for its collection and evaluation, definitive guidance is undermined by a lack of a narrow or clear definition of RWE as it applies to HTA</w:t>
      </w:r>
      <w:r w:rsidR="001848EC">
        <w:t>s</w:t>
      </w:r>
      <w:r w:rsidR="00654E54">
        <w:t>.</w:t>
      </w:r>
      <w:r w:rsidR="001848EC">
        <w:rPr>
          <w:rStyle w:val="FootnoteReference"/>
        </w:rPr>
        <w:footnoteReference w:id="150"/>
      </w:r>
    </w:p>
    <w:p w14:paraId="6FD9AE00" w14:textId="22CD4EFF" w:rsidR="00613CA3" w:rsidRDefault="00613CA3" w:rsidP="00F21679">
      <w:r w:rsidRPr="00EF4D47">
        <w:t xml:space="preserve">As </w:t>
      </w:r>
      <w:r w:rsidRPr="00734ECC">
        <w:t xml:space="preserve">discussed in </w:t>
      </w:r>
      <w:r w:rsidR="003D40FD">
        <w:t>C</w:t>
      </w:r>
      <w:r w:rsidRPr="00734ECC">
        <w:t xml:space="preserve">hapter </w:t>
      </w:r>
      <w:r w:rsidR="00B22849" w:rsidRPr="00734ECC">
        <w:t>8</w:t>
      </w:r>
      <w:r w:rsidRPr="0019054D">
        <w:t>.</w:t>
      </w:r>
      <w:r w:rsidR="009E469A">
        <w:t>3</w:t>
      </w:r>
      <w:r w:rsidRPr="00734ECC">
        <w:t xml:space="preserve">, </w:t>
      </w:r>
      <w:r w:rsidR="001829C5">
        <w:t xml:space="preserve">the use of inappropriate statistical methods and </w:t>
      </w:r>
      <w:r w:rsidRPr="00734ECC">
        <w:t>uncertainty</w:t>
      </w:r>
      <w:r w:rsidRPr="000212F8">
        <w:t xml:space="preserve"> in the robustness of RWE, and related inadequate methodological transparency and RWE reproducibility, remain a major barrier to </w:t>
      </w:r>
      <w:r w:rsidR="001848EC">
        <w:t>using</w:t>
      </w:r>
      <w:r w:rsidRPr="000212F8">
        <w:t xml:space="preserve"> RWE. </w:t>
      </w:r>
      <w:r>
        <w:t xml:space="preserve">This </w:t>
      </w:r>
      <w:r w:rsidR="001829C5">
        <w:t>barrier</w:t>
      </w:r>
      <w:r>
        <w:t xml:space="preserve"> can limit </w:t>
      </w:r>
      <w:r w:rsidR="001848EC">
        <w:t>the ability to resolve</w:t>
      </w:r>
      <w:r>
        <w:t xml:space="preserve"> uncertainty arising from RCT evidence, which can </w:t>
      </w:r>
      <w:r w:rsidR="00281484">
        <w:t xml:space="preserve">involve </w:t>
      </w:r>
      <w:r>
        <w:t xml:space="preserve">disproportionately small populations and </w:t>
      </w:r>
      <w:r w:rsidR="00C06D6B">
        <w:t xml:space="preserve">lack generalisability </w:t>
      </w:r>
      <w:r w:rsidR="00CF2D6A">
        <w:t xml:space="preserve">to </w:t>
      </w:r>
      <w:r w:rsidR="00132D78">
        <w:t>the intended treat</w:t>
      </w:r>
      <w:r w:rsidR="00995CE5">
        <w:t>ment</w:t>
      </w:r>
      <w:r w:rsidR="00132D78">
        <w:t xml:space="preserve"> populations</w:t>
      </w:r>
      <w:r w:rsidR="00C62F29">
        <w:t>.</w:t>
      </w:r>
    </w:p>
    <w:p w14:paraId="4E2F2D23" w14:textId="373B97A6" w:rsidR="003D40FD" w:rsidRDefault="001848EC" w:rsidP="00F21679">
      <w:r>
        <w:t>D</w:t>
      </w:r>
      <w:r w:rsidR="00613CA3" w:rsidRPr="000212F8">
        <w:t xml:space="preserve">ata-related barriers </w:t>
      </w:r>
      <w:bookmarkStart w:id="486" w:name="_Int_fHSa4dU9"/>
      <w:r w:rsidR="00613CA3" w:rsidRPr="000212F8">
        <w:t>include</w:t>
      </w:r>
      <w:r w:rsidR="000955DD">
        <w:t>:</w:t>
      </w:r>
      <w:bookmarkEnd w:id="486"/>
      <w:r w:rsidR="00613CA3" w:rsidRPr="000212F8">
        <w:t xml:space="preserve"> </w:t>
      </w:r>
    </w:p>
    <w:p w14:paraId="516380B6" w14:textId="7D3168CC" w:rsidR="003D40FD" w:rsidRPr="003D40FD" w:rsidRDefault="00613CA3" w:rsidP="00281153">
      <w:pPr>
        <w:pStyle w:val="ListBullet"/>
        <w:numPr>
          <w:ilvl w:val="0"/>
          <w:numId w:val="78"/>
        </w:numPr>
        <w:rPr>
          <w:color w:val="000000" w:themeColor="text1"/>
        </w:rPr>
      </w:pPr>
      <w:r w:rsidRPr="000212F8">
        <w:t xml:space="preserve">inadequate information about </w:t>
      </w:r>
      <w:r w:rsidR="00E4366A">
        <w:t>the</w:t>
      </w:r>
      <w:r w:rsidR="001B6078">
        <w:t xml:space="preserve"> </w:t>
      </w:r>
      <w:r w:rsidRPr="000212F8">
        <w:t xml:space="preserve">RWD </w:t>
      </w:r>
      <w:r w:rsidR="004F5713">
        <w:t>to fully assess its suitability in terms of</w:t>
      </w:r>
      <w:r w:rsidRPr="000212F8">
        <w:t xml:space="preserve"> representativeness and utility</w:t>
      </w:r>
    </w:p>
    <w:p w14:paraId="23FA2022" w14:textId="043587CF" w:rsidR="003D40FD" w:rsidRPr="003D40FD" w:rsidRDefault="00580189" w:rsidP="00281153">
      <w:pPr>
        <w:pStyle w:val="ListBullet"/>
        <w:numPr>
          <w:ilvl w:val="0"/>
          <w:numId w:val="78"/>
        </w:numPr>
        <w:rPr>
          <w:color w:val="000000" w:themeColor="text1"/>
        </w:rPr>
      </w:pPr>
      <w:r>
        <w:lastRenderedPageBreak/>
        <w:t>deficiencies in terms of data quality</w:t>
      </w:r>
      <w:r w:rsidR="00613CA3" w:rsidRPr="000212F8">
        <w:t xml:space="preserve"> </w:t>
      </w:r>
    </w:p>
    <w:p w14:paraId="0CF535FB" w14:textId="395C44AF" w:rsidR="00613CA3" w:rsidRPr="000212F8" w:rsidRDefault="00613CA3" w:rsidP="00281153">
      <w:pPr>
        <w:pStyle w:val="ListBullet"/>
        <w:numPr>
          <w:ilvl w:val="0"/>
          <w:numId w:val="78"/>
        </w:numPr>
      </w:pPr>
      <w:r w:rsidRPr="000212F8">
        <w:t>inadequate standardisation</w:t>
      </w:r>
      <w:r w:rsidR="00D70768">
        <w:t xml:space="preserve"> to allow </w:t>
      </w:r>
      <w:r w:rsidR="00B9265E">
        <w:t xml:space="preserve">comparison or </w:t>
      </w:r>
      <w:r w:rsidR="00D70768">
        <w:t xml:space="preserve">integration </w:t>
      </w:r>
      <w:r w:rsidR="001B24AF">
        <w:t>with other sources</w:t>
      </w:r>
      <w:r w:rsidR="00B9265E">
        <w:t>.</w:t>
      </w:r>
      <w:r w:rsidRPr="000212F8">
        <w:t xml:space="preserve"> For example, RWD gaps prevent the accurate identification of cohorts with ultra-rare diseases and the generation of robust historical comparator groups.</w:t>
      </w:r>
    </w:p>
    <w:p w14:paraId="36249AF4" w14:textId="23C3C252" w:rsidR="00613CA3" w:rsidRPr="00E27B3C" w:rsidRDefault="00613CA3" w:rsidP="00F21679">
      <w:pPr>
        <w:rPr>
          <w:color w:val="000000" w:themeColor="text1"/>
        </w:rPr>
      </w:pPr>
      <w:r w:rsidRPr="00417ECF">
        <w:rPr>
          <w:color w:val="000000" w:themeColor="text1"/>
        </w:rPr>
        <w:t>The quality of RWE</w:t>
      </w:r>
      <w:r w:rsidR="00D07743">
        <w:rPr>
          <w:rFonts w:eastAsia="Arial"/>
          <w:color w:val="000000" w:themeColor="text1"/>
        </w:rPr>
        <w:t xml:space="preserve"> </w:t>
      </w:r>
      <w:r w:rsidRPr="00417ECF">
        <w:rPr>
          <w:color w:val="000000" w:themeColor="text1"/>
        </w:rPr>
        <w:t xml:space="preserve">is multifactorial: it relies on the quality of the underlying data (provenance, reliability and </w:t>
      </w:r>
      <w:r w:rsidR="00820D1C">
        <w:rPr>
          <w:color w:val="000000" w:themeColor="text1"/>
        </w:rPr>
        <w:t>completeness</w:t>
      </w:r>
      <w:r w:rsidRPr="00417ECF">
        <w:rPr>
          <w:color w:val="000000" w:themeColor="text1"/>
        </w:rPr>
        <w:t>), the quality of the methods used to analyse the data (appropriate study design and analytic methods to control for bias) and the quality of the question itself (data fit</w:t>
      </w:r>
      <w:r w:rsidR="00741284">
        <w:rPr>
          <w:color w:val="000000" w:themeColor="text1"/>
        </w:rPr>
        <w:t>-</w:t>
      </w:r>
      <w:r w:rsidRPr="00417ECF">
        <w:rPr>
          <w:color w:val="000000" w:themeColor="text1"/>
        </w:rPr>
        <w:t>for</w:t>
      </w:r>
      <w:r w:rsidR="00741284">
        <w:rPr>
          <w:color w:val="000000" w:themeColor="text1"/>
        </w:rPr>
        <w:t>-</w:t>
      </w:r>
      <w:r w:rsidRPr="00417ECF">
        <w:rPr>
          <w:color w:val="000000" w:themeColor="text1"/>
        </w:rPr>
        <w:t>purpose to address the question)</w:t>
      </w:r>
      <w:r w:rsidR="00A55319">
        <w:rPr>
          <w:color w:val="000000" w:themeColor="text1"/>
        </w:rPr>
        <w:t>.</w:t>
      </w:r>
      <w:r w:rsidR="00A55319" w:rsidRPr="00417ECF">
        <w:rPr>
          <w:color w:val="000000" w:themeColor="text1"/>
        </w:rPr>
        <w:t xml:space="preserve"> </w:t>
      </w:r>
      <w:r w:rsidRPr="00417ECF">
        <w:rPr>
          <w:color w:val="000000" w:themeColor="text1"/>
        </w:rPr>
        <w:t>Issues relating to data quality may be considered in terms of relevance (availability</w:t>
      </w:r>
      <w:r w:rsidR="001848EC">
        <w:rPr>
          <w:color w:val="000000" w:themeColor="text1"/>
        </w:rPr>
        <w:t xml:space="preserve"> and</w:t>
      </w:r>
      <w:r w:rsidRPr="00417ECF">
        <w:rPr>
          <w:color w:val="000000" w:themeColor="text1"/>
        </w:rPr>
        <w:t xml:space="preserve"> </w:t>
      </w:r>
      <w:r w:rsidRPr="00E27B3C">
        <w:rPr>
          <w:color w:val="000000" w:themeColor="text1"/>
        </w:rPr>
        <w:t>representativeness) and reliability (accuracy</w:t>
      </w:r>
      <w:r w:rsidR="001848EC">
        <w:rPr>
          <w:color w:val="000000" w:themeColor="text1"/>
        </w:rPr>
        <w:t xml:space="preserve"> and</w:t>
      </w:r>
      <w:r w:rsidRPr="00E27B3C">
        <w:rPr>
          <w:color w:val="000000" w:themeColor="text1"/>
        </w:rPr>
        <w:t xml:space="preserve"> completeness). </w:t>
      </w:r>
    </w:p>
    <w:p w14:paraId="35594208" w14:textId="1E3A3547" w:rsidR="00613CA3" w:rsidRPr="008F3DDB" w:rsidRDefault="00613CA3" w:rsidP="00F21679">
      <w:pPr>
        <w:pStyle w:val="Heading5"/>
        <w:rPr>
          <w:color w:val="005A68" w:themeColor="accent6" w:themeShade="80"/>
        </w:rPr>
      </w:pPr>
      <w:r w:rsidRPr="0019054D">
        <w:t>Absen</w:t>
      </w:r>
      <w:r w:rsidRPr="008F3DDB">
        <w:rPr>
          <w:color w:val="005A68" w:themeColor="accent6" w:themeShade="80"/>
        </w:rPr>
        <w:t xml:space="preserve">ce of a coordinated national approach to collecting </w:t>
      </w:r>
      <w:r w:rsidR="00955058">
        <w:rPr>
          <w:color w:val="005A68" w:themeColor="accent6" w:themeShade="80"/>
        </w:rPr>
        <w:t>real-world data</w:t>
      </w:r>
      <w:r w:rsidR="00955058" w:rsidRPr="008F3DDB">
        <w:rPr>
          <w:color w:val="005A68" w:themeColor="accent6" w:themeShade="80"/>
        </w:rPr>
        <w:t xml:space="preserve"> </w:t>
      </w:r>
      <w:r w:rsidRPr="008F3DDB">
        <w:rPr>
          <w:color w:val="005A68" w:themeColor="accent6" w:themeShade="80"/>
        </w:rPr>
        <w:t>on health outcomes</w:t>
      </w:r>
    </w:p>
    <w:p w14:paraId="3C46FA02" w14:textId="280287FA" w:rsidR="00613CA3" w:rsidRPr="00E27B3C" w:rsidRDefault="001848EC" w:rsidP="00F21679">
      <w:r>
        <w:t>A</w:t>
      </w:r>
      <w:r w:rsidR="00613CA3" w:rsidRPr="00D602CF">
        <w:t xml:space="preserve"> barrier to implementing </w:t>
      </w:r>
      <w:r w:rsidR="00DD050D" w:rsidRPr="00D602CF">
        <w:t>MEA-type</w:t>
      </w:r>
      <w:r w:rsidR="00515FF6" w:rsidRPr="00D602CF">
        <w:t xml:space="preserve"> </w:t>
      </w:r>
      <w:r w:rsidR="00613CA3" w:rsidRPr="00D602CF">
        <w:t xml:space="preserve">approaches is the absence of interconnected data infrastructure and standards that would enable health outcomes data to be collected </w:t>
      </w:r>
      <w:r w:rsidR="009465A0">
        <w:t xml:space="preserve">and </w:t>
      </w:r>
      <w:r w:rsidR="00FC6332">
        <w:t>reported</w:t>
      </w:r>
      <w:r w:rsidR="009465A0">
        <w:t xml:space="preserve"> </w:t>
      </w:r>
      <w:r w:rsidR="00613CA3" w:rsidRPr="00D602CF">
        <w:t xml:space="preserve">in a way that supports </w:t>
      </w:r>
      <w:r w:rsidR="00C92BCA" w:rsidRPr="00D602CF">
        <w:t xml:space="preserve">the </w:t>
      </w:r>
      <w:r w:rsidR="00613CA3" w:rsidRPr="00D602CF">
        <w:t xml:space="preserve">assessment of clinical </w:t>
      </w:r>
      <w:r w:rsidR="00BB34D8">
        <w:t xml:space="preserve">effectiveness </w:t>
      </w:r>
      <w:r w:rsidR="00613CA3" w:rsidRPr="00D602CF">
        <w:t>and cost-effectiveness.</w:t>
      </w:r>
      <w:r w:rsidR="0036405D">
        <w:t xml:space="preserve"> The</w:t>
      </w:r>
      <w:r w:rsidR="00CC085A">
        <w:t>se data</w:t>
      </w:r>
      <w:r w:rsidR="0036405D">
        <w:t xml:space="preserve"> </w:t>
      </w:r>
      <w:r w:rsidR="00B21316">
        <w:t xml:space="preserve">challenges </w:t>
      </w:r>
      <w:r w:rsidR="00F0600B">
        <w:t xml:space="preserve">also limit </w:t>
      </w:r>
      <w:r w:rsidR="0064449C">
        <w:t xml:space="preserve">the ability to </w:t>
      </w:r>
      <w:r w:rsidR="00C951D8">
        <w:t>conduct timely</w:t>
      </w:r>
      <w:r w:rsidR="009C5603">
        <w:t>, meaningful</w:t>
      </w:r>
      <w:r w:rsidR="00C951D8">
        <w:t xml:space="preserve"> </w:t>
      </w:r>
      <w:r w:rsidR="008672DA">
        <w:t xml:space="preserve">PMR for some </w:t>
      </w:r>
      <w:r w:rsidR="007C7B33">
        <w:t>therapies or groups</w:t>
      </w:r>
      <w:r w:rsidR="00AB7595">
        <w:t>.</w:t>
      </w:r>
    </w:p>
    <w:p w14:paraId="09F1F50C" w14:textId="0427408A" w:rsidR="00613CA3" w:rsidRPr="00831CDF" w:rsidRDefault="00613CA3" w:rsidP="00F21679">
      <w:pPr>
        <w:spacing w:line="240" w:lineRule="auto"/>
        <w:textAlignment w:val="baseline"/>
        <w:rPr>
          <w:rFonts w:eastAsia="Times New Roman" w:cs="Segoe UI"/>
          <w:lang w:eastAsia="en-AU"/>
        </w:rPr>
      </w:pPr>
      <w:r w:rsidRPr="001E08D0">
        <w:rPr>
          <w:rFonts w:eastAsia="Times New Roman" w:cs="Segoe UI"/>
          <w:lang w:eastAsia="en-AU"/>
        </w:rPr>
        <w:t xml:space="preserve">Although </w:t>
      </w:r>
      <w:r w:rsidR="001848EC" w:rsidRPr="001E08D0">
        <w:rPr>
          <w:rFonts w:eastAsia="Times New Roman" w:cs="Segoe UI"/>
          <w:lang w:eastAsia="en-AU"/>
        </w:rPr>
        <w:t xml:space="preserve">some jurisdictions </w:t>
      </w:r>
      <w:r w:rsidR="001848EC">
        <w:rPr>
          <w:rFonts w:eastAsia="Times New Roman" w:cs="Segoe UI"/>
          <w:lang w:eastAsia="en-AU"/>
        </w:rPr>
        <w:t xml:space="preserve">have </w:t>
      </w:r>
      <w:r w:rsidRPr="001E08D0">
        <w:rPr>
          <w:rFonts w:eastAsia="Times New Roman" w:cs="Segoe UI"/>
          <w:lang w:eastAsia="en-AU"/>
        </w:rPr>
        <w:t xml:space="preserve">approaches for collecting health outcomes data and/or </w:t>
      </w:r>
      <w:r w:rsidR="001848EC">
        <w:rPr>
          <w:rFonts w:eastAsia="Times New Roman" w:cs="Segoe UI"/>
          <w:lang w:eastAsia="en-AU"/>
        </w:rPr>
        <w:t xml:space="preserve">data </w:t>
      </w:r>
      <w:r w:rsidRPr="001E08D0">
        <w:rPr>
          <w:rFonts w:eastAsia="Times New Roman" w:cs="Segoe UI"/>
          <w:lang w:eastAsia="en-AU"/>
        </w:rPr>
        <w:t xml:space="preserve">for some disease or health technologies, often </w:t>
      </w:r>
      <w:r w:rsidR="001848EC" w:rsidRPr="001E08D0">
        <w:rPr>
          <w:rFonts w:eastAsia="Times New Roman" w:cs="Segoe UI"/>
          <w:lang w:eastAsia="en-AU"/>
        </w:rPr>
        <w:t xml:space="preserve">these are </w:t>
      </w:r>
      <w:r w:rsidRPr="001E08D0">
        <w:rPr>
          <w:rFonts w:eastAsia="Times New Roman" w:cs="Segoe UI"/>
          <w:lang w:eastAsia="en-AU"/>
        </w:rPr>
        <w:t>not coordinated or standardised</w:t>
      </w:r>
      <w:r w:rsidR="00DB6A85" w:rsidRPr="001E08D0">
        <w:rPr>
          <w:rFonts w:eastAsia="Times New Roman" w:cs="Segoe UI"/>
          <w:lang w:eastAsia="en-AU"/>
        </w:rPr>
        <w:t>. The data</w:t>
      </w:r>
      <w:r w:rsidRPr="001E08D0">
        <w:rPr>
          <w:rFonts w:eastAsia="Times New Roman" w:cs="Segoe UI"/>
          <w:lang w:eastAsia="en-AU"/>
        </w:rPr>
        <w:t xml:space="preserve"> may not be configured in a way that would enable questions about clinical</w:t>
      </w:r>
      <w:r w:rsidR="00BB34D8">
        <w:rPr>
          <w:rFonts w:eastAsia="Times New Roman" w:cs="Segoe UI"/>
          <w:lang w:eastAsia="en-AU"/>
        </w:rPr>
        <w:t xml:space="preserve"> effectiveness</w:t>
      </w:r>
      <w:r w:rsidRPr="001E08D0">
        <w:rPr>
          <w:rFonts w:eastAsia="Times New Roman" w:cs="Segoe UI"/>
          <w:lang w:eastAsia="en-AU"/>
        </w:rPr>
        <w:t xml:space="preserve"> and cost-effectiveness to be answered</w:t>
      </w:r>
      <w:r w:rsidR="006930C1" w:rsidRPr="001E08D0">
        <w:rPr>
          <w:rFonts w:eastAsia="Times New Roman" w:cs="Segoe UI"/>
          <w:lang w:eastAsia="en-AU"/>
        </w:rPr>
        <w:t>. Further,</w:t>
      </w:r>
      <w:r w:rsidRPr="001E08D0" w:rsidDel="001848EC">
        <w:rPr>
          <w:rFonts w:eastAsia="Times New Roman" w:cs="Segoe UI"/>
          <w:lang w:eastAsia="en-AU"/>
        </w:rPr>
        <w:t xml:space="preserve"> </w:t>
      </w:r>
      <w:r w:rsidRPr="001E08D0">
        <w:rPr>
          <w:rFonts w:eastAsia="Times New Roman" w:cs="Segoe UI"/>
          <w:lang w:eastAsia="en-AU"/>
        </w:rPr>
        <w:t>timely access to, and sharing of</w:t>
      </w:r>
      <w:r w:rsidR="001848EC">
        <w:rPr>
          <w:rFonts w:eastAsia="Times New Roman" w:cs="Segoe UI"/>
          <w:lang w:eastAsia="en-AU"/>
        </w:rPr>
        <w:t>,</w:t>
      </w:r>
      <w:r w:rsidRPr="001E08D0">
        <w:rPr>
          <w:rFonts w:eastAsia="Times New Roman" w:cs="Segoe UI"/>
          <w:lang w:eastAsia="en-AU"/>
        </w:rPr>
        <w:t xml:space="preserve"> data can be challenging due to limited resourcing and infrastructure, legislative issues, privacy and security concerns, and other </w:t>
      </w:r>
      <w:r w:rsidRPr="001E08D0">
        <w:t>administrative issues</w:t>
      </w:r>
      <w:r w:rsidRPr="00E27B3C">
        <w:t>.</w:t>
      </w:r>
    </w:p>
    <w:p w14:paraId="22528A6E" w14:textId="2DDA00AF" w:rsidR="00613CA3" w:rsidRPr="0019054D" w:rsidRDefault="00613CA3" w:rsidP="00F21679">
      <w:pPr>
        <w:pStyle w:val="Heading5"/>
        <w:rPr>
          <w:color w:val="005A68" w:themeColor="accent6" w:themeShade="80"/>
        </w:rPr>
      </w:pPr>
      <w:r w:rsidRPr="00F14476">
        <w:t xml:space="preserve">Legal </w:t>
      </w:r>
      <w:r w:rsidR="00A0552B" w:rsidRPr="00F14476">
        <w:rPr>
          <w:color w:val="005A68" w:themeColor="accent6" w:themeShade="80"/>
        </w:rPr>
        <w:t>considerations</w:t>
      </w:r>
      <w:r w:rsidRPr="0019054D">
        <w:rPr>
          <w:color w:val="005A68" w:themeColor="accent6" w:themeShade="80"/>
        </w:rPr>
        <w:t xml:space="preserve"> </w:t>
      </w:r>
      <w:r w:rsidR="00A0552B" w:rsidRPr="0019054D">
        <w:rPr>
          <w:color w:val="005A68" w:themeColor="accent6" w:themeShade="80"/>
        </w:rPr>
        <w:t>for</w:t>
      </w:r>
      <w:r w:rsidRPr="0019054D">
        <w:rPr>
          <w:color w:val="005A68" w:themeColor="accent6" w:themeShade="80"/>
        </w:rPr>
        <w:t xml:space="preserve"> </w:t>
      </w:r>
      <w:r w:rsidR="001848EC">
        <w:rPr>
          <w:color w:val="005A68" w:themeColor="accent6" w:themeShade="80"/>
        </w:rPr>
        <w:t xml:space="preserve">curating and sharing </w:t>
      </w:r>
      <w:r w:rsidRPr="0019054D">
        <w:rPr>
          <w:color w:val="005A68" w:themeColor="accent6" w:themeShade="80"/>
        </w:rPr>
        <w:t>data</w:t>
      </w:r>
    </w:p>
    <w:p w14:paraId="539552DC" w14:textId="1F590A1D" w:rsidR="00613CA3" w:rsidRPr="00831CDF" w:rsidRDefault="00613CA3" w:rsidP="00F21679">
      <w:r w:rsidRPr="00831CDF">
        <w:t xml:space="preserve">Legal impediments to data sharing remain a primary barrier to maximising use of RWD, as some datasets cannot be legally shared </w:t>
      </w:r>
      <w:r w:rsidR="001848EC">
        <w:t>to</w:t>
      </w:r>
      <w:r w:rsidRPr="00831CDF">
        <w:t xml:space="preserve"> support HTA</w:t>
      </w:r>
      <w:r w:rsidR="001848EC">
        <w:t>s. E</w:t>
      </w:r>
      <w:r w:rsidR="00C73A7C">
        <w:t>xample</w:t>
      </w:r>
      <w:r w:rsidR="001848EC">
        <w:t>s include</w:t>
      </w:r>
      <w:r w:rsidRPr="00831CDF">
        <w:t xml:space="preserve">: </w:t>
      </w:r>
    </w:p>
    <w:p w14:paraId="2298A4E7" w14:textId="70E3A2E1" w:rsidR="00613CA3" w:rsidRPr="00831CDF" w:rsidRDefault="001848EC" w:rsidP="00274AA9">
      <w:pPr>
        <w:pStyle w:val="ListBullet"/>
      </w:pPr>
      <w:r>
        <w:t>i</w:t>
      </w:r>
      <w:r w:rsidR="00613CA3" w:rsidRPr="00831CDF">
        <w:t xml:space="preserve">nconsistent and conflicting data sharing legislation between </w:t>
      </w:r>
      <w:r w:rsidR="003A4757">
        <w:t xml:space="preserve">the Australian </w:t>
      </w:r>
      <w:r w:rsidR="00613CA3" w:rsidRPr="00831CDF">
        <w:t xml:space="preserve">and </w:t>
      </w:r>
      <w:r>
        <w:t>s</w:t>
      </w:r>
      <w:r w:rsidR="00613CA3" w:rsidRPr="00831CDF">
        <w:t xml:space="preserve">tate and </w:t>
      </w:r>
      <w:r>
        <w:t>t</w:t>
      </w:r>
      <w:r w:rsidR="00613CA3" w:rsidRPr="00831CDF">
        <w:t xml:space="preserve">erritory </w:t>
      </w:r>
      <w:r>
        <w:t>g</w:t>
      </w:r>
      <w:r w:rsidR="00613CA3" w:rsidRPr="00831CDF">
        <w:t>overnments</w:t>
      </w:r>
    </w:p>
    <w:p w14:paraId="54FB09BC" w14:textId="4C4C5168" w:rsidR="00613CA3" w:rsidRPr="00831CDF" w:rsidRDefault="001848EC" w:rsidP="00274AA9">
      <w:pPr>
        <w:pStyle w:val="ListBullet"/>
      </w:pPr>
      <w:r>
        <w:t>l</w:t>
      </w:r>
      <w:r w:rsidR="00613CA3" w:rsidRPr="00831CDF">
        <w:t>ack of clarity about</w:t>
      </w:r>
      <w:r w:rsidR="00CE1E88">
        <w:t xml:space="preserve"> the</w:t>
      </w:r>
      <w:r w:rsidR="00613CA3" w:rsidRPr="00831CDF">
        <w:t xml:space="preserve"> consent </w:t>
      </w:r>
      <w:r w:rsidR="00F14D9C">
        <w:t>arrangements</w:t>
      </w:r>
      <w:r w:rsidR="00613CA3" w:rsidRPr="00831CDF">
        <w:t xml:space="preserve"> for sharing and reusing certain data types</w:t>
      </w:r>
    </w:p>
    <w:p w14:paraId="54EFD725" w14:textId="4E3A0EA5" w:rsidR="00613CA3" w:rsidRPr="00831CDF" w:rsidRDefault="00613CA3" w:rsidP="00274AA9">
      <w:pPr>
        <w:pStyle w:val="ListBullet"/>
      </w:pPr>
      <w:r w:rsidRPr="00831CDF">
        <w:t xml:space="preserve">access criteria </w:t>
      </w:r>
      <w:r w:rsidR="001848EC">
        <w:t>for</w:t>
      </w:r>
      <w:r w:rsidRPr="00831CDF">
        <w:t xml:space="preserve"> some datasets</w:t>
      </w:r>
      <w:r w:rsidR="001848EC">
        <w:t xml:space="preserve"> e</w:t>
      </w:r>
      <w:r w:rsidR="001848EC" w:rsidRPr="00831CDF">
        <w:t>xclu</w:t>
      </w:r>
      <w:r w:rsidR="001848EC">
        <w:t>des</w:t>
      </w:r>
      <w:r w:rsidR="001848EC" w:rsidRPr="00831CDF">
        <w:t xml:space="preserve"> research purposes </w:t>
      </w:r>
      <w:r w:rsidR="001848EC">
        <w:t>and</w:t>
      </w:r>
      <w:r w:rsidR="001848EC" w:rsidRPr="00831CDF">
        <w:t>/</w:t>
      </w:r>
      <w:r w:rsidR="001848EC">
        <w:t>or</w:t>
      </w:r>
      <w:r w:rsidR="001848EC" w:rsidRPr="00831CDF">
        <w:t xml:space="preserve"> support for</w:t>
      </w:r>
      <w:r w:rsidR="001848EC">
        <w:t> </w:t>
      </w:r>
      <w:r w:rsidR="001848EC" w:rsidRPr="00831CDF">
        <w:t>HTA</w:t>
      </w:r>
      <w:r w:rsidR="001848EC">
        <w:t>s</w:t>
      </w:r>
      <w:r w:rsidRPr="00831CDF">
        <w:t xml:space="preserve">. </w:t>
      </w:r>
    </w:p>
    <w:p w14:paraId="101D90EB" w14:textId="77777777" w:rsidR="00613CA3" w:rsidRPr="0019054D" w:rsidRDefault="00613CA3" w:rsidP="00F21679">
      <w:pPr>
        <w:pStyle w:val="Heading5"/>
        <w:rPr>
          <w:color w:val="005A68" w:themeColor="accent6" w:themeShade="80"/>
        </w:rPr>
      </w:pPr>
      <w:r w:rsidRPr="00F14476">
        <w:lastRenderedPageBreak/>
        <w:t xml:space="preserve">Patient consent and privacy </w:t>
      </w:r>
      <w:r w:rsidRPr="00F14476">
        <w:rPr>
          <w:color w:val="005A68" w:themeColor="accent6" w:themeShade="80"/>
        </w:rPr>
        <w:t>concerns</w:t>
      </w:r>
      <w:r w:rsidRPr="0019054D">
        <w:rPr>
          <w:color w:val="005A68" w:themeColor="accent6" w:themeShade="80"/>
        </w:rPr>
        <w:t xml:space="preserve"> </w:t>
      </w:r>
    </w:p>
    <w:p w14:paraId="594D3F1E" w14:textId="26DBD6B4" w:rsidR="00613CA3" w:rsidRPr="00831CDF" w:rsidRDefault="00613CA3" w:rsidP="00F21679">
      <w:pPr>
        <w:spacing w:after="240"/>
      </w:pPr>
      <w:r w:rsidRPr="00831CDF">
        <w:t xml:space="preserve">Consumer and societal concerns and lack of trust around data privacy and security arising from high-profile and impactful data breaches result in </w:t>
      </w:r>
      <w:r w:rsidRPr="00831CDF">
        <w:rPr>
          <w:rFonts w:cs="Segoe UI"/>
        </w:rPr>
        <w:t xml:space="preserve">consent often not being </w:t>
      </w:r>
      <w:r w:rsidR="00C9592F">
        <w:rPr>
          <w:rFonts w:cs="Segoe UI"/>
        </w:rPr>
        <w:t xml:space="preserve">given to </w:t>
      </w:r>
      <w:r w:rsidRPr="00831CDF">
        <w:rPr>
          <w:rFonts w:cs="Segoe UI"/>
        </w:rPr>
        <w:t>collect and/or shar</w:t>
      </w:r>
      <w:r w:rsidR="00C9592F">
        <w:rPr>
          <w:rFonts w:cs="Segoe UI"/>
        </w:rPr>
        <w:t>e</w:t>
      </w:r>
      <w:r w:rsidRPr="00831CDF">
        <w:rPr>
          <w:rFonts w:cs="Segoe UI"/>
        </w:rPr>
        <w:t xml:space="preserve"> consumer data.</w:t>
      </w:r>
      <w:r w:rsidR="00C9592F">
        <w:rPr>
          <w:rStyle w:val="FootnoteReference"/>
          <w:rFonts w:cs="Segoe UI"/>
        </w:rPr>
        <w:footnoteReference w:id="151"/>
      </w:r>
    </w:p>
    <w:p w14:paraId="037B4123" w14:textId="5AC87BA6" w:rsidR="00613CA3" w:rsidRPr="0019054D" w:rsidRDefault="00C9592F" w:rsidP="00F21679">
      <w:pPr>
        <w:pStyle w:val="Heading5"/>
        <w:rPr>
          <w:color w:val="005A68" w:themeColor="accent6" w:themeShade="80"/>
        </w:rPr>
      </w:pPr>
      <w:r>
        <w:t>D</w:t>
      </w:r>
      <w:r w:rsidRPr="00F14476">
        <w:t xml:space="preserve">ata stewards </w:t>
      </w:r>
      <w:r>
        <w:t>r</w:t>
      </w:r>
      <w:r w:rsidR="00613CA3" w:rsidRPr="00F14476">
        <w:t>eluctan</w:t>
      </w:r>
      <w:r>
        <w:t>t to share</w:t>
      </w:r>
      <w:r w:rsidR="00613CA3" w:rsidRPr="00F14476">
        <w:t xml:space="preserve"> </w:t>
      </w:r>
    </w:p>
    <w:p w14:paraId="2A7E8A06" w14:textId="583C7B5A" w:rsidR="00613CA3" w:rsidRDefault="00613CA3" w:rsidP="00F21679">
      <w:pPr>
        <w:spacing w:after="240"/>
        <w:rPr>
          <w:rFonts w:cs="Segoe UI"/>
        </w:rPr>
      </w:pPr>
      <w:r w:rsidRPr="00831CDF">
        <w:rPr>
          <w:rFonts w:cs="Segoe UI"/>
        </w:rPr>
        <w:t>Data stewards (or custodians) may not be comfortable</w:t>
      </w:r>
      <w:r w:rsidRPr="00831CDF" w:rsidDel="00C9592F">
        <w:rPr>
          <w:rFonts w:cs="Segoe UI"/>
        </w:rPr>
        <w:t xml:space="preserve"> </w:t>
      </w:r>
      <w:r w:rsidRPr="00831CDF">
        <w:rPr>
          <w:rFonts w:cs="Segoe UI"/>
        </w:rPr>
        <w:t>sharing data due to confusion a</w:t>
      </w:r>
      <w:r w:rsidR="00C9592F">
        <w:rPr>
          <w:rFonts w:cs="Segoe UI"/>
        </w:rPr>
        <w:t>bout</w:t>
      </w:r>
      <w:r w:rsidRPr="00831CDF">
        <w:rPr>
          <w:rFonts w:cs="Segoe UI"/>
        </w:rPr>
        <w:t xml:space="preserve"> legislative and/or consent requirements, concerns a</w:t>
      </w:r>
      <w:r w:rsidR="00C9592F">
        <w:rPr>
          <w:rFonts w:cs="Segoe UI"/>
        </w:rPr>
        <w:t>bout</w:t>
      </w:r>
      <w:r w:rsidRPr="00831CDF">
        <w:rPr>
          <w:rFonts w:cs="Segoe UI"/>
        </w:rPr>
        <w:t xml:space="preserve"> security and privacy, or perceived lack of control over data access and use.</w:t>
      </w:r>
      <w:r w:rsidR="00C9592F">
        <w:rPr>
          <w:rStyle w:val="FootnoteReference"/>
          <w:rFonts w:cs="Segoe UI"/>
        </w:rPr>
        <w:footnoteReference w:id="152"/>
      </w:r>
      <w:r w:rsidRPr="00831CDF">
        <w:rPr>
          <w:rFonts w:cs="Segoe UI"/>
        </w:rPr>
        <w:t xml:space="preserve"> These barriers may be addressed </w:t>
      </w:r>
      <w:r w:rsidR="003A518D">
        <w:rPr>
          <w:rFonts w:cs="Segoe UI"/>
        </w:rPr>
        <w:t>with</w:t>
      </w:r>
      <w:r w:rsidRPr="00831CDF">
        <w:rPr>
          <w:rFonts w:cs="Segoe UI"/>
        </w:rPr>
        <w:t xml:space="preserve"> co-designed guidance and governance arrangements to reduce confusion and provide assurances.</w:t>
      </w:r>
      <w:r>
        <w:rPr>
          <w:rFonts w:cs="Segoe UI"/>
        </w:rPr>
        <w:t xml:space="preserve"> </w:t>
      </w:r>
      <w:r w:rsidR="003A518D">
        <w:rPr>
          <w:rFonts w:cs="Segoe UI"/>
        </w:rPr>
        <w:t>P</w:t>
      </w:r>
      <w:r w:rsidR="00E27A06">
        <w:rPr>
          <w:rFonts w:cs="Segoe UI"/>
        </w:rPr>
        <w:t>rovi</w:t>
      </w:r>
      <w:r w:rsidR="003A518D">
        <w:rPr>
          <w:rFonts w:cs="Segoe UI"/>
        </w:rPr>
        <w:t>ding</w:t>
      </w:r>
      <w:r w:rsidR="00E27A06">
        <w:rPr>
          <w:rFonts w:cs="Segoe UI"/>
        </w:rPr>
        <w:t xml:space="preserve"> secure environments</w:t>
      </w:r>
      <w:r w:rsidR="00C16332">
        <w:rPr>
          <w:rFonts w:cs="Segoe UI"/>
        </w:rPr>
        <w:t xml:space="preserve"> for </w:t>
      </w:r>
      <w:r w:rsidR="00830C2E">
        <w:rPr>
          <w:rFonts w:cs="Segoe UI"/>
        </w:rPr>
        <w:t>use</w:t>
      </w:r>
      <w:r w:rsidR="005E2DEA">
        <w:rPr>
          <w:rFonts w:cs="Segoe UI"/>
        </w:rPr>
        <w:t xml:space="preserve">rs to </w:t>
      </w:r>
      <w:r w:rsidR="00232BA3">
        <w:rPr>
          <w:rFonts w:cs="Segoe UI"/>
        </w:rPr>
        <w:t xml:space="preserve">access and </w:t>
      </w:r>
      <w:r w:rsidR="00DC49BA">
        <w:rPr>
          <w:rFonts w:cs="Segoe UI"/>
        </w:rPr>
        <w:t>analyse data</w:t>
      </w:r>
      <w:r w:rsidR="001E193F">
        <w:rPr>
          <w:rFonts w:cs="Segoe UI"/>
        </w:rPr>
        <w:t xml:space="preserve">, such </w:t>
      </w:r>
      <w:r w:rsidR="005E1061">
        <w:rPr>
          <w:rFonts w:cs="Segoe UI"/>
        </w:rPr>
        <w:t xml:space="preserve">as the Australian Bureau of Statistics (ABS) </w:t>
      </w:r>
      <w:proofErr w:type="spellStart"/>
      <w:r w:rsidR="005E1061">
        <w:rPr>
          <w:rFonts w:cs="Segoe UI"/>
        </w:rPr>
        <w:t>DataLab</w:t>
      </w:r>
      <w:proofErr w:type="spellEnd"/>
      <w:r w:rsidR="000E54E8">
        <w:rPr>
          <w:rStyle w:val="FootnoteReference"/>
          <w:rFonts w:cs="Segoe UI"/>
        </w:rPr>
        <w:footnoteReference w:id="153"/>
      </w:r>
      <w:r w:rsidR="007D0DB0">
        <w:rPr>
          <w:rFonts w:cs="Segoe UI"/>
        </w:rPr>
        <w:t xml:space="preserve"> approach</w:t>
      </w:r>
      <w:r w:rsidR="005E1061">
        <w:rPr>
          <w:rFonts w:cs="Segoe UI"/>
        </w:rPr>
        <w:t>,</w:t>
      </w:r>
      <w:r w:rsidR="00247FA1">
        <w:rPr>
          <w:rFonts w:cs="Segoe UI"/>
        </w:rPr>
        <w:t xml:space="preserve"> may also </w:t>
      </w:r>
      <w:r w:rsidR="007D0DB0">
        <w:rPr>
          <w:rFonts w:cs="Segoe UI"/>
        </w:rPr>
        <w:t>be beneficial</w:t>
      </w:r>
      <w:r w:rsidR="00247FA1">
        <w:rPr>
          <w:rFonts w:cs="Segoe UI"/>
        </w:rPr>
        <w:t>.</w:t>
      </w:r>
    </w:p>
    <w:p w14:paraId="5381C565" w14:textId="235502B0" w:rsidR="00613CA3" w:rsidRPr="0019054D" w:rsidRDefault="00613CA3" w:rsidP="00F21679">
      <w:pPr>
        <w:pStyle w:val="Heading5"/>
        <w:rPr>
          <w:color w:val="005A68" w:themeColor="accent6" w:themeShade="80"/>
        </w:rPr>
      </w:pPr>
      <w:r w:rsidRPr="00F14476">
        <w:t xml:space="preserve">Resource limitations to support </w:t>
      </w:r>
      <w:r w:rsidRPr="003C522C">
        <w:rPr>
          <w:color w:val="005A68" w:themeColor="accent6" w:themeShade="80"/>
        </w:rPr>
        <w:t>data</w:t>
      </w:r>
      <w:r w:rsidR="003A518D">
        <w:rPr>
          <w:color w:val="005A68" w:themeColor="accent6" w:themeShade="80"/>
        </w:rPr>
        <w:t xml:space="preserve"> </w:t>
      </w:r>
      <w:r w:rsidRPr="003C522C">
        <w:rPr>
          <w:color w:val="005A68" w:themeColor="accent6" w:themeShade="80"/>
        </w:rPr>
        <w:t>collection, curation and sharing</w:t>
      </w:r>
    </w:p>
    <w:p w14:paraId="347E9CE4" w14:textId="0F54EF5C" w:rsidR="00613CA3" w:rsidRDefault="00613CA3" w:rsidP="00F21679">
      <w:pPr>
        <w:spacing w:after="240"/>
      </w:pPr>
      <w:r>
        <w:t>The h</w:t>
      </w:r>
      <w:r w:rsidRPr="00C641CC">
        <w:t>igh costs associated with collecting, checking and curating high</w:t>
      </w:r>
      <w:r w:rsidR="003A518D">
        <w:t>-</w:t>
      </w:r>
      <w:r w:rsidRPr="00C641CC">
        <w:t>quality RWD</w:t>
      </w:r>
      <w:r>
        <w:t>, and lack of</w:t>
      </w:r>
      <w:r w:rsidRPr="00C641CC">
        <w:t xml:space="preserve"> resources</w:t>
      </w:r>
      <w:r>
        <w:t xml:space="preserve"> for these activities or to </w:t>
      </w:r>
      <w:r w:rsidRPr="00C641CC">
        <w:t>manage queries</w:t>
      </w:r>
      <w:r w:rsidR="003A518D">
        <w:t>,</w:t>
      </w:r>
      <w:r>
        <w:t xml:space="preserve"> often limits data collection and sharing, even where there is goodwill to do so</w:t>
      </w:r>
      <w:r w:rsidR="0076480C" w:rsidRPr="00F14476">
        <w:rPr>
          <w:rFonts w:cs="Segoe UI"/>
        </w:rPr>
        <w:t>.</w:t>
      </w:r>
      <w:r w:rsidR="003A518D">
        <w:rPr>
          <w:rStyle w:val="FootnoteReference"/>
          <w:rFonts w:cs="Segoe UI"/>
        </w:rPr>
        <w:footnoteReference w:id="154"/>
      </w:r>
      <w:r w:rsidR="00734630">
        <w:rPr>
          <w:rFonts w:cs="Segoe UI"/>
        </w:rPr>
        <w:t xml:space="preserve"> As much of the data relevant to HTA</w:t>
      </w:r>
      <w:r w:rsidR="003A518D">
        <w:rPr>
          <w:rFonts w:cs="Segoe UI"/>
        </w:rPr>
        <w:t>s</w:t>
      </w:r>
      <w:r w:rsidR="00734630">
        <w:rPr>
          <w:rFonts w:cs="Segoe UI"/>
        </w:rPr>
        <w:t xml:space="preserve"> is </w:t>
      </w:r>
      <w:r w:rsidR="00DD180F">
        <w:rPr>
          <w:rFonts w:cs="Segoe UI"/>
        </w:rPr>
        <w:t xml:space="preserve">initially </w:t>
      </w:r>
      <w:r w:rsidR="00734630">
        <w:rPr>
          <w:rFonts w:cs="Segoe UI"/>
        </w:rPr>
        <w:t xml:space="preserve">collected for </w:t>
      </w:r>
      <w:r w:rsidR="00DD180F">
        <w:rPr>
          <w:rFonts w:cs="Segoe UI"/>
        </w:rPr>
        <w:t xml:space="preserve">other </w:t>
      </w:r>
      <w:r w:rsidR="00734630">
        <w:rPr>
          <w:rFonts w:cs="Segoe UI"/>
        </w:rPr>
        <w:t>purposes</w:t>
      </w:r>
      <w:r w:rsidR="00E902A9">
        <w:rPr>
          <w:rFonts w:cs="Segoe UI"/>
        </w:rPr>
        <w:t xml:space="preserve"> (</w:t>
      </w:r>
      <w:r w:rsidR="12A5CF54">
        <w:rPr>
          <w:rFonts w:cs="Segoe UI"/>
        </w:rPr>
        <w:t>e.g.</w:t>
      </w:r>
      <w:r w:rsidR="00E902A9">
        <w:rPr>
          <w:rFonts w:cs="Segoe UI"/>
        </w:rPr>
        <w:t xml:space="preserve"> </w:t>
      </w:r>
      <w:r w:rsidR="00A20B57">
        <w:rPr>
          <w:rFonts w:cs="Segoe UI"/>
        </w:rPr>
        <w:t>clin</w:t>
      </w:r>
      <w:r w:rsidR="67A2034C">
        <w:rPr>
          <w:rFonts w:cs="Segoe UI"/>
        </w:rPr>
        <w:t>i</w:t>
      </w:r>
      <w:r w:rsidR="00A20B57">
        <w:rPr>
          <w:rFonts w:cs="Segoe UI"/>
        </w:rPr>
        <w:t>cal</w:t>
      </w:r>
      <w:r w:rsidR="003A518D">
        <w:rPr>
          <w:rFonts w:cs="Segoe UI"/>
        </w:rPr>
        <w:t xml:space="preserve"> or </w:t>
      </w:r>
      <w:r w:rsidR="00623E89">
        <w:rPr>
          <w:rFonts w:cs="Segoe UI"/>
        </w:rPr>
        <w:t>personal</w:t>
      </w:r>
      <w:r w:rsidR="00A20B57">
        <w:rPr>
          <w:rFonts w:cs="Segoe UI"/>
        </w:rPr>
        <w:t xml:space="preserve"> records</w:t>
      </w:r>
      <w:r w:rsidR="003A518D">
        <w:rPr>
          <w:rFonts w:cs="Segoe UI"/>
        </w:rPr>
        <w:t>,</w:t>
      </w:r>
      <w:r w:rsidR="00A20B57">
        <w:rPr>
          <w:rFonts w:cs="Segoe UI"/>
        </w:rPr>
        <w:t xml:space="preserve"> and </w:t>
      </w:r>
      <w:r w:rsidR="62359812">
        <w:rPr>
          <w:rFonts w:cs="Segoe UI"/>
        </w:rPr>
        <w:t>administrative</w:t>
      </w:r>
      <w:r w:rsidR="00A20B57">
        <w:rPr>
          <w:rFonts w:cs="Segoe UI"/>
        </w:rPr>
        <w:t xml:space="preserve"> data associated with </w:t>
      </w:r>
      <w:r w:rsidR="00E902A9">
        <w:rPr>
          <w:rFonts w:cs="Segoe UI"/>
        </w:rPr>
        <w:t>routine patient care</w:t>
      </w:r>
      <w:r w:rsidR="00623E89">
        <w:rPr>
          <w:rFonts w:cs="Segoe UI"/>
        </w:rPr>
        <w:t xml:space="preserve"> or</w:t>
      </w:r>
      <w:r w:rsidR="00E902A9">
        <w:rPr>
          <w:rFonts w:cs="Segoe UI"/>
        </w:rPr>
        <w:t xml:space="preserve"> </w:t>
      </w:r>
      <w:r w:rsidR="0003447A">
        <w:rPr>
          <w:rFonts w:cs="Segoe UI"/>
        </w:rPr>
        <w:t>social services)</w:t>
      </w:r>
      <w:r w:rsidR="003A74EE">
        <w:rPr>
          <w:rFonts w:cs="Segoe UI"/>
        </w:rPr>
        <w:t>,</w:t>
      </w:r>
      <w:r w:rsidR="007C4551">
        <w:rPr>
          <w:rFonts w:cs="Segoe UI"/>
        </w:rPr>
        <w:t xml:space="preserve"> </w:t>
      </w:r>
      <w:r w:rsidR="009A13B0">
        <w:rPr>
          <w:rFonts w:cs="Segoe UI"/>
        </w:rPr>
        <w:t xml:space="preserve">stakeholders wishing to use the data for </w:t>
      </w:r>
      <w:r w:rsidR="003A518D">
        <w:rPr>
          <w:rFonts w:cs="Segoe UI"/>
        </w:rPr>
        <w:t xml:space="preserve">an </w:t>
      </w:r>
      <w:r w:rsidR="009A13B0">
        <w:rPr>
          <w:rFonts w:cs="Segoe UI"/>
        </w:rPr>
        <w:t>HTA often rel</w:t>
      </w:r>
      <w:r w:rsidR="003A518D">
        <w:rPr>
          <w:rFonts w:cs="Segoe UI"/>
        </w:rPr>
        <w:t>y</w:t>
      </w:r>
      <w:r w:rsidR="009A13B0">
        <w:rPr>
          <w:rFonts w:cs="Segoe UI"/>
        </w:rPr>
        <w:t xml:space="preserve"> on </w:t>
      </w:r>
      <w:r w:rsidR="00E902A9">
        <w:rPr>
          <w:rFonts w:cs="Segoe UI"/>
        </w:rPr>
        <w:t xml:space="preserve">what is collected </w:t>
      </w:r>
      <w:r w:rsidR="002C3C61">
        <w:rPr>
          <w:rFonts w:cs="Segoe UI"/>
        </w:rPr>
        <w:t>by other parties (</w:t>
      </w:r>
      <w:r w:rsidR="770D3131">
        <w:rPr>
          <w:rFonts w:cs="Segoe UI"/>
        </w:rPr>
        <w:t>e.g.</w:t>
      </w:r>
      <w:r w:rsidR="002C3C61">
        <w:rPr>
          <w:rFonts w:cs="Segoe UI"/>
        </w:rPr>
        <w:t xml:space="preserve"> clin</w:t>
      </w:r>
      <w:r w:rsidR="733A78E2">
        <w:rPr>
          <w:rFonts w:cs="Segoe UI"/>
        </w:rPr>
        <w:t>i</w:t>
      </w:r>
      <w:r w:rsidR="002C3C61">
        <w:rPr>
          <w:rFonts w:cs="Segoe UI"/>
        </w:rPr>
        <w:t>cians</w:t>
      </w:r>
      <w:r w:rsidR="003A518D">
        <w:rPr>
          <w:rFonts w:cs="Segoe UI"/>
        </w:rPr>
        <w:t xml:space="preserve"> or</w:t>
      </w:r>
      <w:r w:rsidR="002C3C61">
        <w:rPr>
          <w:rFonts w:cs="Segoe UI"/>
        </w:rPr>
        <w:t xml:space="preserve"> administrators) </w:t>
      </w:r>
      <w:r w:rsidR="00FB7C82">
        <w:rPr>
          <w:rFonts w:cs="Segoe UI"/>
        </w:rPr>
        <w:t xml:space="preserve">and/or </w:t>
      </w:r>
      <w:r w:rsidR="00103486">
        <w:rPr>
          <w:rFonts w:cs="Segoe UI"/>
        </w:rPr>
        <w:t>engag</w:t>
      </w:r>
      <w:r w:rsidR="003A518D">
        <w:rPr>
          <w:rFonts w:cs="Segoe UI"/>
        </w:rPr>
        <w:t>e</w:t>
      </w:r>
      <w:r w:rsidR="00103486">
        <w:rPr>
          <w:rFonts w:cs="Segoe UI"/>
        </w:rPr>
        <w:t xml:space="preserve"> them</w:t>
      </w:r>
      <w:r w:rsidR="00FB7C82">
        <w:rPr>
          <w:rFonts w:cs="Segoe UI"/>
        </w:rPr>
        <w:t xml:space="preserve"> in collecti</w:t>
      </w:r>
      <w:r w:rsidR="003A518D">
        <w:rPr>
          <w:rFonts w:cs="Segoe UI"/>
        </w:rPr>
        <w:t>ng</w:t>
      </w:r>
      <w:r w:rsidR="00FB7C82">
        <w:rPr>
          <w:rFonts w:cs="Segoe UI"/>
        </w:rPr>
        <w:t xml:space="preserve"> data that is fit-for-purpose for </w:t>
      </w:r>
      <w:r w:rsidR="003A518D">
        <w:rPr>
          <w:rFonts w:cs="Segoe UI"/>
        </w:rPr>
        <w:t xml:space="preserve">an </w:t>
      </w:r>
      <w:r w:rsidR="00FB7C82">
        <w:rPr>
          <w:rFonts w:cs="Segoe UI"/>
        </w:rPr>
        <w:t xml:space="preserve">HTA. </w:t>
      </w:r>
      <w:r w:rsidR="00103486">
        <w:rPr>
          <w:rFonts w:cs="Segoe UI"/>
        </w:rPr>
        <w:t>A collaborative approach to data collection to meet HTA needs, as well as those of other stakeholders</w:t>
      </w:r>
      <w:r w:rsidR="003A518D">
        <w:rPr>
          <w:rFonts w:cs="Segoe UI"/>
        </w:rPr>
        <w:t>,</w:t>
      </w:r>
      <w:r w:rsidR="00103486">
        <w:rPr>
          <w:rFonts w:cs="Segoe UI"/>
        </w:rPr>
        <w:t xml:space="preserve"> would encourage participation </w:t>
      </w:r>
      <w:r w:rsidR="00AB4DE6">
        <w:rPr>
          <w:rFonts w:cs="Segoe UI"/>
        </w:rPr>
        <w:t xml:space="preserve">in </w:t>
      </w:r>
      <w:r w:rsidR="1A562323">
        <w:rPr>
          <w:rFonts w:cs="Segoe UI"/>
        </w:rPr>
        <w:t>relevant</w:t>
      </w:r>
      <w:r w:rsidR="00A2665E">
        <w:rPr>
          <w:rFonts w:cs="Segoe UI"/>
        </w:rPr>
        <w:t xml:space="preserve">, standardised </w:t>
      </w:r>
      <w:r w:rsidR="00AB4DE6">
        <w:rPr>
          <w:rFonts w:cs="Segoe UI"/>
        </w:rPr>
        <w:t>data collection suitable for HTA</w:t>
      </w:r>
      <w:r w:rsidR="003A518D">
        <w:rPr>
          <w:rFonts w:cs="Segoe UI"/>
        </w:rPr>
        <w:t>s. It would also meet</w:t>
      </w:r>
      <w:r w:rsidR="00AB4DE6" w:rsidDel="003A518D">
        <w:rPr>
          <w:rFonts w:cs="Segoe UI"/>
        </w:rPr>
        <w:t xml:space="preserve"> </w:t>
      </w:r>
      <w:r w:rsidR="00AB4DE6">
        <w:rPr>
          <w:rFonts w:cs="Segoe UI"/>
        </w:rPr>
        <w:t>other stakeholders</w:t>
      </w:r>
      <w:r w:rsidR="003A518D">
        <w:rPr>
          <w:rFonts w:cs="Segoe UI"/>
        </w:rPr>
        <w:t>’ need</w:t>
      </w:r>
      <w:r w:rsidR="00A2665E">
        <w:rPr>
          <w:rFonts w:cs="Segoe UI"/>
        </w:rPr>
        <w:t xml:space="preserve"> to improve data </w:t>
      </w:r>
      <w:r w:rsidR="00F815FD">
        <w:rPr>
          <w:rFonts w:cs="Segoe UI"/>
        </w:rPr>
        <w:t xml:space="preserve">relevance, </w:t>
      </w:r>
      <w:r w:rsidR="00A2665E">
        <w:rPr>
          <w:rFonts w:cs="Segoe UI"/>
        </w:rPr>
        <w:t>coverage</w:t>
      </w:r>
      <w:r w:rsidR="00F815FD">
        <w:rPr>
          <w:rFonts w:cs="Segoe UI"/>
        </w:rPr>
        <w:t xml:space="preserve"> and quality, and reduce duplication of effort</w:t>
      </w:r>
      <w:r w:rsidR="00A2665E">
        <w:rPr>
          <w:rFonts w:cs="Segoe UI"/>
        </w:rPr>
        <w:t xml:space="preserve">. </w:t>
      </w:r>
    </w:p>
    <w:p w14:paraId="7855B190" w14:textId="67EC8D25" w:rsidR="00613CA3" w:rsidRPr="0019054D" w:rsidRDefault="00613CA3" w:rsidP="00F21679">
      <w:pPr>
        <w:pStyle w:val="Heading5"/>
        <w:rPr>
          <w:color w:val="005A68" w:themeColor="accent6" w:themeShade="80"/>
        </w:rPr>
      </w:pPr>
      <w:r w:rsidRPr="00F14476">
        <w:t xml:space="preserve">Lack of clarity </w:t>
      </w:r>
      <w:r w:rsidRPr="00F14476">
        <w:rPr>
          <w:color w:val="005A68" w:themeColor="accent6" w:themeShade="80"/>
        </w:rPr>
        <w:t>a</w:t>
      </w:r>
      <w:r w:rsidR="009C2D93" w:rsidRPr="00F14476">
        <w:rPr>
          <w:color w:val="005A68" w:themeColor="accent6" w:themeShade="80"/>
        </w:rPr>
        <w:t>bout</w:t>
      </w:r>
      <w:r w:rsidRPr="00F14476">
        <w:rPr>
          <w:color w:val="005A68" w:themeColor="accent6" w:themeShade="80"/>
        </w:rPr>
        <w:t xml:space="preserve"> how </w:t>
      </w:r>
      <w:r w:rsidR="00955058">
        <w:rPr>
          <w:color w:val="005A68" w:themeColor="accent6" w:themeShade="80"/>
        </w:rPr>
        <w:t>real-world data</w:t>
      </w:r>
      <w:r w:rsidR="00955058" w:rsidRPr="00F14476">
        <w:rPr>
          <w:color w:val="005A68" w:themeColor="accent6" w:themeShade="80"/>
        </w:rPr>
        <w:t xml:space="preserve"> </w:t>
      </w:r>
      <w:r w:rsidRPr="00F14476">
        <w:rPr>
          <w:color w:val="005A68" w:themeColor="accent6" w:themeShade="80"/>
        </w:rPr>
        <w:t xml:space="preserve">and </w:t>
      </w:r>
      <w:r w:rsidR="00955058">
        <w:rPr>
          <w:color w:val="005A68" w:themeColor="accent6" w:themeShade="80"/>
        </w:rPr>
        <w:t>real-world evidence</w:t>
      </w:r>
      <w:r w:rsidRPr="00F14476">
        <w:rPr>
          <w:color w:val="005A68" w:themeColor="accent6" w:themeShade="80"/>
        </w:rPr>
        <w:t xml:space="preserve"> will be used in HTA</w:t>
      </w:r>
      <w:r w:rsidR="003A518D">
        <w:rPr>
          <w:color w:val="005A68" w:themeColor="accent6" w:themeShade="80"/>
        </w:rPr>
        <w:t>s</w:t>
      </w:r>
    </w:p>
    <w:p w14:paraId="0A89E03F" w14:textId="76E462FB" w:rsidR="00613CA3" w:rsidRPr="000212F8" w:rsidRDefault="00613CA3" w:rsidP="00F21679">
      <w:pPr>
        <w:spacing w:after="240"/>
        <w:rPr>
          <w:rFonts w:cs="Segoe UI"/>
        </w:rPr>
      </w:pPr>
      <w:r>
        <w:rPr>
          <w:rFonts w:cs="Segoe UI"/>
        </w:rPr>
        <w:t>Industry ha</w:t>
      </w:r>
      <w:r w:rsidR="009C1DEB">
        <w:rPr>
          <w:rFonts w:cs="Segoe UI"/>
        </w:rPr>
        <w:t>s</w:t>
      </w:r>
      <w:r>
        <w:rPr>
          <w:rFonts w:cs="Segoe UI"/>
        </w:rPr>
        <w:t xml:space="preserve"> indicated that </w:t>
      </w:r>
      <w:r w:rsidRPr="00426498">
        <w:rPr>
          <w:rFonts w:cs="Segoe UI"/>
        </w:rPr>
        <w:t xml:space="preserve">uncertainty about </w:t>
      </w:r>
      <w:r w:rsidR="0062724B" w:rsidRPr="00426498">
        <w:rPr>
          <w:rFonts w:cs="Segoe UI"/>
        </w:rPr>
        <w:t>Australian regulators and payers</w:t>
      </w:r>
      <w:r w:rsidR="0062724B">
        <w:rPr>
          <w:rFonts w:cs="Segoe UI"/>
        </w:rPr>
        <w:t>’</w:t>
      </w:r>
      <w:r w:rsidRPr="00426498">
        <w:rPr>
          <w:rFonts w:cs="Segoe UI"/>
        </w:rPr>
        <w:t xml:space="preserve"> evidentiary needs </w:t>
      </w:r>
      <w:r w:rsidR="0062724B">
        <w:rPr>
          <w:rFonts w:cs="Segoe UI"/>
        </w:rPr>
        <w:t>for RWE</w:t>
      </w:r>
      <w:r w:rsidRPr="00426498">
        <w:rPr>
          <w:rFonts w:cs="Segoe UI"/>
        </w:rPr>
        <w:t xml:space="preserve">, </w:t>
      </w:r>
      <w:r w:rsidR="003A518D">
        <w:rPr>
          <w:rFonts w:cs="Segoe UI"/>
        </w:rPr>
        <w:t xml:space="preserve">and </w:t>
      </w:r>
      <w:r w:rsidRPr="00426498">
        <w:rPr>
          <w:rFonts w:cs="Segoe UI"/>
        </w:rPr>
        <w:t>lack of guidance about how they should apply and weigh RWE in their regulatory</w:t>
      </w:r>
      <w:r>
        <w:rPr>
          <w:rFonts w:cs="Segoe UI"/>
        </w:rPr>
        <w:t xml:space="preserve"> and reimbursement</w:t>
      </w:r>
      <w:r w:rsidRPr="00426498">
        <w:rPr>
          <w:rFonts w:cs="Segoe UI"/>
        </w:rPr>
        <w:t xml:space="preserve"> submissions</w:t>
      </w:r>
      <w:r w:rsidR="003A518D">
        <w:rPr>
          <w:rFonts w:cs="Segoe UI"/>
        </w:rPr>
        <w:t>,</w:t>
      </w:r>
      <w:r>
        <w:rPr>
          <w:rFonts w:cs="Segoe UI"/>
        </w:rPr>
        <w:t xml:space="preserve"> do</w:t>
      </w:r>
      <w:r w:rsidR="003A518D">
        <w:rPr>
          <w:rFonts w:cs="Segoe UI"/>
        </w:rPr>
        <w:t>es</w:t>
      </w:r>
      <w:r>
        <w:rPr>
          <w:rFonts w:cs="Segoe UI"/>
        </w:rPr>
        <w:t xml:space="preserve"> not incentiv</w:t>
      </w:r>
      <w:r w:rsidR="00340DB5">
        <w:rPr>
          <w:rFonts w:cs="Segoe UI"/>
        </w:rPr>
        <w:t>ise</w:t>
      </w:r>
      <w:r>
        <w:rPr>
          <w:rFonts w:cs="Segoe UI"/>
        </w:rPr>
        <w:t xml:space="preserve"> invest</w:t>
      </w:r>
      <w:r w:rsidR="003A518D">
        <w:rPr>
          <w:rFonts w:cs="Segoe UI"/>
        </w:rPr>
        <w:t>ing in generating</w:t>
      </w:r>
      <w:r>
        <w:rPr>
          <w:rFonts w:cs="Segoe UI"/>
        </w:rPr>
        <w:t xml:space="preserve"> RWE</w:t>
      </w:r>
      <w:r w:rsidR="00835790" w:rsidRPr="00831CDF">
        <w:rPr>
          <w:rFonts w:cs="Segoe UI"/>
        </w:rPr>
        <w:t>.</w:t>
      </w:r>
      <w:r w:rsidR="003A518D">
        <w:rPr>
          <w:rStyle w:val="FootnoteReference"/>
          <w:rFonts w:cs="Segoe UI"/>
        </w:rPr>
        <w:footnoteReference w:id="155"/>
      </w:r>
      <w:r>
        <w:rPr>
          <w:rFonts w:cs="Segoe UI"/>
        </w:rPr>
        <w:t xml:space="preserve"> Further, there are concerns a</w:t>
      </w:r>
      <w:r w:rsidR="00160F4C">
        <w:rPr>
          <w:rFonts w:cs="Segoe UI"/>
        </w:rPr>
        <w:t>bout</w:t>
      </w:r>
      <w:r>
        <w:rPr>
          <w:rFonts w:cs="Segoe UI"/>
        </w:rPr>
        <w:t xml:space="preserve"> </w:t>
      </w:r>
      <w:r w:rsidRPr="00426498">
        <w:rPr>
          <w:rFonts w:cs="Segoe UI"/>
        </w:rPr>
        <w:t xml:space="preserve">the risk of their commercially sensitive </w:t>
      </w:r>
      <w:r w:rsidRPr="000212F8">
        <w:rPr>
          <w:rFonts w:cs="Segoe UI"/>
        </w:rPr>
        <w:t>information entering the public domain.</w:t>
      </w:r>
    </w:p>
    <w:p w14:paraId="21AE93EE" w14:textId="0C443CC2" w:rsidR="00FD6A78" w:rsidRPr="00F2099A" w:rsidRDefault="00FD6A78" w:rsidP="00F21679">
      <w:pPr>
        <w:pStyle w:val="Heading5"/>
        <w:rPr>
          <w:color w:val="005A68" w:themeColor="accent6" w:themeShade="80"/>
        </w:rPr>
      </w:pPr>
      <w:r w:rsidRPr="00F2099A">
        <w:lastRenderedPageBreak/>
        <w:t xml:space="preserve">Data sources and </w:t>
      </w:r>
      <w:r w:rsidRPr="00F2099A">
        <w:rPr>
          <w:color w:val="005A68" w:themeColor="accent6" w:themeShade="80"/>
        </w:rPr>
        <w:t>secondary use for HTA</w:t>
      </w:r>
      <w:r w:rsidR="00160F4C">
        <w:rPr>
          <w:color w:val="005A68" w:themeColor="accent6" w:themeShade="80"/>
        </w:rPr>
        <w:t>s</w:t>
      </w:r>
    </w:p>
    <w:p w14:paraId="416DDBA4" w14:textId="7FB7FA85" w:rsidR="00FD6A78" w:rsidRPr="00671801" w:rsidRDefault="00FD6A78" w:rsidP="00F21679">
      <w:pPr>
        <w:rPr>
          <w:i/>
          <w:iCs/>
        </w:rPr>
      </w:pPr>
      <w:r w:rsidRPr="00671801">
        <w:t xml:space="preserve">Key sources of RWD </w:t>
      </w:r>
      <w:r w:rsidR="00160F4C">
        <w:t>that</w:t>
      </w:r>
      <w:r w:rsidRPr="00671801">
        <w:t xml:space="preserve"> may inform HTA</w:t>
      </w:r>
      <w:r w:rsidR="00160F4C">
        <w:t>s</w:t>
      </w:r>
      <w:r w:rsidRPr="00671801">
        <w:t xml:space="preserve"> in Australia include administrative data</w:t>
      </w:r>
      <w:r w:rsidR="009A1C2B">
        <w:t>,</w:t>
      </w:r>
      <w:r w:rsidRPr="00671801">
        <w:t xml:space="preserve"> clinical data (e</w:t>
      </w:r>
      <w:r>
        <w:t>.</w:t>
      </w:r>
      <w:r w:rsidRPr="00671801">
        <w:t>g</w:t>
      </w:r>
      <w:r>
        <w:t>.</w:t>
      </w:r>
      <w:r w:rsidRPr="00671801">
        <w:t xml:space="preserve"> </w:t>
      </w:r>
      <w:r w:rsidRPr="00F15415">
        <w:t>electronic medical records</w:t>
      </w:r>
      <w:r w:rsidRPr="00671801">
        <w:t>), registries (e</w:t>
      </w:r>
      <w:r>
        <w:t>.</w:t>
      </w:r>
      <w:r w:rsidRPr="00671801">
        <w:t>g</w:t>
      </w:r>
      <w:r>
        <w:t>.</w:t>
      </w:r>
      <w:r w:rsidRPr="00671801">
        <w:t xml:space="preserve"> clinical and disease registries), surveys, molecular </w:t>
      </w:r>
      <w:r w:rsidR="009A1C2B">
        <w:t>and</w:t>
      </w:r>
      <w:r w:rsidRPr="00671801">
        <w:t xml:space="preserve"> diagnostic data, digital technology (e</w:t>
      </w:r>
      <w:r>
        <w:t>.</w:t>
      </w:r>
      <w:r w:rsidRPr="00671801">
        <w:t>g</w:t>
      </w:r>
      <w:r>
        <w:t>.</w:t>
      </w:r>
      <w:r w:rsidRPr="00671801">
        <w:t xml:space="preserve"> mobile data collected by a third party outside formal healthcare delivery), case reports and social media</w:t>
      </w:r>
      <w:r w:rsidR="00513E34">
        <w:t>.</w:t>
      </w:r>
      <w:r w:rsidR="009A1C2B">
        <w:rPr>
          <w:rStyle w:val="FootnoteReference"/>
        </w:rPr>
        <w:footnoteReference w:id="156"/>
      </w:r>
      <w:r w:rsidRPr="00671801">
        <w:t xml:space="preserve"> Each of these data sources has its benefits and limitations, but importantly, the vast majority of data used in the context of HTA</w:t>
      </w:r>
      <w:r w:rsidR="009A1C2B">
        <w:t>s</w:t>
      </w:r>
      <w:r w:rsidRPr="00671801">
        <w:t xml:space="preserve"> is for a secondary purpose outside the primary purpose for which </w:t>
      </w:r>
      <w:r w:rsidR="009A1C2B">
        <w:t>it was</w:t>
      </w:r>
      <w:r w:rsidRPr="00671801">
        <w:t xml:space="preserve"> collected</w:t>
      </w:r>
      <w:r w:rsidR="00513E34">
        <w:t>.</w:t>
      </w:r>
      <w:r w:rsidR="009A1C2B">
        <w:rPr>
          <w:rStyle w:val="FootnoteReference"/>
        </w:rPr>
        <w:footnoteReference w:id="157"/>
      </w:r>
      <w:r w:rsidRPr="00671801">
        <w:t xml:space="preserve"> It is important to note that for the majority of these sources, RWD is not collected for HTA</w:t>
      </w:r>
      <w:r w:rsidR="009A1C2B">
        <w:t>s</w:t>
      </w:r>
      <w:r w:rsidRPr="00671801">
        <w:t>, so its use in HTA</w:t>
      </w:r>
      <w:r w:rsidR="009A1C2B">
        <w:t>s</w:t>
      </w:r>
      <w:r w:rsidRPr="00671801">
        <w:t xml:space="preserve"> constitutes a secondary purpose</w:t>
      </w:r>
      <w:r w:rsidR="00513E34">
        <w:t>.</w:t>
      </w:r>
      <w:r w:rsidR="009A1C2B">
        <w:rPr>
          <w:rStyle w:val="FootnoteReference"/>
        </w:rPr>
        <w:footnoteReference w:id="158"/>
      </w:r>
      <w:r w:rsidRPr="00671801">
        <w:t xml:space="preserve"> This can result in barriers to data</w:t>
      </w:r>
      <w:r w:rsidR="009A1C2B">
        <w:t xml:space="preserve"> </w:t>
      </w:r>
      <w:r w:rsidRPr="00671801">
        <w:t xml:space="preserve">sharing, as well as methodological </w:t>
      </w:r>
      <w:r>
        <w:t xml:space="preserve">and legal </w:t>
      </w:r>
      <w:r w:rsidRPr="00671801">
        <w:t>challenges.</w:t>
      </w:r>
      <w:r w:rsidRPr="00671801">
        <w:rPr>
          <w:i/>
          <w:iCs/>
        </w:rPr>
        <w:t xml:space="preserve"> </w:t>
      </w:r>
    </w:p>
    <w:p w14:paraId="666C78F9" w14:textId="77777777" w:rsidR="00613CA3" w:rsidRPr="00477F16" w:rsidRDefault="00613CA3" w:rsidP="004C0416">
      <w:pPr>
        <w:spacing w:after="0"/>
        <w:rPr>
          <w:color w:val="005A68" w:themeColor="accent6" w:themeShade="80"/>
        </w:rPr>
      </w:pPr>
      <w:r w:rsidRPr="00477F16">
        <w:rPr>
          <w:color w:val="005A68" w:themeColor="accent6" w:themeShade="80"/>
        </w:rPr>
        <w:t xml:space="preserve">Opportunities </w:t>
      </w:r>
    </w:p>
    <w:p w14:paraId="044E1D3F" w14:textId="32B635E3" w:rsidR="00FB04EE" w:rsidRDefault="00613CA3" w:rsidP="00F21679">
      <w:pPr>
        <w:spacing w:line="240" w:lineRule="auto"/>
        <w:textAlignment w:val="baseline"/>
      </w:pPr>
      <w:r>
        <w:t xml:space="preserve">With advances in technologies and tools for data collection, linkage and analysis, RWD and RWE are increasingly used to support HTA decision-making. </w:t>
      </w:r>
      <w:r w:rsidRPr="00671801">
        <w:t>As the capacity to link heterogeneous data at the person level has increased, it is more feasible to bring together disparate RWD collections, enhancing the uses of th</w:t>
      </w:r>
      <w:r w:rsidR="0063349F">
        <w:t>is</w:t>
      </w:r>
      <w:r w:rsidRPr="00671801">
        <w:t xml:space="preserve"> data to support HTA</w:t>
      </w:r>
      <w:r w:rsidR="00CE754F" w:rsidRPr="00831CDF">
        <w:rPr>
          <w:rFonts w:cs="Segoe UI"/>
        </w:rPr>
        <w:t>.</w:t>
      </w:r>
      <w:r w:rsidR="0063349F">
        <w:rPr>
          <w:rStyle w:val="FootnoteReference"/>
          <w:rFonts w:cs="Segoe UI"/>
        </w:rPr>
        <w:footnoteReference w:id="159"/>
      </w:r>
    </w:p>
    <w:p w14:paraId="77554382" w14:textId="4D4708DA" w:rsidR="00613CA3" w:rsidRPr="00671801" w:rsidRDefault="00613CA3" w:rsidP="00F21679">
      <w:pPr>
        <w:rPr>
          <w:rFonts w:eastAsia="Times New Roman" w:cs="Segoe UI"/>
          <w:sz w:val="18"/>
          <w:szCs w:val="18"/>
          <w:lang w:eastAsia="en-AU"/>
        </w:rPr>
      </w:pPr>
      <w:r w:rsidRPr="005D348A">
        <w:t xml:space="preserve">Australia is uniquely placed in that the Department supports and manages technologies through the lifecycle, from research funding to </w:t>
      </w:r>
      <w:r w:rsidR="00146984">
        <w:t xml:space="preserve">regulatory and subsidy </w:t>
      </w:r>
      <w:r w:rsidR="00146984" w:rsidRPr="005D348A">
        <w:t>approval</w:t>
      </w:r>
      <w:r w:rsidR="00146984">
        <w:t>,</w:t>
      </w:r>
      <w:r w:rsidR="00146984" w:rsidRPr="005D348A">
        <w:t xml:space="preserve"> </w:t>
      </w:r>
      <w:r w:rsidR="00403E3C">
        <w:t>and</w:t>
      </w:r>
      <w:r w:rsidR="00146984" w:rsidRPr="005D348A">
        <w:t xml:space="preserve"> </w:t>
      </w:r>
      <w:r w:rsidRPr="005D348A">
        <w:t xml:space="preserve">post-market </w:t>
      </w:r>
      <w:r w:rsidR="00146984">
        <w:t>surveillance</w:t>
      </w:r>
      <w:r w:rsidR="007E4842" w:rsidRPr="00831CDF">
        <w:rPr>
          <w:rFonts w:cs="Segoe UI"/>
        </w:rPr>
        <w:t>.</w:t>
      </w:r>
      <w:r w:rsidR="0063349F">
        <w:rPr>
          <w:rStyle w:val="FootnoteReference"/>
          <w:rFonts w:cs="Segoe UI"/>
        </w:rPr>
        <w:footnoteReference w:id="160"/>
      </w:r>
      <w:r w:rsidRPr="005D348A">
        <w:t xml:space="preserve"> In contrast to the UK, Canada and the US, Australia has research, regulatory and reimbursement functions sitting under the same </w:t>
      </w:r>
      <w:r w:rsidR="0063349F">
        <w:t>g</w:t>
      </w:r>
      <w:r w:rsidRPr="005D348A">
        <w:t xml:space="preserve">overnment </w:t>
      </w:r>
      <w:r w:rsidR="0063349F">
        <w:t>d</w:t>
      </w:r>
      <w:r w:rsidRPr="005D348A">
        <w:t>epartment</w:t>
      </w:r>
      <w:r w:rsidR="007E4842" w:rsidRPr="00831CDF">
        <w:rPr>
          <w:rFonts w:cs="Segoe UI"/>
        </w:rPr>
        <w:t>.</w:t>
      </w:r>
      <w:r w:rsidR="0063349F">
        <w:rPr>
          <w:rStyle w:val="FootnoteReference"/>
          <w:rFonts w:cs="Segoe UI"/>
        </w:rPr>
        <w:footnoteReference w:id="161"/>
      </w:r>
      <w:r w:rsidR="00453069">
        <w:t xml:space="preserve"> </w:t>
      </w:r>
    </w:p>
    <w:p w14:paraId="6ACDE989" w14:textId="0D65C480" w:rsidR="00613CA3" w:rsidRPr="006324CB" w:rsidRDefault="00544066" w:rsidP="00A318F7">
      <w:pPr>
        <w:pStyle w:val="Heading3"/>
        <w:rPr>
          <w:color w:val="00808A"/>
        </w:rPr>
      </w:pPr>
      <w:bookmarkStart w:id="487" w:name="_Toc164691458"/>
      <w:bookmarkStart w:id="488" w:name="_Toc164696253"/>
      <w:bookmarkStart w:id="489" w:name="_Toc164696399"/>
      <w:bookmarkStart w:id="490" w:name="_Toc164767788"/>
      <w:bookmarkStart w:id="491" w:name="_Toc165473719"/>
      <w:r>
        <w:t>F</w:t>
      </w:r>
      <w:r w:rsidR="00613CA3" w:rsidRPr="6CC68A72">
        <w:t>indings</w:t>
      </w:r>
      <w:bookmarkEnd w:id="487"/>
      <w:bookmarkEnd w:id="488"/>
      <w:bookmarkEnd w:id="489"/>
      <w:bookmarkEnd w:id="490"/>
      <w:bookmarkEnd w:id="491"/>
    </w:p>
    <w:p w14:paraId="1EFEADA9" w14:textId="133E254D" w:rsidR="00AE488C" w:rsidRDefault="0063349F" w:rsidP="00F21679">
      <w:pPr>
        <w:spacing w:after="200"/>
      </w:pPr>
      <w:r>
        <w:t xml:space="preserve">All stakeholder cohorts </w:t>
      </w:r>
      <w:r w:rsidR="00AE488C">
        <w:t>support</w:t>
      </w:r>
      <w:r>
        <w:t>ed</w:t>
      </w:r>
      <w:r w:rsidR="00AE488C" w:rsidDel="0063349F">
        <w:t xml:space="preserve"> </w:t>
      </w:r>
      <w:r w:rsidR="00AE488C">
        <w:t>broader use of RWE for HTA</w:t>
      </w:r>
      <w:r>
        <w:t>s</w:t>
      </w:r>
      <w:r w:rsidR="00AE488C">
        <w:t xml:space="preserve">, with the expectation that broader use and acceptance of RWE would improve overall HTA decision-making and allow more access to health technologies through standard pathways or as part of </w:t>
      </w:r>
      <w:r w:rsidR="002D1236">
        <w:t>MEAs</w:t>
      </w:r>
      <w:r w:rsidR="00AE488C">
        <w:t xml:space="preserve">. Stakeholders consistently called for additional guidance from HTA </w:t>
      </w:r>
      <w:r w:rsidR="00C16518">
        <w:t xml:space="preserve">advisory </w:t>
      </w:r>
      <w:r w:rsidR="00AE488C">
        <w:t>committees and health</w:t>
      </w:r>
      <w:r w:rsidR="008722C8">
        <w:t>care</w:t>
      </w:r>
      <w:r w:rsidR="00AE488C">
        <w:t xml:space="preserve"> payers on how RWE would be u</w:t>
      </w:r>
      <w:r>
        <w:t>sed</w:t>
      </w:r>
      <w:r w:rsidR="00AE488C">
        <w:t xml:space="preserve"> and accepted as part of informing recommendations and decision-making. </w:t>
      </w:r>
    </w:p>
    <w:p w14:paraId="2B58FA3F" w14:textId="3BFBD858" w:rsidR="00AE488C" w:rsidRDefault="0063349F" w:rsidP="000303E8">
      <w:r>
        <w:lastRenderedPageBreak/>
        <w:t>S</w:t>
      </w:r>
      <w:r w:rsidR="00AE488C">
        <w:t>ome patient and industry stakeholders stated that existing sources of RWD should be used to generate the necessary RWE for HTA purposes</w:t>
      </w:r>
      <w:r>
        <w:t>. But</w:t>
      </w:r>
      <w:r w:rsidR="00AE488C">
        <w:t xml:space="preserve"> other stakeholders in the same cohorts noted that data collection capacity and capability was limited </w:t>
      </w:r>
      <w:r w:rsidR="000B048D" w:rsidRPr="00734686">
        <w:t>(in terms of infrastructure and resourcing)</w:t>
      </w:r>
      <w:r w:rsidR="000B048D">
        <w:t xml:space="preserve"> </w:t>
      </w:r>
      <w:r w:rsidR="00AE488C">
        <w:t xml:space="preserve">and not necessarily fit-for-purpose, </w:t>
      </w:r>
      <w:r w:rsidR="00AE488C" w:rsidRPr="00734686">
        <w:t xml:space="preserve">depending on the </w:t>
      </w:r>
      <w:r w:rsidR="00D156E6" w:rsidRPr="00734686">
        <w:t>issues or uncertainties that</w:t>
      </w:r>
      <w:r>
        <w:t xml:space="preserve"> the</w:t>
      </w:r>
      <w:r w:rsidR="00D156E6" w:rsidRPr="00734686">
        <w:t xml:space="preserve"> </w:t>
      </w:r>
      <w:r w:rsidR="00AE488C" w:rsidRPr="00734686">
        <w:t xml:space="preserve">RWE </w:t>
      </w:r>
      <w:r>
        <w:t>wa</w:t>
      </w:r>
      <w:r w:rsidR="00D156E6" w:rsidRPr="00734686">
        <w:t xml:space="preserve">s being </w:t>
      </w:r>
      <w:r w:rsidR="00D51D1E" w:rsidRPr="00734686">
        <w:t>used</w:t>
      </w:r>
      <w:r w:rsidR="00D156E6" w:rsidRPr="00734686">
        <w:t xml:space="preserve"> to </w:t>
      </w:r>
      <w:r w:rsidR="00AE488C" w:rsidRPr="00734686">
        <w:t>address</w:t>
      </w:r>
      <w:r w:rsidR="00AE488C">
        <w:t xml:space="preserve">. To address these gaps, </w:t>
      </w:r>
      <w:proofErr w:type="gramStart"/>
      <w:r w:rsidR="00AE488C">
        <w:t>a number of</w:t>
      </w:r>
      <w:proofErr w:type="gramEnd"/>
      <w:r w:rsidR="00AE488C">
        <w:t xml:space="preserve"> patient, clinician and industry stakeholders suggested </w:t>
      </w:r>
      <w:r w:rsidR="002D5FFB">
        <w:t>it would be necessary to improve</w:t>
      </w:r>
      <w:r w:rsidR="00AE488C">
        <w:t xml:space="preserve"> the </w:t>
      </w:r>
      <w:r w:rsidR="002D5FFB">
        <w:t xml:space="preserve">approach to collecting </w:t>
      </w:r>
      <w:r w:rsidR="00AE488C">
        <w:t xml:space="preserve">RWD (such as </w:t>
      </w:r>
      <w:r w:rsidR="00955058">
        <w:t xml:space="preserve">by </w:t>
      </w:r>
      <w:r>
        <w:t xml:space="preserve">extracting data from </w:t>
      </w:r>
      <w:r w:rsidR="006E5E9D">
        <w:t xml:space="preserve">clinical </w:t>
      </w:r>
      <w:r w:rsidR="00AE488C">
        <w:t xml:space="preserve">registries and </w:t>
      </w:r>
      <w:r w:rsidR="00160F4C">
        <w:t xml:space="preserve">electronic </w:t>
      </w:r>
      <w:r w:rsidR="00215178">
        <w:t xml:space="preserve">health and </w:t>
      </w:r>
      <w:r w:rsidR="00160F4C">
        <w:t>medical records</w:t>
      </w:r>
      <w:r w:rsidR="00AE488C">
        <w:t>)</w:t>
      </w:r>
      <w:r w:rsidR="002D5FFB">
        <w:t xml:space="preserve">. </w:t>
      </w:r>
      <w:r w:rsidR="005665AC">
        <w:t>They highlighted</w:t>
      </w:r>
      <w:r w:rsidR="00AE488C" w:rsidDel="002D5FFB">
        <w:t xml:space="preserve"> </w:t>
      </w:r>
      <w:r w:rsidR="00AE488C">
        <w:t>historically under</w:t>
      </w:r>
      <w:r w:rsidR="002D5FFB">
        <w:noBreakHyphen/>
      </w:r>
      <w:r w:rsidR="00AE488C">
        <w:t>served sub</w:t>
      </w:r>
      <w:r w:rsidR="00FD671B">
        <w:t>-</w:t>
      </w:r>
      <w:r w:rsidR="00AE488C">
        <w:t>populations (e.g. rare diseases and First Nations sub</w:t>
      </w:r>
      <w:r w:rsidR="00FD671B">
        <w:noBreakHyphen/>
      </w:r>
      <w:r w:rsidR="00AE488C">
        <w:t>populations)</w:t>
      </w:r>
      <w:r w:rsidR="00925711">
        <w:t xml:space="preserve"> </w:t>
      </w:r>
      <w:r w:rsidR="00925711" w:rsidRPr="00734686">
        <w:t xml:space="preserve">and </w:t>
      </w:r>
      <w:r w:rsidR="005665AC">
        <w:t>that</w:t>
      </w:r>
      <w:r w:rsidR="00925711" w:rsidRPr="00734686">
        <w:t xml:space="preserve"> emerging technologies </w:t>
      </w:r>
      <w:r w:rsidR="005665AC">
        <w:t>have</w:t>
      </w:r>
      <w:r w:rsidR="00925711" w:rsidRPr="00734686">
        <w:t xml:space="preserve"> uncertain longer-term outcomes</w:t>
      </w:r>
      <w:r w:rsidR="005665AC">
        <w:t>.</w:t>
      </w:r>
      <w:r w:rsidR="00AE488C" w:rsidRPr="00734686">
        <w:rPr>
          <w:rStyle w:val="FootnoteReference"/>
        </w:rPr>
        <w:footnoteReference w:id="162"/>
      </w:r>
      <w:r w:rsidR="00AE488C">
        <w:t xml:space="preserve"> </w:t>
      </w:r>
    </w:p>
    <w:p w14:paraId="0F85122A" w14:textId="47A78CE6" w:rsidR="00AE488C" w:rsidRPr="00534355" w:rsidRDefault="00AE488C" w:rsidP="000303E8">
      <w:r>
        <w:t>The</w:t>
      </w:r>
      <w:r w:rsidR="005665AC">
        <w:t>se diverse</w:t>
      </w:r>
      <w:r>
        <w:t xml:space="preserve"> </w:t>
      </w:r>
      <w:r w:rsidR="005665AC">
        <w:t>views probably</w:t>
      </w:r>
      <w:r>
        <w:t xml:space="preserve"> reflect the different perspectives of stakeholders </w:t>
      </w:r>
      <w:r w:rsidR="005665AC">
        <w:t xml:space="preserve">about </w:t>
      </w:r>
      <w:r>
        <w:t>the quality</w:t>
      </w:r>
      <w:r w:rsidR="00D13853">
        <w:t>,</w:t>
      </w:r>
      <w:r>
        <w:t xml:space="preserve"> breadth</w:t>
      </w:r>
      <w:r w:rsidR="00D13853">
        <w:t xml:space="preserve"> </w:t>
      </w:r>
      <w:r w:rsidR="00D13853" w:rsidRPr="00233A70">
        <w:t xml:space="preserve">and </w:t>
      </w:r>
      <w:r w:rsidR="00D13853">
        <w:t>standardisation (linkage</w:t>
      </w:r>
      <w:r w:rsidR="000C6A1C">
        <w:t xml:space="preserve"> </w:t>
      </w:r>
      <w:r w:rsidR="00D13853">
        <w:t>potential)</w:t>
      </w:r>
      <w:r>
        <w:t xml:space="preserve"> of existing RWD sources</w:t>
      </w:r>
      <w:r w:rsidR="005665AC">
        <w:t>,</w:t>
      </w:r>
      <w:r>
        <w:t xml:space="preserve"> </w:t>
      </w:r>
      <w:r w:rsidR="00955058">
        <w:t xml:space="preserve">the </w:t>
      </w:r>
      <w:r>
        <w:t>utility of data for secondary purposes</w:t>
      </w:r>
      <w:r w:rsidR="005665AC">
        <w:t>,</w:t>
      </w:r>
      <w:r w:rsidR="00233C05" w:rsidRPr="00233C05">
        <w:t xml:space="preserve"> </w:t>
      </w:r>
      <w:r w:rsidR="00233C05" w:rsidRPr="00233A70">
        <w:t>and</w:t>
      </w:r>
      <w:r w:rsidR="000C6A1C" w:rsidRPr="00233A70" w:rsidDel="005665AC">
        <w:t xml:space="preserve"> </w:t>
      </w:r>
      <w:r w:rsidR="00233C05" w:rsidRPr="00233A70">
        <w:t>resources required for its timely collection and reporting</w:t>
      </w:r>
      <w:r>
        <w:t xml:space="preserve">. These stakeholder observations </w:t>
      </w:r>
      <w:r w:rsidR="005665AC">
        <w:t>we</w:t>
      </w:r>
      <w:r>
        <w:t xml:space="preserve">re </w:t>
      </w:r>
      <w:proofErr w:type="gramStart"/>
      <w:r>
        <w:t>similar to</w:t>
      </w:r>
      <w:proofErr w:type="gramEnd"/>
      <w:r>
        <w:t xml:space="preserve"> those expressed to </w:t>
      </w:r>
      <w:r w:rsidRPr="000C5623">
        <w:t>The</w:t>
      </w:r>
      <w:r w:rsidRPr="00F33A9E">
        <w:t xml:space="preserve"> </w:t>
      </w:r>
      <w:r w:rsidRPr="000C5623">
        <w:t>New Frontier</w:t>
      </w:r>
      <w:r>
        <w:rPr>
          <w:i/>
          <w:iCs/>
        </w:rPr>
        <w:t xml:space="preserve"> </w:t>
      </w:r>
      <w:r w:rsidR="00F33A9E">
        <w:t>i</w:t>
      </w:r>
      <w:r>
        <w:t>nquiry</w:t>
      </w:r>
      <w:r w:rsidR="005665AC">
        <w:t>.</w:t>
      </w:r>
      <w:r w:rsidR="005665AC">
        <w:rPr>
          <w:rStyle w:val="FootnoteReference"/>
        </w:rPr>
        <w:footnoteReference w:id="163"/>
      </w:r>
      <w:r>
        <w:t xml:space="preserve"> </w:t>
      </w:r>
      <w:r w:rsidR="005665AC">
        <w:t>The inquiry</w:t>
      </w:r>
      <w:r w:rsidDel="005665AC">
        <w:t xml:space="preserve"> </w:t>
      </w:r>
      <w:r>
        <w:t>discussed the benefits</w:t>
      </w:r>
      <w:r w:rsidR="000207D8">
        <w:t xml:space="preserve">, opportunities, </w:t>
      </w:r>
      <w:r>
        <w:t xml:space="preserve">risks </w:t>
      </w:r>
      <w:r w:rsidR="000207D8">
        <w:t xml:space="preserve">and uncertainties </w:t>
      </w:r>
      <w:r>
        <w:t>associated with the consideration of RWE in HTA</w:t>
      </w:r>
      <w:r w:rsidR="005665AC">
        <w:t>s. It also looked at</w:t>
      </w:r>
      <w:r>
        <w:t xml:space="preserve"> how different use cases </w:t>
      </w:r>
      <w:r w:rsidR="005665AC">
        <w:t>for</w:t>
      </w:r>
      <w:r>
        <w:t xml:space="preserve"> RWE (e.g. </w:t>
      </w:r>
      <w:r w:rsidR="005665AC">
        <w:t xml:space="preserve">as </w:t>
      </w:r>
      <w:r>
        <w:t>primary evidence for HTA recommendations, follow</w:t>
      </w:r>
      <w:r w:rsidR="005665AC">
        <w:noBreakHyphen/>
      </w:r>
      <w:r>
        <w:t xml:space="preserve">up evidence addressing identified uncertainties, </w:t>
      </w:r>
      <w:r w:rsidR="005665AC">
        <w:t xml:space="preserve">and </w:t>
      </w:r>
      <w:r>
        <w:t>for pharmacovigilance) can affect the design and complexity of collecti</w:t>
      </w:r>
      <w:r w:rsidR="005665AC">
        <w:t>ng</w:t>
      </w:r>
      <w:r>
        <w:t>, interpret</w:t>
      </w:r>
      <w:r w:rsidR="005665AC">
        <w:t>ing</w:t>
      </w:r>
      <w:r>
        <w:t xml:space="preserve"> and us</w:t>
      </w:r>
      <w:r w:rsidR="005665AC">
        <w:t xml:space="preserve">ing evidence </w:t>
      </w:r>
      <w:r>
        <w:t>for subsequent decision-making.</w:t>
      </w:r>
    </w:p>
    <w:p w14:paraId="7F168F79" w14:textId="68558338" w:rsidR="00AE488C" w:rsidRDefault="00AE488C" w:rsidP="000303E8">
      <w:r>
        <w:t xml:space="preserve">The Review tested </w:t>
      </w:r>
      <w:proofErr w:type="gramStart"/>
      <w:r>
        <w:t>a number of</w:t>
      </w:r>
      <w:proofErr w:type="gramEnd"/>
      <w:r>
        <w:t xml:space="preserve"> options </w:t>
      </w:r>
      <w:r w:rsidR="005665AC">
        <w:t xml:space="preserve">with stakeholders </w:t>
      </w:r>
      <w:r>
        <w:t xml:space="preserve">to </w:t>
      </w:r>
      <w:r w:rsidRPr="00CA5079">
        <w:t xml:space="preserve">maximise the value </w:t>
      </w:r>
      <w:r w:rsidR="001C1F64" w:rsidRPr="00233A70">
        <w:t>and availability</w:t>
      </w:r>
      <w:r w:rsidR="001C1F64">
        <w:t xml:space="preserve"> </w:t>
      </w:r>
      <w:r w:rsidRPr="00CA5079">
        <w:t>of RWD and RWE for HTA</w:t>
      </w:r>
      <w:r w:rsidR="005665AC">
        <w:t>. These</w:t>
      </w:r>
      <w:r>
        <w:t xml:space="preserve"> received broad support. All key stakeholder groups noted that implementation would require </w:t>
      </w:r>
      <w:r>
        <w:rPr>
          <w:rFonts w:cs="Segoe UI"/>
        </w:rPr>
        <w:t>c</w:t>
      </w:r>
      <w:r w:rsidRPr="00B54B5D">
        <w:rPr>
          <w:rFonts w:cs="Segoe UI"/>
        </w:rPr>
        <w:t>onsideration</w:t>
      </w:r>
      <w:r>
        <w:t xml:space="preserve"> of the complexities </w:t>
      </w:r>
      <w:r w:rsidR="00237FBF">
        <w:t xml:space="preserve">associated with data collection </w:t>
      </w:r>
      <w:r>
        <w:t>within the wider health system</w:t>
      </w:r>
      <w:r w:rsidR="009C2D98">
        <w:t>,</w:t>
      </w:r>
      <w:r w:rsidR="00CC103A">
        <w:t xml:space="preserve"> </w:t>
      </w:r>
      <w:r w:rsidR="00CC103A" w:rsidRPr="00233A70">
        <w:t xml:space="preserve">other </w:t>
      </w:r>
      <w:r w:rsidR="00F76CCD" w:rsidRPr="00233A70">
        <w:t>applications</w:t>
      </w:r>
      <w:r w:rsidR="00CC103A" w:rsidRPr="00233A70">
        <w:t xml:space="preserve"> of health data</w:t>
      </w:r>
      <w:r w:rsidR="00233A70" w:rsidRPr="00233A70">
        <w:t>,</w:t>
      </w:r>
      <w:r w:rsidR="005165EB" w:rsidRPr="005165EB">
        <w:t xml:space="preserve"> </w:t>
      </w:r>
      <w:r w:rsidR="005165EB" w:rsidRPr="0064439D">
        <w:t>alignment with existing initiatives</w:t>
      </w:r>
      <w:r w:rsidR="005165EB">
        <w:t>,</w:t>
      </w:r>
      <w:r>
        <w:t xml:space="preserve"> deliberate collaboration between stakeholders, a</w:t>
      </w:r>
      <w:r w:rsidR="009D1479">
        <w:t>nd</w:t>
      </w:r>
      <w:r>
        <w:t xml:space="preserve"> significant investment </w:t>
      </w:r>
      <w:r w:rsidR="009D1479">
        <w:t xml:space="preserve">in resources </w:t>
      </w:r>
      <w:r>
        <w:t xml:space="preserve">to </w:t>
      </w:r>
      <w:r w:rsidR="009D1479">
        <w:t>collect</w:t>
      </w:r>
      <w:r>
        <w:t xml:space="preserve"> evidence</w:t>
      </w:r>
      <w:r w:rsidR="009D1479">
        <w:t>.</w:t>
      </w:r>
      <w:r>
        <w:rPr>
          <w:rStyle w:val="FootnoteReference"/>
        </w:rPr>
        <w:footnoteReference w:id="164"/>
      </w:r>
      <w:r>
        <w:t xml:space="preserve"> </w:t>
      </w:r>
    </w:p>
    <w:p w14:paraId="1F8B1A55" w14:textId="0D4ADF56" w:rsidR="00AE488C" w:rsidRDefault="00AE488C" w:rsidP="000303E8">
      <w:r>
        <w:t xml:space="preserve">A small number of stakeholders at the in-person forums </w:t>
      </w:r>
      <w:r w:rsidR="009C10DF">
        <w:t xml:space="preserve">for </w:t>
      </w:r>
      <w:r>
        <w:t>Consultation 2</w:t>
      </w:r>
      <w:r w:rsidR="00AC7FF2">
        <w:t xml:space="preserve">, </w:t>
      </w:r>
      <w:r w:rsidR="00AC7FF2" w:rsidRPr="000832E9">
        <w:t xml:space="preserve">and some </w:t>
      </w:r>
      <w:r w:rsidR="003E101D" w:rsidRPr="000832E9">
        <w:t>written submissions,</w:t>
      </w:r>
      <w:r>
        <w:t xml:space="preserve"> noted that the proposed </w:t>
      </w:r>
      <w:r w:rsidR="009C10DF">
        <w:t xml:space="preserve">options </w:t>
      </w:r>
      <w:r>
        <w:t xml:space="preserve">lacked </w:t>
      </w:r>
      <w:r w:rsidRPr="0064439D">
        <w:t xml:space="preserve">specific </w:t>
      </w:r>
      <w:r>
        <w:t>implementation and resourcing details</w:t>
      </w:r>
      <w:r w:rsidR="009C10DF">
        <w:t>.</w:t>
      </w:r>
      <w:r>
        <w:rPr>
          <w:rStyle w:val="FootnoteReference"/>
        </w:rPr>
        <w:footnoteReference w:id="165"/>
      </w:r>
      <w:r w:rsidR="009C10DF">
        <w:t xml:space="preserve"> However,</w:t>
      </w:r>
      <w:r w:rsidRPr="0064439D" w:rsidDel="009C10DF">
        <w:t xml:space="preserve"> </w:t>
      </w:r>
      <w:r w:rsidRPr="0064439D">
        <w:t xml:space="preserve">most of </w:t>
      </w:r>
      <w:r>
        <w:t xml:space="preserve">these matters </w:t>
      </w:r>
      <w:r w:rsidRPr="0064439D">
        <w:t xml:space="preserve">are </w:t>
      </w:r>
      <w:r w:rsidR="009C10DF" w:rsidRPr="00B61FDC">
        <w:t xml:space="preserve">covered </w:t>
      </w:r>
      <w:r w:rsidRPr="00B61FDC">
        <w:t>in the supporting paper referred to in the recommendations</w:t>
      </w:r>
      <w:r w:rsidR="009054B2" w:rsidRPr="00B61FDC">
        <w:t xml:space="preserve"> (</w:t>
      </w:r>
      <w:r w:rsidR="001E50D3" w:rsidRPr="00B61FDC">
        <w:rPr>
          <w:i/>
          <w:iCs/>
        </w:rPr>
        <w:t xml:space="preserve">Optimised </w:t>
      </w:r>
      <w:proofErr w:type="gramStart"/>
      <w:r w:rsidR="001E50D3" w:rsidRPr="00B61FDC">
        <w:rPr>
          <w:i/>
          <w:iCs/>
        </w:rPr>
        <w:t>real world</w:t>
      </w:r>
      <w:proofErr w:type="gramEnd"/>
      <w:r w:rsidR="001E50D3" w:rsidRPr="00B61FDC">
        <w:rPr>
          <w:i/>
          <w:iCs/>
        </w:rPr>
        <w:t xml:space="preserve"> evidence to support </w:t>
      </w:r>
      <w:r w:rsidR="00265977" w:rsidRPr="00B61FDC">
        <w:rPr>
          <w:i/>
          <w:iCs/>
        </w:rPr>
        <w:t>HTA</w:t>
      </w:r>
      <w:r w:rsidR="007E3D0D" w:rsidRPr="00B61FDC">
        <w:rPr>
          <w:i/>
          <w:iCs/>
        </w:rPr>
        <w:t xml:space="preserve"> </w:t>
      </w:r>
      <w:r w:rsidR="001E50D3" w:rsidRPr="00B61FDC">
        <w:rPr>
          <w:i/>
          <w:iCs/>
        </w:rPr>
        <w:t>in Australia</w:t>
      </w:r>
      <w:r w:rsidR="009C10DF" w:rsidRPr="00B61FDC">
        <w:rPr>
          <w:rStyle w:val="FootnoteReference"/>
          <w:rFonts w:cs="Segoe UI"/>
        </w:rPr>
        <w:footnoteReference w:id="166"/>
      </w:r>
      <w:r w:rsidR="008F0EE1" w:rsidRPr="00B61FDC">
        <w:t>)</w:t>
      </w:r>
      <w:r w:rsidRPr="00B61FDC">
        <w:t>.</w:t>
      </w:r>
    </w:p>
    <w:p w14:paraId="36A86A78" w14:textId="63AC2B4E" w:rsidR="00AE488C" w:rsidRDefault="00AE488C" w:rsidP="000303E8">
      <w:pPr>
        <w:rPr>
          <w:b/>
          <w:bCs/>
          <w:strike/>
        </w:rPr>
      </w:pPr>
      <w:proofErr w:type="gramStart"/>
      <w:r>
        <w:lastRenderedPageBreak/>
        <w:t>A number of</w:t>
      </w:r>
      <w:proofErr w:type="gramEnd"/>
      <w:r>
        <w:t xml:space="preserve"> patient and industry stakeholders noted that </w:t>
      </w:r>
      <w:r w:rsidRPr="0064439D">
        <w:rPr>
          <w:rFonts w:cs="Segoe UI"/>
        </w:rPr>
        <w:t>data security and privacy issues</w:t>
      </w:r>
      <w:r>
        <w:rPr>
          <w:rFonts w:cs="Segoe UI"/>
        </w:rPr>
        <w:t xml:space="preserve"> would need to be carefully </w:t>
      </w:r>
      <w:r w:rsidR="009C10DF">
        <w:rPr>
          <w:rFonts w:cs="Segoe UI"/>
        </w:rPr>
        <w:t xml:space="preserve">handled </w:t>
      </w:r>
      <w:r>
        <w:rPr>
          <w:rFonts w:cs="Segoe UI"/>
        </w:rPr>
        <w:t>to maximise patient participation in data collection and support</w:t>
      </w:r>
      <w:r w:rsidDel="00BF2CC1">
        <w:rPr>
          <w:rFonts w:cs="Segoe UI"/>
        </w:rPr>
        <w:t xml:space="preserve"> </w:t>
      </w:r>
      <w:r>
        <w:rPr>
          <w:rFonts w:cs="Segoe UI"/>
        </w:rPr>
        <w:t>transparency and collaboration between stakeholders.</w:t>
      </w:r>
      <w:r>
        <w:rPr>
          <w:rStyle w:val="FootnoteReference"/>
          <w:rFonts w:cs="Segoe UI"/>
        </w:rPr>
        <w:footnoteReference w:id="167"/>
      </w:r>
    </w:p>
    <w:p w14:paraId="0C07248D" w14:textId="23BDC422" w:rsidR="00613CA3" w:rsidRPr="005A1FB2" w:rsidRDefault="00613CA3" w:rsidP="00A318F7">
      <w:pPr>
        <w:pStyle w:val="Heading3"/>
      </w:pPr>
      <w:bookmarkStart w:id="492" w:name="_Toc164691459"/>
      <w:bookmarkStart w:id="493" w:name="_Toc164696254"/>
      <w:bookmarkStart w:id="494" w:name="_Toc164696400"/>
      <w:bookmarkStart w:id="495" w:name="_Toc164767789"/>
      <w:bookmarkStart w:id="496" w:name="_Toc165473720"/>
      <w:r w:rsidRPr="005A1FB2">
        <w:t>Conclusion</w:t>
      </w:r>
      <w:bookmarkEnd w:id="492"/>
      <w:bookmarkEnd w:id="493"/>
      <w:bookmarkEnd w:id="494"/>
      <w:bookmarkEnd w:id="495"/>
      <w:bookmarkEnd w:id="496"/>
    </w:p>
    <w:p w14:paraId="599C3637" w14:textId="0FA1F8C2" w:rsidR="00E65D29" w:rsidRPr="00405FD7" w:rsidRDefault="00BF2CC1" w:rsidP="00F21679">
      <w:pPr>
        <w:rPr>
          <w:rFonts w:cs="Segoe UI"/>
        </w:rPr>
      </w:pPr>
      <w:r>
        <w:rPr>
          <w:rFonts w:cs="Segoe UI"/>
        </w:rPr>
        <w:t>G</w:t>
      </w:r>
      <w:r w:rsidR="00613CA3">
        <w:rPr>
          <w:rFonts w:cs="Segoe UI"/>
        </w:rPr>
        <w:t xml:space="preserve">iven the increasing uncertainty associated with indications for emerging health technologies </w:t>
      </w:r>
      <w:r>
        <w:rPr>
          <w:rFonts w:cs="Segoe UI"/>
        </w:rPr>
        <w:t>that</w:t>
      </w:r>
      <w:r w:rsidR="00613CA3" w:rsidDel="00BF2CC1">
        <w:rPr>
          <w:rFonts w:cs="Segoe UI"/>
        </w:rPr>
        <w:t xml:space="preserve"> </w:t>
      </w:r>
      <w:r w:rsidR="00613CA3">
        <w:rPr>
          <w:rFonts w:cs="Segoe UI"/>
        </w:rPr>
        <w:t xml:space="preserve">meet </w:t>
      </w:r>
      <w:r w:rsidR="006C4C1B">
        <w:rPr>
          <w:rFonts w:cs="Segoe UI"/>
        </w:rPr>
        <w:t>HUCN</w:t>
      </w:r>
      <w:r w:rsidR="009B1387">
        <w:rPr>
          <w:rFonts w:cs="Segoe UI"/>
        </w:rPr>
        <w:t xml:space="preserve"> </w:t>
      </w:r>
      <w:r w:rsidR="00613CA3">
        <w:rPr>
          <w:rFonts w:cs="Segoe UI"/>
        </w:rPr>
        <w:t xml:space="preserve">and address </w:t>
      </w:r>
      <w:r>
        <w:rPr>
          <w:rFonts w:cs="Segoe UI"/>
        </w:rPr>
        <w:t xml:space="preserve">the </w:t>
      </w:r>
      <w:r w:rsidR="00613CA3">
        <w:rPr>
          <w:rFonts w:cs="Segoe UI"/>
        </w:rPr>
        <w:t xml:space="preserve">needs of disadvantaged groups, it is critical that evidence is enhanced to increase confidence in decision-making. There are significant opportunities to use RWD and RWE for these purposes. </w:t>
      </w:r>
      <w:r w:rsidR="00A60B00">
        <w:rPr>
          <w:rFonts w:cs="Segoe UI"/>
        </w:rPr>
        <w:t>S</w:t>
      </w:r>
      <w:r w:rsidR="00613CA3">
        <w:rPr>
          <w:rFonts w:cs="Segoe UI"/>
        </w:rPr>
        <w:t xml:space="preserve">ignificant investment </w:t>
      </w:r>
      <w:r w:rsidR="00A60B00">
        <w:rPr>
          <w:rFonts w:cs="Segoe UI"/>
        </w:rPr>
        <w:t xml:space="preserve">has already been made </w:t>
      </w:r>
      <w:r w:rsidR="00613CA3">
        <w:rPr>
          <w:rFonts w:cs="Segoe UI"/>
        </w:rPr>
        <w:t>in data collection and infrastructure, but resources and effort</w:t>
      </w:r>
      <w:r w:rsidR="00613CA3" w:rsidDel="00A60B00">
        <w:rPr>
          <w:rFonts w:cs="Segoe UI"/>
        </w:rPr>
        <w:t xml:space="preserve"> </w:t>
      </w:r>
      <w:r w:rsidR="00613CA3">
        <w:rPr>
          <w:rFonts w:cs="Segoe UI"/>
        </w:rPr>
        <w:t>need to be pooled and standardised</w:t>
      </w:r>
      <w:r w:rsidR="00613CA3" w:rsidDel="00A60B00">
        <w:rPr>
          <w:rFonts w:cs="Segoe UI"/>
        </w:rPr>
        <w:t xml:space="preserve"> </w:t>
      </w:r>
      <w:r w:rsidR="00613CA3">
        <w:rPr>
          <w:rFonts w:cs="Segoe UI"/>
        </w:rPr>
        <w:t>to effectively meet HTA needs. A consolidated, collaborative approach w</w:t>
      </w:r>
      <w:r w:rsidR="00A60B00">
        <w:rPr>
          <w:rFonts w:cs="Segoe UI"/>
        </w:rPr>
        <w:t>ould</w:t>
      </w:r>
      <w:r w:rsidR="00613CA3">
        <w:rPr>
          <w:rFonts w:cs="Segoe UI"/>
        </w:rPr>
        <w:t xml:space="preserve"> also help to increase participation by other essential stakeholders, including clinicians, data custodians, researchers, funders and industry, by ensuring that shared</w:t>
      </w:r>
      <w:r w:rsidR="6157D176" w:rsidRPr="6CC68A72">
        <w:rPr>
          <w:rFonts w:cs="Segoe UI"/>
        </w:rPr>
        <w:t xml:space="preserve"> </w:t>
      </w:r>
      <w:r w:rsidR="00613CA3">
        <w:rPr>
          <w:rFonts w:cs="Segoe UI"/>
        </w:rPr>
        <w:t>infrastructure meet</w:t>
      </w:r>
      <w:r w:rsidR="00A60B00">
        <w:rPr>
          <w:rFonts w:cs="Segoe UI"/>
        </w:rPr>
        <w:t>s</w:t>
      </w:r>
      <w:r w:rsidR="00613CA3">
        <w:rPr>
          <w:rFonts w:cs="Segoe UI"/>
        </w:rPr>
        <w:t xml:space="preserve"> the purposes of differ</w:t>
      </w:r>
      <w:r w:rsidR="00A60B00">
        <w:rPr>
          <w:rFonts w:cs="Segoe UI"/>
        </w:rPr>
        <w:t xml:space="preserve">ent </w:t>
      </w:r>
      <w:r w:rsidR="00613CA3">
        <w:rPr>
          <w:rFonts w:cs="Segoe UI"/>
        </w:rPr>
        <w:t xml:space="preserve">stakeholders. </w:t>
      </w:r>
      <w:r w:rsidR="0030275C">
        <w:rPr>
          <w:rFonts w:cs="Segoe UI"/>
        </w:rPr>
        <w:t xml:space="preserve">The </w:t>
      </w:r>
      <w:r w:rsidR="006E02BF">
        <w:rPr>
          <w:rFonts w:cs="Segoe UI"/>
        </w:rPr>
        <w:t>r</w:t>
      </w:r>
      <w:r w:rsidR="0030275C">
        <w:rPr>
          <w:rFonts w:cs="Segoe UI"/>
        </w:rPr>
        <w:t>oad</w:t>
      </w:r>
      <w:r w:rsidR="0096794E">
        <w:rPr>
          <w:rFonts w:cs="Segoe UI"/>
        </w:rPr>
        <w:t>m</w:t>
      </w:r>
      <w:r w:rsidR="0030275C">
        <w:rPr>
          <w:rFonts w:cs="Segoe UI"/>
        </w:rPr>
        <w:t xml:space="preserve">ap set out </w:t>
      </w:r>
      <w:r w:rsidR="00AF385B">
        <w:rPr>
          <w:rFonts w:cs="Segoe UI"/>
        </w:rPr>
        <w:t xml:space="preserve">in </w:t>
      </w:r>
      <w:r w:rsidR="00F907BB" w:rsidRPr="00F907BB">
        <w:rPr>
          <w:i/>
        </w:rPr>
        <w:t xml:space="preserve">Optimised </w:t>
      </w:r>
      <w:proofErr w:type="gramStart"/>
      <w:r w:rsidR="00F907BB" w:rsidRPr="00F907BB">
        <w:rPr>
          <w:i/>
        </w:rPr>
        <w:t>real world</w:t>
      </w:r>
      <w:proofErr w:type="gramEnd"/>
      <w:r w:rsidR="00F907BB" w:rsidRPr="00F907BB">
        <w:rPr>
          <w:i/>
        </w:rPr>
        <w:t xml:space="preserve"> evidence to support health technology assessment in Australia</w:t>
      </w:r>
      <w:r w:rsidR="0096794E">
        <w:rPr>
          <w:rFonts w:cs="Segoe UI"/>
          <w:i/>
          <w:iCs/>
        </w:rPr>
        <w:t xml:space="preserve"> </w:t>
      </w:r>
      <w:r w:rsidR="00DA4FFF">
        <w:rPr>
          <w:rFonts w:cs="Segoe UI"/>
        </w:rPr>
        <w:t xml:space="preserve">provides </w:t>
      </w:r>
      <w:r w:rsidR="00390256">
        <w:rPr>
          <w:rFonts w:cs="Segoe UI"/>
        </w:rPr>
        <w:t xml:space="preserve">a solid approach to </w:t>
      </w:r>
      <w:r w:rsidR="004E3AF1">
        <w:rPr>
          <w:rFonts w:cs="Segoe UI"/>
        </w:rPr>
        <w:t xml:space="preserve">achieving </w:t>
      </w:r>
      <w:r w:rsidR="004C2CCB">
        <w:rPr>
          <w:rFonts w:cs="Segoe UI"/>
        </w:rPr>
        <w:t>efficient, effective and coordinated infrastructure to support Australia’s HTA needs</w:t>
      </w:r>
      <w:r w:rsidR="007E3D0D">
        <w:rPr>
          <w:rFonts w:cs="Segoe UI"/>
        </w:rPr>
        <w:t>.</w:t>
      </w:r>
      <w:r w:rsidR="00695D29">
        <w:rPr>
          <w:rStyle w:val="FootnoteReference"/>
          <w:rFonts w:cs="Segoe UI"/>
        </w:rPr>
        <w:footnoteReference w:id="168"/>
      </w:r>
      <w:r w:rsidR="004C2CCB">
        <w:rPr>
          <w:rFonts w:cs="Segoe UI"/>
        </w:rPr>
        <w:t xml:space="preserve"> </w:t>
      </w:r>
    </w:p>
    <w:p w14:paraId="554E49FD" w14:textId="26663C32" w:rsidR="00613CA3" w:rsidRPr="00724A15" w:rsidRDefault="00613CA3" w:rsidP="00A318F7">
      <w:pPr>
        <w:pStyle w:val="Heading3"/>
      </w:pPr>
      <w:bookmarkStart w:id="497" w:name="_Toc164685839"/>
      <w:bookmarkStart w:id="498" w:name="_Toc164691460"/>
      <w:bookmarkStart w:id="499" w:name="_Toc164696255"/>
      <w:bookmarkStart w:id="500" w:name="_Toc164696401"/>
      <w:bookmarkStart w:id="501" w:name="_Toc164767790"/>
      <w:bookmarkStart w:id="502" w:name="_Toc165473721"/>
      <w:r w:rsidRPr="00724A15">
        <w:t xml:space="preserve">Objectives </w:t>
      </w:r>
      <w:r w:rsidR="00740AED">
        <w:t>of</w:t>
      </w:r>
      <w:r w:rsidRPr="00724A15">
        <w:t xml:space="preserve"> recommendations</w:t>
      </w:r>
      <w:bookmarkEnd w:id="497"/>
      <w:bookmarkEnd w:id="498"/>
      <w:bookmarkEnd w:id="499"/>
      <w:bookmarkEnd w:id="500"/>
      <w:bookmarkEnd w:id="501"/>
      <w:bookmarkEnd w:id="502"/>
      <w:r w:rsidRPr="00724A15">
        <w:t xml:space="preserve"> </w:t>
      </w:r>
    </w:p>
    <w:p w14:paraId="37795962" w14:textId="53D0DB41" w:rsidR="00613CA3" w:rsidRPr="006E39B7" w:rsidRDefault="00DA4FFF" w:rsidP="00F21679">
      <w:pPr>
        <w:spacing w:after="0"/>
      </w:pPr>
      <w:r>
        <w:t>The Review’s recommendations aim t</w:t>
      </w:r>
      <w:r w:rsidR="00613CA3" w:rsidRPr="006E39B7">
        <w:t>o enhance timely access to relevant, quality RWD and RWE to support:</w:t>
      </w:r>
    </w:p>
    <w:p w14:paraId="4566E2B6" w14:textId="41A808C6" w:rsidR="00613CA3" w:rsidRPr="006E39B7" w:rsidRDefault="00613CA3" w:rsidP="00274AA9">
      <w:pPr>
        <w:pStyle w:val="ListBullet"/>
      </w:pPr>
      <w:r w:rsidRPr="006E39B7">
        <w:t xml:space="preserve">epidemiological modelling to understand the size and characteristics of the intended treatment population </w:t>
      </w:r>
      <w:r w:rsidR="00DA4FFF">
        <w:t xml:space="preserve">and </w:t>
      </w:r>
      <w:r w:rsidRPr="006E39B7">
        <w:t>current and intended treatment pathway, and to inform the economic model</w:t>
      </w:r>
      <w:r w:rsidR="005573C4">
        <w:t xml:space="preserve"> </w:t>
      </w:r>
      <w:r w:rsidRPr="006E39B7">
        <w:t>and overall costs associated with the therapy</w:t>
      </w:r>
    </w:p>
    <w:p w14:paraId="17143F5B" w14:textId="7A4DDDEC" w:rsidR="00613CA3" w:rsidRPr="006E39B7" w:rsidRDefault="00613CA3" w:rsidP="00274AA9">
      <w:pPr>
        <w:pStyle w:val="ListBullet"/>
      </w:pPr>
      <w:r w:rsidRPr="006E39B7">
        <w:t xml:space="preserve">assessment of the comparative effectiveness of health technologies proposed for use in Australia, as a supplement to available RCT evidence, to assist </w:t>
      </w:r>
      <w:r w:rsidR="00DA4FFF">
        <w:t>with resolving</w:t>
      </w:r>
      <w:r w:rsidRPr="006E39B7">
        <w:t xml:space="preserve"> uncertainty</w:t>
      </w:r>
    </w:p>
    <w:p w14:paraId="7ECF345C" w14:textId="0E782FF9" w:rsidR="00613CA3" w:rsidRPr="006E39B7" w:rsidRDefault="00613CA3" w:rsidP="00274AA9">
      <w:pPr>
        <w:pStyle w:val="ListBullet"/>
      </w:pPr>
      <w:r w:rsidRPr="006E39B7">
        <w:t>review of the usage and performance of health technologies in Australia to ensure that subsidised health technologies are the most appropriate, safe, clinically</w:t>
      </w:r>
      <w:r w:rsidR="008F14B1">
        <w:t xml:space="preserve"> </w:t>
      </w:r>
      <w:r w:rsidRPr="006E39B7">
        <w:t xml:space="preserve">effective and cost-effective option for their funded indication, and potential suitability for other indications. </w:t>
      </w:r>
    </w:p>
    <w:p w14:paraId="6E18B75D" w14:textId="11BA8AD2" w:rsidR="00613CA3" w:rsidRPr="00E473FB" w:rsidRDefault="00613CA3" w:rsidP="00A318F7">
      <w:pPr>
        <w:pStyle w:val="Heading3"/>
      </w:pPr>
      <w:bookmarkStart w:id="503" w:name="_Toc164685840"/>
      <w:bookmarkStart w:id="504" w:name="_Toc164691461"/>
      <w:bookmarkStart w:id="505" w:name="_Toc164696256"/>
      <w:bookmarkStart w:id="506" w:name="_Toc164696402"/>
      <w:bookmarkStart w:id="507" w:name="_Toc164767791"/>
      <w:bookmarkStart w:id="508" w:name="_Toc165473722"/>
      <w:r w:rsidRPr="00E473FB">
        <w:lastRenderedPageBreak/>
        <w:t>Recommendations</w:t>
      </w:r>
      <w:bookmarkEnd w:id="503"/>
      <w:bookmarkEnd w:id="504"/>
      <w:bookmarkEnd w:id="505"/>
      <w:bookmarkEnd w:id="506"/>
      <w:bookmarkEnd w:id="507"/>
      <w:bookmarkEnd w:id="508"/>
      <w:r w:rsidRPr="00E473FB">
        <w:t xml:space="preserve"> </w:t>
      </w:r>
    </w:p>
    <w:p w14:paraId="204C1F1E" w14:textId="26D85B95" w:rsidR="00F87D16" w:rsidRDefault="00F924E3" w:rsidP="00645D5E">
      <w:pPr>
        <w:pStyle w:val="Recommendation1"/>
      </w:pPr>
      <w:bookmarkStart w:id="509" w:name="_Ref165281422"/>
      <w:bookmarkStart w:id="510" w:name="_Ref166776766"/>
      <w:bookmarkStart w:id="511" w:name="_Hlk167302257"/>
      <w:r w:rsidRPr="006324CB">
        <w:t xml:space="preserve">Governance and </w:t>
      </w:r>
      <w:bookmarkEnd w:id="509"/>
      <w:r w:rsidR="008F14B1">
        <w:t>s</w:t>
      </w:r>
      <w:r w:rsidRPr="006324CB">
        <w:t>tr</w:t>
      </w:r>
      <w:r w:rsidR="00266AE0" w:rsidRPr="006324CB">
        <w:t xml:space="preserve">ategic </w:t>
      </w:r>
      <w:r w:rsidR="008F14B1">
        <w:t>o</w:t>
      </w:r>
      <w:r w:rsidR="00266AE0" w:rsidRPr="006324CB">
        <w:t>versight</w:t>
      </w:r>
      <w:r w:rsidR="0069536D">
        <w:t xml:space="preserve"> of </w:t>
      </w:r>
      <w:r w:rsidR="008E48C8">
        <w:t>real-world data</w:t>
      </w:r>
      <w:r w:rsidR="0069536D">
        <w:t xml:space="preserve"> to support HTA</w:t>
      </w:r>
      <w:bookmarkEnd w:id="510"/>
      <w:r w:rsidR="008F14B1">
        <w:t>s</w:t>
      </w:r>
    </w:p>
    <w:bookmarkEnd w:id="511"/>
    <w:p w14:paraId="33E4CA75" w14:textId="33ACAFC1" w:rsidR="00146BB7" w:rsidRDefault="00150763" w:rsidP="00157AB2">
      <w:pPr>
        <w:keepNext/>
        <w:spacing w:before="120"/>
        <w:rPr>
          <w:rFonts w:cs="Segoe UI"/>
        </w:rPr>
      </w:pPr>
      <w:r w:rsidRPr="00405FD7">
        <w:rPr>
          <w:rFonts w:cs="Segoe UI"/>
        </w:rPr>
        <w:t xml:space="preserve">The Review recommends </w:t>
      </w:r>
      <w:r w:rsidR="008F14B1">
        <w:rPr>
          <w:rFonts w:cs="Segoe UI"/>
        </w:rPr>
        <w:t xml:space="preserve">that </w:t>
      </w:r>
      <w:r w:rsidRPr="00405FD7">
        <w:rPr>
          <w:rFonts w:cs="Segoe UI"/>
        </w:rPr>
        <w:t xml:space="preserve">the Australian </w:t>
      </w:r>
      <w:r w:rsidRPr="00C07AE2">
        <w:rPr>
          <w:rFonts w:cs="Segoe UI"/>
        </w:rPr>
        <w:t>Government</w:t>
      </w:r>
      <w:r w:rsidR="00E91ED2">
        <w:rPr>
          <w:rFonts w:cs="Segoe UI"/>
        </w:rPr>
        <w:t xml:space="preserve"> </w:t>
      </w:r>
      <w:r w:rsidR="00445E53" w:rsidRPr="00C07AE2">
        <w:t>d</w:t>
      </w:r>
      <w:bookmarkStart w:id="512" w:name="_Ref164155239"/>
      <w:r w:rsidR="00613CA3" w:rsidRPr="00C07AE2">
        <w:t xml:space="preserve">evelop and implement an Australia-specific framework to optimise timely access to relevant </w:t>
      </w:r>
      <w:r w:rsidR="00F57BBF" w:rsidRPr="00C07AE2">
        <w:t>r</w:t>
      </w:r>
      <w:r w:rsidR="00424522" w:rsidRPr="00C07AE2">
        <w:t>eal</w:t>
      </w:r>
      <w:r w:rsidR="007E3D0D" w:rsidRPr="00C07AE2">
        <w:t>-</w:t>
      </w:r>
      <w:r w:rsidR="00F57BBF" w:rsidRPr="00C07AE2">
        <w:t>w</w:t>
      </w:r>
      <w:r w:rsidR="00424522" w:rsidRPr="00C07AE2">
        <w:t xml:space="preserve">orld </w:t>
      </w:r>
      <w:r w:rsidR="00F57BBF" w:rsidRPr="00C07AE2">
        <w:t>d</w:t>
      </w:r>
      <w:r w:rsidR="00424522" w:rsidRPr="00C07AE2">
        <w:t>ata (</w:t>
      </w:r>
      <w:r w:rsidR="00613CA3" w:rsidRPr="00C07AE2">
        <w:t>RWD</w:t>
      </w:r>
      <w:r w:rsidR="00424522" w:rsidRPr="00C07AE2">
        <w:t>)</w:t>
      </w:r>
      <w:r w:rsidR="00613CA3" w:rsidRPr="00C07AE2">
        <w:t xml:space="preserve"> for HTA</w:t>
      </w:r>
      <w:r w:rsidR="004F5152" w:rsidRPr="00C07AE2">
        <w:t>s</w:t>
      </w:r>
      <w:r w:rsidR="00613CA3" w:rsidRPr="00C07AE2">
        <w:t xml:space="preserve">, </w:t>
      </w:r>
      <w:r w:rsidR="00A25BFE" w:rsidRPr="00C07AE2">
        <w:t>to</w:t>
      </w:r>
      <w:r w:rsidR="00613CA3" w:rsidRPr="00C07AE2">
        <w:t xml:space="preserve"> supplement available </w:t>
      </w:r>
      <w:r w:rsidR="00F57BBF" w:rsidRPr="00C07AE2">
        <w:t>randomised controlled trial (</w:t>
      </w:r>
      <w:r w:rsidR="00613CA3" w:rsidRPr="00C07AE2">
        <w:t>RCT</w:t>
      </w:r>
      <w:r w:rsidR="00F57BBF" w:rsidRPr="00C07AE2">
        <w:t>)</w:t>
      </w:r>
      <w:r w:rsidR="00F57BBF" w:rsidRPr="00C07AE2" w:rsidDel="00F57BBF">
        <w:t xml:space="preserve"> </w:t>
      </w:r>
      <w:r w:rsidR="00613CA3" w:rsidRPr="00C07AE2">
        <w:t xml:space="preserve">evidence. </w:t>
      </w:r>
      <w:bookmarkEnd w:id="512"/>
      <w:r w:rsidR="00FA75AC" w:rsidRPr="00C07AE2">
        <w:t>This framework should:</w:t>
      </w:r>
      <w:r w:rsidR="00FA75AC">
        <w:rPr>
          <w:rFonts w:cs="Segoe UI"/>
        </w:rPr>
        <w:t xml:space="preserve"> </w:t>
      </w:r>
    </w:p>
    <w:p w14:paraId="2CFABAB9" w14:textId="32D1D4E7" w:rsidR="00613CA3" w:rsidRPr="00E91ED2" w:rsidRDefault="00FA75AC" w:rsidP="00281153">
      <w:pPr>
        <w:pStyle w:val="ListParagraph"/>
        <w:numPr>
          <w:ilvl w:val="0"/>
          <w:numId w:val="104"/>
        </w:numPr>
      </w:pPr>
      <w:r w:rsidRPr="00E91ED2">
        <w:t>cover enabling systems</w:t>
      </w:r>
      <w:r w:rsidR="00760282" w:rsidRPr="00E91ED2">
        <w:t xml:space="preserve"> and</w:t>
      </w:r>
      <w:r w:rsidRPr="00E91ED2">
        <w:t xml:space="preserve"> pathways, </w:t>
      </w:r>
      <w:r w:rsidR="00760282" w:rsidRPr="00E91ED2">
        <w:t xml:space="preserve">and </w:t>
      </w:r>
      <w:r w:rsidRPr="00E91ED2">
        <w:t xml:space="preserve">evaluation and research </w:t>
      </w:r>
      <w:r w:rsidR="00760282" w:rsidRPr="00E91ED2">
        <w:t>when</w:t>
      </w:r>
      <w:r w:rsidRPr="00E91ED2">
        <w:t xml:space="preserve"> collecti</w:t>
      </w:r>
      <w:r w:rsidR="00760282" w:rsidRPr="00E91ED2">
        <w:t xml:space="preserve">ng </w:t>
      </w:r>
      <w:r w:rsidRPr="00E91ED2">
        <w:t>and us</w:t>
      </w:r>
      <w:r w:rsidR="00760282" w:rsidRPr="00E91ED2">
        <w:t>ing</w:t>
      </w:r>
      <w:r w:rsidRPr="00E91ED2">
        <w:t xml:space="preserve"> RWD for HTA</w:t>
      </w:r>
      <w:r w:rsidR="00760282" w:rsidRPr="00E91ED2">
        <w:t>s</w:t>
      </w:r>
      <w:r w:rsidR="00613CA3" w:rsidRPr="00E91ED2">
        <w:t xml:space="preserve"> </w:t>
      </w:r>
    </w:p>
    <w:p w14:paraId="39B227D7" w14:textId="4A7125A9" w:rsidR="00613CA3" w:rsidRPr="00E91ED2" w:rsidRDefault="00613CA3" w:rsidP="00281153">
      <w:pPr>
        <w:pStyle w:val="ListParagraph"/>
        <w:numPr>
          <w:ilvl w:val="0"/>
          <w:numId w:val="104"/>
        </w:numPr>
      </w:pPr>
      <w:r w:rsidRPr="00E91ED2">
        <w:t>be co-designed and developed with oversight from a multi-disciplinary, multi-stakeholder advisory group, reporting to government. It is important that the group has links to international entities and partnerships with data stewards to facilitate access to data applicable to HTA</w:t>
      </w:r>
      <w:r w:rsidR="00760282" w:rsidRPr="00E91ED2">
        <w:t>s</w:t>
      </w:r>
    </w:p>
    <w:p w14:paraId="02AF4378" w14:textId="048D22A7" w:rsidR="00613CA3" w:rsidRPr="00E91ED2" w:rsidRDefault="00613CA3" w:rsidP="00157AB2">
      <w:pPr>
        <w:pStyle w:val="ListParagraph"/>
        <w:numPr>
          <w:ilvl w:val="0"/>
          <w:numId w:val="104"/>
        </w:numPr>
        <w:spacing w:after="0"/>
        <w:contextualSpacing w:val="0"/>
      </w:pPr>
      <w:r w:rsidRPr="00E91ED2">
        <w:t>include a strategy to increase confidence, awareness and acceptance of cross-jurisdictional and cross-sectoral RWD access and use in HTA</w:t>
      </w:r>
      <w:r w:rsidR="00760282" w:rsidRPr="00E91ED2">
        <w:t>s</w:t>
      </w:r>
      <w:r w:rsidRPr="00E91ED2">
        <w:t>.</w:t>
      </w:r>
      <w:r w:rsidR="00191C66" w:rsidRPr="00E91ED2">
        <w:t xml:space="preserve"> The strategy should:</w:t>
      </w:r>
    </w:p>
    <w:p w14:paraId="409C6E6C" w14:textId="038950D3" w:rsidR="00E262A6" w:rsidRPr="00E91ED2" w:rsidRDefault="00E262A6" w:rsidP="00281153">
      <w:pPr>
        <w:pStyle w:val="ListNumber"/>
        <w:numPr>
          <w:ilvl w:val="1"/>
          <w:numId w:val="104"/>
        </w:numPr>
      </w:pPr>
      <w:r w:rsidRPr="00E91ED2">
        <w:t xml:space="preserve">centre around consumer and community engagement and co-design, leverage and integrate existing international activities and guidelines, incorporate </w:t>
      </w:r>
      <w:r w:rsidR="00760282" w:rsidRPr="00E91ED2">
        <w:t xml:space="preserve">the </w:t>
      </w:r>
      <w:r w:rsidRPr="00E91ED2">
        <w:t>Australian context and evidence, and fine</w:t>
      </w:r>
      <w:r w:rsidR="00760282" w:rsidRPr="00E91ED2">
        <w:t>-</w:t>
      </w:r>
      <w:r w:rsidRPr="00E91ED2">
        <w:t>tune responses and messages specific to HTA</w:t>
      </w:r>
      <w:r w:rsidR="00760282" w:rsidRPr="00E91ED2">
        <w:t>s</w:t>
      </w:r>
    </w:p>
    <w:p w14:paraId="43C5F0B3" w14:textId="71BEAEF1" w:rsidR="00C90E10" w:rsidRDefault="00BE75FA" w:rsidP="00281153">
      <w:pPr>
        <w:pStyle w:val="ListNumber"/>
        <w:numPr>
          <w:ilvl w:val="1"/>
          <w:numId w:val="104"/>
        </w:numPr>
        <w:rPr>
          <w:rFonts w:cs="Segoe UI"/>
        </w:rPr>
      </w:pPr>
      <w:r w:rsidRPr="00E91ED2">
        <w:t>support</w:t>
      </w:r>
      <w:r w:rsidR="00C90E10" w:rsidRPr="00E91ED2">
        <w:t xml:space="preserve"> </w:t>
      </w:r>
      <w:r w:rsidR="00C44592">
        <w:t xml:space="preserve">the </w:t>
      </w:r>
      <w:r w:rsidR="00C90E10" w:rsidRPr="00E91ED2">
        <w:t>develop</w:t>
      </w:r>
      <w:r w:rsidRPr="00E91ED2">
        <w:t>ment</w:t>
      </w:r>
      <w:r w:rsidR="00C90E10" w:rsidRPr="00E91ED2">
        <w:t xml:space="preserve"> and enhance</w:t>
      </w:r>
      <w:r w:rsidRPr="00E91ED2">
        <w:t>ment of</w:t>
      </w:r>
      <w:r w:rsidR="00C90E10" w:rsidRPr="00E91ED2">
        <w:t xml:space="preserve"> systems that ensure privacy protections, data security and First Nations data governance</w:t>
      </w:r>
      <w:r w:rsidR="00760282" w:rsidRPr="00E91ED2">
        <w:t>,</w:t>
      </w:r>
      <w:r w:rsidR="00C90E10" w:rsidRPr="00E91ED2" w:rsidDel="00760282">
        <w:t xml:space="preserve"> </w:t>
      </w:r>
      <w:r w:rsidR="00C90E10" w:rsidRPr="00E91ED2">
        <w:t>align</w:t>
      </w:r>
      <w:r w:rsidR="00760282" w:rsidRPr="00E91ED2">
        <w:t>ing</w:t>
      </w:r>
      <w:r w:rsidR="00C90E10" w:rsidRPr="00E91ED2">
        <w:t xml:space="preserve"> with existing strategies</w:t>
      </w:r>
      <w:r w:rsidR="00C90E10" w:rsidRPr="00C90E10">
        <w:rPr>
          <w:rFonts w:cs="Segoe UI"/>
        </w:rPr>
        <w:t xml:space="preserve"> (e.g. the Department of Health and Aged Care</w:t>
      </w:r>
      <w:r w:rsidR="00760282">
        <w:rPr>
          <w:rFonts w:cs="Segoe UI"/>
        </w:rPr>
        <w:t>’s</w:t>
      </w:r>
      <w:r w:rsidR="00C90E10" w:rsidRPr="00C90E10">
        <w:rPr>
          <w:rFonts w:cs="Segoe UI"/>
        </w:rPr>
        <w:t xml:space="preserve"> </w:t>
      </w:r>
      <w:r w:rsidR="00C90E10" w:rsidRPr="000C5623">
        <w:rPr>
          <w:rFonts w:cs="Segoe UI"/>
          <w:i/>
          <w:iCs/>
        </w:rPr>
        <w:t>Data Strategy 2022–</w:t>
      </w:r>
      <w:r w:rsidR="00760282" w:rsidRPr="000C5623">
        <w:rPr>
          <w:rFonts w:cs="Segoe UI"/>
          <w:i/>
          <w:iCs/>
        </w:rPr>
        <w:t>20</w:t>
      </w:r>
      <w:r w:rsidR="00C90E10" w:rsidRPr="000C5623">
        <w:rPr>
          <w:rFonts w:cs="Segoe UI"/>
          <w:i/>
          <w:iCs/>
        </w:rPr>
        <w:t>25</w:t>
      </w:r>
      <w:r w:rsidR="00C90E10" w:rsidRPr="00C90E10">
        <w:rPr>
          <w:rFonts w:cs="Segoe UI"/>
        </w:rPr>
        <w:t>).</w:t>
      </w:r>
    </w:p>
    <w:p w14:paraId="543C1BE9" w14:textId="4F63D06B" w:rsidR="00093C0D" w:rsidRPr="00093C0D" w:rsidRDefault="007B7D75" w:rsidP="00645D5E">
      <w:pPr>
        <w:pStyle w:val="Recommendation1"/>
      </w:pPr>
      <w:bookmarkStart w:id="513" w:name="_Ref166789414"/>
      <w:bookmarkStart w:id="514" w:name="_Hlk167302268"/>
      <w:r>
        <w:t>Data infrastructure</w:t>
      </w:r>
      <w:r w:rsidR="00A025FC">
        <w:t xml:space="preserve"> to support HTA</w:t>
      </w:r>
      <w:bookmarkEnd w:id="513"/>
      <w:r w:rsidR="00760282">
        <w:t>s</w:t>
      </w:r>
    </w:p>
    <w:bookmarkEnd w:id="514"/>
    <w:p w14:paraId="4AEC5902" w14:textId="33D51164" w:rsidR="00613CA3" w:rsidRPr="001D756C" w:rsidRDefault="004D2CD1" w:rsidP="00281153">
      <w:pPr>
        <w:pStyle w:val="ListParagraph"/>
        <w:numPr>
          <w:ilvl w:val="0"/>
          <w:numId w:val="109"/>
        </w:numPr>
        <w:spacing w:before="120" w:after="120"/>
      </w:pPr>
      <w:r w:rsidRPr="00405FD7">
        <w:rPr>
          <w:rFonts w:cs="Segoe UI"/>
        </w:rPr>
        <w:t xml:space="preserve">The Review recommends </w:t>
      </w:r>
      <w:r w:rsidR="00760282">
        <w:rPr>
          <w:rFonts w:cs="Segoe UI"/>
        </w:rPr>
        <w:t xml:space="preserve">that </w:t>
      </w:r>
      <w:r w:rsidRPr="00405FD7">
        <w:rPr>
          <w:rFonts w:cs="Segoe UI"/>
        </w:rPr>
        <w:t>the Australian Government</w:t>
      </w:r>
      <w:r w:rsidR="007E438F">
        <w:rPr>
          <w:rFonts w:cs="Segoe UI"/>
        </w:rPr>
        <w:t xml:space="preserve"> </w:t>
      </w:r>
      <w:r w:rsidR="00760282">
        <w:t>d</w:t>
      </w:r>
      <w:r w:rsidR="00613CA3" w:rsidRPr="00405FD7">
        <w:t>evelop</w:t>
      </w:r>
      <w:bookmarkStart w:id="515" w:name="_Ref164157873"/>
      <w:r w:rsidR="00613CA3" w:rsidRPr="00405FD7">
        <w:t xml:space="preserve"> dynamic, enduring</w:t>
      </w:r>
      <w:r w:rsidR="008E48C8">
        <w:t>,</w:t>
      </w:r>
      <w:r w:rsidR="00613CA3" w:rsidRPr="00405FD7">
        <w:t xml:space="preserve"> whole-of-government data infrastructure, with oversight by the multi-stakeholder advisory group</w:t>
      </w:r>
      <w:r w:rsidR="00347456" w:rsidRPr="00405FD7">
        <w:t xml:space="preserve"> (</w:t>
      </w:r>
      <w:bookmarkEnd w:id="515"/>
      <w:r w:rsidR="00760282">
        <w:t>see ‘</w:t>
      </w:r>
      <w:r w:rsidR="00BC17E0">
        <w:t xml:space="preserve">Recommendation </w:t>
      </w:r>
      <w:r w:rsidR="001B68B5">
        <w:t xml:space="preserve">27: </w:t>
      </w:r>
      <w:r w:rsidR="00BC17E0" w:rsidRPr="000C5623">
        <w:t xml:space="preserve">Governance and </w:t>
      </w:r>
      <w:r w:rsidR="00760282" w:rsidRPr="000C5623">
        <w:t>s</w:t>
      </w:r>
      <w:r w:rsidR="00BC17E0" w:rsidRPr="000C5623">
        <w:t xml:space="preserve">trategic </w:t>
      </w:r>
      <w:r w:rsidR="00760282" w:rsidRPr="000C5623">
        <w:t>o</w:t>
      </w:r>
      <w:r w:rsidR="00BC17E0" w:rsidRPr="000C5623">
        <w:t xml:space="preserve">versight of </w:t>
      </w:r>
      <w:r w:rsidR="008E48C8">
        <w:t>real-world data</w:t>
      </w:r>
      <w:r w:rsidR="008E48C8" w:rsidRPr="000C5623">
        <w:t xml:space="preserve"> </w:t>
      </w:r>
      <w:r w:rsidR="00BC17E0" w:rsidRPr="000C5623">
        <w:t>to support HTA</w:t>
      </w:r>
      <w:r w:rsidR="00760282" w:rsidRPr="000C5623">
        <w:t>s</w:t>
      </w:r>
      <w:r w:rsidR="00760282">
        <w:t>’</w:t>
      </w:r>
      <w:r w:rsidR="001B68B5">
        <w:t>)</w:t>
      </w:r>
      <w:r w:rsidR="003A4757">
        <w:t xml:space="preserve">. </w:t>
      </w:r>
      <w:r w:rsidR="002D13E0">
        <w:t xml:space="preserve">Consideration </w:t>
      </w:r>
      <w:r w:rsidR="00CA0A7D">
        <w:t>sh</w:t>
      </w:r>
      <w:r w:rsidR="003D240A">
        <w:t>ould</w:t>
      </w:r>
      <w:r w:rsidR="00D24F24">
        <w:t xml:space="preserve"> </w:t>
      </w:r>
      <w:r w:rsidR="002D13E0">
        <w:t>be given to</w:t>
      </w:r>
      <w:r w:rsidR="00613CA3" w:rsidDel="00FF08F3">
        <w:t xml:space="preserve"> </w:t>
      </w:r>
      <w:r w:rsidR="00613CA3">
        <w:t xml:space="preserve">jointly funded </w:t>
      </w:r>
      <w:r w:rsidR="00C12C10">
        <w:t>infrastructure</w:t>
      </w:r>
      <w:r w:rsidR="00613CA3">
        <w:t xml:space="preserve"> </w:t>
      </w:r>
      <w:r w:rsidR="00FF08F3">
        <w:t>by</w:t>
      </w:r>
      <w:r w:rsidR="00613CA3">
        <w:t xml:space="preserve"> the </w:t>
      </w:r>
      <w:r w:rsidR="00AC1FEE">
        <w:t>Commonwealth</w:t>
      </w:r>
      <w:r w:rsidR="004D5431">
        <w:t xml:space="preserve">, </w:t>
      </w:r>
      <w:r w:rsidR="009220B6">
        <w:t>s</w:t>
      </w:r>
      <w:r w:rsidR="00613CA3">
        <w:t xml:space="preserve">tate and </w:t>
      </w:r>
      <w:r w:rsidR="009220B6">
        <w:t>t</w:t>
      </w:r>
      <w:r w:rsidR="00613CA3">
        <w:t xml:space="preserve">erritory </w:t>
      </w:r>
      <w:r w:rsidR="009220B6">
        <w:t>g</w:t>
      </w:r>
      <w:r w:rsidR="00613CA3">
        <w:t xml:space="preserve">overnments and </w:t>
      </w:r>
      <w:r w:rsidR="009220B6">
        <w:t>i</w:t>
      </w:r>
      <w:r w:rsidR="00613CA3">
        <w:t>ndustry</w:t>
      </w:r>
      <w:r w:rsidR="004D5431">
        <w:t xml:space="preserve"> </w:t>
      </w:r>
      <w:r w:rsidR="004D5431" w:rsidDel="009220B6">
        <w:t xml:space="preserve">with </w:t>
      </w:r>
      <w:r w:rsidR="00A771B4" w:rsidDel="009220B6">
        <w:t xml:space="preserve">potential access </w:t>
      </w:r>
      <w:r w:rsidR="00C10649">
        <w:t>to additional stakeholders</w:t>
      </w:r>
      <w:r w:rsidR="00A771B4">
        <w:t xml:space="preserve"> </w:t>
      </w:r>
      <w:r w:rsidR="00A771B4" w:rsidDel="009220B6">
        <w:t>on</w:t>
      </w:r>
      <w:r w:rsidR="00A771B4" w:rsidDel="00FF08F3">
        <w:t xml:space="preserve"> a user-pays system</w:t>
      </w:r>
      <w:r w:rsidR="00D66E9A">
        <w:t>.</w:t>
      </w:r>
    </w:p>
    <w:p w14:paraId="7D2723D8" w14:textId="77777777" w:rsidR="00D66E9A" w:rsidRDefault="00D66E9A" w:rsidP="00157AB2">
      <w:pPr>
        <w:pStyle w:val="ListParagraph"/>
        <w:numPr>
          <w:ilvl w:val="0"/>
          <w:numId w:val="109"/>
        </w:numPr>
        <w:spacing w:before="120" w:after="0"/>
        <w:contextualSpacing w:val="0"/>
        <w:rPr>
          <w:lang w:eastAsia="en-AU"/>
        </w:rPr>
      </w:pPr>
      <w:r>
        <w:rPr>
          <w:lang w:eastAsia="en-AU"/>
        </w:rPr>
        <w:t xml:space="preserve">This </w:t>
      </w:r>
      <w:r w:rsidRPr="00405FD7">
        <w:t>infrastructure</w:t>
      </w:r>
      <w:r>
        <w:rPr>
          <w:lang w:eastAsia="en-AU"/>
        </w:rPr>
        <w:t xml:space="preserve"> should provide: </w:t>
      </w:r>
    </w:p>
    <w:p w14:paraId="681F82FB" w14:textId="0E803CB4" w:rsidR="00613CA3" w:rsidRPr="00544AF3" w:rsidRDefault="00613CA3" w:rsidP="00281153">
      <w:pPr>
        <w:pStyle w:val="ListNumber"/>
        <w:numPr>
          <w:ilvl w:val="1"/>
          <w:numId w:val="109"/>
        </w:numPr>
      </w:pPr>
      <w:r w:rsidRPr="00405FD7">
        <w:t>transparent and streamlined governance</w:t>
      </w:r>
    </w:p>
    <w:p w14:paraId="1BF0CE8C" w14:textId="1008EA12" w:rsidR="00613CA3" w:rsidRPr="00D27949" w:rsidRDefault="00D24F24" w:rsidP="00281153">
      <w:pPr>
        <w:pStyle w:val="ListNumber"/>
        <w:numPr>
          <w:ilvl w:val="1"/>
          <w:numId w:val="109"/>
        </w:numPr>
      </w:pPr>
      <w:r>
        <w:t xml:space="preserve">the ability to </w:t>
      </w:r>
      <w:r w:rsidR="00613CA3" w:rsidRPr="00D27949">
        <w:t xml:space="preserve">evolve over time, based on the needs of </w:t>
      </w:r>
      <w:r w:rsidR="00FE1477" w:rsidRPr="00FE1477">
        <w:t>HTA</w:t>
      </w:r>
      <w:r w:rsidR="00FE1477" w:rsidRPr="00FE1477" w:rsidDel="00FE1477">
        <w:t xml:space="preserve"> </w:t>
      </w:r>
      <w:r w:rsidR="00613CA3" w:rsidRPr="00D27949">
        <w:t>agencies and other stakeholders</w:t>
      </w:r>
      <w:r w:rsidR="00613CA3">
        <w:t xml:space="preserve">, evolution of health and digital technologies and assessment tools, and research </w:t>
      </w:r>
      <w:r w:rsidR="00613CA3" w:rsidRPr="002B38D3">
        <w:t xml:space="preserve">questions that </w:t>
      </w:r>
      <w:r w:rsidR="00613CA3">
        <w:t>are likely to</w:t>
      </w:r>
      <w:r w:rsidR="00613CA3" w:rsidRPr="002B38D3">
        <w:t xml:space="preserve"> be addressed </w:t>
      </w:r>
      <w:r w:rsidR="00FF08F3">
        <w:t>using</w:t>
      </w:r>
      <w:r w:rsidR="00613CA3" w:rsidRPr="002B38D3">
        <w:t xml:space="preserve"> </w:t>
      </w:r>
      <w:r w:rsidR="00F57BBF">
        <w:t>real</w:t>
      </w:r>
      <w:r w:rsidR="007E3D0D">
        <w:t>-</w:t>
      </w:r>
      <w:r w:rsidR="00F57BBF">
        <w:t>world data (</w:t>
      </w:r>
      <w:r w:rsidR="00613CA3" w:rsidRPr="002B38D3">
        <w:t>RWD</w:t>
      </w:r>
      <w:r w:rsidR="00F57BBF">
        <w:t>)</w:t>
      </w:r>
      <w:r w:rsidR="009220B6">
        <w:t xml:space="preserve"> and </w:t>
      </w:r>
      <w:r w:rsidR="00F57BBF">
        <w:t>real</w:t>
      </w:r>
      <w:r w:rsidR="007E3D0D">
        <w:t>-</w:t>
      </w:r>
      <w:r w:rsidR="00F57BBF">
        <w:t>world evidence</w:t>
      </w:r>
    </w:p>
    <w:p w14:paraId="003091E7" w14:textId="61FE2A09" w:rsidR="00613CA3" w:rsidRDefault="00613CA3" w:rsidP="00281153">
      <w:pPr>
        <w:pStyle w:val="ListNumber"/>
        <w:numPr>
          <w:ilvl w:val="1"/>
          <w:numId w:val="109"/>
        </w:numPr>
      </w:pPr>
      <w:r w:rsidRPr="00D27949">
        <w:lastRenderedPageBreak/>
        <w:t>harmonised international standards,</w:t>
      </w:r>
      <w:r w:rsidR="00FF08F3">
        <w:t xml:space="preserve"> and be</w:t>
      </w:r>
      <w:r w:rsidRPr="00D27949">
        <w:t xml:space="preserve"> flexible</w:t>
      </w:r>
      <w:r w:rsidR="00FF08F3">
        <w:t xml:space="preserve"> and</w:t>
      </w:r>
      <w:r w:rsidRPr="00D27949">
        <w:t xml:space="preserve"> scalable, and allow transparent data quality assessment</w:t>
      </w:r>
    </w:p>
    <w:p w14:paraId="6259F181" w14:textId="6E9F903B" w:rsidR="00613CA3" w:rsidDel="00CC50C3" w:rsidRDefault="00613CA3" w:rsidP="00281153">
      <w:pPr>
        <w:pStyle w:val="ListNumber"/>
        <w:numPr>
          <w:ilvl w:val="1"/>
          <w:numId w:val="109"/>
        </w:numPr>
      </w:pPr>
      <w:r>
        <w:t xml:space="preserve">a dedicated consumer-evidence repository to collect data for future HTA activities, track expectations, and support </w:t>
      </w:r>
      <w:r w:rsidR="00C44592">
        <w:t xml:space="preserve">the </w:t>
      </w:r>
      <w:r>
        <w:t>development of consumer-centred measurement tools</w:t>
      </w:r>
    </w:p>
    <w:p w14:paraId="4C85DB39" w14:textId="7A6D1606" w:rsidR="00A35824" w:rsidRDefault="00A35824" w:rsidP="00157AB2">
      <w:pPr>
        <w:pStyle w:val="ListNumber"/>
        <w:numPr>
          <w:ilvl w:val="1"/>
          <w:numId w:val="109"/>
        </w:numPr>
        <w:spacing w:after="0"/>
      </w:pPr>
      <w:r>
        <w:t>work towards co-designing and building</w:t>
      </w:r>
      <w:r w:rsidDel="00487485">
        <w:t xml:space="preserve"> </w:t>
      </w:r>
      <w:r>
        <w:t>an enduring, sustainable, safe, high</w:t>
      </w:r>
      <w:r>
        <w:noBreakHyphen/>
        <w:t>quality and fit-for-purpose data ecosystem that evolves over time to meet Australia’s HTA needs.</w:t>
      </w:r>
    </w:p>
    <w:p w14:paraId="5001C07A" w14:textId="5AC04C6A" w:rsidR="00C772A8" w:rsidRDefault="00613CA3" w:rsidP="00157AB2">
      <w:pPr>
        <w:pStyle w:val="ListParagraph"/>
        <w:numPr>
          <w:ilvl w:val="0"/>
          <w:numId w:val="109"/>
        </w:numPr>
        <w:spacing w:after="0"/>
        <w:contextualSpacing w:val="0"/>
      </w:pPr>
      <w:r w:rsidDel="00CC50C3">
        <w:t xml:space="preserve">As </w:t>
      </w:r>
      <w:r w:rsidR="001D3DE2" w:rsidDel="00CC50C3">
        <w:t xml:space="preserve">an </w:t>
      </w:r>
      <w:r w:rsidDel="00CC50C3">
        <w:t>immediate priorit</w:t>
      </w:r>
      <w:r w:rsidR="001D3DE2" w:rsidDel="00CC50C3">
        <w:t>y</w:t>
      </w:r>
      <w:r w:rsidR="00823647">
        <w:t>:</w:t>
      </w:r>
    </w:p>
    <w:p w14:paraId="2F92D09C" w14:textId="45F2E847" w:rsidR="00613CA3" w:rsidRDefault="00613CA3" w:rsidP="00281153">
      <w:pPr>
        <w:pStyle w:val="ListParagraph"/>
        <w:numPr>
          <w:ilvl w:val="1"/>
          <w:numId w:val="109"/>
        </w:numPr>
      </w:pPr>
      <w:r>
        <w:t>c</w:t>
      </w:r>
      <w:r w:rsidRPr="00C641CC">
        <w:t>ore priority Australian RWD collections</w:t>
      </w:r>
      <w:r w:rsidR="002E11E2">
        <w:t xml:space="preserve"> </w:t>
      </w:r>
      <w:r w:rsidR="00D9116F" w:rsidRPr="00C641CC">
        <w:t>that are</w:t>
      </w:r>
      <w:r w:rsidR="00D9116F">
        <w:t xml:space="preserve"> </w:t>
      </w:r>
      <w:r w:rsidR="00D9116F" w:rsidRPr="00C641CC">
        <w:t>fit-for-purpose for HTA requirements</w:t>
      </w:r>
      <w:r w:rsidR="00D9116F">
        <w:t xml:space="preserve"> </w:t>
      </w:r>
      <w:r>
        <w:t>(including registries and pharmacovigilance data)</w:t>
      </w:r>
      <w:r w:rsidR="00FD5650">
        <w:t xml:space="preserve"> should be mapped</w:t>
      </w:r>
    </w:p>
    <w:p w14:paraId="2E59C45E" w14:textId="6CEF9DED" w:rsidR="00613CA3" w:rsidRDefault="002D3E0D" w:rsidP="00281153">
      <w:pPr>
        <w:pStyle w:val="ListParagraph"/>
        <w:numPr>
          <w:ilvl w:val="1"/>
          <w:numId w:val="109"/>
        </w:numPr>
        <w:spacing w:after="0"/>
      </w:pPr>
      <w:r>
        <w:t xml:space="preserve">access should be </w:t>
      </w:r>
      <w:r w:rsidR="003F5656">
        <w:t>facilitate</w:t>
      </w:r>
      <w:r w:rsidR="00D24F24">
        <w:t>d</w:t>
      </w:r>
      <w:r w:rsidR="003F5656">
        <w:t xml:space="preserve"> </w:t>
      </w:r>
      <w:r w:rsidR="00A65967">
        <w:t xml:space="preserve">to relevant </w:t>
      </w:r>
      <w:r w:rsidR="007C29AA">
        <w:t xml:space="preserve">priority </w:t>
      </w:r>
      <w:r w:rsidR="00A65967">
        <w:t xml:space="preserve">RWD collections </w:t>
      </w:r>
      <w:r w:rsidR="00613CA3" w:rsidRPr="00C641CC">
        <w:t xml:space="preserve">for </w:t>
      </w:r>
      <w:r w:rsidR="00613CA3">
        <w:t xml:space="preserve">relevant stakeholders </w:t>
      </w:r>
      <w:r w:rsidR="00CC50C3">
        <w:t>to</w:t>
      </w:r>
      <w:r w:rsidR="00613CA3" w:rsidRPr="00C641CC">
        <w:t xml:space="preserve"> support</w:t>
      </w:r>
      <w:r w:rsidR="00CC50C3">
        <w:t xml:space="preserve"> </w:t>
      </w:r>
      <w:r w:rsidR="00613CA3" w:rsidRPr="00C641CC">
        <w:t>HTA</w:t>
      </w:r>
      <w:r w:rsidR="00CC50C3">
        <w:t>s</w:t>
      </w:r>
    </w:p>
    <w:p w14:paraId="44CF1FDE" w14:textId="12C5CEA0" w:rsidR="00613CA3" w:rsidRPr="00C641CC" w:rsidRDefault="00F14B98" w:rsidP="00281153">
      <w:pPr>
        <w:pStyle w:val="ListParagraph"/>
        <w:numPr>
          <w:ilvl w:val="1"/>
          <w:numId w:val="109"/>
        </w:numPr>
        <w:spacing w:after="0"/>
      </w:pPr>
      <w:r>
        <w:t>m</w:t>
      </w:r>
      <w:r w:rsidR="00613CA3" w:rsidRPr="00C641CC">
        <w:t>inimum data quality standards</w:t>
      </w:r>
      <w:r w:rsidR="00613CA3">
        <w:t xml:space="preserve"> and</w:t>
      </w:r>
      <w:r w:rsidR="00613CA3" w:rsidRPr="00C641CC">
        <w:t xml:space="preserve"> validation and reporting processes</w:t>
      </w:r>
      <w:r w:rsidR="00A16ED1">
        <w:t xml:space="preserve"> </w:t>
      </w:r>
      <w:r w:rsidR="002D3E0D">
        <w:t xml:space="preserve">should be </w:t>
      </w:r>
      <w:r w:rsidR="00A16ED1" w:rsidDel="004E2B4A">
        <w:t>implemented</w:t>
      </w:r>
      <w:r w:rsidR="003F5656" w:rsidDel="004E2B4A">
        <w:t xml:space="preserve"> </w:t>
      </w:r>
      <w:r w:rsidR="003F5656">
        <w:t>for priority RWD collections</w:t>
      </w:r>
    </w:p>
    <w:p w14:paraId="4A6F83B4" w14:textId="13C4CE4D" w:rsidR="00EA5F23" w:rsidRDefault="006E3C85" w:rsidP="00281153">
      <w:pPr>
        <w:pStyle w:val="ListParagraph"/>
        <w:numPr>
          <w:ilvl w:val="1"/>
          <w:numId w:val="109"/>
        </w:numPr>
        <w:spacing w:after="0"/>
      </w:pPr>
      <w:r>
        <w:t xml:space="preserve">Data should be </w:t>
      </w:r>
      <w:r w:rsidR="00A5401D">
        <w:t>h</w:t>
      </w:r>
      <w:r w:rsidR="00613CA3" w:rsidRPr="008224DF">
        <w:t>armonis</w:t>
      </w:r>
      <w:r w:rsidR="00487485">
        <w:t>ed</w:t>
      </w:r>
      <w:r w:rsidR="00613CA3" w:rsidRPr="008224DF">
        <w:t xml:space="preserve"> across </w:t>
      </w:r>
      <w:r w:rsidR="004E2B4A">
        <w:t>g</w:t>
      </w:r>
      <w:r w:rsidR="00613CA3" w:rsidRPr="008224DF">
        <w:t xml:space="preserve">overnment </w:t>
      </w:r>
      <w:r w:rsidR="004E2B4A">
        <w:t>d</w:t>
      </w:r>
      <w:r w:rsidR="00613CA3" w:rsidRPr="008224DF">
        <w:t xml:space="preserve">epartments and jurisdictions for </w:t>
      </w:r>
      <w:r w:rsidR="004E2B4A">
        <w:t>g</w:t>
      </w:r>
      <w:r w:rsidR="00613CA3" w:rsidRPr="008224DF">
        <w:t>overnment-held Australian RWD collections that are fit-for-purpose for HTA</w:t>
      </w:r>
      <w:r w:rsidR="004E2B4A">
        <w:t>s</w:t>
      </w:r>
      <w:r w:rsidR="00613CA3" w:rsidRPr="008224DF">
        <w:t xml:space="preserve"> </w:t>
      </w:r>
      <w:r w:rsidR="00613CA3" w:rsidRPr="00232DA1">
        <w:t>(</w:t>
      </w:r>
      <w:r w:rsidR="00613CA3" w:rsidRPr="0063247B">
        <w:t>including data held by public hospitals and health services</w:t>
      </w:r>
      <w:r w:rsidR="00A75B59" w:rsidRPr="00232DA1">
        <w:t>)</w:t>
      </w:r>
    </w:p>
    <w:p w14:paraId="52785C63" w14:textId="4A6A74E2" w:rsidR="00613CA3" w:rsidRPr="00C641CC" w:rsidRDefault="00613CA3" w:rsidP="00281153">
      <w:pPr>
        <w:pStyle w:val="ListParagraph"/>
        <w:numPr>
          <w:ilvl w:val="1"/>
          <w:numId w:val="109"/>
        </w:numPr>
        <w:spacing w:after="0"/>
      </w:pPr>
      <w:r w:rsidRPr="00C641CC">
        <w:t xml:space="preserve">RWD curation and harmonisation activities </w:t>
      </w:r>
      <w:r w:rsidR="00EA5F23">
        <w:t xml:space="preserve">should be implemented </w:t>
      </w:r>
      <w:r w:rsidRPr="00C641CC">
        <w:t>for priority RWD collections</w:t>
      </w:r>
      <w:r>
        <w:t>,</w:t>
      </w:r>
      <w:r w:rsidRPr="00C641CC">
        <w:t xml:space="preserve"> including international</w:t>
      </w:r>
      <w:r>
        <w:t>ly</w:t>
      </w:r>
      <w:r w:rsidRPr="00C641CC">
        <w:t xml:space="preserve"> standardis</w:t>
      </w:r>
      <w:r>
        <w:t>ed</w:t>
      </w:r>
      <w:r w:rsidRPr="00C641CC">
        <w:t xml:space="preserve"> coding and terminology</w:t>
      </w:r>
      <w:r w:rsidR="003A7CCC">
        <w:t>.</w:t>
      </w:r>
    </w:p>
    <w:p w14:paraId="2CAFFE5E" w14:textId="4108659E" w:rsidR="00613CA3" w:rsidRPr="00E121B5" w:rsidRDefault="00613CA3" w:rsidP="00645D5E">
      <w:pPr>
        <w:pStyle w:val="Recommendation1"/>
      </w:pPr>
      <w:bookmarkStart w:id="516" w:name="_Hlk167302290"/>
      <w:r w:rsidRPr="00E121B5">
        <w:t>Inter</w:t>
      </w:r>
      <w:r w:rsidR="00284FDD">
        <w:t>g</w:t>
      </w:r>
      <w:r w:rsidRPr="00E121B5">
        <w:t xml:space="preserve">overnmental collaboration in </w:t>
      </w:r>
      <w:proofErr w:type="spellStart"/>
      <w:r w:rsidRPr="00E121B5">
        <w:t>standardised</w:t>
      </w:r>
      <w:proofErr w:type="spellEnd"/>
      <w:r w:rsidRPr="00E121B5">
        <w:t xml:space="preserve"> collection and sharing of health technology</w:t>
      </w:r>
      <w:r w:rsidR="00284FDD">
        <w:t>–</w:t>
      </w:r>
      <w:r w:rsidRPr="00E121B5">
        <w:t>related data</w:t>
      </w:r>
    </w:p>
    <w:bookmarkEnd w:id="516"/>
    <w:p w14:paraId="02207664" w14:textId="3B5DA84C" w:rsidR="00092CC7" w:rsidRPr="0019054D" w:rsidRDefault="004D2CD1" w:rsidP="00B42031">
      <w:r w:rsidRPr="00405FD7">
        <w:rPr>
          <w:rFonts w:cs="Segoe UI"/>
        </w:rPr>
        <w:t xml:space="preserve">The Review recommends </w:t>
      </w:r>
      <w:r w:rsidR="005D4E74">
        <w:rPr>
          <w:rFonts w:cs="Segoe UI"/>
        </w:rPr>
        <w:t xml:space="preserve">that </w:t>
      </w:r>
      <w:r w:rsidRPr="00405FD7">
        <w:rPr>
          <w:rFonts w:cs="Segoe UI"/>
        </w:rPr>
        <w:t>the Australian Government</w:t>
      </w:r>
      <w:r w:rsidR="00A5401D">
        <w:t xml:space="preserve"> p</w:t>
      </w:r>
      <w:r w:rsidR="00613CA3" w:rsidRPr="0019054D">
        <w:t xml:space="preserve">romote </w:t>
      </w:r>
      <w:r w:rsidR="005D4E74">
        <w:t>s</w:t>
      </w:r>
      <w:r w:rsidR="00613CA3" w:rsidRPr="0019054D">
        <w:t xml:space="preserve">tate and </w:t>
      </w:r>
      <w:r w:rsidR="005D4E74">
        <w:t>t</w:t>
      </w:r>
      <w:r w:rsidR="00613CA3" w:rsidRPr="0019054D">
        <w:t xml:space="preserve">erritory </w:t>
      </w:r>
      <w:r w:rsidR="005D4E74">
        <w:t>g</w:t>
      </w:r>
      <w:r w:rsidR="00613CA3" w:rsidRPr="0019054D">
        <w:t>overnment collaboration and participation in cross-jurisdictional data</w:t>
      </w:r>
      <w:r w:rsidR="005D4E74">
        <w:t xml:space="preserve"> </w:t>
      </w:r>
      <w:r w:rsidR="00613CA3" w:rsidRPr="0019054D">
        <w:t xml:space="preserve">sharing to support </w:t>
      </w:r>
      <w:r w:rsidR="005D4E74">
        <w:t xml:space="preserve">a </w:t>
      </w:r>
      <w:r w:rsidR="00613CA3" w:rsidRPr="0019054D">
        <w:t xml:space="preserve">nationally cohesive </w:t>
      </w:r>
      <w:r w:rsidR="00FE1477" w:rsidRPr="00FE1477">
        <w:t>HTA</w:t>
      </w:r>
      <w:r w:rsidR="005D4E74">
        <w:t xml:space="preserve"> system</w:t>
      </w:r>
      <w:r w:rsidR="00613CA3" w:rsidRPr="0019054D">
        <w:t xml:space="preserve">. </w:t>
      </w:r>
    </w:p>
    <w:p w14:paraId="2ECC0529" w14:textId="0A88AEC3" w:rsidR="00092CC7" w:rsidRPr="0019054D" w:rsidRDefault="00613CA3" w:rsidP="00B42031">
      <w:r w:rsidRPr="0019054D">
        <w:t xml:space="preserve">This should be facilitated via centralised data-sharing infrastructure and harmonisation of access to existing government-held </w:t>
      </w:r>
      <w:r w:rsidR="001A6C49">
        <w:t>real</w:t>
      </w:r>
      <w:r w:rsidR="007E3D0D">
        <w:t>-</w:t>
      </w:r>
      <w:r w:rsidR="001A6C49">
        <w:t xml:space="preserve">world data </w:t>
      </w:r>
      <w:r w:rsidRPr="0019054D">
        <w:t>collections (</w:t>
      </w:r>
      <w:r w:rsidR="005D4E74">
        <w:t>see ‘</w:t>
      </w:r>
      <w:r w:rsidR="00CA5820">
        <w:rPr>
          <w:i/>
        </w:rPr>
        <w:fldChar w:fldCharType="begin" w:fldLock="1"/>
      </w:r>
      <w:r w:rsidR="00CA5820">
        <w:instrText xml:space="preserve"> REF _Ref166789414 \r \h </w:instrText>
      </w:r>
      <w:r w:rsidR="00B42031">
        <w:rPr>
          <w:i/>
        </w:rPr>
        <w:instrText xml:space="preserve"> \* MERGEFORMAT </w:instrText>
      </w:r>
      <w:r w:rsidR="00CA5820">
        <w:rPr>
          <w:i/>
        </w:rPr>
      </w:r>
      <w:r w:rsidR="00CA5820">
        <w:rPr>
          <w:i/>
        </w:rPr>
        <w:fldChar w:fldCharType="separate"/>
      </w:r>
      <w:r w:rsidR="00CA5820">
        <w:t>Recommendation 28</w:t>
      </w:r>
      <w:r w:rsidR="00CA5820">
        <w:rPr>
          <w:i/>
        </w:rPr>
        <w:fldChar w:fldCharType="end"/>
      </w:r>
      <w:r w:rsidR="005D4E74">
        <w:rPr>
          <w:i/>
        </w:rPr>
        <w:t>.</w:t>
      </w:r>
      <w:r w:rsidR="00CA5820" w:rsidRPr="000C5623">
        <w:rPr>
          <w:iCs/>
        </w:rPr>
        <w:t xml:space="preserve"> Data infrastructure to support HTA</w:t>
      </w:r>
      <w:r w:rsidR="005D4E74" w:rsidRPr="000C5623">
        <w:rPr>
          <w:iCs/>
        </w:rPr>
        <w:t>s</w:t>
      </w:r>
      <w:r w:rsidR="005D4E74">
        <w:t>’</w:t>
      </w:r>
      <w:r w:rsidRPr="00620ACF">
        <w:t>).</w:t>
      </w:r>
    </w:p>
    <w:p w14:paraId="34D1D91C" w14:textId="0411085A" w:rsidR="00A94617" w:rsidRPr="0019054D" w:rsidRDefault="00613CA3" w:rsidP="00B42031">
      <w:r w:rsidRPr="0019054D">
        <w:t>Consideration should be given to</w:t>
      </w:r>
      <w:r w:rsidR="005D4E74">
        <w:t xml:space="preserve"> </w:t>
      </w:r>
      <w:r w:rsidRPr="0019054D" w:rsidDel="005D4E74">
        <w:t xml:space="preserve">strengthening and </w:t>
      </w:r>
      <w:r w:rsidRPr="0019054D">
        <w:t>supporting the information</w:t>
      </w:r>
      <w:r w:rsidR="005D4E74">
        <w:t>-</w:t>
      </w:r>
      <w:r w:rsidRPr="0019054D">
        <w:t xml:space="preserve">sharing </w:t>
      </w:r>
      <w:r w:rsidR="00EB28EE">
        <w:t>clauses</w:t>
      </w:r>
      <w:r w:rsidRPr="0019054D">
        <w:t xml:space="preserve"> recommended in the</w:t>
      </w:r>
      <w:r w:rsidR="000E285A">
        <w:t xml:space="preserve"> </w:t>
      </w:r>
      <w:r w:rsidR="001F42CC" w:rsidRPr="00F84997">
        <w:t>2020</w:t>
      </w:r>
      <w:r w:rsidR="001F42CC">
        <w:t>–</w:t>
      </w:r>
      <w:r w:rsidR="001F42CC" w:rsidRPr="00F84997">
        <w:t xml:space="preserve">25 </w:t>
      </w:r>
      <w:r w:rsidR="000E285A">
        <w:t>Addendum to the</w:t>
      </w:r>
      <w:r w:rsidRPr="0019054D">
        <w:t xml:space="preserve"> </w:t>
      </w:r>
      <w:r w:rsidR="00F84997" w:rsidRPr="00F84997">
        <w:t>National Health Reform Agreement</w:t>
      </w:r>
      <w:r w:rsidR="00ED0D6E">
        <w:t>, including</w:t>
      </w:r>
      <w:r w:rsidR="00EB28EE" w:rsidRPr="0019054D">
        <w:t xml:space="preserve"> </w:t>
      </w:r>
      <w:r w:rsidRPr="0019054D">
        <w:t>establishment of information</w:t>
      </w:r>
      <w:r w:rsidR="005D4E74">
        <w:t>-</w:t>
      </w:r>
      <w:r w:rsidRPr="0019054D">
        <w:t>sharing platform</w:t>
      </w:r>
      <w:r w:rsidR="005D4E74">
        <w:t>. This would</w:t>
      </w:r>
      <w:r w:rsidR="00F84997" w:rsidRPr="00F84997" w:rsidDel="005D4E74">
        <w:t xml:space="preserve"> </w:t>
      </w:r>
      <w:r w:rsidR="00FA643D">
        <w:t xml:space="preserve">help to </w:t>
      </w:r>
      <w:r w:rsidRPr="0019054D">
        <w:t xml:space="preserve">ensure </w:t>
      </w:r>
      <w:r w:rsidR="005D4E74">
        <w:t xml:space="preserve">that </w:t>
      </w:r>
      <w:r w:rsidR="005D4E74" w:rsidRPr="0019054D">
        <w:t xml:space="preserve">all states and territories </w:t>
      </w:r>
      <w:r w:rsidR="005D4E74">
        <w:t xml:space="preserve">meet the </w:t>
      </w:r>
      <w:r w:rsidRPr="0019054D">
        <w:t>policy and resource commitment</w:t>
      </w:r>
      <w:r w:rsidR="005D4E74">
        <w:t>s</w:t>
      </w:r>
      <w:r w:rsidRPr="0019054D">
        <w:t xml:space="preserve"> </w:t>
      </w:r>
      <w:r w:rsidR="005D4E74">
        <w:t>made</w:t>
      </w:r>
      <w:r w:rsidRPr="0019054D" w:rsidDel="005D4E74">
        <w:t xml:space="preserve"> </w:t>
      </w:r>
      <w:r w:rsidRPr="0019054D">
        <w:t xml:space="preserve">in </w:t>
      </w:r>
      <w:r w:rsidR="005D4E74">
        <w:t xml:space="preserve">relation to </w:t>
      </w:r>
      <w:r w:rsidRPr="0019054D">
        <w:t>collecti</w:t>
      </w:r>
      <w:r w:rsidR="005D4E74">
        <w:t>ng</w:t>
      </w:r>
      <w:r w:rsidRPr="0019054D">
        <w:t xml:space="preserve"> and sharing data </w:t>
      </w:r>
      <w:r w:rsidR="005D4E74">
        <w:t>on</w:t>
      </w:r>
      <w:r w:rsidR="005D4E74" w:rsidRPr="0019054D">
        <w:t xml:space="preserve"> </w:t>
      </w:r>
      <w:r w:rsidRPr="0019054D">
        <w:t>the use of health technologies of interest</w:t>
      </w:r>
      <w:r w:rsidR="00B410B3" w:rsidRPr="0019054D">
        <w:t>, from pre-registration to post-market</w:t>
      </w:r>
      <w:r w:rsidR="005D4E74">
        <w:t xml:space="preserve"> review</w:t>
      </w:r>
      <w:r w:rsidR="00B410B3" w:rsidRPr="0019054D">
        <w:t>.</w:t>
      </w:r>
      <w:r w:rsidR="00453069">
        <w:t xml:space="preserve"> </w:t>
      </w:r>
    </w:p>
    <w:p w14:paraId="762AAA9E" w14:textId="571AD49E" w:rsidR="00613CA3" w:rsidRDefault="00613CA3" w:rsidP="00645D5E">
      <w:pPr>
        <w:pStyle w:val="Recommendation1"/>
      </w:pPr>
      <w:bookmarkStart w:id="517" w:name="_Hlk167302321"/>
      <w:r w:rsidRPr="00496E3C">
        <w:lastRenderedPageBreak/>
        <w:t>R</w:t>
      </w:r>
      <w:r w:rsidR="00284FDD">
        <w:t>eal-world data</w:t>
      </w:r>
      <w:r w:rsidRPr="00496E3C">
        <w:t xml:space="preserve"> </w:t>
      </w:r>
      <w:r w:rsidR="007A1D0A">
        <w:t xml:space="preserve">and </w:t>
      </w:r>
      <w:r w:rsidR="00284FDD">
        <w:t>real-world evidence m</w:t>
      </w:r>
      <w:r w:rsidRPr="00496E3C">
        <w:t xml:space="preserve">ethods development </w:t>
      </w:r>
    </w:p>
    <w:bookmarkEnd w:id="517"/>
    <w:p w14:paraId="5DE07897" w14:textId="7CEE3929" w:rsidR="00613CA3" w:rsidRDefault="00A94617" w:rsidP="000F3FB9">
      <w:pPr>
        <w:spacing w:before="120" w:after="120"/>
        <w:rPr>
          <w:rFonts w:eastAsia="Times New Roman" w:cs="Segoe UI"/>
          <w:lang w:eastAsia="en-AU"/>
        </w:rPr>
      </w:pPr>
      <w:r w:rsidRPr="00405FD7">
        <w:rPr>
          <w:rFonts w:cs="Segoe UI"/>
        </w:rPr>
        <w:t xml:space="preserve">The Review recommends </w:t>
      </w:r>
      <w:r w:rsidR="005D4E74">
        <w:rPr>
          <w:rFonts w:cs="Segoe UI"/>
        </w:rPr>
        <w:t xml:space="preserve">that </w:t>
      </w:r>
      <w:r w:rsidRPr="00405FD7">
        <w:rPr>
          <w:rFonts w:cs="Segoe UI"/>
        </w:rPr>
        <w:t>the Australian Government</w:t>
      </w:r>
      <w:r w:rsidR="00A5401D">
        <w:rPr>
          <w:rFonts w:cs="Segoe UI"/>
        </w:rPr>
        <w:t xml:space="preserve">, </w:t>
      </w:r>
      <w:r w:rsidR="00A5401D">
        <w:rPr>
          <w:rFonts w:eastAsia="Times New Roman" w:cs="Segoe UI"/>
          <w:lang w:eastAsia="en-AU"/>
        </w:rPr>
        <w:t>w</w:t>
      </w:r>
      <w:r w:rsidR="00613CA3" w:rsidRPr="00744E9A">
        <w:rPr>
          <w:rFonts w:eastAsia="Times New Roman" w:cs="Segoe UI"/>
          <w:lang w:eastAsia="en-AU"/>
        </w:rPr>
        <w:t xml:space="preserve">ith oversight by the </w:t>
      </w:r>
      <w:r w:rsidR="00613CA3" w:rsidRPr="006A794B">
        <w:rPr>
          <w:rStyle w:val="Strong"/>
          <w:b w:val="0"/>
        </w:rPr>
        <w:t xml:space="preserve">multi-stakeholder advisory </w:t>
      </w:r>
      <w:r w:rsidR="00613CA3" w:rsidRPr="008F4609">
        <w:rPr>
          <w:rStyle w:val="Strong"/>
          <w:b w:val="0"/>
        </w:rPr>
        <w:t>group (</w:t>
      </w:r>
      <w:r w:rsidR="005D4E74">
        <w:rPr>
          <w:rStyle w:val="Strong"/>
          <w:b w:val="0"/>
        </w:rPr>
        <w:t>see ‘</w:t>
      </w:r>
      <w:r w:rsidR="00FA7278" w:rsidRPr="008F4609">
        <w:rPr>
          <w:rStyle w:val="Strong"/>
          <w:b w:val="0"/>
        </w:rPr>
        <w:fldChar w:fldCharType="begin" w:fldLock="1"/>
      </w:r>
      <w:r w:rsidR="00FA7278" w:rsidRPr="008F4609">
        <w:rPr>
          <w:rStyle w:val="Strong"/>
          <w:b w:val="0"/>
        </w:rPr>
        <w:instrText xml:space="preserve"> REF _Ref166776766 \r \h </w:instrText>
      </w:r>
      <w:r w:rsidR="008F4609">
        <w:rPr>
          <w:rStyle w:val="Strong"/>
          <w:b w:val="0"/>
        </w:rPr>
        <w:instrText xml:space="preserve"> \* MERGEFORMAT </w:instrText>
      </w:r>
      <w:r w:rsidR="00FA7278" w:rsidRPr="008F4609">
        <w:rPr>
          <w:rStyle w:val="Strong"/>
          <w:b w:val="0"/>
        </w:rPr>
      </w:r>
      <w:r w:rsidR="00FA7278" w:rsidRPr="008F4609">
        <w:rPr>
          <w:rStyle w:val="Strong"/>
          <w:b w:val="0"/>
        </w:rPr>
        <w:fldChar w:fldCharType="separate"/>
      </w:r>
      <w:r w:rsidR="00FA7278" w:rsidRPr="008F4609">
        <w:rPr>
          <w:rStyle w:val="Strong"/>
          <w:b w:val="0"/>
        </w:rPr>
        <w:t>Recommendation 27</w:t>
      </w:r>
      <w:r w:rsidR="00FA7278" w:rsidRPr="008F4609">
        <w:rPr>
          <w:rStyle w:val="Strong"/>
          <w:b w:val="0"/>
        </w:rPr>
        <w:fldChar w:fldCharType="end"/>
      </w:r>
      <w:r w:rsidR="005D4E74">
        <w:rPr>
          <w:rStyle w:val="Strong"/>
          <w:b w:val="0"/>
        </w:rPr>
        <w:t>.</w:t>
      </w:r>
      <w:r w:rsidR="001A07D1" w:rsidRPr="000C5623">
        <w:rPr>
          <w:rStyle w:val="Strong"/>
          <w:b w:val="0"/>
          <w:iCs/>
        </w:rPr>
        <w:tab/>
        <w:t xml:space="preserve">Governance and </w:t>
      </w:r>
      <w:r w:rsidR="005D4E74" w:rsidRPr="000C5623">
        <w:rPr>
          <w:rStyle w:val="Strong"/>
          <w:b w:val="0"/>
          <w:iCs/>
        </w:rPr>
        <w:t>s</w:t>
      </w:r>
      <w:r w:rsidR="001A07D1" w:rsidRPr="000C5623">
        <w:rPr>
          <w:rStyle w:val="Strong"/>
          <w:b w:val="0"/>
          <w:iCs/>
        </w:rPr>
        <w:t xml:space="preserve">trategic </w:t>
      </w:r>
      <w:r w:rsidR="005D4E74" w:rsidRPr="000C5623">
        <w:rPr>
          <w:rStyle w:val="Strong"/>
          <w:b w:val="0"/>
          <w:iCs/>
        </w:rPr>
        <w:t>o</w:t>
      </w:r>
      <w:r w:rsidR="001A07D1" w:rsidRPr="000C5623">
        <w:rPr>
          <w:rStyle w:val="Strong"/>
          <w:b w:val="0"/>
          <w:iCs/>
        </w:rPr>
        <w:t xml:space="preserve">versight of </w:t>
      </w:r>
      <w:r w:rsidR="0028472D">
        <w:rPr>
          <w:rStyle w:val="Strong"/>
          <w:b w:val="0"/>
          <w:iCs/>
        </w:rPr>
        <w:t>real-world data</w:t>
      </w:r>
      <w:r w:rsidR="001A07D1" w:rsidRPr="000C5623">
        <w:rPr>
          <w:rStyle w:val="Strong"/>
          <w:b w:val="0"/>
          <w:iCs/>
        </w:rPr>
        <w:t xml:space="preserve"> to support HTA</w:t>
      </w:r>
      <w:r w:rsidR="005D4E74" w:rsidRPr="000C5623">
        <w:rPr>
          <w:rStyle w:val="Strong"/>
          <w:b w:val="0"/>
          <w:iCs/>
        </w:rPr>
        <w:t>s</w:t>
      </w:r>
      <w:r w:rsidR="005D4E74">
        <w:rPr>
          <w:rStyle w:val="Strong"/>
          <w:b w:val="0"/>
          <w:iCs/>
        </w:rPr>
        <w:t>’</w:t>
      </w:r>
      <w:r w:rsidR="006A794B" w:rsidRPr="000C5623">
        <w:rPr>
          <w:rStyle w:val="Strong"/>
          <w:b w:val="0"/>
          <w:bCs w:val="0"/>
          <w:iCs/>
        </w:rPr>
        <w:t>)</w:t>
      </w:r>
      <w:r w:rsidR="00613CA3" w:rsidRPr="008F4609">
        <w:rPr>
          <w:rStyle w:val="Strong"/>
          <w:b w:val="0"/>
          <w:bCs w:val="0"/>
        </w:rPr>
        <w:t>,</w:t>
      </w:r>
      <w:r w:rsidR="00613CA3" w:rsidRPr="008F4609">
        <w:rPr>
          <w:rStyle w:val="Strong"/>
          <w:b w:val="0"/>
        </w:rPr>
        <w:t xml:space="preserve"> d</w:t>
      </w:r>
      <w:r w:rsidR="00613CA3" w:rsidRPr="008F4609">
        <w:rPr>
          <w:rFonts w:eastAsia="Times New Roman" w:cs="Segoe UI"/>
          <w:lang w:eastAsia="en-AU"/>
        </w:rPr>
        <w:t>evelop</w:t>
      </w:r>
      <w:r w:rsidR="00613CA3">
        <w:rPr>
          <w:rFonts w:eastAsia="Times New Roman" w:cs="Segoe UI"/>
          <w:lang w:eastAsia="en-AU"/>
        </w:rPr>
        <w:t xml:space="preserve"> </w:t>
      </w:r>
      <w:r w:rsidR="00613CA3" w:rsidRPr="002B38D3">
        <w:rPr>
          <w:rFonts w:eastAsia="Times New Roman" w:cs="Segoe UI"/>
          <w:lang w:eastAsia="en-AU"/>
        </w:rPr>
        <w:t xml:space="preserve">a multi-stakeholder coordinated approach to transparent evidence development for </w:t>
      </w:r>
      <w:r w:rsidR="001A6C49" w:rsidRPr="001A6C49">
        <w:rPr>
          <w:rFonts w:eastAsia="Times New Roman" w:cs="Segoe UI"/>
          <w:lang w:eastAsia="en-AU"/>
        </w:rPr>
        <w:t>HTA</w:t>
      </w:r>
      <w:r w:rsidR="00B615F2">
        <w:rPr>
          <w:rFonts w:eastAsia="Times New Roman" w:cs="Segoe UI"/>
          <w:lang w:eastAsia="en-AU"/>
        </w:rPr>
        <w:t>s,</w:t>
      </w:r>
      <w:r w:rsidR="001A6C49" w:rsidRPr="001A6C49" w:rsidDel="001A6C49">
        <w:rPr>
          <w:rFonts w:eastAsia="Times New Roman" w:cs="Segoe UI"/>
          <w:lang w:eastAsia="en-AU"/>
        </w:rPr>
        <w:t xml:space="preserve"> </w:t>
      </w:r>
      <w:r w:rsidR="00613CA3" w:rsidRPr="002B38D3">
        <w:rPr>
          <w:rFonts w:eastAsia="Times New Roman" w:cs="Segoe UI"/>
          <w:lang w:eastAsia="en-AU"/>
        </w:rPr>
        <w:t>using best-practice methods, spanning data standardisation, standardised analytics and reporting.</w:t>
      </w:r>
      <w:r w:rsidR="00613CA3">
        <w:rPr>
          <w:rFonts w:eastAsia="Times New Roman" w:cs="Segoe UI"/>
          <w:lang w:eastAsia="en-AU"/>
        </w:rPr>
        <w:t xml:space="preserve"> </w:t>
      </w:r>
    </w:p>
    <w:p w14:paraId="077F292D" w14:textId="1ED00BDE" w:rsidR="004C0894" w:rsidRPr="005B4EBF" w:rsidRDefault="004C0894" w:rsidP="00645D5E">
      <w:pPr>
        <w:pStyle w:val="Recommendation1"/>
      </w:pPr>
      <w:bookmarkStart w:id="518" w:name="_Hlk167302339"/>
      <w:r w:rsidRPr="004C0894">
        <w:t>Collecti</w:t>
      </w:r>
      <w:r w:rsidR="00284FDD">
        <w:t>ng and using</w:t>
      </w:r>
      <w:r w:rsidRPr="004C0894">
        <w:t xml:space="preserve"> </w:t>
      </w:r>
      <w:r w:rsidR="00284FDD">
        <w:t xml:space="preserve">real-world data </w:t>
      </w:r>
      <w:r w:rsidR="000B7D86">
        <w:t>to resolve uncertainty</w:t>
      </w:r>
    </w:p>
    <w:bookmarkEnd w:id="518"/>
    <w:p w14:paraId="1371CAE4" w14:textId="5A13E5EF" w:rsidR="00613CA3" w:rsidRPr="001A6C49" w:rsidRDefault="00A94617" w:rsidP="000F3FB9">
      <w:pPr>
        <w:pStyle w:val="CommentText"/>
        <w:spacing w:before="120" w:after="120"/>
        <w:rPr>
          <w:lang w:eastAsia="en-AU"/>
        </w:rPr>
      </w:pPr>
      <w:r w:rsidRPr="00E91ED2">
        <w:rPr>
          <w:sz w:val="24"/>
          <w:szCs w:val="24"/>
          <w:lang w:eastAsia="en-AU"/>
        </w:rPr>
        <w:t xml:space="preserve">The Review recommends </w:t>
      </w:r>
      <w:r w:rsidR="00B615F2" w:rsidRPr="00E91ED2">
        <w:rPr>
          <w:sz w:val="24"/>
          <w:szCs w:val="24"/>
          <w:lang w:eastAsia="en-AU"/>
        </w:rPr>
        <w:t xml:space="preserve">that </w:t>
      </w:r>
      <w:r w:rsidRPr="00E91ED2">
        <w:rPr>
          <w:sz w:val="24"/>
          <w:szCs w:val="24"/>
          <w:lang w:eastAsia="en-AU"/>
        </w:rPr>
        <w:t>the Australian Government</w:t>
      </w:r>
      <w:r w:rsidR="003A6EBD" w:rsidRPr="00E91ED2">
        <w:rPr>
          <w:sz w:val="24"/>
          <w:szCs w:val="24"/>
          <w:lang w:eastAsia="en-AU"/>
        </w:rPr>
        <w:t xml:space="preserve"> e</w:t>
      </w:r>
      <w:r w:rsidR="00613CA3" w:rsidRPr="00E91ED2">
        <w:rPr>
          <w:sz w:val="24"/>
          <w:szCs w:val="24"/>
          <w:lang w:eastAsia="en-AU"/>
        </w:rPr>
        <w:t xml:space="preserve">nsure early identification and/or configuration of data collections potentially suitable to </w:t>
      </w:r>
      <w:r w:rsidR="00002EBF" w:rsidRPr="00E91ED2">
        <w:rPr>
          <w:sz w:val="24"/>
          <w:szCs w:val="24"/>
          <w:lang w:eastAsia="en-AU"/>
        </w:rPr>
        <w:t>help resolve</w:t>
      </w:r>
      <w:r w:rsidR="00613CA3" w:rsidRPr="00E91ED2">
        <w:rPr>
          <w:sz w:val="24"/>
          <w:szCs w:val="24"/>
          <w:lang w:eastAsia="en-AU"/>
        </w:rPr>
        <w:t xml:space="preserve"> uncertainties (a</w:t>
      </w:r>
      <w:r w:rsidR="005F0C08" w:rsidRPr="00E91ED2">
        <w:rPr>
          <w:sz w:val="24"/>
          <w:szCs w:val="24"/>
          <w:lang w:eastAsia="en-AU"/>
        </w:rPr>
        <w:t>nd</w:t>
      </w:r>
      <w:r w:rsidR="00613CA3" w:rsidRPr="00E91ED2">
        <w:rPr>
          <w:sz w:val="24"/>
          <w:szCs w:val="24"/>
          <w:lang w:eastAsia="en-AU"/>
        </w:rPr>
        <w:t xml:space="preserve"> any new </w:t>
      </w:r>
      <w:r w:rsidR="00472BF5" w:rsidRPr="00E91ED2">
        <w:rPr>
          <w:sz w:val="24"/>
          <w:szCs w:val="24"/>
          <w:lang w:eastAsia="en-AU"/>
        </w:rPr>
        <w:t>randomised controlled trial</w:t>
      </w:r>
      <w:r w:rsidR="00472BF5" w:rsidRPr="00E91ED2" w:rsidDel="00B615F2">
        <w:rPr>
          <w:sz w:val="24"/>
          <w:szCs w:val="24"/>
          <w:lang w:eastAsia="en-AU"/>
        </w:rPr>
        <w:t xml:space="preserve"> </w:t>
      </w:r>
      <w:r w:rsidR="00613CA3" w:rsidRPr="00E91ED2">
        <w:rPr>
          <w:sz w:val="24"/>
          <w:szCs w:val="24"/>
          <w:lang w:eastAsia="en-AU"/>
        </w:rPr>
        <w:t>evidence)</w:t>
      </w:r>
      <w:r w:rsidR="00613CA3" w:rsidRPr="00E91ED2">
        <w:rPr>
          <w:rStyle w:val="Strong"/>
          <w:b w:val="0"/>
          <w:sz w:val="24"/>
          <w:szCs w:val="24"/>
        </w:rPr>
        <w:t>, where</w:t>
      </w:r>
      <w:r w:rsidR="00613CA3" w:rsidRPr="00E91ED2">
        <w:rPr>
          <w:sz w:val="24"/>
          <w:szCs w:val="24"/>
          <w:lang w:eastAsia="en-AU"/>
        </w:rPr>
        <w:t xml:space="preserve"> it is expected that an application is likely to result in a </w:t>
      </w:r>
      <w:r w:rsidR="00B76BA7" w:rsidRPr="00E91ED2">
        <w:rPr>
          <w:sz w:val="24"/>
          <w:szCs w:val="24"/>
          <w:lang w:eastAsia="en-AU"/>
        </w:rPr>
        <w:t>m</w:t>
      </w:r>
      <w:r w:rsidR="00613CA3" w:rsidRPr="00E91ED2">
        <w:rPr>
          <w:sz w:val="24"/>
          <w:szCs w:val="24"/>
          <w:lang w:eastAsia="en-AU"/>
        </w:rPr>
        <w:t xml:space="preserve">anaged </w:t>
      </w:r>
      <w:r w:rsidR="00B76BA7" w:rsidRPr="00E91ED2">
        <w:rPr>
          <w:sz w:val="24"/>
          <w:szCs w:val="24"/>
          <w:lang w:eastAsia="en-AU"/>
        </w:rPr>
        <w:t>e</w:t>
      </w:r>
      <w:r w:rsidR="00613CA3" w:rsidRPr="00E91ED2">
        <w:rPr>
          <w:sz w:val="24"/>
          <w:szCs w:val="24"/>
          <w:lang w:eastAsia="en-AU"/>
        </w:rPr>
        <w:t xml:space="preserve">ntry </w:t>
      </w:r>
      <w:r w:rsidR="00B76BA7" w:rsidRPr="00E91ED2">
        <w:rPr>
          <w:sz w:val="24"/>
          <w:szCs w:val="24"/>
          <w:lang w:eastAsia="en-AU"/>
        </w:rPr>
        <w:t>a</w:t>
      </w:r>
      <w:r w:rsidR="001E3060" w:rsidRPr="00E91ED2">
        <w:rPr>
          <w:sz w:val="24"/>
          <w:szCs w:val="24"/>
          <w:lang w:eastAsia="en-AU"/>
        </w:rPr>
        <w:t>greement</w:t>
      </w:r>
      <w:r w:rsidR="003A638D" w:rsidRPr="00E91ED2">
        <w:rPr>
          <w:sz w:val="24"/>
          <w:szCs w:val="24"/>
          <w:lang w:eastAsia="en-AU"/>
        </w:rPr>
        <w:t xml:space="preserve"> (MEA)</w:t>
      </w:r>
      <w:r w:rsidR="00613CA3" w:rsidRPr="00E91ED2">
        <w:rPr>
          <w:sz w:val="24"/>
          <w:szCs w:val="24"/>
          <w:lang w:eastAsia="en-AU"/>
        </w:rPr>
        <w:t>.</w:t>
      </w:r>
    </w:p>
    <w:p w14:paraId="22C482D0" w14:textId="4868EE65" w:rsidR="00274E31" w:rsidRDefault="00613CA3" w:rsidP="00281153">
      <w:pPr>
        <w:pStyle w:val="ListNumber"/>
        <w:numPr>
          <w:ilvl w:val="0"/>
          <w:numId w:val="24"/>
        </w:numPr>
        <w:rPr>
          <w:lang w:eastAsia="en-AU"/>
        </w:rPr>
      </w:pPr>
      <w:r>
        <w:rPr>
          <w:lang w:eastAsia="en-AU"/>
        </w:rPr>
        <w:t xml:space="preserve">Suitable data collections may </w:t>
      </w:r>
      <w:r w:rsidR="0020624A">
        <w:rPr>
          <w:lang w:eastAsia="en-AU"/>
        </w:rPr>
        <w:t>include:</w:t>
      </w:r>
    </w:p>
    <w:p w14:paraId="6BE8E961" w14:textId="7C8E7A18" w:rsidR="00613CA3" w:rsidRPr="00C07A09" w:rsidRDefault="00613CA3" w:rsidP="009028B1">
      <w:pPr>
        <w:pStyle w:val="ListNumber"/>
        <w:numPr>
          <w:ilvl w:val="0"/>
          <w:numId w:val="14"/>
        </w:numPr>
        <w:spacing w:after="0"/>
        <w:ind w:left="1264" w:hanging="357"/>
        <w:rPr>
          <w:lang w:eastAsia="en-AU"/>
        </w:rPr>
      </w:pPr>
      <w:r>
        <w:rPr>
          <w:lang w:eastAsia="en-AU"/>
        </w:rPr>
        <w:t xml:space="preserve">priority </w:t>
      </w:r>
      <w:r w:rsidR="00472BF5">
        <w:rPr>
          <w:lang w:eastAsia="en-AU"/>
        </w:rPr>
        <w:t>real</w:t>
      </w:r>
      <w:r w:rsidR="007E3D0D">
        <w:rPr>
          <w:lang w:eastAsia="en-AU"/>
        </w:rPr>
        <w:t>-</w:t>
      </w:r>
      <w:r w:rsidR="00472BF5">
        <w:rPr>
          <w:lang w:eastAsia="en-AU"/>
        </w:rPr>
        <w:t>world data (</w:t>
      </w:r>
      <w:r>
        <w:rPr>
          <w:lang w:eastAsia="en-AU"/>
        </w:rPr>
        <w:t>RWD</w:t>
      </w:r>
      <w:r w:rsidR="00472BF5">
        <w:rPr>
          <w:lang w:eastAsia="en-AU"/>
        </w:rPr>
        <w:t>)</w:t>
      </w:r>
      <w:r>
        <w:rPr>
          <w:lang w:eastAsia="en-AU"/>
        </w:rPr>
        <w:t xml:space="preserve"> </w:t>
      </w:r>
      <w:r w:rsidR="00707A6F">
        <w:rPr>
          <w:lang w:eastAsia="en-AU"/>
        </w:rPr>
        <w:t>collections</w:t>
      </w:r>
      <w:r>
        <w:rPr>
          <w:lang w:eastAsia="en-AU"/>
        </w:rPr>
        <w:t xml:space="preserve"> (</w:t>
      </w:r>
      <w:r w:rsidR="00002EBF">
        <w:rPr>
          <w:lang w:eastAsia="en-AU"/>
        </w:rPr>
        <w:t>see ‘Recommendation 28. Data infrastructure to support HTAs’</w:t>
      </w:r>
      <w:r w:rsidR="008B011A" w:rsidRPr="006205A9">
        <w:rPr>
          <w:i/>
          <w:lang w:eastAsia="en-AU"/>
        </w:rPr>
        <w:fldChar w:fldCharType="begin" w:fldLock="1"/>
      </w:r>
      <w:r w:rsidR="008B011A" w:rsidRPr="00405FD7">
        <w:rPr>
          <w:i/>
          <w:highlight w:val="yellow"/>
          <w:lang w:eastAsia="en-AU"/>
        </w:rPr>
        <w:instrText xml:space="preserve"> REF _Ref165281443 \n \h </w:instrText>
      </w:r>
      <w:r w:rsidR="0037073C">
        <w:rPr>
          <w:i/>
          <w:highlight w:val="yellow"/>
          <w:lang w:eastAsia="en-AU"/>
        </w:rPr>
        <w:instrText xml:space="preserve"> \* MERGEFORMAT</w:instrText>
      </w:r>
      <w:r w:rsidR="0037073C" w:rsidRPr="0078467E">
        <w:rPr>
          <w:i/>
          <w:highlight w:val="yellow"/>
          <w:lang w:eastAsia="en-AU"/>
        </w:rPr>
        <w:instrText xml:space="preserve"> </w:instrText>
      </w:r>
      <w:r w:rsidR="008B011A" w:rsidRPr="006205A9">
        <w:rPr>
          <w:i/>
          <w:lang w:eastAsia="en-AU"/>
        </w:rPr>
      </w:r>
      <w:r w:rsidR="00847484">
        <w:rPr>
          <w:i/>
          <w:lang w:eastAsia="en-AU"/>
        </w:rPr>
        <w:fldChar w:fldCharType="separate"/>
      </w:r>
      <w:r w:rsidR="008B011A" w:rsidRPr="006205A9">
        <w:rPr>
          <w:i/>
          <w:lang w:eastAsia="en-AU"/>
        </w:rPr>
        <w:fldChar w:fldCharType="end"/>
      </w:r>
      <w:r>
        <w:rPr>
          <w:lang w:eastAsia="en-AU"/>
        </w:rPr>
        <w:t xml:space="preserve">), </w:t>
      </w:r>
      <w:r w:rsidR="002067F5">
        <w:rPr>
          <w:lang w:eastAsia="en-AU"/>
        </w:rPr>
        <w:t>such as</w:t>
      </w:r>
      <w:r w:rsidR="00002EBF">
        <w:rPr>
          <w:lang w:eastAsia="en-AU"/>
        </w:rPr>
        <w:t xml:space="preserve"> in</w:t>
      </w:r>
      <w:r w:rsidR="002067F5">
        <w:rPr>
          <w:lang w:eastAsia="en-AU"/>
        </w:rPr>
        <w:t xml:space="preserve"> e</w:t>
      </w:r>
      <w:r w:rsidRPr="00232DA1">
        <w:t xml:space="preserve">xisting </w:t>
      </w:r>
      <w:r w:rsidRPr="00D84017">
        <w:t>clinical</w:t>
      </w:r>
      <w:r w:rsidRPr="00232DA1">
        <w:t xml:space="preserve"> registries</w:t>
      </w:r>
      <w:r w:rsidRPr="00232DA1" w:rsidDel="00002EBF">
        <w:t xml:space="preserve">. </w:t>
      </w:r>
      <w:r w:rsidRPr="002B38D3" w:rsidDel="00002EBF">
        <w:t>I</w:t>
      </w:r>
      <w:r w:rsidRPr="002B38D3">
        <w:t>ntegrated data from a single populous jurisdiction may be fit-</w:t>
      </w:r>
      <w:r w:rsidRPr="00A14EA3">
        <w:rPr>
          <w:rFonts w:eastAsia="Times New Roman" w:cs="Segoe UI"/>
          <w:lang w:eastAsia="en-AU"/>
        </w:rPr>
        <w:t>for</w:t>
      </w:r>
      <w:r w:rsidRPr="002B38D3">
        <w:t>-purpose</w:t>
      </w:r>
      <w:r w:rsidRPr="00A14EA3">
        <w:rPr>
          <w:rFonts w:eastAsia="Times New Roman" w:cs="Segoe UI"/>
          <w:lang w:eastAsia="en-AU"/>
        </w:rPr>
        <w:t xml:space="preserve"> to address </w:t>
      </w:r>
      <w:r w:rsidR="00BD6CA8">
        <w:rPr>
          <w:rFonts w:eastAsia="Times New Roman" w:cs="Segoe UI"/>
          <w:lang w:eastAsia="en-AU"/>
        </w:rPr>
        <w:t>certain</w:t>
      </w:r>
      <w:r w:rsidRPr="00A14EA3">
        <w:rPr>
          <w:rFonts w:eastAsia="Times New Roman" w:cs="Segoe UI"/>
          <w:lang w:eastAsia="en-AU"/>
        </w:rPr>
        <w:t xml:space="preserve"> research questions</w:t>
      </w:r>
      <w:r w:rsidR="00002EBF">
        <w:rPr>
          <w:rFonts w:eastAsia="Times New Roman" w:cs="Segoe UI"/>
          <w:lang w:eastAsia="en-AU"/>
        </w:rPr>
        <w:t>)</w:t>
      </w:r>
    </w:p>
    <w:p w14:paraId="614E0C59" w14:textId="00EEF005" w:rsidR="00613CA3" w:rsidRDefault="00002EBF" w:rsidP="009028B1">
      <w:pPr>
        <w:pStyle w:val="ListParagraph"/>
        <w:numPr>
          <w:ilvl w:val="0"/>
          <w:numId w:val="14"/>
        </w:numPr>
        <w:spacing w:after="0" w:line="276" w:lineRule="auto"/>
        <w:ind w:left="1264" w:hanging="357"/>
        <w:textAlignment w:val="baseline"/>
        <w:rPr>
          <w:lang w:eastAsia="en-AU"/>
        </w:rPr>
      </w:pPr>
      <w:r>
        <w:rPr>
          <w:lang w:eastAsia="en-AU"/>
        </w:rPr>
        <w:t>i</w:t>
      </w:r>
      <w:r w:rsidR="002066DC" w:rsidRPr="00810D9D">
        <w:rPr>
          <w:lang w:eastAsia="en-AU"/>
        </w:rPr>
        <w:t>n the longer</w:t>
      </w:r>
      <w:r>
        <w:rPr>
          <w:lang w:eastAsia="en-AU"/>
        </w:rPr>
        <w:t xml:space="preserve"> </w:t>
      </w:r>
      <w:r w:rsidR="002066DC" w:rsidRPr="00810D9D">
        <w:rPr>
          <w:lang w:eastAsia="en-AU"/>
        </w:rPr>
        <w:t>term</w:t>
      </w:r>
      <w:r w:rsidR="002066DC">
        <w:rPr>
          <w:lang w:eastAsia="en-AU"/>
        </w:rPr>
        <w:t xml:space="preserve">, </w:t>
      </w:r>
      <w:r w:rsidR="002066DC" w:rsidRPr="00810D9D">
        <w:rPr>
          <w:lang w:eastAsia="en-AU"/>
        </w:rPr>
        <w:t xml:space="preserve">outcomes of interest </w:t>
      </w:r>
      <w:r w:rsidR="002066DC" w:rsidRPr="00810D9D" w:rsidDel="00002EBF">
        <w:rPr>
          <w:lang w:eastAsia="en-AU"/>
        </w:rPr>
        <w:t xml:space="preserve">may be </w:t>
      </w:r>
      <w:r w:rsidR="002066DC" w:rsidRPr="00810D9D">
        <w:rPr>
          <w:lang w:eastAsia="en-AU"/>
        </w:rPr>
        <w:t>collected as add-on</w:t>
      </w:r>
      <w:r>
        <w:rPr>
          <w:lang w:eastAsia="en-AU"/>
        </w:rPr>
        <w:t>s</w:t>
      </w:r>
      <w:r w:rsidR="002066DC" w:rsidRPr="00810D9D">
        <w:rPr>
          <w:lang w:eastAsia="en-AU"/>
        </w:rPr>
        <w:t xml:space="preserve"> to enduring data</w:t>
      </w:r>
      <w:r>
        <w:rPr>
          <w:lang w:eastAsia="en-AU"/>
        </w:rPr>
        <w:t xml:space="preserve"> </w:t>
      </w:r>
      <w:r w:rsidR="002066DC" w:rsidRPr="00810D9D">
        <w:rPr>
          <w:lang w:eastAsia="en-AU"/>
        </w:rPr>
        <w:t>linkages</w:t>
      </w:r>
      <w:r w:rsidR="0095144D" w:rsidRPr="00DE49AC">
        <w:rPr>
          <w:lang w:eastAsia="en-AU"/>
        </w:rPr>
        <w:t>, national dataset</w:t>
      </w:r>
      <w:r>
        <w:rPr>
          <w:lang w:eastAsia="en-AU"/>
        </w:rPr>
        <w:t>s</w:t>
      </w:r>
      <w:r w:rsidR="0095144D" w:rsidRPr="00DE49AC">
        <w:rPr>
          <w:lang w:eastAsia="en-AU"/>
        </w:rPr>
        <w:t xml:space="preserve"> (</w:t>
      </w:r>
      <w:r w:rsidR="004F5152" w:rsidRPr="00F15415">
        <w:rPr>
          <w:lang w:eastAsia="en-AU"/>
        </w:rPr>
        <w:t>see ‘R</w:t>
      </w:r>
      <w:r w:rsidR="0095144D" w:rsidRPr="00F15415">
        <w:rPr>
          <w:lang w:eastAsia="en-AU"/>
        </w:rPr>
        <w:t xml:space="preserve">ecommendation </w:t>
      </w:r>
      <w:r w:rsidR="004F5152" w:rsidRPr="00F15415">
        <w:rPr>
          <w:lang w:eastAsia="en-AU"/>
        </w:rPr>
        <w:t>28</w:t>
      </w:r>
      <w:r w:rsidR="004F5152" w:rsidRPr="00F15415">
        <w:rPr>
          <w:i/>
          <w:lang w:eastAsia="en-AU"/>
        </w:rPr>
        <w:t xml:space="preserve">. </w:t>
      </w:r>
      <w:r w:rsidR="004F5152" w:rsidRPr="00F15415">
        <w:rPr>
          <w:lang w:eastAsia="en-AU"/>
        </w:rPr>
        <w:t>Data infrastructure to support HTAs’</w:t>
      </w:r>
      <w:r w:rsidR="00531449" w:rsidRPr="00F15415">
        <w:rPr>
          <w:i/>
          <w:lang w:eastAsia="en-AU"/>
        </w:rPr>
        <w:fldChar w:fldCharType="begin" w:fldLock="1"/>
      </w:r>
      <w:r w:rsidR="00531449" w:rsidRPr="00F15415">
        <w:rPr>
          <w:i/>
          <w:lang w:eastAsia="en-AU"/>
        </w:rPr>
        <w:instrText xml:space="preserve"> REF _Ref165281443 \n \h </w:instrText>
      </w:r>
      <w:r w:rsidR="008A2B10" w:rsidRPr="00F15415">
        <w:rPr>
          <w:i/>
          <w:lang w:eastAsia="en-AU"/>
        </w:rPr>
        <w:instrText xml:space="preserve"> \* MERGEFORMAT </w:instrText>
      </w:r>
      <w:r w:rsidR="00531449" w:rsidRPr="00F15415">
        <w:rPr>
          <w:i/>
          <w:lang w:eastAsia="en-AU"/>
        </w:rPr>
      </w:r>
      <w:r w:rsidR="00847484">
        <w:rPr>
          <w:i/>
          <w:lang w:eastAsia="en-AU"/>
        </w:rPr>
        <w:fldChar w:fldCharType="separate"/>
      </w:r>
      <w:r w:rsidR="00531449" w:rsidRPr="00F15415">
        <w:rPr>
          <w:i/>
          <w:lang w:eastAsia="en-AU"/>
        </w:rPr>
        <w:fldChar w:fldCharType="end"/>
      </w:r>
      <w:r w:rsidR="0095144D" w:rsidRPr="00F15415">
        <w:rPr>
          <w:lang w:eastAsia="en-AU"/>
        </w:rPr>
        <w:t>)</w:t>
      </w:r>
      <w:r w:rsidR="0095144D" w:rsidRPr="00DE49AC">
        <w:rPr>
          <w:lang w:eastAsia="en-AU"/>
        </w:rPr>
        <w:t xml:space="preserve"> </w:t>
      </w:r>
      <w:r w:rsidR="002066DC" w:rsidRPr="00810D9D" w:rsidDel="004F5152">
        <w:rPr>
          <w:lang w:eastAsia="en-AU"/>
        </w:rPr>
        <w:t>or</w:t>
      </w:r>
      <w:r w:rsidR="002066DC" w:rsidRPr="00810D9D">
        <w:rPr>
          <w:lang w:eastAsia="en-AU"/>
        </w:rPr>
        <w:t xml:space="preserve"> </w:t>
      </w:r>
      <w:r w:rsidR="004F5152" w:rsidRPr="00F15415">
        <w:rPr>
          <w:lang w:eastAsia="en-AU"/>
        </w:rPr>
        <w:t>e</w:t>
      </w:r>
      <w:r w:rsidRPr="00F15415">
        <w:rPr>
          <w:lang w:eastAsia="en-AU"/>
        </w:rPr>
        <w:t>lectronic h</w:t>
      </w:r>
      <w:r w:rsidR="002066DC" w:rsidRPr="00F15415">
        <w:rPr>
          <w:lang w:eastAsia="en-AU"/>
        </w:rPr>
        <w:t xml:space="preserve">ealth </w:t>
      </w:r>
      <w:r w:rsidRPr="00F15415">
        <w:rPr>
          <w:lang w:eastAsia="en-AU"/>
        </w:rPr>
        <w:t>r</w:t>
      </w:r>
      <w:r w:rsidR="002066DC" w:rsidRPr="00F15415">
        <w:rPr>
          <w:lang w:eastAsia="en-AU"/>
        </w:rPr>
        <w:t>ecord</w:t>
      </w:r>
      <w:r w:rsidRPr="00F15415">
        <w:rPr>
          <w:lang w:eastAsia="en-AU"/>
        </w:rPr>
        <w:t>s</w:t>
      </w:r>
      <w:r w:rsidR="002066DC" w:rsidRPr="00810D9D">
        <w:rPr>
          <w:lang w:eastAsia="en-AU"/>
        </w:rPr>
        <w:t xml:space="preserve"> data, as recommended by the advisory </w:t>
      </w:r>
      <w:r w:rsidR="00B54E6C">
        <w:rPr>
          <w:lang w:eastAsia="en-AU"/>
        </w:rPr>
        <w:t>group</w:t>
      </w:r>
      <w:r w:rsidR="002066DC" w:rsidRPr="00810D9D">
        <w:rPr>
          <w:lang w:eastAsia="en-AU"/>
        </w:rPr>
        <w:t xml:space="preserve"> (</w:t>
      </w:r>
      <w:r w:rsidR="004F5152" w:rsidRPr="00F15415">
        <w:t xml:space="preserve">see ‘Recommendation 27: Governance and strategic oversight of </w:t>
      </w:r>
      <w:r w:rsidR="0028472D" w:rsidRPr="00F15415">
        <w:t>real-world data</w:t>
      </w:r>
      <w:r w:rsidR="004F5152" w:rsidRPr="00F15415">
        <w:t xml:space="preserve"> to support HTAs</w:t>
      </w:r>
      <w:r w:rsidR="00215178" w:rsidRPr="00F15415">
        <w:rPr>
          <w:lang w:eastAsia="en-AU"/>
        </w:rPr>
        <w:t>’</w:t>
      </w:r>
      <w:r w:rsidR="00215178">
        <w:rPr>
          <w:lang w:eastAsia="en-AU"/>
        </w:rPr>
        <w:t>).</w:t>
      </w:r>
    </w:p>
    <w:p w14:paraId="0A3C9192" w14:textId="5BD9C5CA" w:rsidR="00613CA3" w:rsidRDefault="00613CA3" w:rsidP="009028B1">
      <w:pPr>
        <w:pStyle w:val="ListNumber"/>
        <w:numPr>
          <w:ilvl w:val="0"/>
          <w:numId w:val="24"/>
        </w:numPr>
        <w:spacing w:after="0"/>
        <w:rPr>
          <w:lang w:eastAsia="en-AU"/>
        </w:rPr>
      </w:pPr>
      <w:r w:rsidDel="004F5152">
        <w:rPr>
          <w:lang w:eastAsia="en-AU"/>
        </w:rPr>
        <w:t>W</w:t>
      </w:r>
      <w:r>
        <w:rPr>
          <w:lang w:eastAsia="en-AU"/>
        </w:rPr>
        <w:t>here a suitable data</w:t>
      </w:r>
      <w:r w:rsidR="004F5152">
        <w:rPr>
          <w:lang w:eastAsia="en-AU"/>
        </w:rPr>
        <w:t xml:space="preserve"> </w:t>
      </w:r>
      <w:r>
        <w:rPr>
          <w:lang w:eastAsia="en-AU"/>
        </w:rPr>
        <w:t>collection cannot be identified,</w:t>
      </w:r>
      <w:r w:rsidR="004F5152">
        <w:rPr>
          <w:lang w:eastAsia="en-AU"/>
        </w:rPr>
        <w:t xml:space="preserve"> establishing</w:t>
      </w:r>
      <w:r>
        <w:rPr>
          <w:lang w:eastAsia="en-AU"/>
        </w:rPr>
        <w:t xml:space="preserve"> </w:t>
      </w:r>
      <w:r w:rsidR="004F5152">
        <w:rPr>
          <w:lang w:eastAsia="en-AU"/>
        </w:rPr>
        <w:t xml:space="preserve">new datasets could be </w:t>
      </w:r>
      <w:r>
        <w:rPr>
          <w:lang w:eastAsia="en-AU"/>
        </w:rPr>
        <w:t>consider</w:t>
      </w:r>
      <w:r w:rsidR="004F5152">
        <w:rPr>
          <w:lang w:eastAsia="en-AU"/>
        </w:rPr>
        <w:t>ed</w:t>
      </w:r>
      <w:r>
        <w:rPr>
          <w:lang w:eastAsia="en-AU"/>
        </w:rPr>
        <w:t>. Th</w:t>
      </w:r>
      <w:r w:rsidR="004F5152">
        <w:rPr>
          <w:lang w:eastAsia="en-AU"/>
        </w:rPr>
        <w:t>ese</w:t>
      </w:r>
      <w:r>
        <w:rPr>
          <w:lang w:eastAsia="en-AU"/>
        </w:rPr>
        <w:t xml:space="preserve"> could be obtained via pre-agreed data items (e.g. minimum datasets) collected via relevant </w:t>
      </w:r>
      <w:r w:rsidRPr="00F15415">
        <w:rPr>
          <w:lang w:eastAsia="en-AU"/>
        </w:rPr>
        <w:t>electronic medical records</w:t>
      </w:r>
      <w:r w:rsidDel="00160F4C">
        <w:rPr>
          <w:lang w:eastAsia="en-AU"/>
        </w:rPr>
        <w:t xml:space="preserve"> </w:t>
      </w:r>
      <w:r>
        <w:rPr>
          <w:lang w:eastAsia="en-AU"/>
        </w:rPr>
        <w:t>or a customised form used for collecti</w:t>
      </w:r>
      <w:r w:rsidR="004F5152">
        <w:rPr>
          <w:lang w:eastAsia="en-AU"/>
        </w:rPr>
        <w:t>ng</w:t>
      </w:r>
      <w:r>
        <w:rPr>
          <w:lang w:eastAsia="en-AU"/>
        </w:rPr>
        <w:t xml:space="preserve"> data as a requirement for access to provisionally</w:t>
      </w:r>
      <w:r w:rsidR="004F5152">
        <w:rPr>
          <w:lang w:eastAsia="en-AU"/>
        </w:rPr>
        <w:t xml:space="preserve"> </w:t>
      </w:r>
      <w:r>
        <w:rPr>
          <w:lang w:eastAsia="en-AU"/>
        </w:rPr>
        <w:t xml:space="preserve">listed therapies </w:t>
      </w:r>
    </w:p>
    <w:p w14:paraId="50A93C58" w14:textId="27A8B57B" w:rsidR="00613CA3" w:rsidRDefault="00613CA3" w:rsidP="009028B1">
      <w:pPr>
        <w:pStyle w:val="ListParagraph"/>
        <w:numPr>
          <w:ilvl w:val="0"/>
          <w:numId w:val="25"/>
        </w:numPr>
        <w:spacing w:after="0" w:line="276" w:lineRule="auto"/>
        <w:suppressOverlap/>
        <w:textAlignment w:val="baseline"/>
        <w:rPr>
          <w:lang w:eastAsia="en-AU"/>
        </w:rPr>
      </w:pPr>
      <w:r>
        <w:rPr>
          <w:lang w:eastAsia="en-AU"/>
        </w:rPr>
        <w:t>Early exploration</w:t>
      </w:r>
      <w:r w:rsidRPr="00810D9D">
        <w:rPr>
          <w:lang w:eastAsia="en-AU"/>
        </w:rPr>
        <w:t xml:space="preserve"> and </w:t>
      </w:r>
      <w:r>
        <w:rPr>
          <w:lang w:eastAsia="en-AU"/>
        </w:rPr>
        <w:t>n</w:t>
      </w:r>
      <w:r w:rsidRPr="00810D9D">
        <w:rPr>
          <w:lang w:eastAsia="en-AU"/>
        </w:rPr>
        <w:t xml:space="preserve">egotiation </w:t>
      </w:r>
      <w:r>
        <w:rPr>
          <w:lang w:eastAsia="en-AU"/>
        </w:rPr>
        <w:t>should be</w:t>
      </w:r>
      <w:r w:rsidR="00215178">
        <w:rPr>
          <w:lang w:eastAsia="en-AU"/>
        </w:rPr>
        <w:t>gin</w:t>
      </w:r>
      <w:r w:rsidDel="00215178">
        <w:rPr>
          <w:lang w:eastAsia="en-AU"/>
        </w:rPr>
        <w:t xml:space="preserve"> </w:t>
      </w:r>
      <w:r w:rsidRPr="00810D9D">
        <w:rPr>
          <w:lang w:eastAsia="en-AU"/>
        </w:rPr>
        <w:t>to determine the feasibility of</w:t>
      </w:r>
      <w:r>
        <w:rPr>
          <w:lang w:eastAsia="en-AU"/>
        </w:rPr>
        <w:t>, and resourcing requirements for,</w:t>
      </w:r>
      <w:r w:rsidRPr="00810D9D">
        <w:rPr>
          <w:lang w:eastAsia="en-AU"/>
        </w:rPr>
        <w:t xml:space="preserve"> </w:t>
      </w:r>
      <w:r>
        <w:rPr>
          <w:lang w:eastAsia="en-AU"/>
        </w:rPr>
        <w:t xml:space="preserve">timely, quality </w:t>
      </w:r>
      <w:r w:rsidRPr="00810D9D">
        <w:rPr>
          <w:lang w:eastAsia="en-AU"/>
        </w:rPr>
        <w:t>data collection</w:t>
      </w:r>
      <w:r>
        <w:rPr>
          <w:lang w:eastAsia="en-AU"/>
        </w:rPr>
        <w:t xml:space="preserve"> and reporting for the intended purpose</w:t>
      </w:r>
    </w:p>
    <w:p w14:paraId="077CDF8D" w14:textId="4033F7CE" w:rsidR="00613CA3" w:rsidRDefault="00613CA3" w:rsidP="00281153">
      <w:pPr>
        <w:pStyle w:val="ListParagraph"/>
        <w:numPr>
          <w:ilvl w:val="0"/>
          <w:numId w:val="15"/>
        </w:numPr>
        <w:spacing w:before="160" w:after="100" w:line="276" w:lineRule="auto"/>
        <w:ind w:left="1267"/>
        <w:suppressOverlap/>
        <w:textAlignment w:val="baseline"/>
        <w:rPr>
          <w:lang w:eastAsia="en-AU"/>
        </w:rPr>
      </w:pPr>
      <w:r>
        <w:rPr>
          <w:lang w:eastAsia="en-AU"/>
        </w:rPr>
        <w:t>Resourcing should be joint</w:t>
      </w:r>
      <w:r w:rsidR="00AC3595">
        <w:rPr>
          <w:lang w:eastAsia="en-AU"/>
        </w:rPr>
        <w:t>ly</w:t>
      </w:r>
      <w:r w:rsidR="3878330F" w:rsidRPr="689E1B1A">
        <w:rPr>
          <w:lang w:eastAsia="en-AU"/>
        </w:rPr>
        <w:t xml:space="preserve"> </w:t>
      </w:r>
      <w:r>
        <w:rPr>
          <w:lang w:eastAsia="en-AU"/>
        </w:rPr>
        <w:t xml:space="preserve">funded by relevant parties, with </w:t>
      </w:r>
      <w:r w:rsidR="00AC3595">
        <w:rPr>
          <w:lang w:eastAsia="en-AU"/>
        </w:rPr>
        <w:t xml:space="preserve">fund </w:t>
      </w:r>
      <w:r>
        <w:rPr>
          <w:lang w:eastAsia="en-AU"/>
        </w:rPr>
        <w:t>administration</w:t>
      </w:r>
      <w:r w:rsidDel="00AC3595">
        <w:rPr>
          <w:lang w:eastAsia="en-AU"/>
        </w:rPr>
        <w:t xml:space="preserve"> </w:t>
      </w:r>
      <w:r>
        <w:rPr>
          <w:lang w:eastAsia="en-AU"/>
        </w:rPr>
        <w:t xml:space="preserve">and </w:t>
      </w:r>
      <w:r w:rsidR="00AC3595">
        <w:rPr>
          <w:lang w:eastAsia="en-AU"/>
        </w:rPr>
        <w:t xml:space="preserve">data </w:t>
      </w:r>
      <w:r>
        <w:rPr>
          <w:lang w:eastAsia="en-AU"/>
        </w:rPr>
        <w:t>collection overseen by the multi-stakeholder advisory group (</w:t>
      </w:r>
      <w:r w:rsidR="00AC3595" w:rsidRPr="00F15415">
        <w:t xml:space="preserve">see ‘Recommendation 27: Governance and strategic oversight of </w:t>
      </w:r>
      <w:r w:rsidR="0028472D" w:rsidRPr="00F15415">
        <w:t>real-world data</w:t>
      </w:r>
      <w:r w:rsidR="00AC3595" w:rsidRPr="00F15415">
        <w:t xml:space="preserve"> to support HTAs</w:t>
      </w:r>
      <w:r w:rsidR="00AC3595" w:rsidRPr="00F15415">
        <w:rPr>
          <w:lang w:eastAsia="en-AU"/>
        </w:rPr>
        <w:t>’</w:t>
      </w:r>
      <w:r w:rsidRPr="00F15415">
        <w:rPr>
          <w:lang w:eastAsia="en-AU"/>
        </w:rPr>
        <w:t>)</w:t>
      </w:r>
      <w:r>
        <w:rPr>
          <w:lang w:eastAsia="en-AU"/>
        </w:rPr>
        <w:t xml:space="preserve"> </w:t>
      </w:r>
    </w:p>
    <w:p w14:paraId="5C98E70F" w14:textId="1C67382F" w:rsidR="00613CA3" w:rsidRDefault="00613CA3" w:rsidP="00281153">
      <w:pPr>
        <w:pStyle w:val="ListParagraph"/>
        <w:numPr>
          <w:ilvl w:val="0"/>
          <w:numId w:val="15"/>
        </w:numPr>
        <w:spacing w:before="160" w:after="100" w:line="276" w:lineRule="auto"/>
        <w:ind w:left="1267"/>
        <w:suppressOverlap/>
        <w:textAlignment w:val="baseline"/>
        <w:rPr>
          <w:lang w:eastAsia="en-AU"/>
        </w:rPr>
      </w:pPr>
      <w:r>
        <w:rPr>
          <w:lang w:eastAsia="en-AU"/>
        </w:rPr>
        <w:t xml:space="preserve">Details need to be resolved </w:t>
      </w:r>
      <w:r w:rsidR="00AC3595">
        <w:rPr>
          <w:lang w:eastAsia="en-AU"/>
        </w:rPr>
        <w:t>before</w:t>
      </w:r>
      <w:r>
        <w:rPr>
          <w:lang w:eastAsia="en-AU"/>
        </w:rPr>
        <w:t xml:space="preserve"> </w:t>
      </w:r>
      <w:proofErr w:type="gramStart"/>
      <w:r>
        <w:rPr>
          <w:lang w:eastAsia="en-AU"/>
        </w:rPr>
        <w:t>entering into</w:t>
      </w:r>
      <w:proofErr w:type="gramEnd"/>
      <w:r>
        <w:rPr>
          <w:lang w:eastAsia="en-AU"/>
        </w:rPr>
        <w:t xml:space="preserve"> any MEA, to provide assurance that uncertainties will likely be resolved via evidence generation during the provisional</w:t>
      </w:r>
      <w:r w:rsidR="00AC3595">
        <w:rPr>
          <w:lang w:eastAsia="en-AU"/>
        </w:rPr>
        <w:t xml:space="preserve"> </w:t>
      </w:r>
      <w:r>
        <w:rPr>
          <w:lang w:eastAsia="en-AU"/>
        </w:rPr>
        <w:t xml:space="preserve">listing period. </w:t>
      </w:r>
    </w:p>
    <w:p w14:paraId="70E5052F" w14:textId="709CB58D" w:rsidR="00613CA3" w:rsidRPr="00810D9D" w:rsidRDefault="00613CA3" w:rsidP="00281153">
      <w:pPr>
        <w:pStyle w:val="ListNumber"/>
        <w:numPr>
          <w:ilvl w:val="0"/>
          <w:numId w:val="25"/>
        </w:numPr>
        <w:rPr>
          <w:lang w:eastAsia="en-AU"/>
        </w:rPr>
      </w:pPr>
      <w:r w:rsidRPr="00810D9D">
        <w:rPr>
          <w:lang w:eastAsia="en-AU"/>
        </w:rPr>
        <w:lastRenderedPageBreak/>
        <w:t xml:space="preserve">Outcomes of interest should be determined based on the areas of uncertainty to be resolved, along with baseline data and information relating to other care received </w:t>
      </w:r>
    </w:p>
    <w:p w14:paraId="1D04DB01" w14:textId="529C3D27" w:rsidR="00613CA3" w:rsidRDefault="00613CA3" w:rsidP="00281153">
      <w:pPr>
        <w:pStyle w:val="ListNumber"/>
        <w:numPr>
          <w:ilvl w:val="0"/>
          <w:numId w:val="25"/>
        </w:numPr>
      </w:pPr>
      <w:bookmarkStart w:id="519" w:name="_Ref164783053"/>
      <w:r w:rsidRPr="00810D9D">
        <w:rPr>
          <w:lang w:eastAsia="en-AU"/>
        </w:rPr>
        <w:t>In the case of ultra-rare diseases</w:t>
      </w:r>
      <w:r>
        <w:rPr>
          <w:lang w:eastAsia="en-AU"/>
        </w:rPr>
        <w:t xml:space="preserve"> and other small populations</w:t>
      </w:r>
      <w:r w:rsidRPr="00810D9D">
        <w:rPr>
          <w:lang w:eastAsia="en-AU"/>
        </w:rPr>
        <w:t xml:space="preserve">, international </w:t>
      </w:r>
      <w:r>
        <w:rPr>
          <w:lang w:eastAsia="en-AU"/>
        </w:rPr>
        <w:t xml:space="preserve">collaboration in the collection of patient-level data (e.g. international </w:t>
      </w:r>
      <w:r w:rsidRPr="00810D9D">
        <w:rPr>
          <w:lang w:eastAsia="en-AU"/>
        </w:rPr>
        <w:t>registries</w:t>
      </w:r>
      <w:r>
        <w:rPr>
          <w:lang w:eastAsia="en-AU"/>
        </w:rPr>
        <w:t>)</w:t>
      </w:r>
      <w:r w:rsidR="00AC3595">
        <w:rPr>
          <w:lang w:eastAsia="en-AU"/>
        </w:rPr>
        <w:t xml:space="preserve"> and</w:t>
      </w:r>
      <w:r>
        <w:rPr>
          <w:lang w:eastAsia="en-AU"/>
        </w:rPr>
        <w:t xml:space="preserve"> the</w:t>
      </w:r>
      <w:r w:rsidDel="00770EC3">
        <w:rPr>
          <w:lang w:eastAsia="en-AU"/>
        </w:rPr>
        <w:t xml:space="preserve"> </w:t>
      </w:r>
      <w:r w:rsidR="00770EC3">
        <w:rPr>
          <w:lang w:eastAsia="en-AU"/>
        </w:rPr>
        <w:t xml:space="preserve">potential use </w:t>
      </w:r>
      <w:r>
        <w:rPr>
          <w:lang w:eastAsia="en-AU"/>
        </w:rPr>
        <w:t xml:space="preserve">of common data models should be </w:t>
      </w:r>
      <w:r w:rsidR="00394ED3">
        <w:rPr>
          <w:lang w:eastAsia="en-AU"/>
        </w:rPr>
        <w:t>considered</w:t>
      </w:r>
      <w:r w:rsidR="00AC3595">
        <w:rPr>
          <w:lang w:eastAsia="en-AU"/>
        </w:rPr>
        <w:t>,</w:t>
      </w:r>
      <w:r w:rsidR="00394ED3">
        <w:rPr>
          <w:lang w:eastAsia="en-AU"/>
        </w:rPr>
        <w:t xml:space="preserve"> </w:t>
      </w:r>
      <w:r>
        <w:rPr>
          <w:lang w:eastAsia="en-AU"/>
        </w:rPr>
        <w:t>where possible</w:t>
      </w:r>
      <w:r w:rsidRPr="00810D9D">
        <w:rPr>
          <w:lang w:eastAsia="en-AU"/>
        </w:rPr>
        <w:t xml:space="preserve">. </w:t>
      </w:r>
      <w:r>
        <w:rPr>
          <w:lang w:eastAsia="en-AU"/>
        </w:rPr>
        <w:t xml:space="preserve">Inclusion of </w:t>
      </w:r>
      <w:r w:rsidRPr="005A02A2">
        <w:rPr>
          <w:lang w:eastAsia="en-AU"/>
        </w:rPr>
        <w:t xml:space="preserve">RWD and </w:t>
      </w:r>
      <w:r w:rsidR="00472BF5">
        <w:rPr>
          <w:lang w:eastAsia="en-AU"/>
        </w:rPr>
        <w:t>real</w:t>
      </w:r>
      <w:r w:rsidR="007E3D0D">
        <w:rPr>
          <w:lang w:eastAsia="en-AU"/>
        </w:rPr>
        <w:t>-</w:t>
      </w:r>
      <w:r w:rsidR="00472BF5">
        <w:rPr>
          <w:lang w:eastAsia="en-AU"/>
        </w:rPr>
        <w:t xml:space="preserve">world evidence </w:t>
      </w:r>
      <w:r w:rsidRPr="005A02A2">
        <w:rPr>
          <w:lang w:eastAsia="en-AU"/>
        </w:rPr>
        <w:t>obtained through local use</w:t>
      </w:r>
      <w:r w:rsidRPr="008F4E1F">
        <w:rPr>
          <w:lang w:eastAsia="en-AU"/>
        </w:rPr>
        <w:t xml:space="preserve"> </w:t>
      </w:r>
      <w:r w:rsidR="00073DD4">
        <w:rPr>
          <w:lang w:eastAsia="en-AU"/>
        </w:rPr>
        <w:t>should</w:t>
      </w:r>
      <w:r w:rsidRPr="005A02A2">
        <w:rPr>
          <w:lang w:eastAsia="en-AU"/>
        </w:rPr>
        <w:t xml:space="preserve"> still serve as a mechanism to </w:t>
      </w:r>
      <w:r w:rsidR="00D54A5A">
        <w:rPr>
          <w:lang w:eastAsia="en-AU"/>
        </w:rPr>
        <w:t>support</w:t>
      </w:r>
      <w:r w:rsidRPr="005A02A2">
        <w:rPr>
          <w:lang w:eastAsia="en-AU"/>
        </w:rPr>
        <w:t xml:space="preserve"> funding suitability and clinical effectiveness</w:t>
      </w:r>
      <w:r>
        <w:rPr>
          <w:lang w:eastAsia="en-AU"/>
        </w:rPr>
        <w:t xml:space="preserve">, </w:t>
      </w:r>
      <w:r w:rsidRPr="005A02A2">
        <w:rPr>
          <w:lang w:eastAsia="en-AU"/>
        </w:rPr>
        <w:t>as it provides local context</w:t>
      </w:r>
      <w:r>
        <w:rPr>
          <w:lang w:eastAsia="en-AU"/>
        </w:rPr>
        <w:t>.</w:t>
      </w:r>
      <w:bookmarkEnd w:id="519"/>
    </w:p>
    <w:p w14:paraId="66E8CEBC" w14:textId="77777777" w:rsidR="00101F4A" w:rsidRDefault="00101F4A">
      <w:pPr>
        <w:rPr>
          <w:rFonts w:eastAsia="Times New Roman" w:cs="Segoe UI"/>
          <w:bCs/>
          <w:color w:val="094868"/>
          <w:kern w:val="28"/>
          <w:sz w:val="44"/>
          <w:szCs w:val="36"/>
        </w:rPr>
      </w:pPr>
      <w:r>
        <w:br w:type="page"/>
      </w:r>
    </w:p>
    <w:p w14:paraId="416D1C8B" w14:textId="5EE003C4" w:rsidR="00BA104D" w:rsidRDefault="00024F44" w:rsidP="00AD3C9E">
      <w:pPr>
        <w:pStyle w:val="Heading1"/>
      </w:pPr>
      <w:bookmarkStart w:id="520" w:name="_Toc164685849"/>
      <w:bookmarkStart w:id="521" w:name="_Toc164691471"/>
      <w:bookmarkStart w:id="522" w:name="_Toc164696265"/>
      <w:bookmarkStart w:id="523" w:name="_Toc164696411"/>
      <w:bookmarkStart w:id="524" w:name="_Toc164767792"/>
      <w:bookmarkStart w:id="525" w:name="_Ref164870568"/>
      <w:bookmarkStart w:id="526" w:name="_Toc165473723"/>
      <w:bookmarkStart w:id="527" w:name="_Toc171935892"/>
      <w:r>
        <w:lastRenderedPageBreak/>
        <w:t xml:space="preserve">Chapter </w:t>
      </w:r>
      <w:r w:rsidR="00872D38">
        <w:t>8</w:t>
      </w:r>
      <w:r>
        <w:t xml:space="preserve">: </w:t>
      </w:r>
      <w:r w:rsidR="00656076">
        <w:t>M</w:t>
      </w:r>
      <w:r w:rsidR="00BA104D">
        <w:t>ethods</w:t>
      </w:r>
      <w:r w:rsidR="00986042">
        <w:t xml:space="preserve"> </w:t>
      </w:r>
      <w:r w:rsidR="005815B9">
        <w:t>for</w:t>
      </w:r>
      <w:r w:rsidR="000B4860">
        <w:t xml:space="preserve"> </w:t>
      </w:r>
      <w:r w:rsidR="00A746AD">
        <w:t>confident</w:t>
      </w:r>
      <w:r w:rsidR="009B0084">
        <w:t xml:space="preserve"> decisions</w:t>
      </w:r>
      <w:bookmarkEnd w:id="520"/>
      <w:bookmarkEnd w:id="521"/>
      <w:bookmarkEnd w:id="522"/>
      <w:bookmarkEnd w:id="523"/>
      <w:bookmarkEnd w:id="524"/>
      <w:bookmarkEnd w:id="525"/>
      <w:bookmarkEnd w:id="526"/>
      <w:bookmarkEnd w:id="527"/>
    </w:p>
    <w:p w14:paraId="5C9959B6" w14:textId="52FD56A3" w:rsidR="00593D5A" w:rsidRDefault="00593D5A" w:rsidP="002B25F3">
      <w:pPr>
        <w:pStyle w:val="Heading2"/>
      </w:pPr>
      <w:bookmarkStart w:id="528" w:name="_Toc164685850"/>
      <w:bookmarkStart w:id="529" w:name="_Toc164691472"/>
      <w:bookmarkStart w:id="530" w:name="_Toc164696266"/>
      <w:bookmarkStart w:id="531" w:name="_Toc164696412"/>
      <w:bookmarkStart w:id="532" w:name="_Toc164767793"/>
      <w:bookmarkStart w:id="533" w:name="_Toc165473724"/>
      <w:bookmarkStart w:id="534" w:name="_Toc171935893"/>
      <w:r>
        <w:t>Introduction</w:t>
      </w:r>
      <w:bookmarkEnd w:id="528"/>
      <w:bookmarkEnd w:id="529"/>
      <w:bookmarkEnd w:id="530"/>
      <w:bookmarkEnd w:id="531"/>
      <w:bookmarkEnd w:id="532"/>
      <w:bookmarkEnd w:id="533"/>
      <w:bookmarkEnd w:id="534"/>
    </w:p>
    <w:p w14:paraId="05EEA28C" w14:textId="6DA6D61B" w:rsidR="0001401C" w:rsidRDefault="00A16935" w:rsidP="00311026">
      <w:r>
        <w:t xml:space="preserve">The decision to fund access to a health technology </w:t>
      </w:r>
      <w:r w:rsidR="001E611D">
        <w:t xml:space="preserve">through one of Australia’s universal access schemes </w:t>
      </w:r>
      <w:r w:rsidR="008D6710">
        <w:t>is</w:t>
      </w:r>
      <w:r w:rsidR="00C7292E">
        <w:t xml:space="preserve">, in effect, </w:t>
      </w:r>
      <w:r w:rsidR="008D6710">
        <w:t xml:space="preserve">a decision </w:t>
      </w:r>
      <w:r w:rsidR="00C7292E">
        <w:t>about</w:t>
      </w:r>
      <w:r w:rsidR="00F3602F">
        <w:t xml:space="preserve"> </w:t>
      </w:r>
      <w:r w:rsidR="00C00147">
        <w:t xml:space="preserve">what treatments patients </w:t>
      </w:r>
      <w:r w:rsidR="00B83C63">
        <w:t>will</w:t>
      </w:r>
      <w:r w:rsidR="00C00147">
        <w:t xml:space="preserve"> choose in </w:t>
      </w:r>
      <w:r w:rsidR="003B50A6">
        <w:t xml:space="preserve">certain </w:t>
      </w:r>
      <w:r w:rsidR="00C00147">
        <w:t>circumstances</w:t>
      </w:r>
      <w:r w:rsidR="00A87562">
        <w:t xml:space="preserve">. </w:t>
      </w:r>
      <w:r w:rsidR="00B83C63">
        <w:t>There is always a</w:t>
      </w:r>
      <w:r w:rsidR="008D425B">
        <w:t xml:space="preserve"> significant uptake of </w:t>
      </w:r>
      <w:r w:rsidR="000A621F">
        <w:t xml:space="preserve">health technologies after they are funded. </w:t>
      </w:r>
    </w:p>
    <w:p w14:paraId="723091D3" w14:textId="32DEDD4F" w:rsidR="00376F06" w:rsidRDefault="00BD078D" w:rsidP="00311026">
      <w:r>
        <w:t>T</w:t>
      </w:r>
      <w:r w:rsidR="008A692F">
        <w:t>hese decisions</w:t>
      </w:r>
      <w:r w:rsidR="00B47062">
        <w:t>,</w:t>
      </w:r>
      <w:r w:rsidR="00785C84">
        <w:t xml:space="preserve"> therefore</w:t>
      </w:r>
      <w:r w:rsidR="00B47062">
        <w:t>,</w:t>
      </w:r>
      <w:r w:rsidR="00A16935">
        <w:t xml:space="preserve"> have </w:t>
      </w:r>
      <w:r w:rsidR="6F1B7713">
        <w:t>significant</w:t>
      </w:r>
      <w:r w:rsidR="00572C19">
        <w:t xml:space="preserve"> implications</w:t>
      </w:r>
      <w:r w:rsidR="00A16935">
        <w:t xml:space="preserve"> for patients, their </w:t>
      </w:r>
      <w:bookmarkStart w:id="535" w:name="_Int_ec0YPwqX"/>
      <w:proofErr w:type="spellStart"/>
      <w:r w:rsidR="00A16935">
        <w:t>carers</w:t>
      </w:r>
      <w:bookmarkEnd w:id="535"/>
      <w:proofErr w:type="spellEnd"/>
      <w:r w:rsidR="00A16935">
        <w:t xml:space="preserve">, clinicians, the health system and the taxpayer. </w:t>
      </w:r>
      <w:r w:rsidR="008376ED">
        <w:t>They</w:t>
      </w:r>
      <w:r w:rsidR="00717535">
        <w:t xml:space="preserve"> </w:t>
      </w:r>
      <w:r w:rsidR="00A16935">
        <w:t xml:space="preserve">impact the </w:t>
      </w:r>
      <w:r w:rsidR="00FC25C8">
        <w:t>choices</w:t>
      </w:r>
      <w:r w:rsidR="00A16935">
        <w:t xml:space="preserve"> made by patients and their treating health professionals. </w:t>
      </w:r>
      <w:r w:rsidR="00FF4DE3">
        <w:t>These choices</w:t>
      </w:r>
      <w:r>
        <w:t xml:space="preserve"> in turn</w:t>
      </w:r>
      <w:r w:rsidR="00A16935">
        <w:t xml:space="preserve"> can have life-changing </w:t>
      </w:r>
      <w:r>
        <w:t>consequences</w:t>
      </w:r>
      <w:r w:rsidR="00C77576">
        <w:t xml:space="preserve"> for patients</w:t>
      </w:r>
      <w:r w:rsidR="00A16935">
        <w:t xml:space="preserve"> and their </w:t>
      </w:r>
      <w:bookmarkStart w:id="536" w:name="_Int_saZB3sdu"/>
      <w:proofErr w:type="spellStart"/>
      <w:r w:rsidR="00A16935">
        <w:t>carers</w:t>
      </w:r>
      <w:bookmarkEnd w:id="536"/>
      <w:proofErr w:type="spellEnd"/>
      <w:r w:rsidR="003B50A6">
        <w:t>,</w:t>
      </w:r>
      <w:r w:rsidR="00FF4B03">
        <w:t xml:space="preserve"> and</w:t>
      </w:r>
      <w:r w:rsidR="00A16935">
        <w:t xml:space="preserve"> major financial consequences for the taxpayer. </w:t>
      </w:r>
    </w:p>
    <w:p w14:paraId="4EDBAAFB" w14:textId="548FBBB0" w:rsidR="00A16935" w:rsidRDefault="00A16935" w:rsidP="00311026">
      <w:r>
        <w:t xml:space="preserve">It is therefore critical that </w:t>
      </w:r>
      <w:r w:rsidR="00E67F9F">
        <w:t xml:space="preserve">when </w:t>
      </w:r>
      <w:r w:rsidR="009F5A77">
        <w:t>deciding to include</w:t>
      </w:r>
      <w:r w:rsidR="00E67F9F">
        <w:t xml:space="preserve"> a health technology </w:t>
      </w:r>
      <w:r w:rsidR="005F679B">
        <w:t>i</w:t>
      </w:r>
      <w:r w:rsidR="009F5A77">
        <w:t>n</w:t>
      </w:r>
      <w:r w:rsidR="00E67F9F">
        <w:t xml:space="preserve"> </w:t>
      </w:r>
      <w:r w:rsidR="00303B96">
        <w:t>one of Australia’s</w:t>
      </w:r>
      <w:r w:rsidR="00E67F9F">
        <w:t xml:space="preserve"> </w:t>
      </w:r>
      <w:r w:rsidR="00E267C1">
        <w:t xml:space="preserve">universal </w:t>
      </w:r>
      <w:r w:rsidR="008E4E1A">
        <w:t>access</w:t>
      </w:r>
      <w:r w:rsidR="00E267C1">
        <w:t xml:space="preserve"> scheme</w:t>
      </w:r>
      <w:r w:rsidR="00303B96">
        <w:t>s</w:t>
      </w:r>
      <w:r w:rsidR="00863156">
        <w:t>,</w:t>
      </w:r>
      <w:r w:rsidR="00E267C1">
        <w:t xml:space="preserve"> </w:t>
      </w:r>
      <w:r w:rsidR="0028472D">
        <w:t xml:space="preserve">decision-makers are confident </w:t>
      </w:r>
      <w:r w:rsidR="00252386">
        <w:t>that</w:t>
      </w:r>
      <w:r w:rsidR="00E267C1">
        <w:t xml:space="preserve"> it is in </w:t>
      </w:r>
      <w:r w:rsidR="000E502F">
        <w:t>the</w:t>
      </w:r>
      <w:r w:rsidR="00E267C1">
        <w:t xml:space="preserve"> best interests</w:t>
      </w:r>
      <w:r w:rsidR="000E502F">
        <w:t xml:space="preserve"> of Australian </w:t>
      </w:r>
      <w:r w:rsidR="007C3C85">
        <w:t>citizens</w:t>
      </w:r>
      <w:r w:rsidR="00E267C1">
        <w:t xml:space="preserve">. That is, </w:t>
      </w:r>
      <w:r>
        <w:t xml:space="preserve">the health </w:t>
      </w:r>
      <w:r w:rsidR="00E267C1">
        <w:t>technology</w:t>
      </w:r>
      <w:r>
        <w:t xml:space="preserve"> will perform as claimed</w:t>
      </w:r>
      <w:r w:rsidR="000E39F6">
        <w:t>, deliver the best possible health outcomes for Australians</w:t>
      </w:r>
      <w:r w:rsidR="00977A0F">
        <w:t>,</w:t>
      </w:r>
      <w:r w:rsidR="000E39F6">
        <w:t xml:space="preserve"> and represent a worthwhile use of taxpayer funds.</w:t>
      </w:r>
    </w:p>
    <w:p w14:paraId="61B52FCA" w14:textId="5A4693F0" w:rsidR="00410FFD" w:rsidRPr="00410FFD" w:rsidRDefault="00131973" w:rsidP="00311026">
      <w:r>
        <w:t xml:space="preserve">This Chapter covers </w:t>
      </w:r>
      <w:r w:rsidR="002F2D65">
        <w:t xml:space="preserve">the </w:t>
      </w:r>
      <w:r w:rsidR="00834DFB">
        <w:t xml:space="preserve">methods </w:t>
      </w:r>
      <w:r w:rsidR="00B3684A">
        <w:t>used to</w:t>
      </w:r>
      <w:r w:rsidR="00E3727E">
        <w:t xml:space="preserve"> </w:t>
      </w:r>
      <w:r w:rsidR="00C34F24">
        <w:t>support decisions to includ</w:t>
      </w:r>
      <w:r w:rsidR="00E14A34">
        <w:t>e</w:t>
      </w:r>
      <w:r w:rsidR="00C34F24">
        <w:t xml:space="preserve"> health technolog</w:t>
      </w:r>
      <w:r w:rsidR="00E14A34">
        <w:t>ies</w:t>
      </w:r>
      <w:r w:rsidR="00C34F24">
        <w:t xml:space="preserve"> </w:t>
      </w:r>
      <w:r w:rsidR="00E14A34">
        <w:t xml:space="preserve">in </w:t>
      </w:r>
      <w:r w:rsidR="00C34F24">
        <w:t>Australia’s universal access schemes</w:t>
      </w:r>
      <w:r w:rsidR="002E0382">
        <w:t>.</w:t>
      </w:r>
      <w:r w:rsidR="00B3684A">
        <w:t xml:space="preserve"> </w:t>
      </w:r>
      <w:r w:rsidR="00ED569D">
        <w:t>The technical methods</w:t>
      </w:r>
      <w:r w:rsidR="00843FB6">
        <w:t xml:space="preserve"> in guidelines for making submissions for public funding (such as the PBAC</w:t>
      </w:r>
      <w:r w:rsidR="003B50A6">
        <w:rPr>
          <w:rStyle w:val="FootnoteReference"/>
        </w:rPr>
        <w:footnoteReference w:id="169"/>
      </w:r>
      <w:r w:rsidR="00843FB6">
        <w:t xml:space="preserve"> and MSAC </w:t>
      </w:r>
      <w:r w:rsidR="00E419DF">
        <w:t>G</w:t>
      </w:r>
      <w:r w:rsidR="00843FB6">
        <w:t>uidelines</w:t>
      </w:r>
      <w:r w:rsidR="003B50A6">
        <w:rPr>
          <w:rStyle w:val="FootnoteReference"/>
        </w:rPr>
        <w:footnoteReference w:id="170"/>
      </w:r>
      <w:r w:rsidR="000E748D">
        <w:fldChar w:fldCharType="begin" w:fldLock="1"/>
      </w:r>
      <w:r w:rsidR="000E748D">
        <w:instrText xml:space="preserve"> NOTEREF _Ref165637483 \f \h </w:instrText>
      </w:r>
      <w:r w:rsidR="00847484">
        <w:fldChar w:fldCharType="separate"/>
      </w:r>
      <w:r w:rsidR="000E748D">
        <w:fldChar w:fldCharType="end"/>
      </w:r>
      <w:r w:rsidR="00843FB6">
        <w:t>)</w:t>
      </w:r>
      <w:r w:rsidR="00ED569D">
        <w:t xml:space="preserve"> </w:t>
      </w:r>
      <w:r w:rsidR="00F3681E">
        <w:t>set out</w:t>
      </w:r>
      <w:r w:rsidR="00F3681E" w:rsidDel="003B50A6">
        <w:t xml:space="preserve"> </w:t>
      </w:r>
      <w:r w:rsidR="003B50A6">
        <w:t xml:space="preserve">the </w:t>
      </w:r>
      <w:r w:rsidR="00F3681E">
        <w:t xml:space="preserve">evidence and methods for evaluation decision-makers need to be confident that the health technology will perform as claimed. They </w:t>
      </w:r>
      <w:r w:rsidR="00585211">
        <w:t xml:space="preserve">are designed to </w:t>
      </w:r>
      <w:r w:rsidR="00ED569D">
        <w:t>help</w:t>
      </w:r>
      <w:r w:rsidR="0059694D">
        <w:t xml:space="preserve"> </w:t>
      </w:r>
      <w:r w:rsidR="0096688C">
        <w:t>decision</w:t>
      </w:r>
      <w:r w:rsidR="002D575E">
        <w:t>-</w:t>
      </w:r>
      <w:r w:rsidR="0096688C">
        <w:t>makers</w:t>
      </w:r>
      <w:r w:rsidR="00D50329">
        <w:t xml:space="preserve"> understand</w:t>
      </w:r>
      <w:r w:rsidR="000A00F7">
        <w:t>:</w:t>
      </w:r>
      <w:r w:rsidR="00860FDB">
        <w:t xml:space="preserve"> </w:t>
      </w:r>
    </w:p>
    <w:p w14:paraId="7EF751FD" w14:textId="53F488FE" w:rsidR="00410FFD" w:rsidRPr="00410FFD" w:rsidRDefault="0096688C" w:rsidP="00274AA9">
      <w:pPr>
        <w:pStyle w:val="ListBullet"/>
      </w:pPr>
      <w:r>
        <w:t>w</w:t>
      </w:r>
      <w:r w:rsidR="0016418B">
        <w:t xml:space="preserve">ho </w:t>
      </w:r>
      <w:r w:rsidR="004D2237">
        <w:t>should</w:t>
      </w:r>
      <w:r w:rsidR="00F6483A">
        <w:t xml:space="preserve"> </w:t>
      </w:r>
      <w:r w:rsidR="00A01580">
        <w:t>access</w:t>
      </w:r>
      <w:r>
        <w:t xml:space="preserve"> </w:t>
      </w:r>
      <w:r w:rsidR="00D50329">
        <w:t>a</w:t>
      </w:r>
      <w:r>
        <w:t xml:space="preserve"> health technology</w:t>
      </w:r>
    </w:p>
    <w:p w14:paraId="71114F8B" w14:textId="43AE5935" w:rsidR="00410FFD" w:rsidRPr="00410FFD" w:rsidRDefault="00D50329" w:rsidP="00274AA9">
      <w:pPr>
        <w:pStyle w:val="ListBullet"/>
      </w:pPr>
      <w:r>
        <w:t xml:space="preserve">whether </w:t>
      </w:r>
      <w:r w:rsidR="0024464D">
        <w:t xml:space="preserve">it </w:t>
      </w:r>
      <w:r w:rsidR="0096688C">
        <w:t>w</w:t>
      </w:r>
      <w:r w:rsidR="00410FFD" w:rsidRPr="00410FFD">
        <w:t>ill work as well</w:t>
      </w:r>
      <w:r w:rsidR="00317276">
        <w:t>,</w:t>
      </w:r>
      <w:r w:rsidR="00410FFD" w:rsidRPr="00410FFD">
        <w:t xml:space="preserve"> </w:t>
      </w:r>
      <w:r w:rsidR="00317276" w:rsidRPr="00410FFD">
        <w:t>or better</w:t>
      </w:r>
      <w:r w:rsidR="003B50A6">
        <w:t xml:space="preserve"> than</w:t>
      </w:r>
      <w:r w:rsidR="00317276">
        <w:t>,</w:t>
      </w:r>
      <w:r w:rsidR="00317276" w:rsidRPr="00410FFD">
        <w:t xml:space="preserve"> </w:t>
      </w:r>
      <w:r w:rsidR="00E6616F">
        <w:t>existing care</w:t>
      </w:r>
    </w:p>
    <w:p w14:paraId="4025726B" w14:textId="4D080B7B" w:rsidR="00410FFD" w:rsidRDefault="009B7938" w:rsidP="00274AA9">
      <w:pPr>
        <w:pStyle w:val="ListBullet"/>
      </w:pPr>
      <w:r>
        <w:t>w</w:t>
      </w:r>
      <w:r w:rsidR="00D50329">
        <w:t xml:space="preserve">hether </w:t>
      </w:r>
      <w:r w:rsidR="00410FFD" w:rsidRPr="00410FFD">
        <w:t xml:space="preserve">Australians </w:t>
      </w:r>
      <w:r w:rsidR="001D43D3">
        <w:t xml:space="preserve">will </w:t>
      </w:r>
      <w:r w:rsidR="00410FFD" w:rsidRPr="00410FFD">
        <w:t>be better off overall if it is funded</w:t>
      </w:r>
      <w:r w:rsidR="00675482">
        <w:t>.</w:t>
      </w:r>
    </w:p>
    <w:p w14:paraId="32C05C2B" w14:textId="48AD5396" w:rsidR="000E0A84" w:rsidRDefault="002A32EB" w:rsidP="00311026">
      <w:r>
        <w:t>The methods for HTA</w:t>
      </w:r>
      <w:r w:rsidR="003B50A6">
        <w:t>s</w:t>
      </w:r>
      <w:r>
        <w:t xml:space="preserve"> </w:t>
      </w:r>
      <w:r w:rsidR="009B5C65">
        <w:t xml:space="preserve">comprise </w:t>
      </w:r>
      <w:r w:rsidR="00BA64FF">
        <w:t>four</w:t>
      </w:r>
      <w:r w:rsidR="009B5C65">
        <w:t xml:space="preserve"> steps</w:t>
      </w:r>
      <w:r w:rsidR="002043ED">
        <w:t>:</w:t>
      </w:r>
    </w:p>
    <w:p w14:paraId="62AD5D04" w14:textId="70576166" w:rsidR="000E0A84" w:rsidRDefault="000E0A84" w:rsidP="00281153">
      <w:pPr>
        <w:pStyle w:val="ListNumber"/>
        <w:numPr>
          <w:ilvl w:val="0"/>
          <w:numId w:val="137"/>
        </w:numPr>
      </w:pPr>
      <w:r>
        <w:t>i</w:t>
      </w:r>
      <w:r w:rsidR="00E76514" w:rsidRPr="000E0A84">
        <w:t>dentif</w:t>
      </w:r>
      <w:r w:rsidR="00507B9B">
        <w:t>y</w:t>
      </w:r>
      <w:r w:rsidR="00E76514" w:rsidRPr="000E0A84">
        <w:t xml:space="preserve"> the </w:t>
      </w:r>
      <w:r w:rsidRPr="000E0A84">
        <w:t>PICO</w:t>
      </w:r>
    </w:p>
    <w:p w14:paraId="6FFFECA9" w14:textId="5C148519" w:rsidR="000E0A84" w:rsidRDefault="00507B9B" w:rsidP="00BD34D3">
      <w:pPr>
        <w:pStyle w:val="ListNumber"/>
      </w:pPr>
      <w:r>
        <w:t xml:space="preserve">conduct the </w:t>
      </w:r>
      <w:r w:rsidR="000E0A84">
        <w:t>clinical evaluation</w:t>
      </w:r>
    </w:p>
    <w:p w14:paraId="35D78920" w14:textId="0705288F" w:rsidR="00582648" w:rsidRPr="00410FFD" w:rsidRDefault="00507B9B" w:rsidP="00BD34D3">
      <w:pPr>
        <w:pStyle w:val="ListNumber"/>
      </w:pPr>
      <w:r>
        <w:t xml:space="preserve">conduct the </w:t>
      </w:r>
      <w:r w:rsidR="000E0A84">
        <w:t>economic evaluation</w:t>
      </w:r>
      <w:r w:rsidR="000F0A85">
        <w:t xml:space="preserve"> and </w:t>
      </w:r>
      <w:r>
        <w:t xml:space="preserve">produce </w:t>
      </w:r>
      <w:r w:rsidR="000F0A85">
        <w:t>financial estimates</w:t>
      </w:r>
    </w:p>
    <w:p w14:paraId="10D84D37" w14:textId="48C6D008" w:rsidR="00BA64FF" w:rsidRPr="00410FFD" w:rsidRDefault="00BA64FF" w:rsidP="00BD34D3">
      <w:pPr>
        <w:pStyle w:val="ListNumber"/>
      </w:pPr>
      <w:r>
        <w:t xml:space="preserve">consider additional </w:t>
      </w:r>
      <w:r w:rsidR="0008679B">
        <w:t xml:space="preserve">elements that may influence </w:t>
      </w:r>
      <w:r w:rsidR="004E4EFB">
        <w:t>these steps or overall decision</w:t>
      </w:r>
      <w:r w:rsidR="00507B9B">
        <w:noBreakHyphen/>
      </w:r>
      <w:r w:rsidR="004E4EFB">
        <w:t>making.</w:t>
      </w:r>
    </w:p>
    <w:p w14:paraId="34AB9E0D" w14:textId="2C75B965" w:rsidR="00B13DB9" w:rsidRPr="000E0A84" w:rsidRDefault="00507B9B" w:rsidP="00311026">
      <w:r>
        <w:lastRenderedPageBreak/>
        <w:t>The Review identified d</w:t>
      </w:r>
      <w:r w:rsidR="00F27CA1">
        <w:t xml:space="preserve">ifferent issues </w:t>
      </w:r>
      <w:r w:rsidR="003A36F2">
        <w:t xml:space="preserve">for each of these steps. These issues and </w:t>
      </w:r>
      <w:r>
        <w:t xml:space="preserve">the way </w:t>
      </w:r>
      <w:r w:rsidR="009624B5">
        <w:t xml:space="preserve">they </w:t>
      </w:r>
      <w:r>
        <w:t xml:space="preserve">should </w:t>
      </w:r>
      <w:r w:rsidR="00E65CBC">
        <w:t>be</w:t>
      </w:r>
      <w:r w:rsidR="009624B5">
        <w:t xml:space="preserve"> addressed</w:t>
      </w:r>
      <w:r w:rsidR="0078391F">
        <w:t xml:space="preserve"> are covered</w:t>
      </w:r>
      <w:r w:rsidR="009624B5">
        <w:t xml:space="preserve"> </w:t>
      </w:r>
      <w:r w:rsidR="00203CAB">
        <w:t xml:space="preserve">in this </w:t>
      </w:r>
      <w:r w:rsidR="00C3345B">
        <w:t>c</w:t>
      </w:r>
      <w:r w:rsidR="00203CAB">
        <w:t>hapter.</w:t>
      </w:r>
    </w:p>
    <w:p w14:paraId="3395DF8D" w14:textId="21CB4842" w:rsidR="0058120D" w:rsidRDefault="005C2DF9" w:rsidP="00311026">
      <w:r w:rsidRPr="00025EB1">
        <w:t>Overall, t</w:t>
      </w:r>
      <w:r w:rsidR="00352ECE" w:rsidRPr="00025EB1">
        <w:t xml:space="preserve">he Review heard that the </w:t>
      </w:r>
      <w:r w:rsidR="008E6209" w:rsidRPr="00025EB1">
        <w:t>methods</w:t>
      </w:r>
      <w:r w:rsidR="00352ECE" w:rsidRPr="00025EB1">
        <w:t xml:space="preserve"> for </w:t>
      </w:r>
      <w:r w:rsidR="00EA204A" w:rsidRPr="00025EB1">
        <w:t>assessing</w:t>
      </w:r>
      <w:r w:rsidR="00352ECE" w:rsidRPr="00025EB1">
        <w:t xml:space="preserve"> </w:t>
      </w:r>
      <w:r w:rsidR="00915694" w:rsidRPr="00025EB1">
        <w:t>health technologies</w:t>
      </w:r>
      <w:r w:rsidR="00700E25" w:rsidRPr="00025EB1">
        <w:t xml:space="preserve"> in Australia</w:t>
      </w:r>
      <w:r w:rsidR="00915694" w:rsidRPr="00025EB1">
        <w:t xml:space="preserve"> </w:t>
      </w:r>
      <w:r w:rsidR="008E6209" w:rsidRPr="00025EB1">
        <w:t>are</w:t>
      </w:r>
      <w:r w:rsidR="00623822" w:rsidRPr="00025EB1">
        <w:t xml:space="preserve"> </w:t>
      </w:r>
      <w:r w:rsidR="00DA4949" w:rsidRPr="00025EB1">
        <w:t xml:space="preserve">very </w:t>
      </w:r>
      <w:r w:rsidR="00316BF2" w:rsidRPr="00025EB1">
        <w:t>rigorous</w:t>
      </w:r>
      <w:r w:rsidR="00291BC0" w:rsidRPr="00025EB1">
        <w:t xml:space="preserve">. </w:t>
      </w:r>
      <w:r w:rsidR="00E14081" w:rsidRPr="00025EB1">
        <w:t>Many</w:t>
      </w:r>
      <w:r w:rsidR="009F788A" w:rsidRPr="00025EB1" w:rsidDel="00507B9B">
        <w:t xml:space="preserve"> </w:t>
      </w:r>
      <w:r w:rsidR="009F788A" w:rsidRPr="00025EB1">
        <w:t xml:space="preserve">participants </w:t>
      </w:r>
      <w:r w:rsidR="00316BF2" w:rsidRPr="00025EB1">
        <w:t xml:space="preserve">viewed </w:t>
      </w:r>
      <w:r w:rsidR="009F788A" w:rsidRPr="00025EB1">
        <w:t xml:space="preserve">this </w:t>
      </w:r>
      <w:r w:rsidR="00316BF2" w:rsidRPr="00025EB1">
        <w:t>positively</w:t>
      </w:r>
      <w:r w:rsidR="00CA160F" w:rsidRPr="00025EB1">
        <w:t xml:space="preserve"> </w:t>
      </w:r>
      <w:r w:rsidR="006F64AD" w:rsidRPr="00025EB1">
        <w:t>because</w:t>
      </w:r>
      <w:r w:rsidR="00BA5494" w:rsidRPr="00025EB1">
        <w:t xml:space="preserve"> </w:t>
      </w:r>
      <w:r w:rsidR="00DC0662" w:rsidRPr="00025EB1">
        <w:t xml:space="preserve">rigour </w:t>
      </w:r>
      <w:r w:rsidR="006F64AD" w:rsidRPr="00025EB1">
        <w:t>is</w:t>
      </w:r>
      <w:r w:rsidR="00DC0662" w:rsidRPr="00025EB1">
        <w:t xml:space="preserve"> important </w:t>
      </w:r>
      <w:r w:rsidR="00507B9B">
        <w:t>for</w:t>
      </w:r>
      <w:r w:rsidR="00BA5494" w:rsidRPr="00025EB1">
        <w:t xml:space="preserve"> ensuring </w:t>
      </w:r>
      <w:r w:rsidR="008372B4" w:rsidRPr="00025EB1">
        <w:t xml:space="preserve">that </w:t>
      </w:r>
      <w:r w:rsidR="00A2016E" w:rsidRPr="00025EB1">
        <w:t xml:space="preserve">patients receive the best available treatment </w:t>
      </w:r>
      <w:r w:rsidR="008D0338" w:rsidRPr="00025EB1">
        <w:t xml:space="preserve">and </w:t>
      </w:r>
      <w:r w:rsidR="0028472D">
        <w:t xml:space="preserve">that </w:t>
      </w:r>
      <w:r w:rsidR="00A2016E" w:rsidRPr="00025EB1">
        <w:t xml:space="preserve">funding them </w:t>
      </w:r>
      <w:r w:rsidR="00D5077D" w:rsidRPr="00025EB1">
        <w:t>is</w:t>
      </w:r>
      <w:r w:rsidR="008D0338" w:rsidRPr="00025EB1">
        <w:t xml:space="preserve"> not a disproportionate use of taxpayer funds. </w:t>
      </w:r>
      <w:r w:rsidR="00CB2A80" w:rsidRPr="00025EB1">
        <w:t>However, some</w:t>
      </w:r>
      <w:r w:rsidR="00A14364" w:rsidRPr="00025EB1">
        <w:t xml:space="preserve"> participants</w:t>
      </w:r>
      <w:r w:rsidR="001F6A9B" w:rsidRPr="00025EB1">
        <w:t xml:space="preserve"> across patient</w:t>
      </w:r>
      <w:r w:rsidR="00757A48" w:rsidRPr="00025EB1">
        <w:t xml:space="preserve"> groups, clinicians and industry</w:t>
      </w:r>
      <w:r w:rsidR="00A14364" w:rsidRPr="00025EB1">
        <w:t xml:space="preserve"> </w:t>
      </w:r>
      <w:r w:rsidR="009717E1" w:rsidRPr="00025EB1">
        <w:t>felt the</w:t>
      </w:r>
      <w:r w:rsidR="009A5227">
        <w:t xml:space="preserve"> level of </w:t>
      </w:r>
      <w:r w:rsidR="004F5F37" w:rsidRPr="00025EB1">
        <w:t xml:space="preserve">rigour </w:t>
      </w:r>
      <w:r w:rsidR="009A5227">
        <w:t>wa</w:t>
      </w:r>
      <w:r w:rsidR="004F5F37" w:rsidRPr="00025EB1">
        <w:t>s too high</w:t>
      </w:r>
      <w:r w:rsidR="00EC0B9B" w:rsidRPr="00025EB1">
        <w:t xml:space="preserve"> and t</w:t>
      </w:r>
      <w:r w:rsidR="00AD5064" w:rsidRPr="00025EB1">
        <w:t xml:space="preserve">reatment of uncertainty in evidence </w:t>
      </w:r>
      <w:r w:rsidR="00286E0C">
        <w:t xml:space="preserve">was </w:t>
      </w:r>
      <w:r w:rsidR="00AD5064" w:rsidRPr="00025EB1">
        <w:t>too</w:t>
      </w:r>
      <w:r w:rsidR="00EC0B9B" w:rsidRPr="00025EB1">
        <w:t xml:space="preserve"> conservative. They were concerned that this</w:t>
      </w:r>
      <w:r w:rsidR="004F5F37" w:rsidRPr="00025EB1">
        <w:t xml:space="preserve"> </w:t>
      </w:r>
      <w:r w:rsidR="00EC0B9B" w:rsidRPr="00025EB1">
        <w:t>was denying</w:t>
      </w:r>
      <w:r w:rsidR="00907C1B" w:rsidRPr="00025EB1">
        <w:t xml:space="preserve"> access </w:t>
      </w:r>
      <w:r w:rsidR="00C66107" w:rsidRPr="00025EB1">
        <w:t>for</w:t>
      </w:r>
      <w:r w:rsidR="00907C1B" w:rsidRPr="00025EB1">
        <w:t xml:space="preserve"> </w:t>
      </w:r>
      <w:r w:rsidR="00FA4FB9" w:rsidRPr="00025EB1">
        <w:t xml:space="preserve">patient populations </w:t>
      </w:r>
      <w:r w:rsidR="009C15BB" w:rsidRPr="00025EB1">
        <w:t xml:space="preserve">that could potentially benefit from </w:t>
      </w:r>
      <w:r w:rsidR="00142CAB" w:rsidRPr="00025EB1">
        <w:t>health technologies</w:t>
      </w:r>
      <w:r w:rsidR="009A5227">
        <w:t>,</w:t>
      </w:r>
      <w:r w:rsidR="00142CAB" w:rsidRPr="00025EB1">
        <w:t xml:space="preserve"> or</w:t>
      </w:r>
      <w:r w:rsidR="009A5227">
        <w:t xml:space="preserve"> that it was leading to</w:t>
      </w:r>
      <w:r w:rsidR="00142CAB" w:rsidRPr="00025EB1" w:rsidDel="009A5227">
        <w:t xml:space="preserve"> </w:t>
      </w:r>
      <w:r w:rsidR="00CC7C64" w:rsidRPr="00025EB1">
        <w:t xml:space="preserve">the latest </w:t>
      </w:r>
      <w:r w:rsidR="00312DB6" w:rsidRPr="00025EB1">
        <w:t xml:space="preserve">treatments </w:t>
      </w:r>
      <w:r w:rsidR="009A5227">
        <w:t>being</w:t>
      </w:r>
      <w:r w:rsidR="00312DB6" w:rsidRPr="00025EB1">
        <w:t xml:space="preserve"> undervalued </w:t>
      </w:r>
      <w:r w:rsidR="00CC7C64" w:rsidRPr="00025EB1">
        <w:t xml:space="preserve">and </w:t>
      </w:r>
      <w:r w:rsidR="009A5227">
        <w:t xml:space="preserve">access </w:t>
      </w:r>
      <w:r w:rsidR="00CC7C64" w:rsidRPr="00025EB1">
        <w:t>d</w:t>
      </w:r>
      <w:r w:rsidR="004F5F37" w:rsidRPr="00025EB1">
        <w:t>elay</w:t>
      </w:r>
      <w:r w:rsidR="009A5227">
        <w:t>ed</w:t>
      </w:r>
      <w:r w:rsidR="00934411" w:rsidRPr="00025EB1">
        <w:t>.</w:t>
      </w:r>
      <w:r w:rsidR="00934411">
        <w:t xml:space="preserve"> </w:t>
      </w:r>
    </w:p>
    <w:p w14:paraId="268BD885" w14:textId="6340873B" w:rsidR="00135644" w:rsidRDefault="00A37568" w:rsidP="00311026">
      <w:r>
        <w:t>The Review also</w:t>
      </w:r>
      <w:r w:rsidR="00135644">
        <w:t xml:space="preserve"> identified </w:t>
      </w:r>
      <w:r w:rsidR="00C63E64">
        <w:t xml:space="preserve">that </w:t>
      </w:r>
      <w:r w:rsidR="00695D79">
        <w:t xml:space="preserve">emerging therapies (such as </w:t>
      </w:r>
      <w:r w:rsidR="00B60B40">
        <w:t xml:space="preserve">cell and </w:t>
      </w:r>
      <w:r w:rsidR="00695D79">
        <w:t xml:space="preserve">gene therapies) </w:t>
      </w:r>
      <w:r w:rsidR="00C63E64">
        <w:t xml:space="preserve">pose </w:t>
      </w:r>
      <w:r w:rsidR="00016863">
        <w:t xml:space="preserve">different challenges </w:t>
      </w:r>
      <w:r w:rsidR="000B7DAC">
        <w:t xml:space="preserve">compared </w:t>
      </w:r>
      <w:r w:rsidR="00654779">
        <w:t>to</w:t>
      </w:r>
      <w:r w:rsidR="00695D79">
        <w:t xml:space="preserve"> conventional medicines</w:t>
      </w:r>
      <w:r w:rsidR="00355A06">
        <w:t>.</w:t>
      </w:r>
      <w:r w:rsidR="00206166">
        <w:t xml:space="preserve"> </w:t>
      </w:r>
      <w:r w:rsidR="00EE4E49">
        <w:t>The</w:t>
      </w:r>
      <w:r w:rsidR="00695D79">
        <w:t>s</w:t>
      </w:r>
      <w:r w:rsidR="00E535F6">
        <w:t>e</w:t>
      </w:r>
      <w:r w:rsidR="00EE4E49">
        <w:t xml:space="preserve"> t</w:t>
      </w:r>
      <w:r w:rsidR="00654779">
        <w:t>herapies</w:t>
      </w:r>
      <w:r w:rsidR="00DA1F0B">
        <w:t xml:space="preserve"> </w:t>
      </w:r>
      <w:r w:rsidR="009B3840">
        <w:t>have</w:t>
      </w:r>
      <w:r w:rsidR="00DA1F0B">
        <w:t xml:space="preserve"> promise </w:t>
      </w:r>
      <w:r w:rsidR="009B3840">
        <w:t>as</w:t>
      </w:r>
      <w:r w:rsidR="00DA1F0B">
        <w:t xml:space="preserve"> cur</w:t>
      </w:r>
      <w:r w:rsidR="009B3840">
        <w:t>ative treatments for</w:t>
      </w:r>
      <w:r w:rsidR="00DA1F0B">
        <w:t xml:space="preserve"> </w:t>
      </w:r>
      <w:r w:rsidR="004E4F0E">
        <w:t>previously</w:t>
      </w:r>
      <w:r w:rsidR="00C65047">
        <w:t xml:space="preserve"> untreatable conditions</w:t>
      </w:r>
      <w:r w:rsidR="00503BB0">
        <w:t xml:space="preserve">. </w:t>
      </w:r>
      <w:r w:rsidR="00234991">
        <w:t>But there</w:t>
      </w:r>
      <w:r w:rsidR="00C65047">
        <w:t xml:space="preserve"> are </w:t>
      </w:r>
      <w:r w:rsidR="00234991">
        <w:t xml:space="preserve">also </w:t>
      </w:r>
      <w:r w:rsidR="000B7DAC">
        <w:t>major</w:t>
      </w:r>
      <w:r w:rsidR="00F3490E">
        <w:t xml:space="preserve"> uncertainties </w:t>
      </w:r>
      <w:r w:rsidR="003B247B">
        <w:t xml:space="preserve">about </w:t>
      </w:r>
      <w:r w:rsidR="000B7DAC">
        <w:t xml:space="preserve">their </w:t>
      </w:r>
      <w:r w:rsidR="003B247B">
        <w:t xml:space="preserve">effectiveness and </w:t>
      </w:r>
      <w:r w:rsidR="000B7DAC">
        <w:t xml:space="preserve">the </w:t>
      </w:r>
      <w:r w:rsidR="003B247B">
        <w:t>cost</w:t>
      </w:r>
      <w:r w:rsidR="000B7DAC">
        <w:t>s</w:t>
      </w:r>
      <w:r w:rsidR="003B247B">
        <w:t xml:space="preserve"> </w:t>
      </w:r>
      <w:r w:rsidR="00F3490E">
        <w:t>associated with the</w:t>
      </w:r>
      <w:r w:rsidR="000B7DAC">
        <w:t>m</w:t>
      </w:r>
      <w:r w:rsidR="00F3490E">
        <w:t xml:space="preserve">. </w:t>
      </w:r>
    </w:p>
    <w:p w14:paraId="08FA4657" w14:textId="35EE753A" w:rsidR="0044189D" w:rsidRDefault="0050175E" w:rsidP="00311026">
      <w:r w:rsidRPr="00025EB1">
        <w:t xml:space="preserve">The Review </w:t>
      </w:r>
      <w:r w:rsidR="00956A3D" w:rsidRPr="00025EB1">
        <w:t>found</w:t>
      </w:r>
      <w:r w:rsidR="00A67DAF" w:rsidRPr="00025EB1">
        <w:t xml:space="preserve"> some areas where technical methods should be</w:t>
      </w:r>
      <w:r w:rsidR="00876C82" w:rsidRPr="00025EB1">
        <w:t xml:space="preserve"> updated</w:t>
      </w:r>
      <w:r w:rsidR="00D45B50" w:rsidRPr="00025EB1">
        <w:t xml:space="preserve"> to ensure </w:t>
      </w:r>
      <w:r w:rsidR="006616F6" w:rsidRPr="00025EB1">
        <w:t>that</w:t>
      </w:r>
      <w:r w:rsidR="00FA4E40" w:rsidRPr="00025EB1">
        <w:t xml:space="preserve"> </w:t>
      </w:r>
      <w:r w:rsidR="00D45B50" w:rsidRPr="00025EB1">
        <w:t xml:space="preserve">patient populations </w:t>
      </w:r>
      <w:r w:rsidR="00DF2C9A" w:rsidRPr="00025EB1">
        <w:t xml:space="preserve">that could benefit from treatment are </w:t>
      </w:r>
      <w:r w:rsidR="006E42F0" w:rsidRPr="00025EB1">
        <w:t>not excluded</w:t>
      </w:r>
      <w:r w:rsidR="00C8699B" w:rsidRPr="00025EB1">
        <w:t xml:space="preserve"> </w:t>
      </w:r>
      <w:r w:rsidR="001C7A91" w:rsidRPr="00025EB1">
        <w:t xml:space="preserve">and </w:t>
      </w:r>
      <w:r w:rsidR="00A630F1" w:rsidRPr="00025EB1">
        <w:t xml:space="preserve">that </w:t>
      </w:r>
      <w:r w:rsidR="00590535" w:rsidRPr="00025EB1">
        <w:t xml:space="preserve">potential </w:t>
      </w:r>
      <w:r w:rsidR="00B010A1" w:rsidRPr="00025EB1">
        <w:t xml:space="preserve">benefits are captured and valued. </w:t>
      </w:r>
      <w:r w:rsidR="00AD5F20" w:rsidRPr="00025EB1">
        <w:t>However, it</w:t>
      </w:r>
      <w:r w:rsidR="00A46B52" w:rsidRPr="00025EB1">
        <w:t xml:space="preserve"> also found</w:t>
      </w:r>
      <w:r w:rsidR="006616F6" w:rsidRPr="00025EB1">
        <w:t xml:space="preserve"> that</w:t>
      </w:r>
      <w:r w:rsidR="00FA4E40" w:rsidRPr="00025EB1">
        <w:t xml:space="preserve"> </w:t>
      </w:r>
      <w:proofErr w:type="gramStart"/>
      <w:r w:rsidR="00A46B52" w:rsidRPr="00025EB1">
        <w:t>a number of</w:t>
      </w:r>
      <w:proofErr w:type="gramEnd"/>
      <w:r w:rsidR="00A46B52" w:rsidRPr="00025EB1">
        <w:t xml:space="preserve"> </w:t>
      </w:r>
      <w:r w:rsidR="00FA4E40" w:rsidRPr="00025EB1">
        <w:t xml:space="preserve">the </w:t>
      </w:r>
      <w:r w:rsidR="00880833" w:rsidRPr="00025EB1">
        <w:t xml:space="preserve">concerns expressed about technical methods </w:t>
      </w:r>
      <w:r w:rsidR="009A21F0" w:rsidRPr="00025EB1">
        <w:t>arose from a lack of awareness</w:t>
      </w:r>
      <w:r w:rsidR="004C2290" w:rsidRPr="00025EB1">
        <w:t xml:space="preserve"> </w:t>
      </w:r>
      <w:r w:rsidR="00D00572" w:rsidRPr="00025EB1">
        <w:t xml:space="preserve">or understanding </w:t>
      </w:r>
      <w:r w:rsidR="004C2290" w:rsidRPr="00025EB1">
        <w:t xml:space="preserve">of </w:t>
      </w:r>
      <w:r w:rsidR="00AD5F20" w:rsidRPr="00025EB1">
        <w:t>current approaches</w:t>
      </w:r>
      <w:r w:rsidR="006502ED" w:rsidRPr="00025EB1">
        <w:t xml:space="preserve"> </w:t>
      </w:r>
      <w:r w:rsidR="0099033E" w:rsidRPr="00025EB1">
        <w:t>–</w:t>
      </w:r>
      <w:r w:rsidR="006502ED" w:rsidRPr="00025EB1">
        <w:t xml:space="preserve"> </w:t>
      </w:r>
      <w:r w:rsidR="007037F8" w:rsidRPr="00025EB1">
        <w:t>including those</w:t>
      </w:r>
      <w:r w:rsidR="00C72CB1" w:rsidRPr="00025EB1">
        <w:t xml:space="preserve"> already</w:t>
      </w:r>
      <w:r w:rsidR="007037F8" w:rsidRPr="00025EB1">
        <w:t xml:space="preserve"> </w:t>
      </w:r>
      <w:r w:rsidR="00574E5F">
        <w:t>published</w:t>
      </w:r>
      <w:r w:rsidR="007037F8" w:rsidRPr="00025EB1">
        <w:t xml:space="preserve"> in</w:t>
      </w:r>
      <w:r w:rsidR="000D0B44" w:rsidRPr="00025EB1">
        <w:t xml:space="preserve"> guidelines and </w:t>
      </w:r>
      <w:r w:rsidR="000B7DAC">
        <w:t>PSDs</w:t>
      </w:r>
      <w:r w:rsidR="004C2290">
        <w:t xml:space="preserve">. </w:t>
      </w:r>
    </w:p>
    <w:p w14:paraId="41FB0D70" w14:textId="7907B9DF" w:rsidR="007037F8" w:rsidRDefault="004F736F" w:rsidP="00311026">
      <w:r>
        <w:t xml:space="preserve">There was a </w:t>
      </w:r>
      <w:r w:rsidR="00DF0755">
        <w:t>significant</w:t>
      </w:r>
      <w:r>
        <w:t xml:space="preserve"> lack of awareness that </w:t>
      </w:r>
      <w:r w:rsidR="003E56C7">
        <w:t xml:space="preserve">HTA </w:t>
      </w:r>
      <w:r w:rsidR="00C16518">
        <w:t xml:space="preserve">advisory </w:t>
      </w:r>
      <w:r w:rsidR="003E56C7">
        <w:t xml:space="preserve">committees </w:t>
      </w:r>
      <w:r w:rsidR="002052D4">
        <w:t xml:space="preserve">can and do recommend </w:t>
      </w:r>
      <w:r w:rsidR="004C3F08">
        <w:t xml:space="preserve">funding of </w:t>
      </w:r>
      <w:r w:rsidR="00B501C4">
        <w:t xml:space="preserve">health technologies </w:t>
      </w:r>
      <w:r w:rsidR="006016DC">
        <w:t xml:space="preserve">when </w:t>
      </w:r>
      <w:r w:rsidR="004D7B08">
        <w:t>RCT evidence is not available</w:t>
      </w:r>
      <w:r w:rsidR="009109C9">
        <w:t xml:space="preserve"> (as is often the case for treatments f</w:t>
      </w:r>
      <w:r w:rsidR="000D5AE9">
        <w:t>or rare diseases)</w:t>
      </w:r>
      <w:r w:rsidR="004D7B08">
        <w:t>.</w:t>
      </w:r>
      <w:r>
        <w:t xml:space="preserve"> It </w:t>
      </w:r>
      <w:r w:rsidR="006B01CF">
        <w:t xml:space="preserve">is also not well understood </w:t>
      </w:r>
      <w:r w:rsidR="001E5260">
        <w:t xml:space="preserve">how </w:t>
      </w:r>
      <w:r w:rsidR="003D5655">
        <w:t xml:space="preserve">thoroughly </w:t>
      </w:r>
      <w:r w:rsidR="00842F76">
        <w:t xml:space="preserve">HTA </w:t>
      </w:r>
      <w:r w:rsidR="00C16518">
        <w:t xml:space="preserve">advisory </w:t>
      </w:r>
      <w:r w:rsidR="00842F76">
        <w:t>committees</w:t>
      </w:r>
      <w:r w:rsidR="00827FB6">
        <w:t xml:space="preserve"> </w:t>
      </w:r>
      <w:r w:rsidR="007E4E2D">
        <w:t>consider consumer input</w:t>
      </w:r>
      <w:r w:rsidR="00883A4B">
        <w:t>.</w:t>
      </w:r>
      <w:r w:rsidR="001E5260">
        <w:t xml:space="preserve"> </w:t>
      </w:r>
      <w:r w:rsidR="000B7DAC">
        <w:t>T</w:t>
      </w:r>
      <w:r w:rsidR="00883A4B">
        <w:t xml:space="preserve">here are </w:t>
      </w:r>
      <w:r w:rsidR="000B7DAC">
        <w:t xml:space="preserve">also </w:t>
      </w:r>
      <w:r w:rsidR="00883A4B">
        <w:t xml:space="preserve">many examples </w:t>
      </w:r>
      <w:r w:rsidR="000B7DAC">
        <w:t xml:space="preserve">of </w:t>
      </w:r>
      <w:r w:rsidR="00883A4B">
        <w:t>where this has</w:t>
      </w:r>
      <w:r w:rsidR="001E5260">
        <w:t xml:space="preserve"> significant</w:t>
      </w:r>
      <w:r w:rsidR="00883A4B">
        <w:t>ly</w:t>
      </w:r>
      <w:r w:rsidR="00691E13">
        <w:t xml:space="preserve"> </w:t>
      </w:r>
      <w:r w:rsidR="005F21EE">
        <w:t>impact</w:t>
      </w:r>
      <w:r w:rsidR="00883A4B">
        <w:t>ed</w:t>
      </w:r>
      <w:r w:rsidR="005F21EE">
        <w:t xml:space="preserve"> </w:t>
      </w:r>
      <w:r w:rsidR="005F21EE" w:rsidDel="00830AFC">
        <w:t>decision</w:t>
      </w:r>
      <w:r w:rsidR="00830AFC">
        <w:t>-making</w:t>
      </w:r>
      <w:r w:rsidR="001B0CDC">
        <w:t>,</w:t>
      </w:r>
      <w:r w:rsidR="005F21EE">
        <w:t xml:space="preserve"> </w:t>
      </w:r>
      <w:r w:rsidR="00335383">
        <w:t>in</w:t>
      </w:r>
      <w:r w:rsidR="00376781">
        <w:t>cluding</w:t>
      </w:r>
      <w:r w:rsidR="00335383">
        <w:t xml:space="preserve"> </w:t>
      </w:r>
      <w:r w:rsidR="00944A9D">
        <w:t>through</w:t>
      </w:r>
      <w:r w:rsidR="00335383">
        <w:t xml:space="preserve"> </w:t>
      </w:r>
      <w:r w:rsidR="001A3D64">
        <w:t>the inputs</w:t>
      </w:r>
      <w:r w:rsidR="007005D5">
        <w:t xml:space="preserve"> that are </w:t>
      </w:r>
      <w:r w:rsidR="001A3D64">
        <w:t xml:space="preserve">used </w:t>
      </w:r>
      <w:r w:rsidR="00C72CB1">
        <w:t xml:space="preserve">in clinical and economic evaluations. </w:t>
      </w:r>
      <w:r w:rsidR="006F39BB">
        <w:t>A</w:t>
      </w:r>
      <w:r w:rsidR="00F5339F">
        <w:t xml:space="preserve"> reason for this may be</w:t>
      </w:r>
      <w:r w:rsidR="00E83CA0">
        <w:t xml:space="preserve"> </w:t>
      </w:r>
      <w:r w:rsidR="00277EC0">
        <w:t>that detail</w:t>
      </w:r>
      <w:r w:rsidR="00693F3E">
        <w:t>s</w:t>
      </w:r>
      <w:r w:rsidR="00277EC0">
        <w:t xml:space="preserve"> about </w:t>
      </w:r>
      <w:r w:rsidR="00855578">
        <w:t xml:space="preserve">some of these </w:t>
      </w:r>
      <w:r w:rsidR="004B5741">
        <w:t xml:space="preserve">approaches can </w:t>
      </w:r>
      <w:r w:rsidR="00655E84">
        <w:t xml:space="preserve">only be </w:t>
      </w:r>
      <w:r w:rsidR="000B7DAC">
        <w:t>found in</w:t>
      </w:r>
      <w:r w:rsidR="00655E84">
        <w:t xml:space="preserve"> the public summaries of HTA </w:t>
      </w:r>
      <w:r w:rsidR="00C16518">
        <w:t xml:space="preserve">advisory </w:t>
      </w:r>
      <w:r w:rsidR="00655E84">
        <w:t>committee decisions</w:t>
      </w:r>
      <w:r w:rsidR="000B7DAC">
        <w:t xml:space="preserve">. </w:t>
      </w:r>
      <w:r w:rsidR="003839C6">
        <w:t>They are</w:t>
      </w:r>
      <w:r w:rsidR="003442E3">
        <w:t xml:space="preserve"> </w:t>
      </w:r>
      <w:r w:rsidR="000C00FE">
        <w:t xml:space="preserve">not </w:t>
      </w:r>
      <w:r w:rsidR="000B7DAC">
        <w:t xml:space="preserve">in </w:t>
      </w:r>
      <w:r w:rsidR="00943CA0">
        <w:t>guidance for sponsors</w:t>
      </w:r>
      <w:r w:rsidR="006813CD">
        <w:t xml:space="preserve"> or </w:t>
      </w:r>
      <w:r w:rsidR="006301C1">
        <w:t xml:space="preserve">plain language </w:t>
      </w:r>
      <w:r w:rsidR="006813CD">
        <w:t>explanatory materials for</w:t>
      </w:r>
      <w:r w:rsidR="00943CA0">
        <w:t xml:space="preserve"> the public</w:t>
      </w:r>
      <w:r w:rsidR="000B7DAC">
        <w:t xml:space="preserve"> (</w:t>
      </w:r>
      <w:r w:rsidR="00114349">
        <w:t>see</w:t>
      </w:r>
      <w:r w:rsidR="00CA7A8B">
        <w:t xml:space="preserve"> Chapter 6</w:t>
      </w:r>
      <w:r w:rsidR="000B7DAC">
        <w:t>)</w:t>
      </w:r>
      <w:r w:rsidR="00CA7A8B">
        <w:t>.</w:t>
      </w:r>
    </w:p>
    <w:p w14:paraId="7DC0392A" w14:textId="56A2E307" w:rsidR="00B17AC9" w:rsidRDefault="00FD1685" w:rsidP="00311026">
      <w:r>
        <w:t>Accordingly</w:t>
      </w:r>
      <w:r w:rsidR="000D0B44">
        <w:t>,</w:t>
      </w:r>
      <w:r>
        <w:t xml:space="preserve"> </w:t>
      </w:r>
      <w:r w:rsidR="00B62720">
        <w:t>t</w:t>
      </w:r>
      <w:r w:rsidR="00B57E42">
        <w:t>he Review received</w:t>
      </w:r>
      <w:r w:rsidR="00B62720">
        <w:t xml:space="preserve"> positive</w:t>
      </w:r>
      <w:r w:rsidR="00B57E42">
        <w:t xml:space="preserve"> feedback </w:t>
      </w:r>
      <w:r w:rsidR="00B62720">
        <w:t>on options for</w:t>
      </w:r>
      <w:r w:rsidR="00DF0A54">
        <w:t xml:space="preserve"> additional guidance</w:t>
      </w:r>
      <w:r w:rsidR="000D0B44" w:rsidDel="00B316C2">
        <w:t xml:space="preserve"> </w:t>
      </w:r>
      <w:r w:rsidR="000D0B44">
        <w:t>and plain</w:t>
      </w:r>
      <w:r w:rsidR="00106198">
        <w:t xml:space="preserve"> language </w:t>
      </w:r>
      <w:r w:rsidR="00CA3034">
        <w:t xml:space="preserve">explanations </w:t>
      </w:r>
      <w:r w:rsidR="00B30C69">
        <w:t>of</w:t>
      </w:r>
      <w:r w:rsidR="00CA3034">
        <w:t xml:space="preserve"> methods</w:t>
      </w:r>
      <w:r w:rsidR="00B316C2">
        <w:t xml:space="preserve">, and clarification on </w:t>
      </w:r>
      <w:proofErr w:type="gramStart"/>
      <w:r w:rsidR="00B316C2">
        <w:t>a number of</w:t>
      </w:r>
      <w:proofErr w:type="gramEnd"/>
      <w:r w:rsidR="00B316C2">
        <w:t xml:space="preserve"> areas of technical methods</w:t>
      </w:r>
      <w:r w:rsidR="00C76F0E">
        <w:t xml:space="preserve">. </w:t>
      </w:r>
    </w:p>
    <w:p w14:paraId="222F68E8" w14:textId="77777777" w:rsidR="000D7DF8" w:rsidRDefault="000D7DF8" w:rsidP="000D7DF8">
      <w:r>
        <w:t xml:space="preserve">The Review recommends updates to ensure that: </w:t>
      </w:r>
    </w:p>
    <w:p w14:paraId="0FD84E4C" w14:textId="77777777" w:rsidR="000D7DF8" w:rsidRDefault="000D7DF8" w:rsidP="00274AA9">
      <w:pPr>
        <w:pStyle w:val="ListBullet"/>
      </w:pPr>
      <w:r>
        <w:t>patient populations that could potentially benefit from a health technology are identified and considered in decision-making</w:t>
      </w:r>
    </w:p>
    <w:p w14:paraId="78406E0E" w14:textId="6C87716F" w:rsidR="000D7DF8" w:rsidRDefault="000D7DF8" w:rsidP="00274AA9">
      <w:pPr>
        <w:pStyle w:val="ListBullet"/>
      </w:pPr>
      <w:r>
        <w:t>sponsors and other participants in HTA</w:t>
      </w:r>
      <w:r w:rsidR="00B316C2">
        <w:t>s</w:t>
      </w:r>
      <w:r>
        <w:t xml:space="preserve">, including patients and consumers, understand what evidence and methods HTA advisory committees require to </w:t>
      </w:r>
      <w:r>
        <w:lastRenderedPageBreak/>
        <w:t>ensure decision-making confidence</w:t>
      </w:r>
      <w:r w:rsidR="00906B7D">
        <w:t>,</w:t>
      </w:r>
      <w:r>
        <w:t xml:space="preserve"> and that these requirements are provided in plain </w:t>
      </w:r>
      <w:r w:rsidR="00B316C2">
        <w:t>language</w:t>
      </w:r>
    </w:p>
    <w:p w14:paraId="5ACB14FB" w14:textId="25B00B4B" w:rsidR="000D7DF8" w:rsidRDefault="000D7DF8" w:rsidP="00274AA9">
      <w:pPr>
        <w:pStyle w:val="ListBullet"/>
      </w:pPr>
      <w:r>
        <w:t>guidelines address the unique methodological challenges posed by emerging therapies</w:t>
      </w:r>
    </w:p>
    <w:p w14:paraId="3BF0D1CD" w14:textId="77777777" w:rsidR="000D7DF8" w:rsidRDefault="000D7DF8" w:rsidP="00274AA9">
      <w:pPr>
        <w:pStyle w:val="ListBullet"/>
      </w:pPr>
      <w:r>
        <w:t>health outcomes delivered by health technologies are appropriately valued.</w:t>
      </w:r>
    </w:p>
    <w:p w14:paraId="75C56897" w14:textId="07102232" w:rsidR="008A69D1" w:rsidRDefault="009838A4" w:rsidP="002B25F3">
      <w:pPr>
        <w:pStyle w:val="Heading2"/>
      </w:pPr>
      <w:bookmarkStart w:id="537" w:name="_Toc164685851"/>
      <w:bookmarkStart w:id="538" w:name="_Toc164691473"/>
      <w:bookmarkStart w:id="539" w:name="_Toc164696267"/>
      <w:bookmarkStart w:id="540" w:name="_Toc164696413"/>
      <w:bookmarkStart w:id="541" w:name="_Toc164767794"/>
      <w:bookmarkStart w:id="542" w:name="_Toc165473725"/>
      <w:bookmarkStart w:id="543" w:name="_Toc171935894"/>
      <w:r>
        <w:t xml:space="preserve">Chapter 8.1: </w:t>
      </w:r>
      <w:r w:rsidR="000B65C3">
        <w:t>P</w:t>
      </w:r>
      <w:r w:rsidR="00EE2424">
        <w:t xml:space="preserve">opulation, Intervention, Comparator, </w:t>
      </w:r>
      <w:r w:rsidR="008117A1">
        <w:t xml:space="preserve">and </w:t>
      </w:r>
      <w:r w:rsidR="00EE2424">
        <w:t>Outcome</w:t>
      </w:r>
      <w:bookmarkEnd w:id="537"/>
      <w:bookmarkEnd w:id="538"/>
      <w:bookmarkEnd w:id="539"/>
      <w:bookmarkEnd w:id="540"/>
      <w:bookmarkEnd w:id="541"/>
      <w:bookmarkEnd w:id="542"/>
      <w:bookmarkEnd w:id="543"/>
    </w:p>
    <w:p w14:paraId="7F21E87C" w14:textId="7C43259B" w:rsidR="001C061E" w:rsidRPr="00621C17" w:rsidRDefault="00544066" w:rsidP="00A318F7">
      <w:pPr>
        <w:pStyle w:val="Heading3"/>
      </w:pPr>
      <w:r>
        <w:t>Introduction and context</w:t>
      </w:r>
    </w:p>
    <w:p w14:paraId="38195BCC" w14:textId="756E1145" w:rsidR="00896144" w:rsidRPr="004E2FC2" w:rsidRDefault="00896144" w:rsidP="00E60533">
      <w:pPr>
        <w:pStyle w:val="paragraph"/>
        <w:spacing w:before="0" w:beforeAutospacing="0" w:after="160" w:afterAutospacing="0" w:line="259" w:lineRule="auto"/>
        <w:textAlignment w:val="baseline"/>
        <w:rPr>
          <w:rFonts w:ascii="Segoe UI" w:hAnsi="Segoe UI" w:cs="Segoe UI"/>
        </w:rPr>
      </w:pPr>
      <w:r w:rsidRPr="004E2FC2">
        <w:rPr>
          <w:rStyle w:val="normaltextrun"/>
          <w:rFonts w:ascii="Segoe UI" w:hAnsi="Segoe UI" w:cs="Segoe UI"/>
        </w:rPr>
        <w:t>The starting point for a</w:t>
      </w:r>
      <w:r w:rsidR="008117A1">
        <w:rPr>
          <w:rStyle w:val="normaltextrun"/>
          <w:rFonts w:ascii="Segoe UI" w:hAnsi="Segoe UI" w:cs="Segoe UI"/>
        </w:rPr>
        <w:t>n HTA</w:t>
      </w:r>
      <w:r w:rsidRPr="004E2FC2" w:rsidDel="008117A1">
        <w:rPr>
          <w:rStyle w:val="normaltextrun"/>
          <w:rFonts w:ascii="Segoe UI" w:hAnsi="Segoe UI" w:cs="Segoe UI"/>
        </w:rPr>
        <w:t xml:space="preserve"> </w:t>
      </w:r>
      <w:r w:rsidRPr="004E2FC2">
        <w:rPr>
          <w:rStyle w:val="normaltextrun"/>
          <w:rFonts w:ascii="Segoe UI" w:hAnsi="Segoe UI" w:cs="Segoe UI"/>
        </w:rPr>
        <w:t xml:space="preserve">is </w:t>
      </w:r>
      <w:r w:rsidR="00947EBE">
        <w:rPr>
          <w:rStyle w:val="normaltextrun"/>
          <w:rFonts w:ascii="Segoe UI" w:hAnsi="Segoe UI" w:cs="Segoe UI"/>
        </w:rPr>
        <w:t>defini</w:t>
      </w:r>
      <w:r w:rsidR="008117A1">
        <w:rPr>
          <w:rStyle w:val="normaltextrun"/>
          <w:rFonts w:ascii="Segoe UI" w:hAnsi="Segoe UI" w:cs="Segoe UI"/>
        </w:rPr>
        <w:t>ng</w:t>
      </w:r>
      <w:r w:rsidR="00947EBE">
        <w:rPr>
          <w:rStyle w:val="normaltextrun"/>
          <w:rFonts w:ascii="Segoe UI" w:hAnsi="Segoe UI" w:cs="Segoe UI"/>
        </w:rPr>
        <w:t xml:space="preserve"> </w:t>
      </w:r>
      <w:r w:rsidRPr="004E2FC2">
        <w:rPr>
          <w:rStyle w:val="normaltextrun"/>
          <w:rFonts w:ascii="Segoe UI" w:hAnsi="Segoe UI" w:cs="Segoe UI"/>
        </w:rPr>
        <w:t xml:space="preserve">the </w:t>
      </w:r>
      <w:r w:rsidR="00947EBE">
        <w:rPr>
          <w:rStyle w:val="normaltextrun"/>
          <w:rFonts w:ascii="Segoe UI" w:hAnsi="Segoe UI" w:cs="Segoe UI"/>
        </w:rPr>
        <w:t xml:space="preserve">scope of </w:t>
      </w:r>
      <w:r w:rsidR="00061DE5">
        <w:rPr>
          <w:rStyle w:val="normaltextrun"/>
          <w:rFonts w:ascii="Segoe UI" w:hAnsi="Segoe UI" w:cs="Segoe UI"/>
        </w:rPr>
        <w:t>the analysis</w:t>
      </w:r>
      <w:r w:rsidRPr="004E2FC2">
        <w:rPr>
          <w:rStyle w:val="normaltextrun"/>
          <w:rFonts w:ascii="Segoe UI" w:hAnsi="Segoe UI" w:cs="Segoe UI"/>
        </w:rPr>
        <w:t xml:space="preserve"> that </w:t>
      </w:r>
      <w:r w:rsidR="00061DE5">
        <w:rPr>
          <w:rStyle w:val="normaltextrun"/>
          <w:rFonts w:ascii="Segoe UI" w:hAnsi="Segoe UI" w:cs="Segoe UI"/>
        </w:rPr>
        <w:t xml:space="preserve">will compare </w:t>
      </w:r>
      <w:r w:rsidR="009237F1">
        <w:rPr>
          <w:rStyle w:val="normaltextrun"/>
          <w:rFonts w:ascii="Segoe UI" w:hAnsi="Segoe UI" w:cs="Segoe UI"/>
        </w:rPr>
        <w:t>health outcomes delivered by a</w:t>
      </w:r>
      <w:r w:rsidRPr="004E2FC2">
        <w:rPr>
          <w:rStyle w:val="normaltextrun"/>
          <w:rFonts w:ascii="Segoe UI" w:hAnsi="Segoe UI" w:cs="Segoe UI"/>
        </w:rPr>
        <w:t xml:space="preserve"> </w:t>
      </w:r>
      <w:r w:rsidR="00B809FA">
        <w:rPr>
          <w:rStyle w:val="normaltextrun"/>
          <w:rFonts w:ascii="Segoe UI" w:hAnsi="Segoe UI" w:cs="Segoe UI"/>
        </w:rPr>
        <w:t xml:space="preserve">health technology </w:t>
      </w:r>
      <w:r w:rsidR="005A67E7">
        <w:rPr>
          <w:rStyle w:val="normaltextrun"/>
          <w:rFonts w:ascii="Segoe UI" w:hAnsi="Segoe UI" w:cs="Segoe UI"/>
        </w:rPr>
        <w:t>with the</w:t>
      </w:r>
      <w:r w:rsidR="00545F25">
        <w:rPr>
          <w:rStyle w:val="normaltextrun"/>
          <w:rFonts w:ascii="Segoe UI" w:hAnsi="Segoe UI" w:cs="Segoe UI"/>
        </w:rPr>
        <w:t xml:space="preserve"> existing</w:t>
      </w:r>
      <w:r w:rsidR="005A67E7">
        <w:rPr>
          <w:rStyle w:val="normaltextrun"/>
          <w:rFonts w:ascii="Segoe UI" w:hAnsi="Segoe UI" w:cs="Segoe UI"/>
        </w:rPr>
        <w:t xml:space="preserve"> standard of care</w:t>
      </w:r>
      <w:r w:rsidR="00EF4286">
        <w:rPr>
          <w:rStyle w:val="normaltextrun"/>
          <w:rFonts w:ascii="Segoe UI" w:hAnsi="Segoe UI" w:cs="Segoe UI"/>
        </w:rPr>
        <w:t xml:space="preserve"> for a particular population</w:t>
      </w:r>
      <w:r w:rsidRPr="004E2FC2">
        <w:rPr>
          <w:rStyle w:val="normaltextrun"/>
          <w:rFonts w:ascii="Segoe UI" w:hAnsi="Segoe UI" w:cs="Segoe UI"/>
        </w:rPr>
        <w:t xml:space="preserve">. </w:t>
      </w:r>
      <w:r w:rsidR="008117A1">
        <w:rPr>
          <w:rStyle w:val="normaltextrun"/>
          <w:rFonts w:ascii="Segoe UI" w:hAnsi="Segoe UI" w:cs="Segoe UI"/>
        </w:rPr>
        <w:t>M</w:t>
      </w:r>
      <w:r w:rsidRPr="004E2FC2">
        <w:rPr>
          <w:rStyle w:val="normaltextrun"/>
          <w:rFonts w:ascii="Segoe UI" w:hAnsi="Segoe UI" w:cs="Segoe UI"/>
        </w:rPr>
        <w:t xml:space="preserve">any different frameworks </w:t>
      </w:r>
      <w:r w:rsidR="008117A1">
        <w:rPr>
          <w:rStyle w:val="normaltextrun"/>
          <w:rFonts w:ascii="Segoe UI" w:hAnsi="Segoe UI" w:cs="Segoe UI"/>
        </w:rPr>
        <w:t xml:space="preserve">are </w:t>
      </w:r>
      <w:r w:rsidRPr="004E2FC2">
        <w:rPr>
          <w:rStyle w:val="normaltextrun"/>
          <w:rFonts w:ascii="Segoe UI" w:hAnsi="Segoe UI" w:cs="Segoe UI"/>
        </w:rPr>
        <w:t>used in health</w:t>
      </w:r>
      <w:r w:rsidR="002D33A5">
        <w:rPr>
          <w:rStyle w:val="normaltextrun"/>
          <w:rFonts w:ascii="Segoe UI" w:hAnsi="Segoe UI" w:cs="Segoe UI"/>
        </w:rPr>
        <w:t xml:space="preserve"> </w:t>
      </w:r>
      <w:r w:rsidRPr="004E2FC2">
        <w:rPr>
          <w:rStyle w:val="normaltextrun"/>
          <w:rFonts w:ascii="Segoe UI" w:hAnsi="Segoe UI" w:cs="Segoe UI"/>
        </w:rPr>
        <w:t xml:space="preserve">care </w:t>
      </w:r>
      <w:r w:rsidR="00713285">
        <w:rPr>
          <w:rStyle w:val="normaltextrun"/>
          <w:rFonts w:ascii="Segoe UI" w:hAnsi="Segoe UI" w:cs="Segoe UI"/>
        </w:rPr>
        <w:t>for this purpose</w:t>
      </w:r>
      <w:r w:rsidR="00545F25">
        <w:rPr>
          <w:rStyle w:val="normaltextrun"/>
          <w:rFonts w:ascii="Segoe UI" w:hAnsi="Segoe UI" w:cs="Segoe UI"/>
        </w:rPr>
        <w:t xml:space="preserve">. </w:t>
      </w:r>
      <w:r w:rsidR="00F83348">
        <w:rPr>
          <w:rStyle w:val="normaltextrun"/>
          <w:rFonts w:ascii="Segoe UI" w:hAnsi="Segoe UI" w:cs="Segoe UI"/>
        </w:rPr>
        <w:t>The main framework</w:t>
      </w:r>
      <w:r w:rsidRPr="004E2FC2">
        <w:rPr>
          <w:rStyle w:val="normaltextrun"/>
          <w:rFonts w:ascii="Segoe UI" w:hAnsi="Segoe UI" w:cs="Segoe UI"/>
        </w:rPr>
        <w:t xml:space="preserve"> used </w:t>
      </w:r>
      <w:r w:rsidR="00EA0D37">
        <w:rPr>
          <w:rStyle w:val="normaltextrun"/>
          <w:rFonts w:ascii="Segoe UI" w:hAnsi="Segoe UI" w:cs="Segoe UI"/>
        </w:rPr>
        <w:t xml:space="preserve">to </w:t>
      </w:r>
      <w:r w:rsidR="004511FD">
        <w:rPr>
          <w:rStyle w:val="normaltextrun"/>
          <w:rFonts w:ascii="Segoe UI" w:hAnsi="Segoe UI" w:cs="Segoe UI"/>
        </w:rPr>
        <w:t>assess</w:t>
      </w:r>
      <w:r w:rsidR="00EA0D37">
        <w:rPr>
          <w:rStyle w:val="normaltextrun"/>
          <w:rFonts w:ascii="Segoe UI" w:hAnsi="Segoe UI" w:cs="Segoe UI"/>
        </w:rPr>
        <w:t xml:space="preserve"> health technologies </w:t>
      </w:r>
      <w:r w:rsidR="004511FD">
        <w:rPr>
          <w:rStyle w:val="normaltextrun"/>
          <w:rFonts w:ascii="Segoe UI" w:hAnsi="Segoe UI" w:cs="Segoe UI"/>
        </w:rPr>
        <w:t xml:space="preserve">funded through Australia’s </w:t>
      </w:r>
      <w:r w:rsidR="00D3303C">
        <w:rPr>
          <w:rStyle w:val="normaltextrun"/>
          <w:rFonts w:ascii="Segoe UI" w:hAnsi="Segoe UI" w:cs="Segoe UI"/>
        </w:rPr>
        <w:t>universal access schemes</w:t>
      </w:r>
      <w:r w:rsidRPr="004E2FC2">
        <w:rPr>
          <w:rStyle w:val="normaltextrun"/>
          <w:rFonts w:ascii="Segoe UI" w:hAnsi="Segoe UI" w:cs="Segoe UI"/>
        </w:rPr>
        <w:t xml:space="preserve"> is the PICO framework. </w:t>
      </w:r>
    </w:p>
    <w:p w14:paraId="7F930B61" w14:textId="1A997D87" w:rsidR="00AE3AF8" w:rsidRDefault="00896144" w:rsidP="00E60533">
      <w:pPr>
        <w:pStyle w:val="paragraph"/>
        <w:spacing w:before="0" w:beforeAutospacing="0" w:after="160" w:afterAutospacing="0" w:line="259" w:lineRule="auto"/>
        <w:textAlignment w:val="baseline"/>
        <w:rPr>
          <w:rStyle w:val="normaltextrun"/>
          <w:rFonts w:ascii="Segoe UI" w:hAnsi="Segoe UI" w:cs="Segoe UI"/>
        </w:rPr>
      </w:pPr>
      <w:r>
        <w:rPr>
          <w:rStyle w:val="normaltextrun"/>
          <w:rFonts w:ascii="Segoe UI" w:hAnsi="Segoe UI" w:cs="Segoe UI"/>
        </w:rPr>
        <w:t>T</w:t>
      </w:r>
      <w:r w:rsidRPr="004E2FC2">
        <w:rPr>
          <w:rStyle w:val="normaltextrun"/>
          <w:rFonts w:ascii="Segoe UI" w:hAnsi="Segoe UI" w:cs="Segoe UI"/>
        </w:rPr>
        <w:t>he PICO</w:t>
      </w:r>
      <w:r w:rsidR="00EB3B3D">
        <w:rPr>
          <w:rStyle w:val="normaltextrun"/>
          <w:rFonts w:ascii="Segoe UI" w:hAnsi="Segoe UI" w:cs="Segoe UI"/>
        </w:rPr>
        <w:t xml:space="preserve"> </w:t>
      </w:r>
      <w:r w:rsidRPr="004E2FC2">
        <w:rPr>
          <w:rStyle w:val="normaltextrun"/>
          <w:rFonts w:ascii="Segoe UI" w:hAnsi="Segoe UI" w:cs="Segoe UI"/>
        </w:rPr>
        <w:t xml:space="preserve">framework divides </w:t>
      </w:r>
      <w:r w:rsidR="004E077C">
        <w:rPr>
          <w:rStyle w:val="normaltextrun"/>
          <w:rFonts w:ascii="Segoe UI" w:hAnsi="Segoe UI" w:cs="Segoe UI"/>
        </w:rPr>
        <w:t>the</w:t>
      </w:r>
      <w:r w:rsidRPr="004E2FC2">
        <w:rPr>
          <w:rStyle w:val="normaltextrun"/>
          <w:rFonts w:ascii="Segoe UI" w:hAnsi="Segoe UI" w:cs="Segoe UI"/>
        </w:rPr>
        <w:t xml:space="preserve"> research question into </w:t>
      </w:r>
      <w:r>
        <w:rPr>
          <w:rStyle w:val="normaltextrun"/>
          <w:rFonts w:ascii="Segoe UI" w:hAnsi="Segoe UI" w:cs="Segoe UI"/>
        </w:rPr>
        <w:t>four</w:t>
      </w:r>
      <w:r w:rsidRPr="004E2FC2">
        <w:rPr>
          <w:rStyle w:val="normaltextrun"/>
          <w:rFonts w:ascii="Segoe UI" w:hAnsi="Segoe UI" w:cs="Segoe UI"/>
        </w:rPr>
        <w:t xml:space="preserve"> components: </w:t>
      </w:r>
    </w:p>
    <w:p w14:paraId="05B15C87" w14:textId="097CB2C7" w:rsidR="00AE3AF8" w:rsidRPr="00A318F7" w:rsidRDefault="00896144" w:rsidP="00281153">
      <w:pPr>
        <w:pStyle w:val="ListNumber"/>
        <w:numPr>
          <w:ilvl w:val="0"/>
          <w:numId w:val="121"/>
        </w:numPr>
        <w:rPr>
          <w:rStyle w:val="normaltextrun"/>
        </w:rPr>
      </w:pPr>
      <w:r w:rsidRPr="005D30EA">
        <w:rPr>
          <w:rStyle w:val="normaltextrun"/>
          <w:b/>
        </w:rPr>
        <w:t>P</w:t>
      </w:r>
      <w:r w:rsidRPr="005D30EA">
        <w:rPr>
          <w:rStyle w:val="normaltextrun"/>
        </w:rPr>
        <w:t xml:space="preserve">opulation (the population being </w:t>
      </w:r>
      <w:r w:rsidR="00361778" w:rsidRPr="005D30EA">
        <w:rPr>
          <w:rStyle w:val="normaltextrun"/>
        </w:rPr>
        <w:t>considered</w:t>
      </w:r>
      <w:r w:rsidRPr="005D30EA">
        <w:rPr>
          <w:rStyle w:val="normaltextrun"/>
        </w:rPr>
        <w:t xml:space="preserve">) </w:t>
      </w:r>
    </w:p>
    <w:p w14:paraId="66F46DD9" w14:textId="7247A51E" w:rsidR="00AE3AF8" w:rsidRPr="005D30EA" w:rsidRDefault="00361778" w:rsidP="00BD34D3">
      <w:pPr>
        <w:pStyle w:val="ListNumber"/>
        <w:rPr>
          <w:rStyle w:val="normaltextrun"/>
        </w:rPr>
      </w:pPr>
      <w:r w:rsidRPr="005D30EA">
        <w:rPr>
          <w:rStyle w:val="normaltextrun"/>
          <w:b/>
        </w:rPr>
        <w:t>I</w:t>
      </w:r>
      <w:r w:rsidR="00896144" w:rsidRPr="005D30EA">
        <w:rPr>
          <w:rStyle w:val="normaltextrun"/>
        </w:rPr>
        <w:t xml:space="preserve">ntervention (the </w:t>
      </w:r>
      <w:r w:rsidR="00AB70A4" w:rsidRPr="005D30EA">
        <w:rPr>
          <w:rStyle w:val="normaltextrun"/>
        </w:rPr>
        <w:t>proposed health technol</w:t>
      </w:r>
      <w:r w:rsidR="00035C71" w:rsidRPr="005D30EA">
        <w:rPr>
          <w:rStyle w:val="normaltextrun"/>
        </w:rPr>
        <w:t>o</w:t>
      </w:r>
      <w:r w:rsidR="00AB70A4" w:rsidRPr="005D30EA">
        <w:rPr>
          <w:rStyle w:val="normaltextrun"/>
        </w:rPr>
        <w:t>gy</w:t>
      </w:r>
      <w:r w:rsidR="00896144" w:rsidRPr="005D30EA">
        <w:rPr>
          <w:rStyle w:val="normaltextrun"/>
        </w:rPr>
        <w:t xml:space="preserve">) </w:t>
      </w:r>
    </w:p>
    <w:p w14:paraId="5722FD12" w14:textId="1A6C3F73" w:rsidR="00AE3AF8" w:rsidRPr="005D30EA" w:rsidRDefault="00AB70A4" w:rsidP="00BD34D3">
      <w:pPr>
        <w:pStyle w:val="ListNumber"/>
        <w:rPr>
          <w:rStyle w:val="normaltextrun"/>
        </w:rPr>
      </w:pPr>
      <w:r w:rsidRPr="005D30EA">
        <w:rPr>
          <w:rStyle w:val="normaltextrun"/>
          <w:b/>
        </w:rPr>
        <w:t>C</w:t>
      </w:r>
      <w:r w:rsidR="00896144" w:rsidRPr="005D30EA">
        <w:rPr>
          <w:rStyle w:val="normaltextrun"/>
        </w:rPr>
        <w:t>omparator</w:t>
      </w:r>
      <w:r w:rsidRPr="005D30EA">
        <w:rPr>
          <w:rStyle w:val="normaltextrun"/>
        </w:rPr>
        <w:t>(</w:t>
      </w:r>
      <w:r w:rsidR="00896144" w:rsidRPr="005D30EA">
        <w:rPr>
          <w:rStyle w:val="normaltextrun"/>
        </w:rPr>
        <w:t>s</w:t>
      </w:r>
      <w:r w:rsidRPr="005D30EA">
        <w:rPr>
          <w:rStyle w:val="normaltextrun"/>
        </w:rPr>
        <w:t>)</w:t>
      </w:r>
      <w:r w:rsidR="00896144" w:rsidRPr="005D30EA">
        <w:rPr>
          <w:rStyle w:val="normaltextrun"/>
        </w:rPr>
        <w:t xml:space="preserve"> (</w:t>
      </w:r>
      <w:r w:rsidRPr="005D30EA">
        <w:rPr>
          <w:rStyle w:val="normaltextrun"/>
        </w:rPr>
        <w:t xml:space="preserve">the </w:t>
      </w:r>
      <w:r w:rsidR="00896144" w:rsidRPr="005D30EA">
        <w:rPr>
          <w:rStyle w:val="normaltextrun"/>
        </w:rPr>
        <w:t xml:space="preserve">treatment </w:t>
      </w:r>
      <w:r w:rsidR="004E077C" w:rsidRPr="005D30EA">
        <w:rPr>
          <w:rStyle w:val="normaltextrun"/>
        </w:rPr>
        <w:t>or standard of care</w:t>
      </w:r>
      <w:r w:rsidRPr="005D30EA">
        <w:rPr>
          <w:rStyle w:val="normaltextrun"/>
        </w:rPr>
        <w:t xml:space="preserve"> the intervention is being compared with</w:t>
      </w:r>
      <w:r w:rsidR="00896144" w:rsidRPr="005D30EA">
        <w:rPr>
          <w:rStyle w:val="normaltextrun"/>
        </w:rPr>
        <w:t xml:space="preserve">) </w:t>
      </w:r>
    </w:p>
    <w:p w14:paraId="3FE36C7D" w14:textId="45CADD31" w:rsidR="00896144" w:rsidRPr="004E2FC2" w:rsidRDefault="00AB70A4" w:rsidP="00BD34D3">
      <w:pPr>
        <w:pStyle w:val="ListNumber"/>
      </w:pPr>
      <w:r w:rsidRPr="005D30EA">
        <w:rPr>
          <w:rStyle w:val="normaltextrun"/>
          <w:b/>
        </w:rPr>
        <w:t>O</w:t>
      </w:r>
      <w:r w:rsidR="00896144" w:rsidRPr="005D30EA">
        <w:rPr>
          <w:rStyle w:val="normaltextrun"/>
        </w:rPr>
        <w:t>utcome</w:t>
      </w:r>
      <w:r w:rsidR="00AE3491" w:rsidRPr="005D30EA">
        <w:rPr>
          <w:rStyle w:val="normaltextrun"/>
        </w:rPr>
        <w:t>(</w:t>
      </w:r>
      <w:r w:rsidR="00896144" w:rsidRPr="005D30EA">
        <w:rPr>
          <w:rStyle w:val="normaltextrun"/>
        </w:rPr>
        <w:t>s</w:t>
      </w:r>
      <w:r w:rsidR="00AE3491" w:rsidRPr="005D30EA">
        <w:rPr>
          <w:rStyle w:val="normaltextrun"/>
        </w:rPr>
        <w:t>)</w:t>
      </w:r>
      <w:r w:rsidR="00896144" w:rsidRPr="005D30EA">
        <w:rPr>
          <w:rStyle w:val="normaltextrun"/>
        </w:rPr>
        <w:t xml:space="preserve"> (</w:t>
      </w:r>
      <w:r w:rsidR="00C41730" w:rsidRPr="005D30EA">
        <w:rPr>
          <w:rStyle w:val="normaltextrun"/>
        </w:rPr>
        <w:t xml:space="preserve">the </w:t>
      </w:r>
      <w:r w:rsidR="007F4D15" w:rsidRPr="005D30EA">
        <w:rPr>
          <w:rStyle w:val="normaltextrun"/>
        </w:rPr>
        <w:t xml:space="preserve">health </w:t>
      </w:r>
      <w:r w:rsidR="004E077C" w:rsidRPr="005D30EA">
        <w:rPr>
          <w:rStyle w:val="normaltextrun"/>
        </w:rPr>
        <w:t xml:space="preserve">outcomes that are </w:t>
      </w:r>
      <w:r w:rsidR="008F7478" w:rsidRPr="005D30EA">
        <w:rPr>
          <w:rStyle w:val="normaltextrun"/>
        </w:rPr>
        <w:t>measured for th</w:t>
      </w:r>
      <w:r w:rsidR="00BF0D7E" w:rsidRPr="005D30EA">
        <w:rPr>
          <w:rStyle w:val="normaltextrun"/>
        </w:rPr>
        <w:t xml:space="preserve">ose who receive the </w:t>
      </w:r>
      <w:r w:rsidR="008117A1" w:rsidRPr="005D30EA">
        <w:rPr>
          <w:rStyle w:val="normaltextrun"/>
        </w:rPr>
        <w:t>i</w:t>
      </w:r>
      <w:r w:rsidR="00BF0D7E" w:rsidRPr="005D30EA">
        <w:rPr>
          <w:rStyle w:val="normaltextrun"/>
        </w:rPr>
        <w:t>ntervention versus the comparator</w:t>
      </w:r>
      <w:r w:rsidR="00896144" w:rsidRPr="005D30EA">
        <w:rPr>
          <w:rStyle w:val="normaltextrun"/>
        </w:rPr>
        <w:t>).</w:t>
      </w:r>
      <w:r w:rsidR="00453069" w:rsidRPr="005D30EA">
        <w:rPr>
          <w:rStyle w:val="normaltextrun"/>
        </w:rPr>
        <w:t xml:space="preserve"> </w:t>
      </w:r>
    </w:p>
    <w:p w14:paraId="3E2EC8E6" w14:textId="0D716875" w:rsidR="00080B56" w:rsidRDefault="00EF4286" w:rsidP="00E60533">
      <w:r>
        <w:t>D</w:t>
      </w:r>
      <w:r w:rsidR="00F35281" w:rsidRPr="005610F3">
        <w:t>ifferent</w:t>
      </w:r>
      <w:r w:rsidR="00AC66BC" w:rsidRPr="005610F3">
        <w:t xml:space="preserve"> health technology advisory committees </w:t>
      </w:r>
      <w:r>
        <w:t>in Australia</w:t>
      </w:r>
      <w:r w:rsidR="00AC66BC" w:rsidRPr="005610F3">
        <w:t xml:space="preserve"> have different processes for </w:t>
      </w:r>
      <w:r w:rsidR="004C72A8">
        <w:t>determining</w:t>
      </w:r>
      <w:r w:rsidR="00AC66BC" w:rsidRPr="005610F3">
        <w:t xml:space="preserve"> </w:t>
      </w:r>
      <w:r w:rsidR="00DB182C" w:rsidRPr="005610F3">
        <w:t>the PICO</w:t>
      </w:r>
      <w:r w:rsidR="00AC66BC" w:rsidRPr="005610F3">
        <w:t>.</w:t>
      </w:r>
      <w:r w:rsidR="006E3C72">
        <w:t xml:space="preserve"> The PBAC </w:t>
      </w:r>
      <w:r w:rsidR="00403C3B">
        <w:t xml:space="preserve">relies </w:t>
      </w:r>
      <w:r w:rsidR="005668C8">
        <w:t xml:space="preserve">on the sponsor of the </w:t>
      </w:r>
      <w:r w:rsidR="00FA43D8">
        <w:t xml:space="preserve">health technology to </w:t>
      </w:r>
      <w:r w:rsidR="000A6035">
        <w:t>describe</w:t>
      </w:r>
      <w:r w:rsidR="00FA43D8">
        <w:t xml:space="preserve"> the </w:t>
      </w:r>
      <w:r w:rsidR="00E43B65">
        <w:t>population</w:t>
      </w:r>
      <w:r w:rsidR="00100379">
        <w:t xml:space="preserve"> to be </w:t>
      </w:r>
      <w:r w:rsidR="00E43B65">
        <w:t xml:space="preserve">treated, the intervention, comparator and </w:t>
      </w:r>
      <w:r w:rsidR="00CF26C8">
        <w:t>patient-relevant clinical effectiveness and safety outcomes</w:t>
      </w:r>
      <w:r w:rsidR="00B151F4">
        <w:t xml:space="preserve">. </w:t>
      </w:r>
      <w:r w:rsidR="00751FAC">
        <w:t xml:space="preserve">By contrast, </w:t>
      </w:r>
      <w:r w:rsidR="004533E0">
        <w:t xml:space="preserve">the </w:t>
      </w:r>
      <w:r w:rsidR="00AC66BC" w:rsidRPr="005610F3">
        <w:t>M</w:t>
      </w:r>
      <w:r w:rsidR="00170D56" w:rsidRPr="005610F3">
        <w:t>SAC and</w:t>
      </w:r>
      <w:r w:rsidR="00B151F4">
        <w:t xml:space="preserve"> </w:t>
      </w:r>
      <w:r w:rsidR="00170D56" w:rsidRPr="005610F3">
        <w:t>ATAGI</w:t>
      </w:r>
      <w:r w:rsidR="00D1415D">
        <w:t xml:space="preserve"> </w:t>
      </w:r>
      <w:r w:rsidR="00B164AF">
        <w:t>seek</w:t>
      </w:r>
      <w:r w:rsidR="00B151F4">
        <w:t xml:space="preserve"> </w:t>
      </w:r>
      <w:r w:rsidR="00B164AF">
        <w:t xml:space="preserve">input </w:t>
      </w:r>
      <w:r w:rsidR="009F3EBC">
        <w:t xml:space="preserve">in the first instance </w:t>
      </w:r>
      <w:r w:rsidR="00B164AF">
        <w:t xml:space="preserve">from </w:t>
      </w:r>
      <w:r w:rsidR="009F3EBC">
        <w:t xml:space="preserve">other </w:t>
      </w:r>
      <w:r w:rsidR="00031E91">
        <w:t xml:space="preserve">stakeholders </w:t>
      </w:r>
      <w:r w:rsidR="00DB480C">
        <w:t xml:space="preserve">to ensure that the PICO </w:t>
      </w:r>
      <w:r w:rsidR="00AC768D">
        <w:t xml:space="preserve">reflects </w:t>
      </w:r>
      <w:r w:rsidR="00705FEA">
        <w:t xml:space="preserve">what is important </w:t>
      </w:r>
      <w:r w:rsidR="009B3625">
        <w:t xml:space="preserve">to clinicians, patients and their </w:t>
      </w:r>
      <w:proofErr w:type="spellStart"/>
      <w:r w:rsidR="009B3625">
        <w:t>carers</w:t>
      </w:r>
      <w:proofErr w:type="spellEnd"/>
      <w:r w:rsidR="006E193B" w:rsidRPr="006E193B">
        <w:t>.</w:t>
      </w:r>
      <w:r w:rsidR="004533E0">
        <w:rPr>
          <w:rStyle w:val="FootnoteReference"/>
        </w:rPr>
        <w:footnoteReference w:id="171"/>
      </w:r>
      <w:r w:rsidR="00962F79">
        <w:t xml:space="preserve"> A similar approach is used by </w:t>
      </w:r>
      <w:r w:rsidR="000069C7">
        <w:t xml:space="preserve">NICE in </w:t>
      </w:r>
      <w:r w:rsidR="007E2DBB">
        <w:t xml:space="preserve">the UK </w:t>
      </w:r>
      <w:r w:rsidR="00830395">
        <w:t xml:space="preserve">and the European </w:t>
      </w:r>
      <w:r w:rsidR="007E2DBB">
        <w:t>N</w:t>
      </w:r>
      <w:r w:rsidR="00830395">
        <w:t xml:space="preserve">etwork for Health Technology Assessment. </w:t>
      </w:r>
    </w:p>
    <w:p w14:paraId="46C77EEA" w14:textId="52C0FDC3" w:rsidR="003E74DB" w:rsidRDefault="00CE1785" w:rsidP="00E60533">
      <w:r>
        <w:t xml:space="preserve">The PICO </w:t>
      </w:r>
      <w:r w:rsidR="004D4179">
        <w:t xml:space="preserve">has </w:t>
      </w:r>
      <w:r w:rsidR="00B3157F">
        <w:t>a major influence o</w:t>
      </w:r>
      <w:r w:rsidR="00FB67EC">
        <w:t>ver</w:t>
      </w:r>
      <w:r w:rsidR="00B3157F">
        <w:t xml:space="preserve"> who</w:t>
      </w:r>
      <w:r w:rsidR="00C2116A">
        <w:t xml:space="preserve"> ultimately</w:t>
      </w:r>
      <w:r w:rsidR="00B3157F">
        <w:t xml:space="preserve"> </w:t>
      </w:r>
      <w:r w:rsidR="0015528F">
        <w:t>can and cannot access therapy</w:t>
      </w:r>
      <w:r w:rsidR="00377E4A">
        <w:t xml:space="preserve"> once it is funded. </w:t>
      </w:r>
      <w:r w:rsidR="00716887">
        <w:t xml:space="preserve">By defining the scope of analysis </w:t>
      </w:r>
      <w:r w:rsidR="00254102">
        <w:t>for the HTA, the PICO effectively</w:t>
      </w:r>
      <w:r w:rsidR="000B768D">
        <w:t xml:space="preserve"> determines </w:t>
      </w:r>
      <w:r w:rsidR="00254102">
        <w:t xml:space="preserve">which patients </w:t>
      </w:r>
      <w:r w:rsidR="00A4793D">
        <w:t xml:space="preserve">the health technology will be </w:t>
      </w:r>
      <w:r w:rsidR="00000C6B">
        <w:t xml:space="preserve">recommended for by </w:t>
      </w:r>
      <w:r w:rsidR="00FD671B">
        <w:t xml:space="preserve">the </w:t>
      </w:r>
      <w:r w:rsidR="00000C6B">
        <w:t>HTA advisory committees</w:t>
      </w:r>
      <w:r w:rsidR="00254102">
        <w:t xml:space="preserve">. </w:t>
      </w:r>
      <w:r w:rsidR="00FD671B">
        <w:t>The</w:t>
      </w:r>
      <w:r w:rsidR="00753123">
        <w:t xml:space="preserve"> committees have limited ability to recommend </w:t>
      </w:r>
      <w:r w:rsidR="00330BDB">
        <w:t>populations outside those</w:t>
      </w:r>
      <w:r w:rsidR="00330BDB" w:rsidDel="00FD671B">
        <w:t xml:space="preserve"> </w:t>
      </w:r>
      <w:r w:rsidR="00330BDB">
        <w:t>identified by the sponsor through the PICO.</w:t>
      </w:r>
    </w:p>
    <w:p w14:paraId="1BE75B12" w14:textId="2312E769" w:rsidR="00C7152E" w:rsidRPr="0019054D" w:rsidRDefault="00A23EF2" w:rsidP="00E60533">
      <w:pPr>
        <w:pStyle w:val="Heading4"/>
        <w:jc w:val="both"/>
        <w:rPr>
          <w:color w:val="005A68" w:themeColor="accent6" w:themeShade="80"/>
        </w:rPr>
      </w:pPr>
      <w:r w:rsidRPr="0019054D">
        <w:lastRenderedPageBreak/>
        <w:t>Issues</w:t>
      </w:r>
    </w:p>
    <w:p w14:paraId="16E35F4D" w14:textId="50D3F097" w:rsidR="00A43ADB" w:rsidRDefault="0057461C" w:rsidP="00E60533">
      <w:r>
        <w:t>Most of the issues</w:t>
      </w:r>
      <w:r w:rsidR="008B3E77" w:rsidDel="00FD671B">
        <w:t xml:space="preserve"> </w:t>
      </w:r>
      <w:r w:rsidR="008B3E77">
        <w:t xml:space="preserve">participants </w:t>
      </w:r>
      <w:r w:rsidR="00FD671B">
        <w:t xml:space="preserve">raised </w:t>
      </w:r>
      <w:r w:rsidR="008B3E77">
        <w:t>in the Review</w:t>
      </w:r>
      <w:r>
        <w:t xml:space="preserve"> about identification of the PICO were </w:t>
      </w:r>
      <w:r w:rsidR="00D311D3">
        <w:t xml:space="preserve">about </w:t>
      </w:r>
      <w:r w:rsidR="003B2235">
        <w:t xml:space="preserve">the </w:t>
      </w:r>
      <w:r w:rsidR="00D311D3">
        <w:t>absence of consultation</w:t>
      </w:r>
      <w:r w:rsidR="002B54F3">
        <w:t xml:space="preserve"> with patient</w:t>
      </w:r>
      <w:r w:rsidR="00FD671B">
        <w:t>s</w:t>
      </w:r>
      <w:r w:rsidR="002B54F3">
        <w:t xml:space="preserve"> and clinicians</w:t>
      </w:r>
      <w:r w:rsidR="00D311D3">
        <w:t xml:space="preserve"> </w:t>
      </w:r>
      <w:r w:rsidR="00FD671B">
        <w:t>during</w:t>
      </w:r>
      <w:r>
        <w:t xml:space="preserve"> the PBAC process.</w:t>
      </w:r>
    </w:p>
    <w:p w14:paraId="0BF6D0F8" w14:textId="393166AC" w:rsidR="00303E20" w:rsidRPr="009D14F6" w:rsidRDefault="00DE11DE" w:rsidP="00636777">
      <w:pPr>
        <w:rPr>
          <w:rStyle w:val="normaltextrun"/>
          <w:rFonts w:cs="Segoe UI"/>
        </w:rPr>
      </w:pPr>
      <w:r>
        <w:rPr>
          <w:rStyle w:val="normaltextrun"/>
          <w:rFonts w:cs="Segoe UI"/>
        </w:rPr>
        <w:t>Many</w:t>
      </w:r>
      <w:r w:rsidR="004C36CE">
        <w:rPr>
          <w:rStyle w:val="normaltextrun"/>
          <w:rFonts w:cs="Segoe UI"/>
        </w:rPr>
        <w:t xml:space="preserve"> patient,</w:t>
      </w:r>
      <w:r>
        <w:rPr>
          <w:rStyle w:val="normaltextrun"/>
          <w:rFonts w:cs="Segoe UI"/>
        </w:rPr>
        <w:t xml:space="preserve"> consumer and clinician organisations </w:t>
      </w:r>
      <w:r w:rsidR="00E8451D">
        <w:rPr>
          <w:rStyle w:val="normaltextrun"/>
          <w:rFonts w:cs="Segoe UI"/>
        </w:rPr>
        <w:t>felt</w:t>
      </w:r>
      <w:r>
        <w:rPr>
          <w:rStyle w:val="normaltextrun"/>
          <w:rFonts w:cs="Segoe UI"/>
        </w:rPr>
        <w:t xml:space="preserve"> that the </w:t>
      </w:r>
      <w:r w:rsidR="00E8451D">
        <w:rPr>
          <w:rStyle w:val="normaltextrun"/>
          <w:rFonts w:cs="Segoe UI"/>
        </w:rPr>
        <w:t>absence of consultation on the PICO for PBAC submissions</w:t>
      </w:r>
      <w:r>
        <w:rPr>
          <w:rStyle w:val="normaltextrun"/>
          <w:rFonts w:cs="Segoe UI"/>
        </w:rPr>
        <w:t xml:space="preserve"> meant that potentially important populations </w:t>
      </w:r>
      <w:r w:rsidR="00B430A3">
        <w:rPr>
          <w:rStyle w:val="normaltextrun"/>
          <w:rFonts w:cs="Segoe UI"/>
        </w:rPr>
        <w:t>that</w:t>
      </w:r>
      <w:r w:rsidDel="00B430A3">
        <w:rPr>
          <w:rStyle w:val="normaltextrun"/>
          <w:rFonts w:cs="Segoe UI"/>
        </w:rPr>
        <w:t xml:space="preserve"> </w:t>
      </w:r>
      <w:r>
        <w:rPr>
          <w:rStyle w:val="normaltextrun"/>
          <w:rFonts w:cs="Segoe UI"/>
        </w:rPr>
        <w:t xml:space="preserve">would benefit from treatment were not identified, </w:t>
      </w:r>
      <w:r w:rsidR="00565A44">
        <w:rPr>
          <w:rStyle w:val="normaltextrun"/>
          <w:rFonts w:cs="Segoe UI"/>
        </w:rPr>
        <w:t>and important</w:t>
      </w:r>
      <w:r>
        <w:rPr>
          <w:rStyle w:val="normaltextrun"/>
          <w:rFonts w:cs="Segoe UI"/>
        </w:rPr>
        <w:t xml:space="preserve"> patient</w:t>
      </w:r>
      <w:r w:rsidR="003C7494">
        <w:rPr>
          <w:rStyle w:val="normaltextrun"/>
          <w:rFonts w:cs="Segoe UI"/>
        </w:rPr>
        <w:t>-</w:t>
      </w:r>
      <w:r>
        <w:rPr>
          <w:rStyle w:val="normaltextrun"/>
          <w:rFonts w:cs="Segoe UI"/>
        </w:rPr>
        <w:t>relevant outcomes c</w:t>
      </w:r>
      <w:r w:rsidR="00565A44">
        <w:rPr>
          <w:rStyle w:val="normaltextrun"/>
          <w:rFonts w:cs="Segoe UI"/>
        </w:rPr>
        <w:t>ould be missed</w:t>
      </w:r>
      <w:r>
        <w:rPr>
          <w:rStyle w:val="normaltextrun"/>
          <w:rFonts w:cs="Segoe UI"/>
        </w:rPr>
        <w:t xml:space="preserve">. </w:t>
      </w:r>
      <w:r w:rsidR="00303E20">
        <w:rPr>
          <w:rStyle w:val="normaltextrun"/>
          <w:rFonts w:cs="Segoe UI"/>
        </w:rPr>
        <w:t xml:space="preserve">Some </w:t>
      </w:r>
      <w:r w:rsidR="009F28A1">
        <w:rPr>
          <w:rStyle w:val="normaltextrun"/>
          <w:rFonts w:cs="Segoe UI"/>
        </w:rPr>
        <w:t>participants</w:t>
      </w:r>
      <w:r w:rsidR="00303E20">
        <w:rPr>
          <w:rStyle w:val="normaltextrun"/>
          <w:rFonts w:cs="Segoe UI"/>
        </w:rPr>
        <w:t xml:space="preserve"> raised that the lack of a mechanism to compel sponsors to identify the health needs of sub-populations (such as First Nations people</w:t>
      </w:r>
      <w:r w:rsidR="001E2F34">
        <w:rPr>
          <w:rStyle w:val="normaltextrun"/>
          <w:rFonts w:cs="Segoe UI"/>
        </w:rPr>
        <w:t>)</w:t>
      </w:r>
      <w:r w:rsidR="00303E20">
        <w:rPr>
          <w:rStyle w:val="normaltextrun"/>
          <w:rFonts w:cs="Segoe UI"/>
        </w:rPr>
        <w:t xml:space="preserve"> creat</w:t>
      </w:r>
      <w:r w:rsidR="001E2F34">
        <w:rPr>
          <w:rStyle w:val="normaltextrun"/>
          <w:rFonts w:cs="Segoe UI"/>
        </w:rPr>
        <w:t xml:space="preserve">ed </w:t>
      </w:r>
      <w:r w:rsidR="00303E20">
        <w:rPr>
          <w:rStyle w:val="normaltextrun"/>
          <w:rFonts w:cs="Segoe UI"/>
        </w:rPr>
        <w:t xml:space="preserve">a barrier to equitable access. </w:t>
      </w:r>
    </w:p>
    <w:p w14:paraId="50BD2EBF" w14:textId="373CB811" w:rsidR="009F3730" w:rsidRDefault="00851734" w:rsidP="00636777">
      <w:pPr>
        <w:rPr>
          <w:rStyle w:val="normaltextrun"/>
          <w:rFonts w:cs="Segoe UI"/>
        </w:rPr>
      </w:pPr>
      <w:r>
        <w:rPr>
          <w:rStyle w:val="eop"/>
          <w:rFonts w:cs="Segoe UI"/>
        </w:rPr>
        <w:t>Consumer and clinician organisation</w:t>
      </w:r>
      <w:r w:rsidR="00505E8B">
        <w:rPr>
          <w:rStyle w:val="eop"/>
          <w:rFonts w:cs="Segoe UI"/>
        </w:rPr>
        <w:t>s</w:t>
      </w:r>
      <w:r>
        <w:rPr>
          <w:rStyle w:val="eop"/>
          <w:rFonts w:cs="Segoe UI"/>
        </w:rPr>
        <w:t xml:space="preserve"> raised that </w:t>
      </w:r>
      <w:r w:rsidR="0008013F">
        <w:rPr>
          <w:rStyle w:val="eop"/>
          <w:rFonts w:cs="Segoe UI"/>
        </w:rPr>
        <w:t>a</w:t>
      </w:r>
      <w:r>
        <w:rPr>
          <w:rStyle w:val="eop"/>
          <w:rFonts w:cs="Segoe UI"/>
        </w:rPr>
        <w:t xml:space="preserve"> lack of </w:t>
      </w:r>
      <w:r w:rsidR="00B53DA5">
        <w:rPr>
          <w:rStyle w:val="eop"/>
          <w:rFonts w:cs="Segoe UI"/>
        </w:rPr>
        <w:t xml:space="preserve">sufficiently detailed and </w:t>
      </w:r>
      <w:r>
        <w:rPr>
          <w:rStyle w:val="eop"/>
          <w:rFonts w:cs="Segoe UI"/>
        </w:rPr>
        <w:t xml:space="preserve">accessible information </w:t>
      </w:r>
      <w:r w:rsidR="0008013F">
        <w:rPr>
          <w:rStyle w:val="eop"/>
          <w:rFonts w:cs="Segoe UI"/>
        </w:rPr>
        <w:t>about</w:t>
      </w:r>
      <w:r>
        <w:rPr>
          <w:rStyle w:val="eop"/>
          <w:rFonts w:cs="Segoe UI"/>
        </w:rPr>
        <w:t xml:space="preserve"> the PICO</w:t>
      </w:r>
      <w:r w:rsidR="00D35D14">
        <w:rPr>
          <w:rStyle w:val="eop"/>
          <w:rFonts w:cs="Segoe UI"/>
        </w:rPr>
        <w:t xml:space="preserve"> for PBAC submissions</w:t>
      </w:r>
      <w:r>
        <w:rPr>
          <w:rStyle w:val="eop"/>
          <w:rFonts w:cs="Segoe UI"/>
        </w:rPr>
        <w:t xml:space="preserve"> meant there was often misunderstanding about the intended treatment population and the expected benefit</w:t>
      </w:r>
      <w:r w:rsidR="001D6BE2">
        <w:rPr>
          <w:rStyle w:val="eop"/>
          <w:rFonts w:cs="Segoe UI"/>
        </w:rPr>
        <w:t xml:space="preserve">. </w:t>
      </w:r>
      <w:r w:rsidR="00CD251B" w:rsidRPr="00CD251B">
        <w:rPr>
          <w:rStyle w:val="normaltextrun"/>
          <w:rFonts w:cs="Segoe UI"/>
        </w:rPr>
        <w:t xml:space="preserve">Industry participants expressed </w:t>
      </w:r>
      <w:r w:rsidR="001E2F34">
        <w:rPr>
          <w:rStyle w:val="normaltextrun"/>
          <w:rFonts w:cs="Segoe UI"/>
        </w:rPr>
        <w:t xml:space="preserve">that </w:t>
      </w:r>
      <w:r w:rsidR="00CD251B" w:rsidRPr="00CD251B">
        <w:rPr>
          <w:rStyle w:val="normaltextrun"/>
          <w:rFonts w:cs="Segoe UI"/>
        </w:rPr>
        <w:t>the sponsor and the PBAC</w:t>
      </w:r>
      <w:r w:rsidR="001E2F34">
        <w:rPr>
          <w:rStyle w:val="normaltextrun"/>
          <w:rFonts w:cs="Segoe UI"/>
        </w:rPr>
        <w:t xml:space="preserve"> </w:t>
      </w:r>
      <w:r w:rsidR="001E2F34" w:rsidRPr="00CD251B">
        <w:rPr>
          <w:rStyle w:val="normaltextrun"/>
          <w:rFonts w:cs="Segoe UI"/>
        </w:rPr>
        <w:t>often disagree</w:t>
      </w:r>
      <w:r w:rsidR="00CD251B" w:rsidRPr="00CD251B">
        <w:rPr>
          <w:rStyle w:val="normaltextrun"/>
          <w:rFonts w:cs="Segoe UI"/>
        </w:rPr>
        <w:t xml:space="preserve"> on key elements of the PICO, which contributes to the rate of </w:t>
      </w:r>
      <w:r w:rsidR="001E2F34">
        <w:rPr>
          <w:rStyle w:val="normaltextrun"/>
          <w:rFonts w:cs="Segoe UI"/>
        </w:rPr>
        <w:t>‘</w:t>
      </w:r>
      <w:r w:rsidR="00CD251B" w:rsidRPr="00CD251B">
        <w:rPr>
          <w:rStyle w:val="normaltextrun"/>
          <w:rFonts w:cs="Segoe UI"/>
        </w:rPr>
        <w:t>not recommended</w:t>
      </w:r>
      <w:r w:rsidR="001E2F34">
        <w:rPr>
          <w:rStyle w:val="normaltextrun"/>
          <w:rFonts w:cs="Segoe UI"/>
        </w:rPr>
        <w:t>’</w:t>
      </w:r>
      <w:r w:rsidR="00CD251B" w:rsidRPr="00CD251B">
        <w:rPr>
          <w:rStyle w:val="normaltextrun"/>
          <w:rFonts w:cs="Segoe UI"/>
        </w:rPr>
        <w:t xml:space="preserve"> decisions and resubmissions.</w:t>
      </w:r>
    </w:p>
    <w:p w14:paraId="2FF04E41" w14:textId="7C329F51" w:rsidR="00CA6246" w:rsidRDefault="00CA6246" w:rsidP="00636777">
      <w:pPr>
        <w:rPr>
          <w:rStyle w:val="normaltextrun"/>
          <w:rFonts w:cs="Segoe UI"/>
        </w:rPr>
      </w:pPr>
      <w:r>
        <w:rPr>
          <w:noProof/>
        </w:rPr>
        <mc:AlternateContent>
          <mc:Choice Requires="wps">
            <w:drawing>
              <wp:inline distT="0" distB="0" distL="0" distR="0" wp14:anchorId="3D16DFA9" wp14:editId="45A0CCC2">
                <wp:extent cx="5760720" cy="4562946"/>
                <wp:effectExtent l="0" t="0" r="0" b="9525"/>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4562946"/>
                        </a:xfrm>
                        <a:prstGeom prst="round2DiagRect">
                          <a:avLst>
                            <a:gd name="adj1" fmla="val 11202"/>
                            <a:gd name="adj2" fmla="val 0"/>
                          </a:avLst>
                        </a:prstGeom>
                        <a:solidFill>
                          <a:schemeClr val="bg1">
                            <a:lumMod val="95000"/>
                          </a:schemeClr>
                        </a:solidFill>
                        <a:ln w="9525">
                          <a:noFill/>
                          <a:miter lim="800000"/>
                          <a:headEnd/>
                          <a:tailEnd/>
                        </a:ln>
                      </wps:spPr>
                      <wps:txbx>
                        <w:txbxContent>
                          <w:p w14:paraId="3E0CA102" w14:textId="4970B3A3" w:rsidR="00CA6246" w:rsidRPr="00BA3CA7" w:rsidRDefault="00CA6246" w:rsidP="00A318F7">
                            <w:pPr>
                              <w:ind w:right="19"/>
                              <w:rPr>
                                <w:b/>
                                <w:color w:val="005A68" w:themeColor="accent6" w:themeShade="80"/>
                              </w:rPr>
                            </w:pPr>
                            <w:r w:rsidRPr="00BA3CA7">
                              <w:rPr>
                                <w:b/>
                                <w:color w:val="005A68" w:themeColor="accent6" w:themeShade="80"/>
                              </w:rPr>
                              <w:t>What we heard:</w:t>
                            </w:r>
                          </w:p>
                          <w:p w14:paraId="05899243" w14:textId="77777777" w:rsidR="00CA6246" w:rsidRPr="000C5623"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The RACGP welcomes the attention to increase early stakeholder input into choice of PICO (Population, Intervention, Comparison</w:t>
                            </w:r>
                            <w:r>
                              <w:rPr>
                                <w:color w:val="005A68" w:themeColor="accent6" w:themeShade="80"/>
                              </w:rPr>
                              <w:t>,</w:t>
                            </w:r>
                            <w:r w:rsidRPr="000C5623">
                              <w:rPr>
                                <w:color w:val="005A68" w:themeColor="accent6" w:themeShade="80"/>
                              </w:rPr>
                              <w:t xml:space="preserve"> and Outcome), as it helps prevent a product sponsor from selecting irrelevant comparators or outcome measures.</w:t>
                            </w:r>
                            <w:r>
                              <w:rPr>
                                <w:color w:val="005A68" w:themeColor="accent6" w:themeShade="80"/>
                              </w:rPr>
                              <w:t>’</w:t>
                            </w:r>
                          </w:p>
                          <w:p w14:paraId="09BCC13A" w14:textId="3F928409" w:rsidR="00CA6246" w:rsidRPr="00BA3CA7" w:rsidRDefault="00CA6246" w:rsidP="00CA6246">
                            <w:pPr>
                              <w:ind w:right="19"/>
                              <w:jc w:val="right"/>
                              <w:rPr>
                                <w:b/>
                                <w:color w:val="005A68" w:themeColor="accent6" w:themeShade="80"/>
                              </w:rPr>
                            </w:pPr>
                            <w:r w:rsidRPr="00BA3CA7">
                              <w:rPr>
                                <w:b/>
                                <w:color w:val="005A68" w:themeColor="accent6" w:themeShade="80"/>
                              </w:rPr>
                              <w:t>Consultation 2</w:t>
                            </w:r>
                            <w:r w:rsidR="00242D8B">
                              <w:rPr>
                                <w:b/>
                                <w:color w:val="005A68" w:themeColor="accent6" w:themeShade="80"/>
                              </w:rPr>
                              <w:t xml:space="preserve"> submission: </w:t>
                            </w:r>
                            <w:r w:rsidR="000F58B8" w:rsidRPr="000F58B8">
                              <w:rPr>
                                <w:b/>
                                <w:color w:val="005A68" w:themeColor="accent6" w:themeShade="80"/>
                              </w:rPr>
                              <w:t xml:space="preserve">Royal Australian College of General Practitioners </w:t>
                            </w:r>
                            <w:r w:rsidR="000F58B8">
                              <w:rPr>
                                <w:b/>
                                <w:color w:val="005A68" w:themeColor="accent6" w:themeShade="80"/>
                              </w:rPr>
                              <w:t>(</w:t>
                            </w:r>
                            <w:r w:rsidRPr="00BA3CA7">
                              <w:rPr>
                                <w:b/>
                                <w:color w:val="005A68" w:themeColor="accent6" w:themeShade="80"/>
                              </w:rPr>
                              <w:t>RACGP</w:t>
                            </w:r>
                            <w:r w:rsidR="000F58B8">
                              <w:rPr>
                                <w:b/>
                                <w:color w:val="005A68" w:themeColor="accent6" w:themeShade="80"/>
                              </w:rPr>
                              <w:t>)</w:t>
                            </w:r>
                          </w:p>
                          <w:p w14:paraId="294D79FB" w14:textId="77777777" w:rsidR="00CA6246" w:rsidRPr="000C5623"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 xml:space="preserve">An upfront approach – through agreement of a PICO (as already identified) and involving clinicians and patients </w:t>
                            </w:r>
                            <w:r>
                              <w:rPr>
                                <w:color w:val="005A68" w:themeColor="accent6" w:themeShade="80"/>
                              </w:rPr>
                              <w:t>–</w:t>
                            </w:r>
                            <w:r w:rsidRPr="000C5623">
                              <w:rPr>
                                <w:color w:val="005A68" w:themeColor="accent6" w:themeShade="80"/>
                              </w:rPr>
                              <w:t xml:space="preserve"> would assist in placing the patient at the centre of the process.</w:t>
                            </w:r>
                            <w:r>
                              <w:rPr>
                                <w:color w:val="005A68" w:themeColor="accent6" w:themeShade="80"/>
                              </w:rPr>
                              <w:t>’</w:t>
                            </w:r>
                          </w:p>
                          <w:p w14:paraId="01C56DBB" w14:textId="7D182E34" w:rsidR="00CA6246" w:rsidRDefault="00CA6246" w:rsidP="00CA6246">
                            <w:pPr>
                              <w:ind w:right="19"/>
                              <w:jc w:val="right"/>
                              <w:rPr>
                                <w:b/>
                                <w:color w:val="005A68" w:themeColor="accent6" w:themeShade="80"/>
                              </w:rPr>
                            </w:pPr>
                            <w:r w:rsidRPr="00BA3CA7">
                              <w:rPr>
                                <w:b/>
                                <w:color w:val="005A68" w:themeColor="accent6" w:themeShade="80"/>
                              </w:rPr>
                              <w:t>Consultation 1</w:t>
                            </w:r>
                            <w:r w:rsidR="00242D8B">
                              <w:rPr>
                                <w:b/>
                                <w:color w:val="005A68" w:themeColor="accent6" w:themeShade="80"/>
                              </w:rPr>
                              <w:t xml:space="preserve"> submission: </w:t>
                            </w:r>
                            <w:r w:rsidR="0047006F" w:rsidRPr="00BA3CA7">
                              <w:rPr>
                                <w:b/>
                                <w:color w:val="005A68" w:themeColor="accent6" w:themeShade="80"/>
                              </w:rPr>
                              <w:t>UCB</w:t>
                            </w:r>
                          </w:p>
                          <w:p w14:paraId="5C9AEB7C" w14:textId="77777777" w:rsidR="004B6FD6" w:rsidRPr="000C5623" w:rsidRDefault="004B6FD6" w:rsidP="004B6FD6">
                            <w:pPr>
                              <w:ind w:left="283" w:right="418"/>
                              <w:rPr>
                                <w:color w:val="005A68" w:themeColor="accent6" w:themeShade="80"/>
                              </w:rPr>
                            </w:pPr>
                            <w:r>
                              <w:rPr>
                                <w:color w:val="005A68" w:themeColor="accent6" w:themeShade="80"/>
                              </w:rPr>
                              <w:t>‘</w:t>
                            </w:r>
                            <w:r w:rsidRPr="000C5623">
                              <w:rPr>
                                <w:color w:val="005A68" w:themeColor="accent6" w:themeShade="80"/>
                              </w:rPr>
                              <w:t>Roche notes that a PICO step should largely be optional, especially in the circumstance that the sponsor has a high level of confidence in an appropriate PICO and does not believe that the PICO scoping phase will add value that outweighs the scoping time.</w:t>
                            </w:r>
                            <w:r>
                              <w:rPr>
                                <w:color w:val="005A68" w:themeColor="accent6" w:themeShade="80"/>
                              </w:rPr>
                              <w:t>’</w:t>
                            </w:r>
                          </w:p>
                          <w:p w14:paraId="3E48EC9B" w14:textId="77777777" w:rsidR="004B6FD6" w:rsidRPr="00D63448" w:rsidRDefault="004B6FD6" w:rsidP="004B6FD6">
                            <w:pPr>
                              <w:ind w:right="19"/>
                              <w:jc w:val="right"/>
                              <w:rPr>
                                <w:b/>
                                <w:color w:val="005A68" w:themeColor="accent6" w:themeShade="80"/>
                              </w:rPr>
                            </w:pPr>
                            <w:r>
                              <w:rPr>
                                <w:color w:val="005A68" w:themeColor="accent6" w:themeShade="80"/>
                              </w:rPr>
                              <w:t xml:space="preserve"> </w:t>
                            </w:r>
                            <w:r w:rsidRPr="00D63448">
                              <w:rPr>
                                <w:b/>
                                <w:color w:val="005A68" w:themeColor="accent6" w:themeShade="80"/>
                              </w:rPr>
                              <w:t>Consultation 2</w:t>
                            </w:r>
                            <w:r>
                              <w:rPr>
                                <w:b/>
                                <w:color w:val="005A68" w:themeColor="accent6" w:themeShade="80"/>
                              </w:rPr>
                              <w:t xml:space="preserve"> submission: </w:t>
                            </w:r>
                            <w:r w:rsidRPr="00D63448">
                              <w:rPr>
                                <w:b/>
                                <w:bCs/>
                                <w:color w:val="005A68" w:themeColor="accent6" w:themeShade="80"/>
                              </w:rPr>
                              <w:t>Roch</w:t>
                            </w:r>
                            <w:r>
                              <w:rPr>
                                <w:b/>
                                <w:bCs/>
                                <w:color w:val="005A68" w:themeColor="accent6" w:themeShade="80"/>
                              </w:rPr>
                              <w:t>e</w:t>
                            </w:r>
                          </w:p>
                          <w:p w14:paraId="30909903" w14:textId="77777777" w:rsidR="00CA6246" w:rsidRPr="00BA3CA7" w:rsidRDefault="00CA6246" w:rsidP="00CA6246">
                            <w:pPr>
                              <w:ind w:right="19"/>
                              <w:jc w:val="right"/>
                              <w:rPr>
                                <w:b/>
                                <w:color w:val="005A68" w:themeColor="accent6" w:themeShade="80"/>
                              </w:rPr>
                            </w:pPr>
                          </w:p>
                        </w:txbxContent>
                      </wps:txbx>
                      <wps:bodyPr rot="0" vert="horz" wrap="square" lIns="91440" tIns="45720" rIns="91440" bIns="45720" anchor="t" anchorCtr="0">
                        <a:noAutofit/>
                      </wps:bodyPr>
                    </wps:wsp>
                  </a:graphicData>
                </a:graphic>
              </wp:inline>
            </w:drawing>
          </mc:Choice>
          <mc:Fallback>
            <w:pict>
              <v:shape w14:anchorId="3D16DFA9" id="Text Box 18" o:spid="_x0000_s1044" style="width:453.6pt;height:359.3pt;visibility:visible;mso-wrap-style:square;mso-left-percent:-10001;mso-top-percent:-10001;mso-position-horizontal:absolute;mso-position-horizontal-relative:char;mso-position-vertical:absolute;mso-position-vertical-relative:line;mso-left-percent:-10001;mso-top-percent:-10001;v-text-anchor:top" coordsize="5760720,456294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" adj="-11796480,,5400" path="m511141,l5760720,r,l5760720,4051805v,282295,-228846,511141,-511141,511141l,4562946r,l,511141c,228846,228846,,511141,xe" fillcolor="#f2f2f2 [3052]" stroked="f">
                <v:stroke joinstyle="miter"/>
                <v:formulas/>
                <v:path arrowok="t" o:connecttype="custom" o:connectlocs="511141,0;5760720,0;5760720,0;5760720,4051805;5249579,4562946;0,4562946;0,4562946;0,511141;511141,0" o:connectangles="0,0,0,0,0,0,0,0,0" textboxrect="0,0,5760720,4562946"/>
                <v:textbox>
                  <w:txbxContent>
                    <w:p w14:paraId="3E0CA102" w14:textId="4970B3A3" w:rsidR="00CA6246" w:rsidRPr="00BA3CA7" w:rsidRDefault="00CA6246" w:rsidP="00A318F7">
                      <w:pPr>
                        <w:ind w:right="19"/>
                        <w:rPr>
                          <w:b/>
                          <w:color w:val="005A68" w:themeColor="accent6" w:themeShade="80"/>
                        </w:rPr>
                      </w:pPr>
                      <w:r w:rsidRPr="00BA3CA7">
                        <w:rPr>
                          <w:b/>
                          <w:color w:val="005A68" w:themeColor="accent6" w:themeShade="80"/>
                        </w:rPr>
                        <w:t>What we heard:</w:t>
                      </w:r>
                    </w:p>
                    <w:p w14:paraId="05899243" w14:textId="77777777" w:rsidR="00CA6246" w:rsidRPr="000C5623"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The RACGP welcomes the attention to increase early stakeholder input into choice of PICO (Population, Intervention, Comparison</w:t>
                      </w:r>
                      <w:r>
                        <w:rPr>
                          <w:color w:val="005A68" w:themeColor="accent6" w:themeShade="80"/>
                        </w:rPr>
                        <w:t>,</w:t>
                      </w:r>
                      <w:r w:rsidRPr="000C5623">
                        <w:rPr>
                          <w:color w:val="005A68" w:themeColor="accent6" w:themeShade="80"/>
                        </w:rPr>
                        <w:t xml:space="preserve"> and Outcome), as it helps prevent a product sponsor from selecting irrelevant comparators or outcome measures.</w:t>
                      </w:r>
                      <w:r>
                        <w:rPr>
                          <w:color w:val="005A68" w:themeColor="accent6" w:themeShade="80"/>
                        </w:rPr>
                        <w:t>’</w:t>
                      </w:r>
                    </w:p>
                    <w:p w14:paraId="09BCC13A" w14:textId="3F928409" w:rsidR="00CA6246" w:rsidRPr="00BA3CA7" w:rsidRDefault="00CA6246" w:rsidP="00CA6246">
                      <w:pPr>
                        <w:ind w:right="19"/>
                        <w:jc w:val="right"/>
                        <w:rPr>
                          <w:b/>
                          <w:color w:val="005A68" w:themeColor="accent6" w:themeShade="80"/>
                        </w:rPr>
                      </w:pPr>
                      <w:r w:rsidRPr="00BA3CA7">
                        <w:rPr>
                          <w:b/>
                          <w:color w:val="005A68" w:themeColor="accent6" w:themeShade="80"/>
                        </w:rPr>
                        <w:t>Consultation 2</w:t>
                      </w:r>
                      <w:r w:rsidR="00242D8B">
                        <w:rPr>
                          <w:b/>
                          <w:color w:val="005A68" w:themeColor="accent6" w:themeShade="80"/>
                        </w:rPr>
                        <w:t xml:space="preserve"> submission: </w:t>
                      </w:r>
                      <w:r w:rsidR="000F58B8" w:rsidRPr="000F58B8">
                        <w:rPr>
                          <w:b/>
                          <w:color w:val="005A68" w:themeColor="accent6" w:themeShade="80"/>
                        </w:rPr>
                        <w:t xml:space="preserve">Royal Australian College of General Practitioners </w:t>
                      </w:r>
                      <w:r w:rsidR="000F58B8">
                        <w:rPr>
                          <w:b/>
                          <w:color w:val="005A68" w:themeColor="accent6" w:themeShade="80"/>
                        </w:rPr>
                        <w:t>(</w:t>
                      </w:r>
                      <w:r w:rsidRPr="00BA3CA7">
                        <w:rPr>
                          <w:b/>
                          <w:color w:val="005A68" w:themeColor="accent6" w:themeShade="80"/>
                        </w:rPr>
                        <w:t>RACGP</w:t>
                      </w:r>
                      <w:r w:rsidR="000F58B8">
                        <w:rPr>
                          <w:b/>
                          <w:color w:val="005A68" w:themeColor="accent6" w:themeShade="80"/>
                        </w:rPr>
                        <w:t>)</w:t>
                      </w:r>
                    </w:p>
                    <w:p w14:paraId="294D79FB" w14:textId="77777777" w:rsidR="00CA6246" w:rsidRPr="000C5623"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 xml:space="preserve">An upfront approach – through agreement of a PICO (as already identified) and involving clinicians and patients </w:t>
                      </w:r>
                      <w:r>
                        <w:rPr>
                          <w:color w:val="005A68" w:themeColor="accent6" w:themeShade="80"/>
                        </w:rPr>
                        <w:t>–</w:t>
                      </w:r>
                      <w:r w:rsidRPr="000C5623">
                        <w:rPr>
                          <w:color w:val="005A68" w:themeColor="accent6" w:themeShade="80"/>
                        </w:rPr>
                        <w:t xml:space="preserve"> would assist in placing the patient at the centre of the process.</w:t>
                      </w:r>
                      <w:r>
                        <w:rPr>
                          <w:color w:val="005A68" w:themeColor="accent6" w:themeShade="80"/>
                        </w:rPr>
                        <w:t>’</w:t>
                      </w:r>
                    </w:p>
                    <w:p w14:paraId="01C56DBB" w14:textId="7D182E34" w:rsidR="00CA6246" w:rsidRDefault="00CA6246" w:rsidP="00CA6246">
                      <w:pPr>
                        <w:ind w:right="19"/>
                        <w:jc w:val="right"/>
                        <w:rPr>
                          <w:b/>
                          <w:color w:val="005A68" w:themeColor="accent6" w:themeShade="80"/>
                        </w:rPr>
                      </w:pPr>
                      <w:r w:rsidRPr="00BA3CA7">
                        <w:rPr>
                          <w:b/>
                          <w:color w:val="005A68" w:themeColor="accent6" w:themeShade="80"/>
                        </w:rPr>
                        <w:t>Consultation 1</w:t>
                      </w:r>
                      <w:r w:rsidR="00242D8B">
                        <w:rPr>
                          <w:b/>
                          <w:color w:val="005A68" w:themeColor="accent6" w:themeShade="80"/>
                        </w:rPr>
                        <w:t xml:space="preserve"> submission: </w:t>
                      </w:r>
                      <w:r w:rsidR="0047006F" w:rsidRPr="00BA3CA7">
                        <w:rPr>
                          <w:b/>
                          <w:color w:val="005A68" w:themeColor="accent6" w:themeShade="80"/>
                        </w:rPr>
                        <w:t>UCB</w:t>
                      </w:r>
                    </w:p>
                    <w:p w14:paraId="5C9AEB7C" w14:textId="77777777" w:rsidR="004B6FD6" w:rsidRPr="000C5623" w:rsidRDefault="004B6FD6" w:rsidP="004B6FD6">
                      <w:pPr>
                        <w:ind w:left="283" w:right="418"/>
                        <w:rPr>
                          <w:color w:val="005A68" w:themeColor="accent6" w:themeShade="80"/>
                        </w:rPr>
                      </w:pPr>
                      <w:r>
                        <w:rPr>
                          <w:color w:val="005A68" w:themeColor="accent6" w:themeShade="80"/>
                        </w:rPr>
                        <w:t>‘</w:t>
                      </w:r>
                      <w:r w:rsidRPr="000C5623">
                        <w:rPr>
                          <w:color w:val="005A68" w:themeColor="accent6" w:themeShade="80"/>
                        </w:rPr>
                        <w:t>Roche notes that a PICO step should largely be optional, especially in the circumstance that the sponsor has a high level of confidence in an appropriate PICO and does not believe that the PICO scoping phase will add value that outweighs the scoping time.</w:t>
                      </w:r>
                      <w:r>
                        <w:rPr>
                          <w:color w:val="005A68" w:themeColor="accent6" w:themeShade="80"/>
                        </w:rPr>
                        <w:t>’</w:t>
                      </w:r>
                    </w:p>
                    <w:p w14:paraId="3E48EC9B" w14:textId="77777777" w:rsidR="004B6FD6" w:rsidRPr="00D63448" w:rsidRDefault="004B6FD6" w:rsidP="004B6FD6">
                      <w:pPr>
                        <w:ind w:right="19"/>
                        <w:jc w:val="right"/>
                        <w:rPr>
                          <w:b/>
                          <w:color w:val="005A68" w:themeColor="accent6" w:themeShade="80"/>
                        </w:rPr>
                      </w:pPr>
                      <w:r>
                        <w:rPr>
                          <w:color w:val="005A68" w:themeColor="accent6" w:themeShade="80"/>
                        </w:rPr>
                        <w:t xml:space="preserve"> </w:t>
                      </w:r>
                      <w:r w:rsidRPr="00D63448">
                        <w:rPr>
                          <w:b/>
                          <w:color w:val="005A68" w:themeColor="accent6" w:themeShade="80"/>
                        </w:rPr>
                        <w:t>Consultation 2</w:t>
                      </w:r>
                      <w:r>
                        <w:rPr>
                          <w:b/>
                          <w:color w:val="005A68" w:themeColor="accent6" w:themeShade="80"/>
                        </w:rPr>
                        <w:t xml:space="preserve"> submission: </w:t>
                      </w:r>
                      <w:r w:rsidRPr="00D63448">
                        <w:rPr>
                          <w:b/>
                          <w:bCs/>
                          <w:color w:val="005A68" w:themeColor="accent6" w:themeShade="80"/>
                        </w:rPr>
                        <w:t>Roch</w:t>
                      </w:r>
                      <w:r>
                        <w:rPr>
                          <w:b/>
                          <w:bCs/>
                          <w:color w:val="005A68" w:themeColor="accent6" w:themeShade="80"/>
                        </w:rPr>
                        <w:t>e</w:t>
                      </w:r>
                    </w:p>
                    <w:p w14:paraId="30909903" w14:textId="77777777" w:rsidR="00CA6246" w:rsidRPr="00BA3CA7" w:rsidRDefault="00CA6246" w:rsidP="00CA6246">
                      <w:pPr>
                        <w:ind w:right="19"/>
                        <w:jc w:val="right"/>
                        <w:rPr>
                          <w:b/>
                          <w:color w:val="005A68" w:themeColor="accent6" w:themeShade="80"/>
                        </w:rPr>
                      </w:pPr>
                    </w:p>
                  </w:txbxContent>
                </v:textbox>
                <w10:anchorlock/>
              </v:shape>
            </w:pict>
          </mc:Fallback>
        </mc:AlternateContent>
      </w:r>
    </w:p>
    <w:p w14:paraId="7E97D502" w14:textId="585544C4" w:rsidR="009F3730" w:rsidRDefault="009F3730" w:rsidP="003C205E">
      <w:pPr>
        <w:pStyle w:val="paragraph"/>
        <w:spacing w:before="0" w:beforeAutospacing="0" w:after="160" w:afterAutospacing="0" w:line="259" w:lineRule="auto"/>
        <w:textAlignment w:val="baseline"/>
        <w:rPr>
          <w:rStyle w:val="normaltextrun"/>
          <w:rFonts w:ascii="Segoe UI" w:hAnsi="Segoe UI" w:cs="Segoe UI"/>
        </w:rPr>
      </w:pPr>
    </w:p>
    <w:p w14:paraId="1FA20B6A" w14:textId="2FDB78D4" w:rsidR="009C13BC" w:rsidRDefault="00A9190A" w:rsidP="00C97208">
      <w:pPr>
        <w:pStyle w:val="paragraph"/>
        <w:spacing w:before="0" w:beforeAutospacing="0" w:after="0" w:afterAutospacing="0" w:line="259" w:lineRule="auto"/>
        <w:textAlignment w:val="baseline"/>
        <w:rPr>
          <w:rStyle w:val="normaltextrun"/>
          <w:rFonts w:ascii="Segoe UI" w:hAnsi="Segoe UI" w:cs="Segoe UI"/>
        </w:rPr>
      </w:pPr>
      <w:r>
        <w:rPr>
          <w:rStyle w:val="normaltextrun"/>
          <w:rFonts w:ascii="Segoe UI" w:hAnsi="Segoe UI" w:cs="Segoe UI"/>
        </w:rPr>
        <w:lastRenderedPageBreak/>
        <w:t>Most participants supported greater</w:t>
      </w:r>
      <w:r w:rsidR="00DE11DE" w:rsidRPr="009D14F6">
        <w:rPr>
          <w:rStyle w:val="normaltextrun"/>
          <w:rFonts w:ascii="Segoe UI" w:hAnsi="Segoe UI" w:cs="Segoe UI"/>
        </w:rPr>
        <w:t xml:space="preserve"> </w:t>
      </w:r>
      <w:r w:rsidR="009E73B0">
        <w:rPr>
          <w:rStyle w:val="normaltextrun"/>
          <w:rFonts w:ascii="Segoe UI" w:hAnsi="Segoe UI" w:cs="Segoe UI"/>
        </w:rPr>
        <w:t>transparency and</w:t>
      </w:r>
      <w:r w:rsidR="00DE11DE" w:rsidRPr="009D14F6">
        <w:rPr>
          <w:rStyle w:val="normaltextrun"/>
          <w:rFonts w:ascii="Segoe UI" w:hAnsi="Segoe UI" w:cs="Segoe UI"/>
        </w:rPr>
        <w:t xml:space="preserve"> stakeholder engagement</w:t>
      </w:r>
      <w:r>
        <w:rPr>
          <w:rStyle w:val="normaltextrun"/>
          <w:rFonts w:ascii="Segoe UI" w:hAnsi="Segoe UI" w:cs="Segoe UI"/>
        </w:rPr>
        <w:t xml:space="preserve"> in identif</w:t>
      </w:r>
      <w:r w:rsidR="001E2F34">
        <w:rPr>
          <w:rStyle w:val="normaltextrun"/>
          <w:rFonts w:ascii="Segoe UI" w:hAnsi="Segoe UI" w:cs="Segoe UI"/>
        </w:rPr>
        <w:t>ying</w:t>
      </w:r>
      <w:r>
        <w:rPr>
          <w:rStyle w:val="normaltextrun"/>
          <w:rFonts w:ascii="Segoe UI" w:hAnsi="Segoe UI" w:cs="Segoe UI"/>
        </w:rPr>
        <w:t xml:space="preserve"> the PICO</w:t>
      </w:r>
      <w:r w:rsidR="00A11DDA">
        <w:rPr>
          <w:rStyle w:val="normaltextrun"/>
          <w:rFonts w:ascii="Segoe UI" w:hAnsi="Segoe UI" w:cs="Segoe UI"/>
        </w:rPr>
        <w:t xml:space="preserve"> for PBAC submissions but </w:t>
      </w:r>
      <w:r w:rsidR="00A50B3F">
        <w:rPr>
          <w:rStyle w:val="normaltextrun"/>
          <w:rFonts w:ascii="Segoe UI" w:hAnsi="Segoe UI" w:cs="Segoe UI"/>
        </w:rPr>
        <w:t>felt</w:t>
      </w:r>
      <w:r w:rsidR="00A11DDA">
        <w:rPr>
          <w:rStyle w:val="normaltextrun"/>
          <w:rFonts w:ascii="Segoe UI" w:hAnsi="Segoe UI" w:cs="Segoe UI"/>
        </w:rPr>
        <w:t xml:space="preserve"> that </w:t>
      </w:r>
      <w:r w:rsidR="00F64F0D">
        <w:rPr>
          <w:rStyle w:val="normaltextrun"/>
          <w:rFonts w:ascii="Segoe UI" w:hAnsi="Segoe UI" w:cs="Segoe UI"/>
        </w:rPr>
        <w:t xml:space="preserve">it should not be at the expense of timely access. </w:t>
      </w:r>
      <w:r w:rsidR="007340D4">
        <w:rPr>
          <w:rStyle w:val="normaltextrun"/>
          <w:rFonts w:ascii="Segoe UI" w:hAnsi="Segoe UI" w:cs="Segoe UI"/>
        </w:rPr>
        <w:t xml:space="preserve">A subset of participants </w:t>
      </w:r>
      <w:r w:rsidR="0038765E">
        <w:rPr>
          <w:rStyle w:val="normaltextrun"/>
          <w:rFonts w:ascii="Segoe UI" w:hAnsi="Segoe UI" w:cs="Segoe UI"/>
        </w:rPr>
        <w:t xml:space="preserve">was </w:t>
      </w:r>
      <w:r w:rsidR="00623E49">
        <w:rPr>
          <w:rStyle w:val="normaltextrun"/>
          <w:rFonts w:ascii="Segoe UI" w:hAnsi="Segoe UI" w:cs="Segoe UI"/>
        </w:rPr>
        <w:t>concerned</w:t>
      </w:r>
      <w:r w:rsidR="00785570">
        <w:rPr>
          <w:rStyle w:val="normaltextrun"/>
          <w:rFonts w:ascii="Segoe UI" w:hAnsi="Segoe UI" w:cs="Segoe UI"/>
        </w:rPr>
        <w:t xml:space="preserve"> that </w:t>
      </w:r>
      <w:r w:rsidR="00B27153">
        <w:rPr>
          <w:rStyle w:val="normaltextrun"/>
          <w:rFonts w:ascii="Segoe UI" w:hAnsi="Segoe UI" w:cs="Segoe UI"/>
        </w:rPr>
        <w:t xml:space="preserve">introducing a mandatory or structured PICO process would impact timeliness </w:t>
      </w:r>
      <w:r w:rsidR="00FC1207">
        <w:rPr>
          <w:rStyle w:val="normaltextrun"/>
          <w:rFonts w:ascii="Segoe UI" w:hAnsi="Segoe UI" w:cs="Segoe UI"/>
        </w:rPr>
        <w:t>– particularly for submissions where</w:t>
      </w:r>
      <w:r w:rsidR="009C13BC">
        <w:rPr>
          <w:rStyle w:val="normaltextrun"/>
          <w:rFonts w:ascii="Segoe UI" w:hAnsi="Segoe UI" w:cs="Segoe UI"/>
        </w:rPr>
        <w:t>:</w:t>
      </w:r>
      <w:r w:rsidR="00FC1207">
        <w:rPr>
          <w:rStyle w:val="normaltextrun"/>
          <w:rFonts w:ascii="Segoe UI" w:hAnsi="Segoe UI" w:cs="Segoe UI"/>
        </w:rPr>
        <w:t xml:space="preserve"> </w:t>
      </w:r>
    </w:p>
    <w:p w14:paraId="14E9E26F" w14:textId="11B73596" w:rsidR="009C13BC" w:rsidRPr="00901200" w:rsidRDefault="001E2F34" w:rsidP="00274AA9">
      <w:pPr>
        <w:pStyle w:val="ListBullet"/>
        <w:rPr>
          <w:lang w:val="en-US"/>
        </w:rPr>
      </w:pPr>
      <w:r>
        <w:rPr>
          <w:lang w:val="en-US"/>
        </w:rPr>
        <w:t xml:space="preserve">the </w:t>
      </w:r>
      <w:r w:rsidR="00F830E3" w:rsidRPr="00901200">
        <w:rPr>
          <w:lang w:val="en-US"/>
        </w:rPr>
        <w:t>PICO has been previously well defined</w:t>
      </w:r>
    </w:p>
    <w:p w14:paraId="0C8DF84E" w14:textId="3C8F636E" w:rsidR="008701CD" w:rsidRDefault="00F830E3" w:rsidP="00281153">
      <w:pPr>
        <w:pStyle w:val="ListBullet"/>
        <w:numPr>
          <w:ilvl w:val="0"/>
          <w:numId w:val="79"/>
        </w:numPr>
      </w:pPr>
      <w:r w:rsidRPr="00901200">
        <w:rPr>
          <w:lang w:val="en-US"/>
        </w:rPr>
        <w:t>a se</w:t>
      </w:r>
      <w:bookmarkStart w:id="544" w:name="_Int_4AR7s5gl"/>
      <w:r>
        <w:rPr>
          <w:lang w:val="en-US"/>
        </w:rPr>
        <w:t>parate</w:t>
      </w:r>
      <w:bookmarkEnd w:id="544"/>
      <w:r>
        <w:rPr>
          <w:rStyle w:val="normaltextrun"/>
        </w:rPr>
        <w:t xml:space="preserve"> PICO process would not </w:t>
      </w:r>
      <w:r w:rsidR="00DB0B37">
        <w:rPr>
          <w:rStyle w:val="normaltextrun"/>
        </w:rPr>
        <w:t xml:space="preserve">appreciably improve </w:t>
      </w:r>
      <w:r w:rsidR="001E2F34">
        <w:rPr>
          <w:rStyle w:val="normaltextrun"/>
        </w:rPr>
        <w:t xml:space="preserve">the </w:t>
      </w:r>
      <w:r w:rsidR="003D6CAE">
        <w:rPr>
          <w:rStyle w:val="normaltextrun"/>
        </w:rPr>
        <w:t>submission development and evaluation</w:t>
      </w:r>
      <w:r w:rsidR="001E2F34">
        <w:rPr>
          <w:rStyle w:val="normaltextrun"/>
        </w:rPr>
        <w:t>,</w:t>
      </w:r>
      <w:r w:rsidR="003D6CAE">
        <w:rPr>
          <w:rStyle w:val="normaltextrun"/>
        </w:rPr>
        <w:t xml:space="preserve"> </w:t>
      </w:r>
      <w:r w:rsidR="009633D6">
        <w:rPr>
          <w:lang w:val="en-US"/>
        </w:rPr>
        <w:t xml:space="preserve">for commercial or regulatory reasons, </w:t>
      </w:r>
      <w:r w:rsidR="001E2F34">
        <w:rPr>
          <w:lang w:val="en-US"/>
        </w:rPr>
        <w:t>and the</w:t>
      </w:r>
      <w:r w:rsidR="009633D6">
        <w:rPr>
          <w:lang w:val="en-US"/>
        </w:rPr>
        <w:t xml:space="preserve"> sponsor does not wish to change its proposed PICO</w:t>
      </w:r>
      <w:r w:rsidR="00DE205E">
        <w:rPr>
          <w:lang w:val="en-US"/>
        </w:rPr>
        <w:t>.</w:t>
      </w:r>
      <w:bookmarkStart w:id="545" w:name="_Toc164691475"/>
      <w:bookmarkStart w:id="546" w:name="_Toc164696269"/>
      <w:bookmarkStart w:id="547" w:name="_Toc164696415"/>
    </w:p>
    <w:bookmarkEnd w:id="545"/>
    <w:bookmarkEnd w:id="546"/>
    <w:bookmarkEnd w:id="547"/>
    <w:p w14:paraId="6D85C35D" w14:textId="564E9EBB" w:rsidR="00605CEC" w:rsidRPr="00762200" w:rsidRDefault="00544066" w:rsidP="009369B6">
      <w:pPr>
        <w:pStyle w:val="Heading3"/>
        <w:rPr>
          <w:lang w:val="en-US"/>
        </w:rPr>
      </w:pPr>
      <w:r>
        <w:t>Findings</w:t>
      </w:r>
    </w:p>
    <w:p w14:paraId="3E2972B0" w14:textId="63E645AE" w:rsidR="00D26E7C" w:rsidRPr="00D26E7C" w:rsidRDefault="009A2510" w:rsidP="00832CE8">
      <w:pPr>
        <w:pStyle w:val="Heading4"/>
      </w:pPr>
      <w:r>
        <w:t>Sponsor</w:t>
      </w:r>
      <w:r w:rsidR="0060268B">
        <w:t>-</w:t>
      </w:r>
      <w:r>
        <w:t>driven definition</w:t>
      </w:r>
      <w:r w:rsidR="0034278C">
        <w:t xml:space="preserve"> of the PICO for </w:t>
      </w:r>
      <w:r w:rsidR="00642DC2">
        <w:t xml:space="preserve">PBAC submissions </w:t>
      </w:r>
      <w:r w:rsidR="00AB2FD3">
        <w:t>excludes</w:t>
      </w:r>
      <w:r w:rsidR="00725F3F">
        <w:t xml:space="preserve"> </w:t>
      </w:r>
      <w:r w:rsidR="00AB6D5A">
        <w:t>patients and clinicians</w:t>
      </w:r>
      <w:r w:rsidR="00FB639D">
        <w:t xml:space="preserve">, and results </w:t>
      </w:r>
      <w:r w:rsidR="001C41A3">
        <w:t xml:space="preserve">in </w:t>
      </w:r>
      <w:r w:rsidR="00BE75E1">
        <w:t xml:space="preserve">narrower </w:t>
      </w:r>
      <w:r w:rsidR="00F52CB6">
        <w:t>access</w:t>
      </w:r>
    </w:p>
    <w:p w14:paraId="288026A0" w14:textId="140C126F" w:rsidR="00D35703" w:rsidRDefault="000F0D45" w:rsidP="00E60533">
      <w:r w:rsidRPr="00AC506D">
        <w:t>The</w:t>
      </w:r>
      <w:r w:rsidR="00253BA2">
        <w:t>re</w:t>
      </w:r>
      <w:r w:rsidR="00861D6A" w:rsidRPr="00AC506D">
        <w:t xml:space="preserve"> </w:t>
      </w:r>
      <w:r w:rsidRPr="00AC506D">
        <w:t xml:space="preserve">is </w:t>
      </w:r>
      <w:r w:rsidR="00861D6A" w:rsidRPr="00AC506D">
        <w:t>minimal opportunit</w:t>
      </w:r>
      <w:r w:rsidRPr="00AC506D">
        <w:t>y</w:t>
      </w:r>
      <w:r w:rsidR="00861D6A" w:rsidRPr="00AC506D">
        <w:t xml:space="preserve"> </w:t>
      </w:r>
      <w:r w:rsidR="00B77F92" w:rsidRPr="00AC506D">
        <w:t>for</w:t>
      </w:r>
      <w:r w:rsidR="000D6832" w:rsidRPr="00AC506D">
        <w:t xml:space="preserve"> </w:t>
      </w:r>
      <w:r w:rsidR="00A602EA" w:rsidRPr="00AC506D">
        <w:t xml:space="preserve">patients and clinicians </w:t>
      </w:r>
      <w:r w:rsidR="00B77F92" w:rsidRPr="00AC506D">
        <w:t xml:space="preserve">to participate </w:t>
      </w:r>
      <w:r w:rsidR="00A602EA" w:rsidRPr="00AC506D">
        <w:t>in the</w:t>
      </w:r>
      <w:r w:rsidR="00B77F92" w:rsidRPr="00AC506D">
        <w:t xml:space="preserve"> formulation of the PICO</w:t>
      </w:r>
      <w:r w:rsidR="000D65C5" w:rsidRPr="00AC506D">
        <w:t xml:space="preserve"> by sponsors</w:t>
      </w:r>
      <w:r w:rsidR="00B77F92" w:rsidRPr="00AC506D">
        <w:t xml:space="preserve"> for PBAC submissions. </w:t>
      </w:r>
      <w:r w:rsidR="00B367A6" w:rsidRPr="00AC506D">
        <w:t xml:space="preserve">These groups do not have access </w:t>
      </w:r>
      <w:r w:rsidR="00685512" w:rsidRPr="00AC506D">
        <w:t>to</w:t>
      </w:r>
      <w:r w:rsidR="008A6B94" w:rsidRPr="00AC506D">
        <w:t xml:space="preserve"> full</w:t>
      </w:r>
      <w:r w:rsidR="00685512" w:rsidRPr="00AC506D">
        <w:t xml:space="preserve"> information about </w:t>
      </w:r>
      <w:r w:rsidR="008A6B94" w:rsidRPr="00AC506D">
        <w:t xml:space="preserve">the </w:t>
      </w:r>
      <w:r w:rsidR="0078305B" w:rsidRPr="00AC506D">
        <w:t xml:space="preserve">population, comparator and outcomes </w:t>
      </w:r>
      <w:r w:rsidR="003B5517" w:rsidRPr="00AC506D">
        <w:t>set out in submissions</w:t>
      </w:r>
      <w:r w:rsidR="0078305B" w:rsidRPr="00AC506D">
        <w:t xml:space="preserve"> </w:t>
      </w:r>
      <w:r w:rsidR="00A52A04" w:rsidRPr="00AC506D">
        <w:t xml:space="preserve">and </w:t>
      </w:r>
      <w:r w:rsidR="003B5517" w:rsidRPr="00AC506D">
        <w:t xml:space="preserve">have </w:t>
      </w:r>
      <w:r w:rsidR="00723F3A" w:rsidRPr="00AC506D">
        <w:t xml:space="preserve">minimal opportunity to </w:t>
      </w:r>
      <w:r w:rsidR="00A818A8" w:rsidRPr="00AC506D">
        <w:t>influence th</w:t>
      </w:r>
      <w:r w:rsidR="000D65C5" w:rsidRPr="00AC506D">
        <w:t>eir selection</w:t>
      </w:r>
      <w:r w:rsidR="003B5517" w:rsidRPr="00AC506D">
        <w:t xml:space="preserve"> by sponsors</w:t>
      </w:r>
      <w:r w:rsidR="00A818A8" w:rsidRPr="00AC506D">
        <w:t>.</w:t>
      </w:r>
      <w:r w:rsidR="00A818A8">
        <w:t xml:space="preserve"> </w:t>
      </w:r>
    </w:p>
    <w:p w14:paraId="5F236161" w14:textId="170246C0" w:rsidR="00C565A4" w:rsidRPr="00C565A4" w:rsidRDefault="00A818A8" w:rsidP="00E60533">
      <w:r>
        <w:t>This</w:t>
      </w:r>
      <w:r w:rsidR="002547FD">
        <w:t xml:space="preserve"> sometimes</w:t>
      </w:r>
      <w:r>
        <w:t xml:space="preserve"> results </w:t>
      </w:r>
      <w:r w:rsidR="00AA2C9E">
        <w:t xml:space="preserve">in </w:t>
      </w:r>
      <w:r w:rsidR="00360CC6">
        <w:t xml:space="preserve">the </w:t>
      </w:r>
      <w:r w:rsidR="00AA2C9E">
        <w:t>exclusion of certain</w:t>
      </w:r>
      <w:r w:rsidR="00F57B10">
        <w:t xml:space="preserve"> population</w:t>
      </w:r>
      <w:r w:rsidR="00354A25">
        <w:t>s</w:t>
      </w:r>
      <w:r w:rsidR="00F57B10">
        <w:t xml:space="preserve"> th</w:t>
      </w:r>
      <w:r w:rsidR="00AA2C9E">
        <w:t xml:space="preserve">at could </w:t>
      </w:r>
      <w:r w:rsidR="00F57B10">
        <w:t>benefit</w:t>
      </w:r>
      <w:r w:rsidR="00861263">
        <w:t xml:space="preserve"> from access to a health technology</w:t>
      </w:r>
      <w:r w:rsidR="00DF37E1">
        <w:t xml:space="preserve">. These populations </w:t>
      </w:r>
      <w:r w:rsidR="00524376">
        <w:t xml:space="preserve">often comprise patients with rarer variants of </w:t>
      </w:r>
      <w:proofErr w:type="gramStart"/>
      <w:r w:rsidR="00DE7026">
        <w:t>particular diseases</w:t>
      </w:r>
      <w:proofErr w:type="gramEnd"/>
      <w:r w:rsidR="00DE7026">
        <w:t xml:space="preserve"> or</w:t>
      </w:r>
      <w:r w:rsidR="00FC1E0C">
        <w:t xml:space="preserve"> who</w:t>
      </w:r>
      <w:r w:rsidR="00DE7026">
        <w:t xml:space="preserve"> </w:t>
      </w:r>
      <w:r w:rsidR="00860CDC">
        <w:t xml:space="preserve">have </w:t>
      </w:r>
      <w:r w:rsidR="00E275C6">
        <w:t>other characteristics</w:t>
      </w:r>
      <w:r w:rsidR="00860CDC">
        <w:t xml:space="preserve"> that </w:t>
      </w:r>
      <w:r w:rsidR="00464CF2">
        <w:t xml:space="preserve">are excluded in clinical trials. </w:t>
      </w:r>
      <w:r w:rsidR="000E07E4" w:rsidRPr="00AC506D">
        <w:t>This results in inequitable access</w:t>
      </w:r>
      <w:r w:rsidR="00DE0A47" w:rsidRPr="00AC506D">
        <w:t>,</w:t>
      </w:r>
      <w:r w:rsidR="000E07E4" w:rsidRPr="00AC506D">
        <w:t xml:space="preserve"> with those populations </w:t>
      </w:r>
      <w:r w:rsidR="004A5BE0" w:rsidRPr="00AC506D">
        <w:t>missing out on funded access to health technologies</w:t>
      </w:r>
      <w:r w:rsidR="004A5BE0">
        <w:t>.</w:t>
      </w:r>
    </w:p>
    <w:p w14:paraId="3C76228D" w14:textId="2E2BE738" w:rsidR="00C503EC" w:rsidRDefault="00E035AC" w:rsidP="00832CE8">
      <w:pPr>
        <w:pStyle w:val="Heading4"/>
      </w:pPr>
      <w:r>
        <w:t xml:space="preserve">There </w:t>
      </w:r>
      <w:r w:rsidR="00D65DE2">
        <w:t xml:space="preserve">is insufficient time </w:t>
      </w:r>
      <w:r w:rsidR="00AA5226">
        <w:t xml:space="preserve">to </w:t>
      </w:r>
      <w:r w:rsidR="00786228">
        <w:t>consult on the</w:t>
      </w:r>
      <w:r w:rsidR="00AA5226">
        <w:t xml:space="preserve"> PICO</w:t>
      </w:r>
      <w:r>
        <w:t xml:space="preserve"> under the existing PBAC submission time</w:t>
      </w:r>
      <w:r w:rsidR="004574C7">
        <w:t xml:space="preserve"> </w:t>
      </w:r>
      <w:r>
        <w:t>frames</w:t>
      </w:r>
    </w:p>
    <w:p w14:paraId="6F661D2F" w14:textId="65522057" w:rsidR="0091687F" w:rsidRDefault="00117134" w:rsidP="00E60533">
      <w:r>
        <w:t xml:space="preserve">The </w:t>
      </w:r>
      <w:r w:rsidR="007119EE">
        <w:t>17</w:t>
      </w:r>
      <w:r w:rsidR="005114BA">
        <w:t>-</w:t>
      </w:r>
      <w:r w:rsidR="007119EE">
        <w:t xml:space="preserve">week cycle for PBAC submissions leaves </w:t>
      </w:r>
      <w:r w:rsidR="005A42CD">
        <w:t>little time for broader consultation</w:t>
      </w:r>
      <w:r w:rsidR="005C51B0">
        <w:t xml:space="preserve"> with patients, carers and clinicians</w:t>
      </w:r>
      <w:r w:rsidR="005A42CD">
        <w:t xml:space="preserve"> on the PICO</w:t>
      </w:r>
      <w:r w:rsidR="00A036DC">
        <w:t xml:space="preserve">. </w:t>
      </w:r>
      <w:r w:rsidR="005A42CD">
        <w:t>Broader consultation</w:t>
      </w:r>
      <w:r w:rsidR="005114BA">
        <w:t>, without impacting time</w:t>
      </w:r>
      <w:r w:rsidR="004574C7">
        <w:t xml:space="preserve"> </w:t>
      </w:r>
      <w:r w:rsidR="005114BA">
        <w:t>frames,</w:t>
      </w:r>
      <w:r w:rsidR="008B7E1B">
        <w:t xml:space="preserve"> </w:t>
      </w:r>
      <w:r w:rsidR="00B140BF">
        <w:t xml:space="preserve">would </w:t>
      </w:r>
      <w:r w:rsidR="005A42CD">
        <w:t>need to occur</w:t>
      </w:r>
      <w:r w:rsidR="00046EC1">
        <w:t xml:space="preserve"> </w:t>
      </w:r>
      <w:r w:rsidR="00E52F64">
        <w:t>before</w:t>
      </w:r>
      <w:r w:rsidR="00046EC1">
        <w:t xml:space="preserve"> </w:t>
      </w:r>
      <w:r w:rsidR="00433246">
        <w:t>submissions to the PBAC</w:t>
      </w:r>
      <w:r w:rsidR="005A42CD">
        <w:t xml:space="preserve"> or </w:t>
      </w:r>
      <w:r w:rsidR="00B140BF">
        <w:t>require</w:t>
      </w:r>
      <w:r w:rsidR="00365F6A">
        <w:t xml:space="preserve"> </w:t>
      </w:r>
      <w:r w:rsidR="0066597B">
        <w:t xml:space="preserve">a </w:t>
      </w:r>
      <w:r w:rsidR="00365F6A">
        <w:t xml:space="preserve">longer </w:t>
      </w:r>
      <w:r w:rsidR="0084061D">
        <w:t>assessment time</w:t>
      </w:r>
      <w:r w:rsidR="004574C7">
        <w:t xml:space="preserve"> </w:t>
      </w:r>
      <w:r w:rsidR="0084061D">
        <w:t>frame</w:t>
      </w:r>
      <w:r w:rsidR="00433246">
        <w:t xml:space="preserve">. </w:t>
      </w:r>
    </w:p>
    <w:p w14:paraId="27D111D9" w14:textId="1AAF9102" w:rsidR="00A22E39" w:rsidRDefault="005A58CE" w:rsidP="00E60533">
      <w:pPr>
        <w:pStyle w:val="Heading4"/>
        <w:jc w:val="both"/>
      </w:pPr>
      <w:r>
        <w:t xml:space="preserve">It is not necessary to </w:t>
      </w:r>
      <w:r w:rsidR="00786228">
        <w:t>consult</w:t>
      </w:r>
      <w:r>
        <w:t xml:space="preserve"> on</w:t>
      </w:r>
      <w:r w:rsidR="00786228">
        <w:t xml:space="preserve"> the</w:t>
      </w:r>
      <w:r>
        <w:t xml:space="preserve"> PICO </w:t>
      </w:r>
      <w:r w:rsidR="009C58A8">
        <w:t>in all circumstances</w:t>
      </w:r>
    </w:p>
    <w:p w14:paraId="3A690059" w14:textId="2184C998" w:rsidR="009C58A8" w:rsidRPr="009C58A8" w:rsidRDefault="00874440" w:rsidP="00E60533">
      <w:r>
        <w:t xml:space="preserve">Not all submissions require </w:t>
      </w:r>
      <w:r w:rsidR="008D51DA">
        <w:t xml:space="preserve">broader consultation </w:t>
      </w:r>
      <w:r w:rsidR="005F50F2">
        <w:t>with</w:t>
      </w:r>
      <w:r w:rsidR="008D51DA">
        <w:t xml:space="preserve"> </w:t>
      </w:r>
      <w:r w:rsidR="005C51B0">
        <w:t xml:space="preserve">patients, carers and clinicians </w:t>
      </w:r>
      <w:r w:rsidR="008D51DA">
        <w:t xml:space="preserve">on the PICO. </w:t>
      </w:r>
      <w:r w:rsidR="00C51DBC">
        <w:t>In some circumstances</w:t>
      </w:r>
      <w:r w:rsidR="00E52F64">
        <w:t>,</w:t>
      </w:r>
      <w:r w:rsidR="00C51DBC">
        <w:t xml:space="preserve"> </w:t>
      </w:r>
      <w:r w:rsidR="008D1115">
        <w:t>the PICO</w:t>
      </w:r>
      <w:r w:rsidR="00411138">
        <w:t xml:space="preserve"> is clear </w:t>
      </w:r>
      <w:r w:rsidR="00DA010B">
        <w:t>or has been satisfactorily established in other settings</w:t>
      </w:r>
      <w:r w:rsidR="002C0F08">
        <w:t xml:space="preserve"> such as through horizon scanning or in </w:t>
      </w:r>
      <w:r w:rsidR="00EC341C">
        <w:t>overseas jurisdictions.</w:t>
      </w:r>
      <w:r w:rsidR="00453069">
        <w:t xml:space="preserve"> </w:t>
      </w:r>
    </w:p>
    <w:p w14:paraId="7A0C0C33" w14:textId="2EB3D434" w:rsidR="00555032" w:rsidRDefault="00543D86" w:rsidP="00A318F7">
      <w:pPr>
        <w:pStyle w:val="Heading3"/>
      </w:pPr>
      <w:bookmarkStart w:id="548" w:name="_Toc164691476"/>
      <w:bookmarkStart w:id="549" w:name="_Toc164696270"/>
      <w:bookmarkStart w:id="550" w:name="_Toc164696416"/>
      <w:bookmarkStart w:id="551" w:name="_Toc164767797"/>
      <w:bookmarkStart w:id="552" w:name="_Toc165473728"/>
      <w:r w:rsidDel="009266F5">
        <w:t>Conclusion</w:t>
      </w:r>
      <w:bookmarkEnd w:id="548"/>
      <w:bookmarkEnd w:id="549"/>
      <w:bookmarkEnd w:id="550"/>
      <w:bookmarkEnd w:id="551"/>
      <w:bookmarkEnd w:id="552"/>
    </w:p>
    <w:p w14:paraId="002E1595" w14:textId="7E369186" w:rsidR="008F0199" w:rsidRDefault="00D06D1D" w:rsidP="00E60533">
      <w:r w:rsidRPr="00AC506D">
        <w:t>While</w:t>
      </w:r>
      <w:r w:rsidR="00045BDA" w:rsidRPr="00AC506D">
        <w:t xml:space="preserve"> sponsors will always have </w:t>
      </w:r>
      <w:r w:rsidR="00E52F64">
        <w:t xml:space="preserve">the </w:t>
      </w:r>
      <w:r w:rsidR="00045BDA" w:rsidRPr="00AC506D">
        <w:t>final say over the PICO</w:t>
      </w:r>
      <w:r w:rsidR="00DC121D" w:rsidRPr="00AC506D">
        <w:t xml:space="preserve"> define</w:t>
      </w:r>
      <w:r w:rsidR="00190193" w:rsidRPr="00AC506D">
        <w:t>d</w:t>
      </w:r>
      <w:r w:rsidR="00DC121D" w:rsidRPr="00AC506D">
        <w:t xml:space="preserve"> in their submissions</w:t>
      </w:r>
      <w:r w:rsidR="00B266BD" w:rsidRPr="00AC506D">
        <w:t>,</w:t>
      </w:r>
      <w:r w:rsidR="00DC121D" w:rsidRPr="00AC506D">
        <w:t xml:space="preserve"> b</w:t>
      </w:r>
      <w:r w:rsidR="00B63972" w:rsidRPr="00AC506D">
        <w:t xml:space="preserve">roader dialogue on </w:t>
      </w:r>
      <w:r w:rsidR="00C44592">
        <w:t xml:space="preserve">the </w:t>
      </w:r>
      <w:r w:rsidR="002F343E" w:rsidRPr="00AC506D">
        <w:t xml:space="preserve">development of PICOs </w:t>
      </w:r>
      <w:r w:rsidR="000C1947" w:rsidRPr="00AC506D">
        <w:t>in PBAC submission</w:t>
      </w:r>
      <w:r w:rsidR="00DD55EA" w:rsidRPr="00AC506D">
        <w:t>s</w:t>
      </w:r>
      <w:r w:rsidR="000C1947" w:rsidRPr="00AC506D">
        <w:t xml:space="preserve"> </w:t>
      </w:r>
      <w:r w:rsidR="00FB5F74" w:rsidRPr="00AC506D">
        <w:t>could</w:t>
      </w:r>
      <w:r w:rsidR="00632F11" w:rsidRPr="00AC506D">
        <w:t xml:space="preserve"> make the process more patient</w:t>
      </w:r>
      <w:r w:rsidR="003313AD">
        <w:t>-</w:t>
      </w:r>
      <w:r w:rsidR="00632F11" w:rsidRPr="00AC506D">
        <w:t>centred and</w:t>
      </w:r>
      <w:r w:rsidR="00FB5F74" w:rsidRPr="00AC506D">
        <w:t xml:space="preserve"> assist</w:t>
      </w:r>
      <w:r w:rsidR="00F441A8" w:rsidRPr="00AC506D">
        <w:t xml:space="preserve"> appraisal of health technologies in certain circumstances.</w:t>
      </w:r>
      <w:r w:rsidR="008D2CA3" w:rsidRPr="00AC506D">
        <w:t xml:space="preserve"> </w:t>
      </w:r>
      <w:r w:rsidR="008F0199" w:rsidRPr="00AC506D">
        <w:t xml:space="preserve">This could help to </w:t>
      </w:r>
      <w:r w:rsidR="00794065" w:rsidRPr="00AC506D">
        <w:t>reduce inequit</w:t>
      </w:r>
      <w:r w:rsidR="0092055A" w:rsidRPr="00AC506D">
        <w:t>able access</w:t>
      </w:r>
      <w:r w:rsidR="00794065" w:rsidRPr="00AC506D">
        <w:t xml:space="preserve"> </w:t>
      </w:r>
      <w:r w:rsidR="007F6E19" w:rsidRPr="00AC506D">
        <w:t>arising from</w:t>
      </w:r>
      <w:r w:rsidR="00555032" w:rsidRPr="00AC506D">
        <w:t xml:space="preserve"> exclusion of</w:t>
      </w:r>
      <w:r w:rsidR="007F6E19" w:rsidRPr="00AC506D">
        <w:t xml:space="preserve"> </w:t>
      </w:r>
      <w:r w:rsidR="0005116F" w:rsidRPr="00AC506D">
        <w:t>p</w:t>
      </w:r>
      <w:r w:rsidR="00991224" w:rsidRPr="00AC506D">
        <w:t xml:space="preserve">opulations that could potentially benefit from therapy (such as paediatric </w:t>
      </w:r>
      <w:r w:rsidR="00991224" w:rsidRPr="00AC506D">
        <w:lastRenderedPageBreak/>
        <w:t>populations)</w:t>
      </w:r>
      <w:r w:rsidR="008F0199" w:rsidRPr="00AC506D">
        <w:t>.</w:t>
      </w:r>
      <w:r w:rsidR="008F0199">
        <w:t xml:space="preserve"> </w:t>
      </w:r>
      <w:r w:rsidR="0026456A" w:rsidRPr="00AC506D">
        <w:t>However, consultation on PICOs should not be mandatory for all submissions. This could increase assessment time</w:t>
      </w:r>
      <w:r w:rsidR="004574C7">
        <w:t xml:space="preserve"> </w:t>
      </w:r>
      <w:r w:rsidR="0026456A" w:rsidRPr="00AC506D">
        <w:t>frames and would not be necessary for all submissions.</w:t>
      </w:r>
    </w:p>
    <w:p w14:paraId="75466F4C" w14:textId="77777777" w:rsidR="00E243A6" w:rsidRDefault="00E243A6" w:rsidP="00A318F7">
      <w:pPr>
        <w:pStyle w:val="Heading3"/>
      </w:pPr>
      <w:bookmarkStart w:id="553" w:name="_Toc164767798"/>
      <w:bookmarkStart w:id="554" w:name="_Toc165473729"/>
      <w:r>
        <w:t>Objectives of recommendations</w:t>
      </w:r>
      <w:bookmarkEnd w:id="553"/>
      <w:bookmarkEnd w:id="554"/>
    </w:p>
    <w:p w14:paraId="6D055729" w14:textId="7029AB9B" w:rsidR="00B16B39" w:rsidRDefault="008F21AA" w:rsidP="00E60533">
      <w:r w:rsidRPr="00AC506D">
        <w:t>The Review</w:t>
      </w:r>
      <w:r w:rsidR="00E75822">
        <w:t>’s</w:t>
      </w:r>
      <w:r w:rsidRPr="00AC506D">
        <w:t xml:space="preserve"> </w:t>
      </w:r>
      <w:r w:rsidR="0026456A" w:rsidRPr="00AC506D">
        <w:t xml:space="preserve">recommendations are intended </w:t>
      </w:r>
      <w:r w:rsidR="00BC3576" w:rsidRPr="00AC506D">
        <w:t xml:space="preserve">to </w:t>
      </w:r>
      <w:r w:rsidR="00531538" w:rsidRPr="00AC506D">
        <w:t xml:space="preserve">put patients at the centre of </w:t>
      </w:r>
      <w:r w:rsidR="00C44592">
        <w:t xml:space="preserve">the </w:t>
      </w:r>
      <w:r w:rsidR="00531538" w:rsidRPr="00AC506D">
        <w:t xml:space="preserve">development of the PICO. </w:t>
      </w:r>
      <w:r w:rsidR="00773E3F">
        <w:t>T</w:t>
      </w:r>
      <w:r w:rsidR="008036C8" w:rsidRPr="00AC506D">
        <w:t>he recommendations intend to</w:t>
      </w:r>
      <w:r w:rsidR="00531538" w:rsidRPr="00AC506D">
        <w:t xml:space="preserve"> </w:t>
      </w:r>
      <w:r w:rsidR="0092055A" w:rsidRPr="00AC506D">
        <w:t>increase</w:t>
      </w:r>
      <w:r w:rsidR="00D86C63" w:rsidRPr="00AC506D">
        <w:t xml:space="preserve"> transparency</w:t>
      </w:r>
      <w:r w:rsidR="00631103" w:rsidRPr="00AC506D">
        <w:t xml:space="preserve"> for,</w:t>
      </w:r>
      <w:r w:rsidR="00144EE2" w:rsidRPr="00AC506D">
        <w:t xml:space="preserve"> and</w:t>
      </w:r>
      <w:r w:rsidR="0092055A" w:rsidRPr="00AC506D">
        <w:t xml:space="preserve"> </w:t>
      </w:r>
      <w:r w:rsidR="00FB2120" w:rsidRPr="00AC506D">
        <w:t>involvement of</w:t>
      </w:r>
      <w:r w:rsidR="00631103" w:rsidRPr="00AC506D">
        <w:t>,</w:t>
      </w:r>
      <w:r w:rsidR="00FB2120" w:rsidRPr="00AC506D">
        <w:t xml:space="preserve"> </w:t>
      </w:r>
      <w:r w:rsidR="0079706B" w:rsidRPr="00AC506D">
        <w:t>patients and clinicians</w:t>
      </w:r>
      <w:r w:rsidR="00FB2120" w:rsidRPr="00AC506D">
        <w:t xml:space="preserve"> </w:t>
      </w:r>
      <w:r w:rsidR="0079706B" w:rsidRPr="00AC506D">
        <w:t xml:space="preserve">in </w:t>
      </w:r>
      <w:r w:rsidR="00C44592">
        <w:t xml:space="preserve">the </w:t>
      </w:r>
      <w:r w:rsidR="0079706B" w:rsidRPr="00AC506D">
        <w:t>developmen</w:t>
      </w:r>
      <w:r w:rsidR="00DD7312" w:rsidRPr="00AC506D">
        <w:t>t of PICOs</w:t>
      </w:r>
      <w:r w:rsidR="00773E3F">
        <w:t>,</w:t>
      </w:r>
      <w:r w:rsidR="00A6376B" w:rsidRPr="00AC506D">
        <w:t xml:space="preserve"> particularly for submissions to the P</w:t>
      </w:r>
      <w:r w:rsidR="005C75C8" w:rsidRPr="00AC506D">
        <w:t>B</w:t>
      </w:r>
      <w:r w:rsidR="00A6376B" w:rsidRPr="00AC506D">
        <w:t>AC</w:t>
      </w:r>
      <w:r w:rsidR="00144EE2" w:rsidRPr="00AC506D">
        <w:t>.</w:t>
      </w:r>
      <w:r w:rsidR="00DD7312" w:rsidRPr="00AC506D">
        <w:t xml:space="preserve"> </w:t>
      </w:r>
      <w:r w:rsidR="00732FEF" w:rsidRPr="00AC506D">
        <w:t>They are intended to ensure</w:t>
      </w:r>
      <w:r w:rsidR="00F675B1" w:rsidRPr="00AC506D">
        <w:t xml:space="preserve"> that </w:t>
      </w:r>
      <w:r w:rsidR="00EA3F05" w:rsidRPr="00AC506D">
        <w:t>patient populations that could potentially benefit from access are not excluded</w:t>
      </w:r>
      <w:r w:rsidR="003661C2" w:rsidRPr="00AC506D">
        <w:t xml:space="preserve"> and t</w:t>
      </w:r>
      <w:r w:rsidR="00144808" w:rsidRPr="00AC506D">
        <w:t xml:space="preserve">hat outcomes that are most relevant to patients are captured. </w:t>
      </w:r>
      <w:r w:rsidR="00631103" w:rsidRPr="00AC506D">
        <w:t xml:space="preserve">Recognising the potential for </w:t>
      </w:r>
      <w:r w:rsidR="0029597E" w:rsidRPr="00AC506D">
        <w:t xml:space="preserve">additional consultation to increase </w:t>
      </w:r>
      <w:r w:rsidR="00816C4B" w:rsidRPr="00AC506D">
        <w:t xml:space="preserve">the time </w:t>
      </w:r>
      <w:r w:rsidR="00C92023" w:rsidRPr="00AC506D">
        <w:t xml:space="preserve">and complexity, the recommendations seek to </w:t>
      </w:r>
      <w:r w:rsidR="00B275E3">
        <w:t xml:space="preserve">ensure that consultation is used only where it is likely to </w:t>
      </w:r>
      <w:r w:rsidR="00BC6342">
        <w:t xml:space="preserve">facilitate </w:t>
      </w:r>
      <w:r w:rsidR="00BC6342" w:rsidDel="00830AFC">
        <w:t>decision</w:t>
      </w:r>
      <w:r w:rsidR="00830AFC">
        <w:t>-making</w:t>
      </w:r>
      <w:r w:rsidR="00BC6342">
        <w:t xml:space="preserve"> </w:t>
      </w:r>
      <w:r w:rsidR="008B0E65">
        <w:t xml:space="preserve">in the interests of patients </w:t>
      </w:r>
      <w:r w:rsidR="00BC6342">
        <w:t xml:space="preserve">and avoids adding time or complexity to the HTA. </w:t>
      </w:r>
    </w:p>
    <w:p w14:paraId="206044B6" w14:textId="348A86D6" w:rsidR="00543D86" w:rsidRDefault="00BA7CA6" w:rsidP="001A0EF3">
      <w:pPr>
        <w:pStyle w:val="Heading3"/>
        <w:rPr>
          <w:rStyle w:val="Heading3Char"/>
        </w:rPr>
      </w:pPr>
      <w:bookmarkStart w:id="555" w:name="_Toc164691477"/>
      <w:bookmarkStart w:id="556" w:name="_Toc164696271"/>
      <w:bookmarkStart w:id="557" w:name="_Toc164696417"/>
      <w:bookmarkStart w:id="558" w:name="_Toc164767799"/>
      <w:bookmarkStart w:id="559" w:name="_Toc165473730"/>
      <w:r w:rsidRPr="001A0EF3">
        <w:rPr>
          <w:rStyle w:val="Heading3Char"/>
        </w:rPr>
        <w:t>Recommendation</w:t>
      </w:r>
      <w:r w:rsidR="00D06DAB" w:rsidRPr="001A0EF3">
        <w:rPr>
          <w:rStyle w:val="Heading3Char"/>
        </w:rPr>
        <w:t>s</w:t>
      </w:r>
      <w:bookmarkEnd w:id="555"/>
      <w:bookmarkEnd w:id="556"/>
      <w:bookmarkEnd w:id="557"/>
      <w:bookmarkEnd w:id="558"/>
      <w:bookmarkEnd w:id="559"/>
    </w:p>
    <w:p w14:paraId="6C800487" w14:textId="09A95A57" w:rsidR="00620240" w:rsidRPr="00824739" w:rsidRDefault="00620240" w:rsidP="00645D5E">
      <w:pPr>
        <w:pStyle w:val="Recommendation1"/>
      </w:pPr>
      <w:bookmarkStart w:id="560" w:name="_Hlk167302394"/>
      <w:r>
        <w:t>Creat</w:t>
      </w:r>
      <w:r w:rsidR="00284FDD">
        <w:t>ing</w:t>
      </w:r>
      <w:r>
        <w:t xml:space="preserve"> a framework for PICO development to support HTA submission</w:t>
      </w:r>
      <w:r w:rsidR="00284FDD">
        <w:t>s</w:t>
      </w:r>
    </w:p>
    <w:bookmarkEnd w:id="560"/>
    <w:p w14:paraId="063AA07D" w14:textId="51FA4556" w:rsidR="00620240" w:rsidRPr="00FA7BF6" w:rsidRDefault="00620240" w:rsidP="00BB6CF2">
      <w:r w:rsidRPr="00405FD7">
        <w:t xml:space="preserve">The Review recommends </w:t>
      </w:r>
      <w:r w:rsidR="00773E3F">
        <w:t xml:space="preserve">that </w:t>
      </w:r>
      <w:r w:rsidRPr="00405FD7">
        <w:t>the Australian Government</w:t>
      </w:r>
      <w:r w:rsidRPr="00FA7BF6">
        <w:t>:</w:t>
      </w:r>
    </w:p>
    <w:p w14:paraId="122B8F30" w14:textId="4E8D3FD5" w:rsidR="00620240" w:rsidRPr="00824739" w:rsidRDefault="00773E3F" w:rsidP="00281153">
      <w:pPr>
        <w:pStyle w:val="ListParagraph"/>
        <w:numPr>
          <w:ilvl w:val="0"/>
          <w:numId w:val="135"/>
        </w:numPr>
        <w:spacing w:before="120" w:after="120"/>
        <w:rPr>
          <w:rFonts w:cs="Segoe UI"/>
        </w:rPr>
      </w:pPr>
      <w:r>
        <w:rPr>
          <w:rFonts w:cs="Segoe UI"/>
          <w:lang w:eastAsia="en-AU"/>
        </w:rPr>
        <w:t>w</w:t>
      </w:r>
      <w:r w:rsidR="00620240" w:rsidRPr="00824739">
        <w:rPr>
          <w:rFonts w:cs="Segoe UI"/>
          <w:lang w:eastAsia="en-AU"/>
        </w:rPr>
        <w:t xml:space="preserve">ork with stakeholders to </w:t>
      </w:r>
      <w:r w:rsidR="007E05DF">
        <w:rPr>
          <w:rFonts w:cs="Segoe UI"/>
          <w:lang w:eastAsia="en-AU"/>
        </w:rPr>
        <w:t>establish</w:t>
      </w:r>
      <w:r w:rsidR="00620240" w:rsidRPr="00824739">
        <w:rPr>
          <w:rFonts w:cs="Segoe UI"/>
          <w:lang w:eastAsia="en-AU"/>
        </w:rPr>
        <w:t xml:space="preserve"> framework principles and application criteria that govern when and how </w:t>
      </w:r>
      <w:r>
        <w:rPr>
          <w:rFonts w:cs="Segoe UI"/>
          <w:lang w:eastAsia="en-AU"/>
        </w:rPr>
        <w:t xml:space="preserve">the </w:t>
      </w:r>
      <w:r w:rsidR="00E26645" w:rsidRPr="00E26645">
        <w:rPr>
          <w:rFonts w:cs="Segoe UI"/>
          <w:lang w:eastAsia="en-AU"/>
        </w:rPr>
        <w:t xml:space="preserve">Population, Intervention, Comparator, and Outcome </w:t>
      </w:r>
      <w:r w:rsidR="00663A14" w:rsidRPr="00E26645">
        <w:rPr>
          <w:rFonts w:cs="Segoe UI"/>
          <w:lang w:eastAsia="en-AU"/>
        </w:rPr>
        <w:t>(PICO)</w:t>
      </w:r>
      <w:r w:rsidR="00663A14" w:rsidRPr="00E26645" w:rsidDel="00E26645">
        <w:rPr>
          <w:rFonts w:cs="Segoe UI"/>
          <w:lang w:eastAsia="en-AU"/>
        </w:rPr>
        <w:t xml:space="preserve"> </w:t>
      </w:r>
      <w:r w:rsidR="00360CC6">
        <w:rPr>
          <w:rFonts w:cs="Segoe UI"/>
          <w:lang w:eastAsia="en-AU"/>
        </w:rPr>
        <w:t xml:space="preserve">framework </w:t>
      </w:r>
      <w:r w:rsidR="00620240" w:rsidRPr="00824739">
        <w:rPr>
          <w:rFonts w:cs="Segoe UI"/>
          <w:lang w:eastAsia="en-AU"/>
        </w:rPr>
        <w:t>is to be developed in support of a</w:t>
      </w:r>
      <w:r w:rsidR="00371929">
        <w:rPr>
          <w:rFonts w:cs="Segoe UI"/>
          <w:lang w:eastAsia="en-AU"/>
        </w:rPr>
        <w:t>n</w:t>
      </w:r>
      <w:r w:rsidR="00620240" w:rsidRPr="00824739">
        <w:rPr>
          <w:rFonts w:cs="Segoe UI"/>
          <w:lang w:eastAsia="en-AU"/>
        </w:rPr>
        <w:t xml:space="preserve"> </w:t>
      </w:r>
      <w:r w:rsidR="00E26645" w:rsidRPr="00E26645">
        <w:rPr>
          <w:rFonts w:cs="Segoe UI"/>
          <w:lang w:eastAsia="en-AU"/>
        </w:rPr>
        <w:t>HTA</w:t>
      </w:r>
      <w:r w:rsidR="00E26645" w:rsidRPr="00E26645" w:rsidDel="00E26645">
        <w:rPr>
          <w:rFonts w:cs="Segoe UI"/>
          <w:lang w:eastAsia="en-AU"/>
        </w:rPr>
        <w:t xml:space="preserve"> </w:t>
      </w:r>
      <w:r w:rsidR="00620240" w:rsidRPr="00824739">
        <w:rPr>
          <w:rFonts w:cs="Segoe UI"/>
          <w:lang w:eastAsia="en-AU"/>
        </w:rPr>
        <w:t>submission</w:t>
      </w:r>
      <w:r w:rsidR="00620240">
        <w:rPr>
          <w:rFonts w:cs="Segoe UI"/>
          <w:lang w:eastAsia="en-AU"/>
        </w:rPr>
        <w:t>. The framework should</w:t>
      </w:r>
      <w:r w:rsidR="00620240" w:rsidRPr="00824739">
        <w:rPr>
          <w:rFonts w:cs="Segoe UI"/>
          <w:lang w:eastAsia="en-AU"/>
        </w:rPr>
        <w:t>:</w:t>
      </w:r>
    </w:p>
    <w:p w14:paraId="2C20EB9F" w14:textId="1BD6BA94" w:rsidR="00620240" w:rsidRPr="00824739" w:rsidRDefault="00620240" w:rsidP="00281153">
      <w:pPr>
        <w:pStyle w:val="ListParagraph"/>
        <w:numPr>
          <w:ilvl w:val="1"/>
          <w:numId w:val="135"/>
        </w:numPr>
        <w:spacing w:before="120" w:after="120"/>
        <w:rPr>
          <w:rFonts w:cs="Segoe UI"/>
          <w:lang w:eastAsia="en-AU"/>
        </w:rPr>
      </w:pPr>
      <w:r w:rsidRPr="00824739">
        <w:rPr>
          <w:rFonts w:cs="Segoe UI"/>
          <w:lang w:eastAsia="en-AU"/>
        </w:rPr>
        <w:t xml:space="preserve">establish a baseline set of circumstances where a comprehensive and facilitated PICO scoping process would add value to the HTA process </w:t>
      </w:r>
    </w:p>
    <w:p w14:paraId="05FBFBAC" w14:textId="17C07E55" w:rsidR="00620240" w:rsidRDefault="00620240" w:rsidP="00281153">
      <w:pPr>
        <w:pStyle w:val="ListParagraph"/>
        <w:numPr>
          <w:ilvl w:val="1"/>
          <w:numId w:val="135"/>
        </w:numPr>
        <w:spacing w:before="120" w:after="120"/>
        <w:rPr>
          <w:rFonts w:cs="Segoe UI"/>
          <w:lang w:eastAsia="en-AU"/>
        </w:rPr>
      </w:pPr>
      <w:r>
        <w:rPr>
          <w:rFonts w:cs="Segoe UI"/>
          <w:lang w:eastAsia="en-AU"/>
        </w:rPr>
        <w:t xml:space="preserve">ensure that any new PICO process facilitates </w:t>
      </w:r>
      <w:r w:rsidDel="00830AFC">
        <w:rPr>
          <w:rFonts w:cs="Segoe UI"/>
          <w:lang w:eastAsia="en-AU"/>
        </w:rPr>
        <w:t>decision</w:t>
      </w:r>
      <w:r w:rsidR="00830AFC">
        <w:rPr>
          <w:rFonts w:cs="Segoe UI"/>
          <w:lang w:eastAsia="en-AU"/>
        </w:rPr>
        <w:t>-making</w:t>
      </w:r>
      <w:r w:rsidR="00773E3F">
        <w:rPr>
          <w:rFonts w:cs="Segoe UI"/>
          <w:lang w:eastAsia="en-AU"/>
        </w:rPr>
        <w:t>,</w:t>
      </w:r>
      <w:r w:rsidDel="00773E3F">
        <w:rPr>
          <w:rFonts w:cs="Segoe UI"/>
          <w:lang w:eastAsia="en-AU"/>
        </w:rPr>
        <w:t xml:space="preserve"> </w:t>
      </w:r>
      <w:r>
        <w:rPr>
          <w:rFonts w:cs="Segoe UI"/>
          <w:lang w:eastAsia="en-AU"/>
        </w:rPr>
        <w:t xml:space="preserve">reduces </w:t>
      </w:r>
      <w:r w:rsidR="00773E3F">
        <w:rPr>
          <w:rFonts w:cs="Segoe UI"/>
          <w:lang w:eastAsia="en-AU"/>
        </w:rPr>
        <w:t xml:space="preserve">the </w:t>
      </w:r>
      <w:r>
        <w:rPr>
          <w:rFonts w:cs="Segoe UI"/>
          <w:lang w:eastAsia="en-AU"/>
        </w:rPr>
        <w:t>likelihood of resubmission churn</w:t>
      </w:r>
      <w:r w:rsidR="00773E3F">
        <w:rPr>
          <w:rFonts w:cs="Segoe UI"/>
          <w:lang w:eastAsia="en-AU"/>
        </w:rPr>
        <w:t>,</w:t>
      </w:r>
      <w:r>
        <w:rPr>
          <w:rFonts w:cs="Segoe UI"/>
          <w:lang w:eastAsia="en-AU"/>
        </w:rPr>
        <w:t xml:space="preserve"> and avoids adding time or complexity to the HTA</w:t>
      </w:r>
    </w:p>
    <w:p w14:paraId="00EC247F" w14:textId="733049D1" w:rsidR="00AD30A2" w:rsidRPr="00AD30A2" w:rsidRDefault="00620240" w:rsidP="00281153">
      <w:pPr>
        <w:pStyle w:val="ListParagraph"/>
        <w:numPr>
          <w:ilvl w:val="1"/>
          <w:numId w:val="135"/>
        </w:numPr>
        <w:spacing w:before="120" w:after="120"/>
        <w:rPr>
          <w:rFonts w:cs="Segoe UI"/>
          <w:lang w:eastAsia="en-AU"/>
        </w:rPr>
      </w:pPr>
      <w:r w:rsidRPr="00824739">
        <w:rPr>
          <w:rFonts w:cs="Segoe UI"/>
          <w:lang w:eastAsia="en-AU"/>
        </w:rPr>
        <w:t xml:space="preserve">ensure criteria of importance to patients and clinicians (e.g. for </w:t>
      </w:r>
      <w:r w:rsidR="005757FE" w:rsidRPr="00B61FDC">
        <w:rPr>
          <w:rFonts w:cs="Segoe UI"/>
          <w:lang w:eastAsia="en-AU"/>
        </w:rPr>
        <w:t>high added therapeutic value (HATV)</w:t>
      </w:r>
      <w:r w:rsidR="00773E3F" w:rsidRPr="00B61FDC">
        <w:rPr>
          <w:rFonts w:cs="Segoe UI"/>
          <w:lang w:eastAsia="en-AU"/>
        </w:rPr>
        <w:t xml:space="preserve"> that addresses </w:t>
      </w:r>
      <w:r w:rsidR="00F54587" w:rsidRPr="00B61FDC">
        <w:rPr>
          <w:rFonts w:cs="Segoe UI"/>
          <w:lang w:eastAsia="en-AU"/>
        </w:rPr>
        <w:t>high unmet clinical need (HUCN)</w:t>
      </w:r>
      <w:r w:rsidRPr="00B61FDC">
        <w:rPr>
          <w:rFonts w:cs="Segoe UI"/>
          <w:lang w:eastAsia="en-AU"/>
        </w:rPr>
        <w:t>)</w:t>
      </w:r>
      <w:r w:rsidRPr="00824739">
        <w:rPr>
          <w:rFonts w:cs="Segoe UI"/>
          <w:lang w:eastAsia="en-AU"/>
        </w:rPr>
        <w:t xml:space="preserve"> are appropriately considered and discussed as part of PICO development in a manner that:</w:t>
      </w:r>
    </w:p>
    <w:p w14:paraId="2CC4A880" w14:textId="5F2163BC" w:rsidR="00620240" w:rsidRPr="00824739" w:rsidRDefault="0023696A" w:rsidP="00281153">
      <w:pPr>
        <w:pStyle w:val="ListParagraph"/>
        <w:numPr>
          <w:ilvl w:val="2"/>
          <w:numId w:val="135"/>
        </w:numPr>
        <w:spacing w:before="120" w:after="120"/>
        <w:rPr>
          <w:rFonts w:cs="Segoe UI"/>
          <w:lang w:eastAsia="en-AU"/>
        </w:rPr>
      </w:pPr>
      <w:r>
        <w:rPr>
          <w:rFonts w:cs="Segoe UI"/>
          <w:lang w:eastAsia="en-AU"/>
        </w:rPr>
        <w:t>e</w:t>
      </w:r>
      <w:r w:rsidR="00620240" w:rsidRPr="00824739">
        <w:rPr>
          <w:rFonts w:cs="Segoe UI"/>
          <w:lang w:eastAsia="en-AU"/>
        </w:rPr>
        <w:t xml:space="preserve">nsures </w:t>
      </w:r>
      <w:r w:rsidR="00773E3F">
        <w:rPr>
          <w:rFonts w:cs="Segoe UI"/>
          <w:lang w:eastAsia="en-AU"/>
        </w:rPr>
        <w:t xml:space="preserve">consideration of </w:t>
      </w:r>
      <w:r w:rsidR="00620240" w:rsidRPr="00824739">
        <w:rPr>
          <w:rFonts w:cs="Segoe UI"/>
          <w:lang w:eastAsia="en-AU"/>
        </w:rPr>
        <w:t xml:space="preserve">relevant patient populations that could potentially benefit from the new therapy </w:t>
      </w:r>
    </w:p>
    <w:p w14:paraId="0F80FCC9" w14:textId="1E8CD8EE" w:rsidR="00620240" w:rsidRPr="00824739" w:rsidRDefault="0023696A" w:rsidP="00281153">
      <w:pPr>
        <w:pStyle w:val="ListParagraph"/>
        <w:numPr>
          <w:ilvl w:val="2"/>
          <w:numId w:val="135"/>
        </w:numPr>
        <w:spacing w:before="120" w:after="120"/>
        <w:rPr>
          <w:rFonts w:cs="Segoe UI"/>
          <w:lang w:eastAsia="en-AU"/>
        </w:rPr>
      </w:pPr>
      <w:r>
        <w:rPr>
          <w:rFonts w:cs="Segoe UI"/>
          <w:lang w:eastAsia="en-AU"/>
        </w:rPr>
        <w:t>c</w:t>
      </w:r>
      <w:r w:rsidR="00620240" w:rsidRPr="00824739">
        <w:rPr>
          <w:rFonts w:cs="Segoe UI"/>
          <w:lang w:eastAsia="en-AU"/>
        </w:rPr>
        <w:t>onsiders the health equity and high unmet need implications associated with access to a health technology</w:t>
      </w:r>
    </w:p>
    <w:p w14:paraId="626E6D08" w14:textId="6ADBFDEF" w:rsidR="00620240" w:rsidRPr="00824739" w:rsidRDefault="00381B96" w:rsidP="00281153">
      <w:pPr>
        <w:pStyle w:val="ListParagraph"/>
        <w:numPr>
          <w:ilvl w:val="2"/>
          <w:numId w:val="135"/>
        </w:numPr>
        <w:spacing w:before="120" w:after="120"/>
        <w:rPr>
          <w:rFonts w:cs="Segoe UI"/>
          <w:lang w:eastAsia="en-AU"/>
        </w:rPr>
      </w:pPr>
      <w:r>
        <w:rPr>
          <w:rFonts w:cs="Segoe UI"/>
          <w:lang w:eastAsia="en-AU"/>
        </w:rPr>
        <w:t>a</w:t>
      </w:r>
      <w:r w:rsidR="00620240" w:rsidRPr="00824739">
        <w:rPr>
          <w:rFonts w:cs="Segoe UI"/>
          <w:lang w:eastAsia="en-AU"/>
        </w:rPr>
        <w:t xml:space="preserve">llows </w:t>
      </w:r>
      <w:r w:rsidR="00773E3F">
        <w:rPr>
          <w:rFonts w:cs="Segoe UI"/>
          <w:lang w:eastAsia="en-AU"/>
        </w:rPr>
        <w:t xml:space="preserve">discussion of </w:t>
      </w:r>
      <w:r w:rsidR="00620240" w:rsidRPr="00824739">
        <w:rPr>
          <w:rFonts w:cs="Segoe UI"/>
          <w:lang w:eastAsia="en-AU"/>
        </w:rPr>
        <w:t>issues that may</w:t>
      </w:r>
      <w:r w:rsidR="00773E3F">
        <w:rPr>
          <w:rFonts w:cs="Segoe UI"/>
          <w:lang w:eastAsia="en-AU"/>
        </w:rPr>
        <w:t xml:space="preserve"> affect early</w:t>
      </w:r>
      <w:r w:rsidR="00620240" w:rsidRPr="00824739" w:rsidDel="00773E3F">
        <w:rPr>
          <w:rFonts w:cs="Segoe UI"/>
          <w:lang w:eastAsia="en-AU"/>
        </w:rPr>
        <w:t xml:space="preserve"> </w:t>
      </w:r>
      <w:r w:rsidR="00620240" w:rsidRPr="00824739">
        <w:rPr>
          <w:rFonts w:cs="Segoe UI"/>
          <w:lang w:eastAsia="en-AU"/>
        </w:rPr>
        <w:t>implementation (for new drugs or major expanded indications claiming added therapeutic value)</w:t>
      </w:r>
    </w:p>
    <w:p w14:paraId="4159A6B8" w14:textId="1C6AF290" w:rsidR="00620240" w:rsidRPr="00824739" w:rsidRDefault="00381B96" w:rsidP="00281153">
      <w:pPr>
        <w:pStyle w:val="ListParagraph"/>
        <w:numPr>
          <w:ilvl w:val="2"/>
          <w:numId w:val="135"/>
        </w:numPr>
        <w:spacing w:before="120" w:after="120"/>
        <w:rPr>
          <w:rFonts w:cs="Segoe UI"/>
          <w:lang w:eastAsia="en-AU"/>
        </w:rPr>
      </w:pPr>
      <w:r>
        <w:rPr>
          <w:rFonts w:cs="Segoe UI"/>
          <w:lang w:eastAsia="en-AU"/>
        </w:rPr>
        <w:lastRenderedPageBreak/>
        <w:t>c</w:t>
      </w:r>
      <w:r w:rsidR="00620240" w:rsidRPr="00824739">
        <w:rPr>
          <w:rFonts w:cs="Segoe UI"/>
          <w:lang w:eastAsia="en-AU"/>
        </w:rPr>
        <w:t>aptures patient and clinician viewpoints appropriately as part of PICO confirmation outputs</w:t>
      </w:r>
    </w:p>
    <w:p w14:paraId="275DC061" w14:textId="562CAE80" w:rsidR="00620240" w:rsidRDefault="00381B96" w:rsidP="00281153">
      <w:pPr>
        <w:pStyle w:val="ListParagraph"/>
        <w:numPr>
          <w:ilvl w:val="2"/>
          <w:numId w:val="135"/>
        </w:numPr>
        <w:spacing w:before="120" w:after="120"/>
        <w:rPr>
          <w:rFonts w:cs="Segoe UI"/>
          <w:lang w:eastAsia="en-AU"/>
        </w:rPr>
      </w:pPr>
      <w:r>
        <w:rPr>
          <w:rFonts w:cs="Segoe UI"/>
          <w:lang w:eastAsia="en-AU"/>
        </w:rPr>
        <w:t>i</w:t>
      </w:r>
      <w:r w:rsidR="00620240" w:rsidRPr="00824739">
        <w:rPr>
          <w:rFonts w:cs="Segoe UI"/>
          <w:lang w:eastAsia="en-AU"/>
        </w:rPr>
        <w:t xml:space="preserve">nforms the development of the HTA submission and the resulting screening, evaluation and deliberation processes by the relevant HTA </w:t>
      </w:r>
      <w:r w:rsidR="00C16518">
        <w:rPr>
          <w:rFonts w:cs="Segoe UI"/>
          <w:lang w:eastAsia="en-AU"/>
        </w:rPr>
        <w:t>advisory committee</w:t>
      </w:r>
      <w:r w:rsidR="00E55B7B">
        <w:rPr>
          <w:rFonts w:cs="Segoe UI"/>
          <w:lang w:eastAsia="en-AU"/>
        </w:rPr>
        <w:t>.</w:t>
      </w:r>
    </w:p>
    <w:p w14:paraId="52AA136B" w14:textId="4DE83875" w:rsidR="00620240" w:rsidRPr="006672EC" w:rsidRDefault="00620240" w:rsidP="00281153">
      <w:pPr>
        <w:pStyle w:val="ListParagraph"/>
        <w:numPr>
          <w:ilvl w:val="1"/>
          <w:numId w:val="135"/>
        </w:numPr>
        <w:spacing w:before="120" w:after="120"/>
        <w:rPr>
          <w:rFonts w:cs="Segoe UI"/>
          <w:lang w:eastAsia="en-AU"/>
        </w:rPr>
      </w:pPr>
      <w:r w:rsidRPr="006672EC">
        <w:rPr>
          <w:rFonts w:cs="Segoe UI"/>
          <w:lang w:eastAsia="en-AU"/>
        </w:rPr>
        <w:t>accommodate circumstances where a level of flexibility from the normal PICO scoping and definition process may be appropriate, with clear justification. This may include situations where (for example):</w:t>
      </w:r>
    </w:p>
    <w:p w14:paraId="61B7C2F7" w14:textId="5C1696BE" w:rsidR="00620240" w:rsidRPr="00824739" w:rsidRDefault="00620240" w:rsidP="00281153">
      <w:pPr>
        <w:pStyle w:val="ListParagraph"/>
        <w:numPr>
          <w:ilvl w:val="2"/>
          <w:numId w:val="135"/>
        </w:numPr>
        <w:spacing w:before="120" w:after="120"/>
        <w:rPr>
          <w:rFonts w:cs="Segoe UI"/>
        </w:rPr>
      </w:pPr>
      <w:r w:rsidRPr="00824739">
        <w:rPr>
          <w:rFonts w:cs="Segoe UI"/>
          <w:lang w:eastAsia="en-AU"/>
        </w:rPr>
        <w:t xml:space="preserve">PICO dialogue has been conducted in alternative settings (such as via horizon scanning </w:t>
      </w:r>
      <w:r w:rsidR="00773E3F">
        <w:rPr>
          <w:rFonts w:cs="Segoe UI"/>
          <w:lang w:eastAsia="en-AU"/>
        </w:rPr>
        <w:t xml:space="preserve">in </w:t>
      </w:r>
      <w:r w:rsidRPr="00824739">
        <w:rPr>
          <w:rFonts w:cs="Segoe UI"/>
          <w:lang w:eastAsia="en-AU"/>
        </w:rPr>
        <w:t xml:space="preserve">stakeholder engagement processes) and information has been collected formally in a manner that serves as an appropriate functional substitute for the purposes of efficient public consultation </w:t>
      </w:r>
    </w:p>
    <w:p w14:paraId="61BF686D" w14:textId="313646E8" w:rsidR="00620240" w:rsidRPr="00824739" w:rsidRDefault="00773E3F" w:rsidP="00281153">
      <w:pPr>
        <w:pStyle w:val="ListParagraph"/>
        <w:numPr>
          <w:ilvl w:val="2"/>
          <w:numId w:val="135"/>
        </w:numPr>
        <w:spacing w:before="120" w:after="120"/>
        <w:rPr>
          <w:rFonts w:cs="Segoe UI"/>
        </w:rPr>
      </w:pPr>
      <w:r>
        <w:rPr>
          <w:rFonts w:cs="Segoe UI"/>
          <w:lang w:eastAsia="en-AU"/>
        </w:rPr>
        <w:t>a</w:t>
      </w:r>
      <w:r w:rsidR="00620240" w:rsidRPr="00824739">
        <w:rPr>
          <w:rFonts w:cs="Segoe UI"/>
          <w:lang w:eastAsia="en-AU"/>
        </w:rPr>
        <w:t xml:space="preserve"> well-defined PICO can be adapted from a comparable overseas HTA entity and has the endorsement of key affected stakeholders to support Australian considerations</w:t>
      </w:r>
      <w:r w:rsidR="00E55B7B">
        <w:rPr>
          <w:rFonts w:cs="Segoe UI"/>
          <w:lang w:eastAsia="en-AU"/>
        </w:rPr>
        <w:t>.</w:t>
      </w:r>
    </w:p>
    <w:p w14:paraId="0716109E" w14:textId="03181A75" w:rsidR="00620240" w:rsidRPr="00824739" w:rsidRDefault="00773E3F" w:rsidP="00281153">
      <w:pPr>
        <w:pStyle w:val="ListParagraph"/>
        <w:numPr>
          <w:ilvl w:val="0"/>
          <w:numId w:val="135"/>
        </w:numPr>
        <w:spacing w:before="120" w:after="120"/>
        <w:rPr>
          <w:rFonts w:cs="Segoe UI"/>
        </w:rPr>
      </w:pPr>
      <w:r>
        <w:rPr>
          <w:rFonts w:cs="Segoe UI"/>
          <w:lang w:eastAsia="en-AU"/>
        </w:rPr>
        <w:t>e</w:t>
      </w:r>
      <w:r w:rsidR="00620240" w:rsidRPr="00824739">
        <w:rPr>
          <w:rFonts w:cs="Segoe UI"/>
          <w:lang w:eastAsia="en-AU"/>
        </w:rPr>
        <w:t xml:space="preserve">stablish a process with stakeholders to produce and release plain language summaries of the PICO with the </w:t>
      </w:r>
      <w:r w:rsidR="00980F02">
        <w:rPr>
          <w:rFonts w:cs="Segoe UI"/>
          <w:lang w:eastAsia="en-AU"/>
        </w:rPr>
        <w:t>P</w:t>
      </w:r>
      <w:r w:rsidR="00980F02" w:rsidRPr="00980F02">
        <w:rPr>
          <w:rFonts w:cs="Segoe UI"/>
          <w:lang w:eastAsia="en-AU"/>
        </w:rPr>
        <w:t>harmaceutical Benefits Advisory Committee</w:t>
      </w:r>
      <w:r w:rsidR="003857BD">
        <w:rPr>
          <w:rFonts w:cs="Segoe UI"/>
          <w:lang w:eastAsia="en-AU"/>
        </w:rPr>
        <w:t xml:space="preserve"> (PBAC)</w:t>
      </w:r>
      <w:r w:rsidR="00980F02" w:rsidRPr="00980F02" w:rsidDel="00773E3F">
        <w:rPr>
          <w:rFonts w:cs="Segoe UI"/>
          <w:lang w:eastAsia="en-AU"/>
        </w:rPr>
        <w:t xml:space="preserve"> </w:t>
      </w:r>
      <w:r w:rsidR="00620240" w:rsidRPr="00824739">
        <w:rPr>
          <w:rFonts w:cs="Segoe UI"/>
          <w:lang w:eastAsia="en-AU"/>
        </w:rPr>
        <w:t>agenda to:</w:t>
      </w:r>
    </w:p>
    <w:p w14:paraId="748829E7" w14:textId="4EBBA7AF" w:rsidR="00620240" w:rsidRPr="00824739" w:rsidRDefault="00620240" w:rsidP="00281153">
      <w:pPr>
        <w:pStyle w:val="ListParagraph"/>
        <w:numPr>
          <w:ilvl w:val="1"/>
          <w:numId w:val="135"/>
        </w:numPr>
        <w:spacing w:before="120" w:after="120"/>
        <w:rPr>
          <w:rFonts w:cs="Segoe UI"/>
        </w:rPr>
      </w:pPr>
      <w:r w:rsidRPr="00824739">
        <w:rPr>
          <w:rFonts w:cs="Segoe UI"/>
          <w:lang w:eastAsia="en-AU"/>
        </w:rPr>
        <w:t xml:space="preserve">increase transparency about the proposed treatment population and communicate the expected benefit (outcome) </w:t>
      </w:r>
    </w:p>
    <w:p w14:paraId="26BC7F13" w14:textId="5065591F" w:rsidR="00620240" w:rsidRPr="00824739" w:rsidRDefault="00620240" w:rsidP="00281153">
      <w:pPr>
        <w:pStyle w:val="ListParagraph"/>
        <w:numPr>
          <w:ilvl w:val="1"/>
          <w:numId w:val="135"/>
        </w:numPr>
        <w:spacing w:before="120" w:after="120"/>
        <w:rPr>
          <w:rFonts w:cs="Segoe UI"/>
          <w:i/>
        </w:rPr>
      </w:pPr>
      <w:r w:rsidRPr="00824739">
        <w:rPr>
          <w:rFonts w:cs="Segoe UI"/>
          <w:lang w:eastAsia="en-AU"/>
        </w:rPr>
        <w:t>assist in managing stakeholder expectations (for new drugs or major expanded indications claiming added therapeutic value).</w:t>
      </w:r>
    </w:p>
    <w:p w14:paraId="1CF9B554" w14:textId="101CD2B9" w:rsidR="00520B70" w:rsidRDefault="00520B70" w:rsidP="002B25F3">
      <w:pPr>
        <w:pStyle w:val="Heading2"/>
        <w:rPr>
          <w:rStyle w:val="Heading2Char"/>
          <w:rFonts w:eastAsiaTheme="majorEastAsia"/>
        </w:rPr>
      </w:pPr>
      <w:bookmarkStart w:id="561" w:name="_Toc164767800"/>
      <w:bookmarkStart w:id="562" w:name="_Toc165473731"/>
      <w:bookmarkStart w:id="563" w:name="_Toc171935895"/>
      <w:r>
        <w:rPr>
          <w:rStyle w:val="Heading2Char"/>
          <w:rFonts w:eastAsiaTheme="majorEastAsia"/>
        </w:rPr>
        <w:t xml:space="preserve">Chapter 8.2: </w:t>
      </w:r>
      <w:r w:rsidR="00047BF2">
        <w:rPr>
          <w:rStyle w:val="Heading2Char"/>
          <w:rFonts w:eastAsiaTheme="majorEastAsia"/>
        </w:rPr>
        <w:t>Use of consumer evidence and input</w:t>
      </w:r>
      <w:bookmarkEnd w:id="561"/>
      <w:bookmarkEnd w:id="562"/>
      <w:bookmarkEnd w:id="563"/>
    </w:p>
    <w:p w14:paraId="4DCB2268" w14:textId="540A0103" w:rsidR="000E74D5" w:rsidRDefault="00544066" w:rsidP="00047BF2">
      <w:pPr>
        <w:pStyle w:val="Heading3"/>
        <w:rPr>
          <w:lang w:val="en-US"/>
        </w:rPr>
      </w:pPr>
      <w:r>
        <w:rPr>
          <w:lang w:val="en-US"/>
        </w:rPr>
        <w:t>Introduction and context</w:t>
      </w:r>
    </w:p>
    <w:p w14:paraId="4A24BD7B" w14:textId="77777777" w:rsidR="00544066" w:rsidRDefault="00544066" w:rsidP="00544066">
      <w:pPr>
        <w:keepNext/>
        <w:keepLines/>
      </w:pPr>
      <w:r>
        <w:t xml:space="preserve">The </w:t>
      </w:r>
      <w:hyperlink r:id="rId29" w:history="1">
        <w:r w:rsidRPr="0019054D">
          <w:rPr>
            <w:rStyle w:val="Hyperlink"/>
          </w:rPr>
          <w:t xml:space="preserve">PBAC </w:t>
        </w:r>
        <w:r>
          <w:rPr>
            <w:rStyle w:val="Hyperlink"/>
          </w:rPr>
          <w:t>G</w:t>
        </w:r>
        <w:r w:rsidRPr="0019054D">
          <w:rPr>
            <w:rStyle w:val="Hyperlink"/>
          </w:rPr>
          <w:t>uidelines</w:t>
        </w:r>
      </w:hyperlink>
      <w:r w:rsidRPr="000173A9">
        <w:t xml:space="preserve"> and </w:t>
      </w:r>
      <w:hyperlink r:id="rId30" w:history="1">
        <w:r w:rsidRPr="0019054D">
          <w:rPr>
            <w:rStyle w:val="Hyperlink"/>
          </w:rPr>
          <w:t xml:space="preserve">MSAC </w:t>
        </w:r>
        <w:r>
          <w:rPr>
            <w:rStyle w:val="Hyperlink"/>
          </w:rPr>
          <w:t>G</w:t>
        </w:r>
        <w:r w:rsidRPr="0019054D">
          <w:rPr>
            <w:rStyle w:val="Hyperlink"/>
          </w:rPr>
          <w:t>uidelines</w:t>
        </w:r>
      </w:hyperlink>
      <w:r>
        <w:t xml:space="preserve"> also give applicants the option of presenting additional relevant information that may not be captured elsewhere in the assessment. This should be clearly presented and reasoned. Where possible, it should be generated using high-quality methods or sourced systematically. </w:t>
      </w:r>
    </w:p>
    <w:p w14:paraId="7E85EB60" w14:textId="77777777" w:rsidR="00544066" w:rsidRDefault="00544066" w:rsidP="00544066">
      <w:pPr>
        <w:keepNext/>
        <w:keepLines/>
      </w:pPr>
      <w:r>
        <w:t xml:space="preserve">Both the PBAC and the MSAC also invite comments from patients, clinicians and representative organisations, which are considered with the submission. </w:t>
      </w:r>
    </w:p>
    <w:p w14:paraId="653A2FD6" w14:textId="04EAC197" w:rsidR="1EA3F41A" w:rsidRDefault="1EA3F41A" w:rsidP="00405FD7">
      <w:pPr>
        <w:spacing w:line="257" w:lineRule="auto"/>
        <w:rPr>
          <w:rFonts w:eastAsia="Segoe UI" w:cs="Segoe UI"/>
        </w:rPr>
      </w:pPr>
      <w:r w:rsidRPr="760B44C9">
        <w:rPr>
          <w:rFonts w:eastAsia="Segoe UI" w:cs="Segoe UI"/>
        </w:rPr>
        <w:t>Consumer evidence and consumer input are two complementary but discrete approaches to informing HTA</w:t>
      </w:r>
      <w:r w:rsidR="00A44A93">
        <w:rPr>
          <w:rFonts w:eastAsia="Segoe UI" w:cs="Segoe UI"/>
        </w:rPr>
        <w:t>s</w:t>
      </w:r>
      <w:r w:rsidRPr="760B44C9">
        <w:rPr>
          <w:rFonts w:eastAsia="Segoe UI" w:cs="Segoe UI"/>
        </w:rPr>
        <w:t xml:space="preserve"> about patients’ needs, preferences, experiences and perspectives. The Review learnt that these two concepts were often misunderstood and confused at the risk of inappropriately assessing or using them</w:t>
      </w:r>
      <w:r w:rsidRPr="000A23F1">
        <w:rPr>
          <w:rFonts w:eastAsia="Segoe UI" w:cs="Segoe UI"/>
        </w:rPr>
        <w:t>. T</w:t>
      </w:r>
      <w:r w:rsidR="00652E72" w:rsidRPr="000A23F1">
        <w:rPr>
          <w:rFonts w:eastAsia="Segoe UI" w:cs="Segoe UI"/>
        </w:rPr>
        <w:t>able 3</w:t>
      </w:r>
      <w:r w:rsidR="00A44A93">
        <w:rPr>
          <w:rFonts w:eastAsia="Segoe UI" w:cs="Segoe UI"/>
        </w:rPr>
        <w:t xml:space="preserve"> (</w:t>
      </w:r>
      <w:r w:rsidRPr="760B44C9">
        <w:rPr>
          <w:rFonts w:eastAsia="Segoe UI" w:cs="Segoe UI"/>
        </w:rPr>
        <w:t xml:space="preserve">adapted </w:t>
      </w:r>
      <w:r w:rsidRPr="00487920">
        <w:rPr>
          <w:rFonts w:eastAsia="Segoe UI" w:cs="Segoe UI"/>
        </w:rPr>
        <w:t xml:space="preserve">from </w:t>
      </w:r>
      <w:r w:rsidRPr="00487920">
        <w:rPr>
          <w:rFonts w:eastAsia="Segoe UI" w:cs="Segoe UI"/>
        </w:rPr>
        <w:lastRenderedPageBreak/>
        <w:t xml:space="preserve">Staniszewska and </w:t>
      </w:r>
      <w:proofErr w:type="spellStart"/>
      <w:r w:rsidRPr="00487920">
        <w:rPr>
          <w:rFonts w:eastAsia="Segoe UI" w:cs="Segoe UI"/>
        </w:rPr>
        <w:t>Werk</w:t>
      </w:r>
      <w:r w:rsidR="00A44A93" w:rsidRPr="000C5623">
        <w:rPr>
          <w:rFonts w:eastAsia="Segoe UI" w:cs="Segoe UI"/>
        </w:rPr>
        <w:t>ö</w:t>
      </w:r>
      <w:proofErr w:type="spellEnd"/>
      <w:r w:rsidR="00A44A93" w:rsidRPr="00487920" w:rsidDel="00A44A93">
        <w:rPr>
          <w:rFonts w:eastAsia="Segoe UI" w:cs="Segoe UI"/>
        </w:rPr>
        <w:t xml:space="preserve"> </w:t>
      </w:r>
      <w:r w:rsidRPr="00487920">
        <w:rPr>
          <w:rFonts w:eastAsia="Segoe UI" w:cs="Segoe UI"/>
        </w:rPr>
        <w:t>(2017)</w:t>
      </w:r>
      <w:r w:rsidR="35957D98" w:rsidRPr="00487920">
        <w:rPr>
          <w:rFonts w:eastAsia="Segoe UI" w:cs="Segoe UI"/>
        </w:rPr>
        <w:t xml:space="preserve"> for Australian</w:t>
      </w:r>
      <w:r w:rsidR="35957D98" w:rsidRPr="760B44C9">
        <w:rPr>
          <w:rFonts w:eastAsia="Segoe UI" w:cs="Segoe UI"/>
        </w:rPr>
        <w:t xml:space="preserve"> terms</w:t>
      </w:r>
      <w:r w:rsidR="00A44A93">
        <w:rPr>
          <w:rFonts w:eastAsia="Segoe UI" w:cs="Segoe UI"/>
        </w:rPr>
        <w:t>)</w:t>
      </w:r>
      <w:r w:rsidRPr="760B44C9">
        <w:rPr>
          <w:rFonts w:eastAsia="Segoe UI" w:cs="Segoe UI"/>
        </w:rPr>
        <w:t xml:space="preserve"> sets out the important differences</w:t>
      </w:r>
      <w:r w:rsidR="00A44A93">
        <w:rPr>
          <w:rFonts w:eastAsia="Segoe UI" w:cs="Segoe UI"/>
        </w:rPr>
        <w:t>.</w:t>
      </w:r>
      <w:r w:rsidR="00487920">
        <w:rPr>
          <w:rStyle w:val="FootnoteReference"/>
          <w:rFonts w:eastAsia="Segoe UI" w:cs="Segoe UI"/>
        </w:rPr>
        <w:footnoteReference w:id="172"/>
      </w:r>
    </w:p>
    <w:p w14:paraId="6ED25AB4" w14:textId="7142B5E4" w:rsidR="000B5625" w:rsidRPr="00BD34D3" w:rsidRDefault="001962F8" w:rsidP="00CA6465">
      <w:pPr>
        <w:pStyle w:val="Caption"/>
        <w:spacing w:after="120"/>
      </w:pPr>
      <w:bookmarkStart w:id="564" w:name="_Toc171948109"/>
      <w:r>
        <w:t xml:space="preserve">Table </w:t>
      </w:r>
      <w:r>
        <w:fldChar w:fldCharType="begin" w:fldLock="1"/>
      </w:r>
      <w:r>
        <w:instrText>SEQ Table \* ARABIC</w:instrText>
      </w:r>
      <w:r>
        <w:fldChar w:fldCharType="separate"/>
      </w:r>
      <w:r w:rsidR="005A5207">
        <w:rPr>
          <w:noProof/>
        </w:rPr>
        <w:t>3</w:t>
      </w:r>
      <w:r>
        <w:fldChar w:fldCharType="end"/>
      </w:r>
      <w:r>
        <w:t xml:space="preserve">: </w:t>
      </w:r>
      <w:r w:rsidR="000040A0" w:rsidRPr="00BD2DEA">
        <w:t xml:space="preserve">Distinction between </w:t>
      </w:r>
      <w:r w:rsidR="00BE4EAD">
        <w:t>c</w:t>
      </w:r>
      <w:r w:rsidR="000040A0" w:rsidRPr="00BD2DEA">
        <w:t xml:space="preserve">onsumer </w:t>
      </w:r>
      <w:r w:rsidR="00BE4EAD">
        <w:t>e</w:t>
      </w:r>
      <w:r w:rsidR="000040A0" w:rsidRPr="00BD2DEA">
        <w:t xml:space="preserve">vidence and </w:t>
      </w:r>
      <w:r w:rsidR="00BE4EAD">
        <w:t>c</w:t>
      </w:r>
      <w:r w:rsidR="000040A0" w:rsidRPr="00BD2DEA">
        <w:t xml:space="preserve">onsumer </w:t>
      </w:r>
      <w:r w:rsidR="00BE4EAD">
        <w:t>i</w:t>
      </w:r>
      <w:r w:rsidR="000040A0" w:rsidRPr="00BD2DEA">
        <w:t>nput in HTA</w:t>
      </w:r>
      <w:r w:rsidR="00BE4EAD">
        <w:t>s</w:t>
      </w:r>
      <w:bookmarkEnd w:id="564"/>
    </w:p>
    <w:tbl>
      <w:tblPr>
        <w:tblStyle w:val="ListTable1Light-Accent1"/>
        <w:tblW w:w="0" w:type="auto"/>
        <w:tblLayout w:type="fixed"/>
        <w:tblLook w:val="04A0" w:firstRow="1" w:lastRow="0" w:firstColumn="1" w:lastColumn="0" w:noHBand="0" w:noVBand="1"/>
      </w:tblPr>
      <w:tblGrid>
        <w:gridCol w:w="4536"/>
        <w:gridCol w:w="4536"/>
      </w:tblGrid>
      <w:tr w:rsidR="000E1BAA" w14:paraId="6AFB236E" w14:textId="77777777" w:rsidTr="003A23C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dxa"/>
          </w:tcPr>
          <w:p w14:paraId="395153CF" w14:textId="6FB85A88" w:rsidR="760B44C9" w:rsidRDefault="760B44C9" w:rsidP="0081146A">
            <w:pPr>
              <w:jc w:val="left"/>
              <w:rPr>
                <w:rFonts w:eastAsia="Segoe UI" w:cs="Segoe UI"/>
              </w:rPr>
            </w:pPr>
            <w:r w:rsidRPr="760B44C9">
              <w:rPr>
                <w:rFonts w:eastAsia="Segoe UI" w:cs="Segoe UI"/>
              </w:rPr>
              <w:t xml:space="preserve">Consumer </w:t>
            </w:r>
            <w:r w:rsidR="00BE4EAD">
              <w:rPr>
                <w:rFonts w:eastAsia="Segoe UI" w:cs="Segoe UI"/>
              </w:rPr>
              <w:t>e</w:t>
            </w:r>
            <w:r w:rsidRPr="760B44C9">
              <w:rPr>
                <w:rFonts w:eastAsia="Segoe UI" w:cs="Segoe UI"/>
              </w:rPr>
              <w:t xml:space="preserve">vidence (often called </w:t>
            </w:r>
            <w:r w:rsidR="00BE4EAD">
              <w:rPr>
                <w:rFonts w:eastAsia="Segoe UI" w:cs="Segoe UI"/>
              </w:rPr>
              <w:t>‘p</w:t>
            </w:r>
            <w:r w:rsidRPr="760B44C9">
              <w:rPr>
                <w:rFonts w:eastAsia="Segoe UI" w:cs="Segoe UI"/>
              </w:rPr>
              <w:t>atient</w:t>
            </w:r>
            <w:r w:rsidR="00BE4EAD">
              <w:rPr>
                <w:rFonts w:eastAsia="Segoe UI" w:cs="Segoe UI"/>
              </w:rPr>
              <w:t>-b</w:t>
            </w:r>
            <w:r w:rsidRPr="760B44C9">
              <w:rPr>
                <w:rFonts w:eastAsia="Segoe UI" w:cs="Segoe UI"/>
              </w:rPr>
              <w:t xml:space="preserve">ased </w:t>
            </w:r>
            <w:r w:rsidR="00BE4EAD">
              <w:rPr>
                <w:rFonts w:eastAsia="Segoe UI" w:cs="Segoe UI"/>
              </w:rPr>
              <w:t>e</w:t>
            </w:r>
            <w:r w:rsidRPr="760B44C9">
              <w:rPr>
                <w:rFonts w:eastAsia="Segoe UI" w:cs="Segoe UI"/>
              </w:rPr>
              <w:t>vidence</w:t>
            </w:r>
            <w:r w:rsidR="00BE4EAD">
              <w:rPr>
                <w:rFonts w:eastAsia="Segoe UI" w:cs="Segoe UI"/>
              </w:rPr>
              <w:t>’</w:t>
            </w:r>
            <w:r w:rsidRPr="760B44C9">
              <w:rPr>
                <w:rFonts w:eastAsia="Segoe UI" w:cs="Segoe UI"/>
              </w:rPr>
              <w:t>)</w:t>
            </w:r>
          </w:p>
        </w:tc>
        <w:tc>
          <w:tcPr>
            <w:tcW w:w="0" w:type="dxa"/>
          </w:tcPr>
          <w:p w14:paraId="762EF660" w14:textId="5EA24A0B" w:rsidR="760B44C9" w:rsidRDefault="760B44C9" w:rsidP="0081146A">
            <w:pPr>
              <w:jc w:val="left"/>
              <w:cnfStyle w:val="100000000000" w:firstRow="1" w:lastRow="0" w:firstColumn="0" w:lastColumn="0" w:oddVBand="0" w:evenVBand="0" w:oddHBand="0" w:evenHBand="0" w:firstRowFirstColumn="0" w:firstRowLastColumn="0" w:lastRowFirstColumn="0" w:lastRowLastColumn="0"/>
              <w:rPr>
                <w:rFonts w:eastAsia="Segoe UI" w:cs="Segoe UI"/>
              </w:rPr>
            </w:pPr>
            <w:r w:rsidRPr="760B44C9">
              <w:rPr>
                <w:rFonts w:eastAsia="Segoe UI" w:cs="Segoe UI"/>
              </w:rPr>
              <w:t xml:space="preserve">Consumer </w:t>
            </w:r>
            <w:r w:rsidR="00BE4EAD">
              <w:rPr>
                <w:rFonts w:eastAsia="Segoe UI" w:cs="Segoe UI"/>
              </w:rPr>
              <w:t>i</w:t>
            </w:r>
            <w:r w:rsidRPr="760B44C9">
              <w:rPr>
                <w:rFonts w:eastAsia="Segoe UI" w:cs="Segoe UI"/>
              </w:rPr>
              <w:t>nput (</w:t>
            </w:r>
            <w:r w:rsidR="00BE4EAD">
              <w:rPr>
                <w:rFonts w:eastAsia="Segoe UI" w:cs="Segoe UI"/>
              </w:rPr>
              <w:t>o</w:t>
            </w:r>
            <w:r w:rsidRPr="760B44C9">
              <w:rPr>
                <w:rFonts w:eastAsia="Segoe UI" w:cs="Segoe UI"/>
              </w:rPr>
              <w:t xml:space="preserve">ften called </w:t>
            </w:r>
            <w:r w:rsidR="00BE4EAD">
              <w:rPr>
                <w:rFonts w:eastAsia="Segoe UI" w:cs="Segoe UI"/>
              </w:rPr>
              <w:t>‘</w:t>
            </w:r>
            <w:r w:rsidRPr="760B44C9">
              <w:rPr>
                <w:rFonts w:eastAsia="Segoe UI" w:cs="Segoe UI"/>
              </w:rPr>
              <w:t>patient input</w:t>
            </w:r>
            <w:r w:rsidR="00BE4EAD">
              <w:rPr>
                <w:rFonts w:eastAsia="Segoe UI" w:cs="Segoe UI"/>
              </w:rPr>
              <w:t>’</w:t>
            </w:r>
            <w:r w:rsidRPr="760B44C9">
              <w:rPr>
                <w:rFonts w:eastAsia="Segoe UI" w:cs="Segoe UI"/>
              </w:rPr>
              <w:t>)</w:t>
            </w:r>
          </w:p>
        </w:tc>
      </w:tr>
      <w:tr w:rsidR="00E37AAD" w14:paraId="48F4DC29" w14:textId="77777777" w:rsidTr="003A23C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6" w:type="dxa"/>
          </w:tcPr>
          <w:p w14:paraId="59A7D1AE" w14:textId="563F883A" w:rsidR="760B44C9" w:rsidRPr="004D2644" w:rsidRDefault="760B44C9" w:rsidP="0081146A">
            <w:pPr>
              <w:jc w:val="left"/>
              <w:rPr>
                <w:rFonts w:eastAsia="Segoe UI" w:cs="Segoe UI"/>
                <w:b w:val="0"/>
              </w:rPr>
            </w:pPr>
            <w:r w:rsidRPr="004D2644">
              <w:rPr>
                <w:rFonts w:eastAsia="Segoe UI" w:cs="Segoe UI"/>
                <w:b w:val="0"/>
              </w:rPr>
              <w:t>Produced through research, generally published in peer-reviewed journals, which may be co-designed with consumers or their organisations</w:t>
            </w:r>
          </w:p>
        </w:tc>
        <w:tc>
          <w:tcPr>
            <w:tcW w:w="4536" w:type="dxa"/>
          </w:tcPr>
          <w:p w14:paraId="51BAE6FC" w14:textId="7030A78B" w:rsidR="760B44C9" w:rsidRDefault="760B44C9" w:rsidP="0081146A">
            <w:pPr>
              <w:jc w:val="left"/>
              <w:cnfStyle w:val="000000100000" w:firstRow="0" w:lastRow="0" w:firstColumn="0" w:lastColumn="0" w:oddVBand="0" w:evenVBand="0" w:oddHBand="1" w:evenHBand="0" w:firstRowFirstColumn="0" w:firstRowLastColumn="0" w:lastRowFirstColumn="0" w:lastRowLastColumn="0"/>
              <w:rPr>
                <w:rFonts w:eastAsia="Segoe UI" w:cs="Segoe UI"/>
              </w:rPr>
            </w:pPr>
            <w:r w:rsidRPr="760B44C9">
              <w:rPr>
                <w:rFonts w:eastAsia="Segoe UI" w:cs="Segoe UI"/>
              </w:rPr>
              <w:t>Contributed by consumers and their representative organisations through engagement activities in an HTA</w:t>
            </w:r>
          </w:p>
        </w:tc>
      </w:tr>
      <w:tr w:rsidR="760B44C9" w14:paraId="7E426E22" w14:textId="77777777" w:rsidTr="00405FD7">
        <w:trPr>
          <w:trHeight w:val="300"/>
        </w:trPr>
        <w:tc>
          <w:tcPr>
            <w:cnfStyle w:val="001000000000" w:firstRow="0" w:lastRow="0" w:firstColumn="1" w:lastColumn="0" w:oddVBand="0" w:evenVBand="0" w:oddHBand="0" w:evenHBand="0" w:firstRowFirstColumn="0" w:firstRowLastColumn="0" w:lastRowFirstColumn="0" w:lastRowLastColumn="0"/>
            <w:tcW w:w="4536" w:type="dxa"/>
          </w:tcPr>
          <w:p w14:paraId="55C3EE8A" w14:textId="6D921B4C" w:rsidR="760B44C9" w:rsidRPr="004D2644" w:rsidRDefault="760B44C9" w:rsidP="0081146A">
            <w:pPr>
              <w:jc w:val="left"/>
              <w:rPr>
                <w:rFonts w:eastAsia="Segoe UI" w:cs="Segoe UI"/>
                <w:b w:val="0"/>
              </w:rPr>
            </w:pPr>
            <w:r w:rsidRPr="004D2644">
              <w:rPr>
                <w:rFonts w:eastAsia="Segoe UI" w:cs="Segoe UI"/>
                <w:b w:val="0"/>
              </w:rPr>
              <w:t xml:space="preserve">Draws on a range of robust methods </w:t>
            </w:r>
            <w:r w:rsidR="00BE4EAD">
              <w:rPr>
                <w:rFonts w:eastAsia="Segoe UI" w:cs="Segoe UI"/>
                <w:b w:val="0"/>
              </w:rPr>
              <w:t xml:space="preserve">with known </w:t>
            </w:r>
            <w:r w:rsidRPr="004D2644">
              <w:rPr>
                <w:rFonts w:eastAsia="Segoe UI" w:cs="Segoe UI"/>
                <w:b w:val="0"/>
              </w:rPr>
              <w:t>strengths and limitations</w:t>
            </w:r>
          </w:p>
        </w:tc>
        <w:tc>
          <w:tcPr>
            <w:tcW w:w="4536" w:type="dxa"/>
          </w:tcPr>
          <w:p w14:paraId="01B76758" w14:textId="28158F0B" w:rsidR="760B44C9" w:rsidRDefault="760B44C9" w:rsidP="0081146A">
            <w:pPr>
              <w:jc w:val="left"/>
              <w:cnfStyle w:val="000000000000" w:firstRow="0" w:lastRow="0" w:firstColumn="0" w:lastColumn="0" w:oddVBand="0" w:evenVBand="0" w:oddHBand="0" w:evenHBand="0" w:firstRowFirstColumn="0" w:firstRowLastColumn="0" w:lastRowFirstColumn="0" w:lastRowLastColumn="0"/>
              <w:rPr>
                <w:rFonts w:eastAsia="Segoe UI" w:cs="Segoe UI"/>
              </w:rPr>
            </w:pPr>
            <w:r w:rsidRPr="760B44C9">
              <w:rPr>
                <w:rFonts w:eastAsia="Segoe UI" w:cs="Segoe UI"/>
              </w:rPr>
              <w:t>Draws on lived experience of members or individuals; may include collating and reporting from discussion groups, interviews, logs and surveys undertaken by consumer organisations</w:t>
            </w:r>
          </w:p>
        </w:tc>
      </w:tr>
      <w:tr w:rsidR="00E37AAD" w14:paraId="113967BB" w14:textId="77777777" w:rsidTr="003A23C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6" w:type="dxa"/>
          </w:tcPr>
          <w:p w14:paraId="77A3CC94" w14:textId="3607F8A8" w:rsidR="760B44C9" w:rsidRPr="004D2644" w:rsidRDefault="760B44C9" w:rsidP="0081146A">
            <w:pPr>
              <w:jc w:val="left"/>
              <w:rPr>
                <w:rFonts w:eastAsia="Segoe UI" w:cs="Segoe UI"/>
                <w:b w:val="0"/>
              </w:rPr>
            </w:pPr>
            <w:r w:rsidRPr="004D2644">
              <w:rPr>
                <w:rFonts w:eastAsia="Segoe UI" w:cs="Segoe UI"/>
                <w:b w:val="0"/>
              </w:rPr>
              <w:t>Provides an appraisal of quality including formal critical assessment and peer review</w:t>
            </w:r>
          </w:p>
        </w:tc>
        <w:tc>
          <w:tcPr>
            <w:tcW w:w="4536" w:type="dxa"/>
          </w:tcPr>
          <w:p w14:paraId="19D72F9E" w14:textId="5D55376B" w:rsidR="760B44C9" w:rsidRDefault="760B44C9" w:rsidP="0081146A">
            <w:pPr>
              <w:jc w:val="left"/>
              <w:cnfStyle w:val="000000100000" w:firstRow="0" w:lastRow="0" w:firstColumn="0" w:lastColumn="0" w:oddVBand="0" w:evenVBand="0" w:oddHBand="1" w:evenHBand="0" w:firstRowFirstColumn="0" w:firstRowLastColumn="0" w:lastRowFirstColumn="0" w:lastRowLastColumn="0"/>
              <w:rPr>
                <w:rFonts w:eastAsia="Segoe UI" w:cs="Segoe UI"/>
              </w:rPr>
            </w:pPr>
            <w:r w:rsidRPr="760B44C9">
              <w:rPr>
                <w:rFonts w:eastAsia="Segoe UI" w:cs="Segoe UI"/>
              </w:rPr>
              <w:t>Quality may depend on factors such as authenticity or diversity of perspectives</w:t>
            </w:r>
          </w:p>
        </w:tc>
      </w:tr>
      <w:tr w:rsidR="760B44C9" w14:paraId="48D67F4F" w14:textId="77777777" w:rsidTr="00405FD7">
        <w:trPr>
          <w:trHeight w:val="300"/>
        </w:trPr>
        <w:tc>
          <w:tcPr>
            <w:cnfStyle w:val="001000000000" w:firstRow="0" w:lastRow="0" w:firstColumn="1" w:lastColumn="0" w:oddVBand="0" w:evenVBand="0" w:oddHBand="0" w:evenHBand="0" w:firstRowFirstColumn="0" w:firstRowLastColumn="0" w:lastRowFirstColumn="0" w:lastRowLastColumn="0"/>
            <w:tcW w:w="4536" w:type="dxa"/>
          </w:tcPr>
          <w:p w14:paraId="10751261" w14:textId="3F1EA304" w:rsidR="760B44C9" w:rsidRPr="004D2644" w:rsidRDefault="760B44C9" w:rsidP="0081146A">
            <w:pPr>
              <w:jc w:val="left"/>
              <w:rPr>
                <w:rFonts w:eastAsia="Segoe UI" w:cs="Segoe UI"/>
                <w:b w:val="0"/>
              </w:rPr>
            </w:pPr>
            <w:r w:rsidRPr="004D2644">
              <w:rPr>
                <w:rFonts w:eastAsia="Segoe UI" w:cs="Segoe UI"/>
                <w:b w:val="0"/>
              </w:rPr>
              <w:t>May be more limited in accounting for HTA context</w:t>
            </w:r>
          </w:p>
        </w:tc>
        <w:tc>
          <w:tcPr>
            <w:tcW w:w="4536" w:type="dxa"/>
          </w:tcPr>
          <w:p w14:paraId="73E28021" w14:textId="17893EFA" w:rsidR="760B44C9" w:rsidRDefault="760B44C9" w:rsidP="0081146A">
            <w:pPr>
              <w:jc w:val="left"/>
              <w:cnfStyle w:val="000000000000" w:firstRow="0" w:lastRow="0" w:firstColumn="0" w:lastColumn="0" w:oddVBand="0" w:evenVBand="0" w:oddHBand="0" w:evenHBand="0" w:firstRowFirstColumn="0" w:firstRowLastColumn="0" w:lastRowFirstColumn="0" w:lastRowLastColumn="0"/>
              <w:rPr>
                <w:rFonts w:eastAsia="Segoe UI" w:cs="Segoe UI"/>
              </w:rPr>
            </w:pPr>
            <w:r w:rsidRPr="760B44C9">
              <w:rPr>
                <w:rFonts w:eastAsia="Segoe UI" w:cs="Segoe UI"/>
              </w:rPr>
              <w:t>Can be dynamic</w:t>
            </w:r>
            <w:r w:rsidR="00375BA8">
              <w:rPr>
                <w:rFonts w:eastAsia="Segoe UI" w:cs="Segoe UI"/>
              </w:rPr>
              <w:t xml:space="preserve"> and </w:t>
            </w:r>
            <w:r w:rsidRPr="760B44C9">
              <w:rPr>
                <w:rFonts w:eastAsia="Segoe UI" w:cs="Segoe UI"/>
              </w:rPr>
              <w:t>more responsive to questions arising in the HTA and the local setting</w:t>
            </w:r>
          </w:p>
        </w:tc>
      </w:tr>
      <w:tr w:rsidR="00E37AAD" w14:paraId="5841B303" w14:textId="77777777" w:rsidTr="003A23C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6" w:type="dxa"/>
          </w:tcPr>
          <w:p w14:paraId="43FCB4C8" w14:textId="0373B133" w:rsidR="760B44C9" w:rsidRPr="004D2644" w:rsidRDefault="760B44C9" w:rsidP="0081146A">
            <w:pPr>
              <w:jc w:val="left"/>
              <w:rPr>
                <w:rFonts w:eastAsia="Segoe UI" w:cs="Segoe UI"/>
                <w:b w:val="0"/>
              </w:rPr>
            </w:pPr>
            <w:r w:rsidRPr="004D2644">
              <w:rPr>
                <w:rFonts w:eastAsia="Segoe UI" w:cs="Segoe UI"/>
                <w:b w:val="0"/>
              </w:rPr>
              <w:t>Research directly addresses questions of bias and balance</w:t>
            </w:r>
          </w:p>
        </w:tc>
        <w:tc>
          <w:tcPr>
            <w:tcW w:w="4536" w:type="dxa"/>
          </w:tcPr>
          <w:p w14:paraId="5A61F2BF" w14:textId="1B021FDA" w:rsidR="760B44C9" w:rsidRDefault="760B44C9" w:rsidP="0081146A">
            <w:pPr>
              <w:jc w:val="left"/>
              <w:cnfStyle w:val="000000100000" w:firstRow="0" w:lastRow="0" w:firstColumn="0" w:lastColumn="0" w:oddVBand="0" w:evenVBand="0" w:oddHBand="1" w:evenHBand="0" w:firstRowFirstColumn="0" w:firstRowLastColumn="0" w:lastRowFirstColumn="0" w:lastRowLastColumn="0"/>
              <w:rPr>
                <w:rFonts w:eastAsia="Segoe UI" w:cs="Segoe UI"/>
              </w:rPr>
            </w:pPr>
            <w:r w:rsidRPr="760B44C9">
              <w:rPr>
                <w:rFonts w:eastAsia="Segoe UI" w:cs="Segoe UI"/>
              </w:rPr>
              <w:t>Lived experience bias is part of the value, not mediated by a research perspective</w:t>
            </w:r>
          </w:p>
        </w:tc>
      </w:tr>
      <w:tr w:rsidR="760B44C9" w14:paraId="285A5072" w14:textId="77777777" w:rsidTr="00405FD7">
        <w:trPr>
          <w:trHeight w:val="300"/>
        </w:trPr>
        <w:tc>
          <w:tcPr>
            <w:cnfStyle w:val="001000000000" w:firstRow="0" w:lastRow="0" w:firstColumn="1" w:lastColumn="0" w:oddVBand="0" w:evenVBand="0" w:oddHBand="0" w:evenHBand="0" w:firstRowFirstColumn="0" w:firstRowLastColumn="0" w:lastRowFirstColumn="0" w:lastRowLastColumn="0"/>
            <w:tcW w:w="4536" w:type="dxa"/>
          </w:tcPr>
          <w:p w14:paraId="73B0169E" w14:textId="7DB0E523" w:rsidR="760B44C9" w:rsidRPr="004D2644" w:rsidRDefault="760B44C9" w:rsidP="0081146A">
            <w:pPr>
              <w:jc w:val="left"/>
              <w:rPr>
                <w:rFonts w:eastAsia="Segoe UI" w:cs="Segoe UI"/>
                <w:b w:val="0"/>
              </w:rPr>
            </w:pPr>
            <w:r w:rsidRPr="004D2644">
              <w:rPr>
                <w:rFonts w:eastAsia="Segoe UI" w:cs="Segoe UI"/>
                <w:b w:val="0"/>
              </w:rPr>
              <w:t xml:space="preserve">Examples </w:t>
            </w:r>
            <w:r w:rsidR="000251EC" w:rsidRPr="004D2644">
              <w:rPr>
                <w:rFonts w:eastAsia="Segoe UI" w:cs="Segoe UI"/>
                <w:b w:val="0"/>
              </w:rPr>
              <w:t>include</w:t>
            </w:r>
            <w:r w:rsidRPr="004D2644">
              <w:rPr>
                <w:rFonts w:eastAsia="Segoe UI" w:cs="Segoe UI"/>
                <w:b w:val="0"/>
              </w:rPr>
              <w:t xml:space="preserve"> qualitative evidence (including </w:t>
            </w:r>
            <w:r w:rsidR="00375BA8">
              <w:rPr>
                <w:rFonts w:eastAsia="Segoe UI" w:cs="Segoe UI"/>
                <w:b w:val="0"/>
              </w:rPr>
              <w:t>q</w:t>
            </w:r>
            <w:r w:rsidRPr="004D2644">
              <w:rPr>
                <w:rFonts w:eastAsia="Segoe UI" w:cs="Segoe UI"/>
                <w:b w:val="0"/>
              </w:rPr>
              <w:t xml:space="preserve">ualitative </w:t>
            </w:r>
            <w:r w:rsidR="00375BA8">
              <w:rPr>
                <w:rFonts w:eastAsia="Segoe UI" w:cs="Segoe UI"/>
                <w:b w:val="0"/>
              </w:rPr>
              <w:t>e</w:t>
            </w:r>
            <w:r w:rsidRPr="004D2644">
              <w:rPr>
                <w:rFonts w:eastAsia="Segoe UI" w:cs="Segoe UI"/>
                <w:b w:val="0"/>
              </w:rPr>
              <w:t xml:space="preserve">vidence </w:t>
            </w:r>
            <w:r w:rsidR="00375BA8">
              <w:rPr>
                <w:rFonts w:eastAsia="Segoe UI" w:cs="Segoe UI"/>
                <w:b w:val="0"/>
              </w:rPr>
              <w:t>s</w:t>
            </w:r>
            <w:r w:rsidRPr="004D2644">
              <w:rPr>
                <w:rFonts w:eastAsia="Segoe UI" w:cs="Segoe UI"/>
                <w:b w:val="0"/>
              </w:rPr>
              <w:t xml:space="preserve">ynthesis), patient preference studies, </w:t>
            </w:r>
            <w:r w:rsidR="00375BA8">
              <w:rPr>
                <w:rFonts w:eastAsia="Segoe UI" w:cs="Segoe UI"/>
                <w:b w:val="0"/>
                <w:bCs w:val="0"/>
              </w:rPr>
              <w:t>p</w:t>
            </w:r>
            <w:r w:rsidR="004D2644" w:rsidRPr="004D2644">
              <w:rPr>
                <w:rFonts w:eastAsia="Segoe UI" w:cs="Segoe UI"/>
                <w:b w:val="0"/>
                <w:bCs w:val="0"/>
              </w:rPr>
              <w:t>atient</w:t>
            </w:r>
            <w:r w:rsidR="00375BA8">
              <w:rPr>
                <w:rFonts w:eastAsia="Segoe UI" w:cs="Segoe UI"/>
                <w:b w:val="0"/>
                <w:bCs w:val="0"/>
              </w:rPr>
              <w:t>-r</w:t>
            </w:r>
            <w:r w:rsidR="004D2644" w:rsidRPr="004D2644">
              <w:rPr>
                <w:rFonts w:eastAsia="Segoe UI" w:cs="Segoe UI"/>
                <w:b w:val="0"/>
                <w:bCs w:val="0"/>
              </w:rPr>
              <w:t xml:space="preserve">eported </w:t>
            </w:r>
            <w:r w:rsidR="00375BA8">
              <w:rPr>
                <w:rFonts w:eastAsia="Segoe UI" w:cs="Segoe UI"/>
                <w:b w:val="0"/>
                <w:bCs w:val="0"/>
              </w:rPr>
              <w:t>o</w:t>
            </w:r>
            <w:r w:rsidR="004D2644" w:rsidRPr="004D2644">
              <w:rPr>
                <w:rFonts w:eastAsia="Segoe UI" w:cs="Segoe UI"/>
                <w:b w:val="0"/>
                <w:bCs w:val="0"/>
              </w:rPr>
              <w:t xml:space="preserve">utcome </w:t>
            </w:r>
            <w:r w:rsidR="00375BA8">
              <w:rPr>
                <w:rFonts w:eastAsia="Segoe UI" w:cs="Segoe UI"/>
                <w:b w:val="0"/>
                <w:bCs w:val="0"/>
              </w:rPr>
              <w:t>m</w:t>
            </w:r>
            <w:r w:rsidR="004D2644" w:rsidRPr="004D2644">
              <w:rPr>
                <w:rFonts w:eastAsia="Segoe UI" w:cs="Segoe UI"/>
                <w:b w:val="0"/>
                <w:bCs w:val="0"/>
              </w:rPr>
              <w:t>easure</w:t>
            </w:r>
            <w:r w:rsidR="00375BA8">
              <w:rPr>
                <w:rFonts w:eastAsia="Segoe UI" w:cs="Segoe UI"/>
                <w:b w:val="0"/>
                <w:bCs w:val="0"/>
              </w:rPr>
              <w:t>s</w:t>
            </w:r>
            <w:r w:rsidR="004D2644" w:rsidRPr="004D2644">
              <w:rPr>
                <w:rFonts w:eastAsia="Segoe UI" w:cs="Segoe UI"/>
                <w:b w:val="0"/>
                <w:bCs w:val="0"/>
              </w:rPr>
              <w:t xml:space="preserve"> </w:t>
            </w:r>
            <w:r w:rsidR="004D2644">
              <w:rPr>
                <w:rFonts w:eastAsia="Segoe UI" w:cs="Segoe UI"/>
                <w:b w:val="0"/>
                <w:bCs w:val="0"/>
              </w:rPr>
              <w:t>(</w:t>
            </w:r>
            <w:r w:rsidRPr="004D2644">
              <w:rPr>
                <w:rFonts w:eastAsia="Segoe UI" w:cs="Segoe UI"/>
                <w:b w:val="0"/>
              </w:rPr>
              <w:t>PROM</w:t>
            </w:r>
            <w:r w:rsidR="00375BA8">
              <w:rPr>
                <w:rFonts w:eastAsia="Segoe UI" w:cs="Segoe UI"/>
                <w:b w:val="0"/>
              </w:rPr>
              <w:t>s</w:t>
            </w:r>
            <w:r w:rsidR="004D2644">
              <w:rPr>
                <w:rFonts w:eastAsia="Segoe UI" w:cs="Segoe UI"/>
                <w:b w:val="0"/>
                <w:bCs w:val="0"/>
              </w:rPr>
              <w:t>)</w:t>
            </w:r>
            <w:r w:rsidRPr="004D2644">
              <w:rPr>
                <w:rFonts w:eastAsia="Segoe UI" w:cs="Segoe UI"/>
                <w:b w:val="0"/>
                <w:bCs w:val="0"/>
              </w:rPr>
              <w:t xml:space="preserve">, </w:t>
            </w:r>
            <w:r w:rsidR="00375BA8">
              <w:rPr>
                <w:rFonts w:eastAsia="Segoe UI" w:cs="Segoe UI"/>
                <w:b w:val="0"/>
                <w:bCs w:val="0"/>
              </w:rPr>
              <w:t>p</w:t>
            </w:r>
            <w:r w:rsidR="004D2644" w:rsidRPr="004D2644">
              <w:rPr>
                <w:rFonts w:eastAsia="Segoe UI" w:cs="Segoe UI"/>
                <w:b w:val="0"/>
                <w:bCs w:val="0"/>
              </w:rPr>
              <w:t>atient</w:t>
            </w:r>
            <w:r w:rsidR="00375BA8">
              <w:rPr>
                <w:rFonts w:eastAsia="Segoe UI" w:cs="Segoe UI"/>
                <w:b w:val="0"/>
                <w:bCs w:val="0"/>
              </w:rPr>
              <w:t>-r</w:t>
            </w:r>
            <w:r w:rsidR="004D2644" w:rsidRPr="004D2644">
              <w:rPr>
                <w:rFonts w:eastAsia="Segoe UI" w:cs="Segoe UI"/>
                <w:b w:val="0"/>
                <w:bCs w:val="0"/>
              </w:rPr>
              <w:t xml:space="preserve">eported </w:t>
            </w:r>
            <w:r w:rsidR="00375BA8">
              <w:rPr>
                <w:rFonts w:eastAsia="Segoe UI" w:cs="Segoe UI"/>
                <w:b w:val="0"/>
                <w:bCs w:val="0"/>
              </w:rPr>
              <w:t>e</w:t>
            </w:r>
            <w:r w:rsidR="004D2644" w:rsidRPr="004D2644">
              <w:rPr>
                <w:rFonts w:eastAsia="Segoe UI" w:cs="Segoe UI"/>
                <w:b w:val="0"/>
                <w:bCs w:val="0"/>
              </w:rPr>
              <w:t xml:space="preserve">xperience </w:t>
            </w:r>
            <w:r w:rsidR="00375BA8">
              <w:rPr>
                <w:rFonts w:eastAsia="Segoe UI" w:cs="Segoe UI"/>
                <w:b w:val="0"/>
                <w:bCs w:val="0"/>
              </w:rPr>
              <w:t>m</w:t>
            </w:r>
            <w:r w:rsidR="004D2644" w:rsidRPr="004D2644">
              <w:rPr>
                <w:rFonts w:eastAsia="Segoe UI" w:cs="Segoe UI"/>
                <w:b w:val="0"/>
                <w:bCs w:val="0"/>
              </w:rPr>
              <w:t>easure</w:t>
            </w:r>
            <w:r w:rsidR="00375BA8">
              <w:rPr>
                <w:rFonts w:eastAsia="Segoe UI" w:cs="Segoe UI"/>
                <w:b w:val="0"/>
                <w:bCs w:val="0"/>
              </w:rPr>
              <w:t>s</w:t>
            </w:r>
            <w:r w:rsidR="004D2644" w:rsidRPr="004D2644">
              <w:rPr>
                <w:rFonts w:eastAsia="Segoe UI" w:cs="Segoe UI"/>
                <w:b w:val="0"/>
                <w:bCs w:val="0"/>
              </w:rPr>
              <w:t xml:space="preserve"> </w:t>
            </w:r>
            <w:r w:rsidR="004D2644">
              <w:rPr>
                <w:rFonts w:eastAsia="Segoe UI" w:cs="Segoe UI"/>
                <w:b w:val="0"/>
                <w:bCs w:val="0"/>
              </w:rPr>
              <w:t>(</w:t>
            </w:r>
            <w:r w:rsidRPr="004D2644">
              <w:rPr>
                <w:rFonts w:eastAsia="Segoe UI" w:cs="Segoe UI"/>
                <w:b w:val="0"/>
              </w:rPr>
              <w:t>PREM</w:t>
            </w:r>
            <w:r w:rsidR="00375BA8">
              <w:rPr>
                <w:rFonts w:eastAsia="Segoe UI" w:cs="Segoe UI"/>
                <w:b w:val="0"/>
              </w:rPr>
              <w:t>s</w:t>
            </w:r>
            <w:r w:rsidR="004D2644">
              <w:rPr>
                <w:rFonts w:eastAsia="Segoe UI" w:cs="Segoe UI"/>
                <w:b w:val="0"/>
                <w:bCs w:val="0"/>
              </w:rPr>
              <w:t>)</w:t>
            </w:r>
            <w:r w:rsidR="00375BA8">
              <w:rPr>
                <w:rFonts w:eastAsia="Segoe UI" w:cs="Segoe UI"/>
                <w:b w:val="0"/>
                <w:bCs w:val="0"/>
              </w:rPr>
              <w:t xml:space="preserve"> and</w:t>
            </w:r>
            <w:r w:rsidRPr="004D2644">
              <w:rPr>
                <w:rFonts w:eastAsia="Segoe UI" w:cs="Segoe UI"/>
                <w:b w:val="0"/>
              </w:rPr>
              <w:t xml:space="preserve"> patient experience data</w:t>
            </w:r>
          </w:p>
        </w:tc>
        <w:tc>
          <w:tcPr>
            <w:tcW w:w="4536" w:type="dxa"/>
          </w:tcPr>
          <w:p w14:paraId="099526E0" w14:textId="0BC55BC5" w:rsidR="760B44C9" w:rsidRDefault="760B44C9" w:rsidP="0081146A">
            <w:pPr>
              <w:jc w:val="left"/>
              <w:cnfStyle w:val="000000000000" w:firstRow="0" w:lastRow="0" w:firstColumn="0" w:lastColumn="0" w:oddVBand="0" w:evenVBand="0" w:oddHBand="0" w:evenHBand="0" w:firstRowFirstColumn="0" w:firstRowLastColumn="0" w:lastRowFirstColumn="0" w:lastRowLastColumn="0"/>
              <w:rPr>
                <w:rFonts w:eastAsia="Segoe UI" w:cs="Segoe UI"/>
              </w:rPr>
            </w:pPr>
            <w:r w:rsidRPr="760B44C9">
              <w:rPr>
                <w:rFonts w:eastAsia="Segoe UI" w:cs="Segoe UI"/>
              </w:rPr>
              <w:t xml:space="preserve">Examples include dialogue with consumers, presentations at meetings, </w:t>
            </w:r>
            <w:r w:rsidR="00375BA8">
              <w:rPr>
                <w:rFonts w:eastAsia="Segoe UI" w:cs="Segoe UI"/>
              </w:rPr>
              <w:t xml:space="preserve">and </w:t>
            </w:r>
            <w:r w:rsidRPr="760B44C9">
              <w:rPr>
                <w:rFonts w:eastAsia="Segoe UI" w:cs="Segoe UI"/>
              </w:rPr>
              <w:t>written submissions collating perspectives such as consumer comments</w:t>
            </w:r>
          </w:p>
        </w:tc>
      </w:tr>
      <w:tr w:rsidR="00E37AAD" w14:paraId="538EDF47" w14:textId="77777777" w:rsidTr="003A23C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6" w:type="dxa"/>
          </w:tcPr>
          <w:p w14:paraId="7063C7E6" w14:textId="399C14CE" w:rsidR="760B44C9" w:rsidRPr="004D2644" w:rsidRDefault="00375BA8" w:rsidP="0081146A">
            <w:pPr>
              <w:jc w:val="left"/>
              <w:rPr>
                <w:rFonts w:eastAsia="Segoe UI" w:cs="Segoe UI"/>
                <w:b w:val="0"/>
              </w:rPr>
            </w:pPr>
            <w:r>
              <w:rPr>
                <w:rFonts w:eastAsia="Segoe UI" w:cs="Segoe UI"/>
                <w:b w:val="0"/>
              </w:rPr>
              <w:t>It is s</w:t>
            </w:r>
            <w:r w:rsidR="760B44C9" w:rsidRPr="004D2644">
              <w:rPr>
                <w:rFonts w:eastAsia="Segoe UI" w:cs="Segoe UI"/>
                <w:b w:val="0"/>
              </w:rPr>
              <w:t xml:space="preserve">ustainable, </w:t>
            </w:r>
            <w:r>
              <w:rPr>
                <w:rFonts w:eastAsia="Segoe UI" w:cs="Segoe UI"/>
                <w:b w:val="0"/>
              </w:rPr>
              <w:t xml:space="preserve">and </w:t>
            </w:r>
            <w:r w:rsidR="760B44C9" w:rsidRPr="004D2644">
              <w:rPr>
                <w:rFonts w:eastAsia="Segoe UI" w:cs="Segoe UI"/>
                <w:b w:val="0"/>
              </w:rPr>
              <w:t>may be used to address</w:t>
            </w:r>
            <w:r w:rsidR="00453069">
              <w:rPr>
                <w:rFonts w:eastAsia="Segoe UI" w:cs="Segoe UI"/>
                <w:b w:val="0"/>
              </w:rPr>
              <w:t xml:space="preserve"> </w:t>
            </w:r>
            <w:r w:rsidR="760B44C9" w:rsidRPr="004D2644">
              <w:rPr>
                <w:rFonts w:eastAsia="Segoe UI" w:cs="Segoe UI"/>
                <w:b w:val="0"/>
              </w:rPr>
              <w:t>questions in a variety of HTAs and settings</w:t>
            </w:r>
          </w:p>
        </w:tc>
        <w:tc>
          <w:tcPr>
            <w:tcW w:w="4536" w:type="dxa"/>
          </w:tcPr>
          <w:p w14:paraId="19E2FAEC" w14:textId="62E05F20" w:rsidR="760B44C9" w:rsidRDefault="760B44C9" w:rsidP="0081146A">
            <w:pPr>
              <w:jc w:val="left"/>
              <w:cnfStyle w:val="000000100000" w:firstRow="0" w:lastRow="0" w:firstColumn="0" w:lastColumn="0" w:oddVBand="0" w:evenVBand="0" w:oddHBand="1" w:evenHBand="0" w:firstRowFirstColumn="0" w:firstRowLastColumn="0" w:lastRowFirstColumn="0" w:lastRowLastColumn="0"/>
              <w:rPr>
                <w:rFonts w:eastAsia="Segoe UI" w:cs="Segoe UI"/>
              </w:rPr>
            </w:pPr>
            <w:r w:rsidRPr="760B44C9">
              <w:rPr>
                <w:rFonts w:eastAsia="Segoe UI" w:cs="Segoe UI"/>
              </w:rPr>
              <w:t>Burden falls to consumers and their organisations</w:t>
            </w:r>
          </w:p>
        </w:tc>
      </w:tr>
    </w:tbl>
    <w:p w14:paraId="1A1E948E" w14:textId="3A8F93CA" w:rsidR="00400B8F" w:rsidRDefault="00C16518" w:rsidP="0081146A">
      <w:pPr>
        <w:spacing w:before="240" w:after="120"/>
        <w:rPr>
          <w:rFonts w:eastAsia="Arial"/>
          <w:color w:val="000000" w:themeColor="text1"/>
        </w:rPr>
      </w:pPr>
      <w:r>
        <w:rPr>
          <w:rFonts w:eastAsia="Arial"/>
          <w:color w:val="000000" w:themeColor="text1"/>
        </w:rPr>
        <w:t>HTA advisory</w:t>
      </w:r>
      <w:r w:rsidR="00582C8D">
        <w:rPr>
          <w:rFonts w:eastAsia="Arial"/>
          <w:color w:val="000000" w:themeColor="text1"/>
        </w:rPr>
        <w:t xml:space="preserve"> committees consider these additional elements </w:t>
      </w:r>
      <w:r w:rsidR="009B1B20">
        <w:rPr>
          <w:rFonts w:eastAsia="Arial"/>
          <w:color w:val="000000" w:themeColor="text1"/>
        </w:rPr>
        <w:t>to</w:t>
      </w:r>
      <w:r w:rsidR="004965E9">
        <w:rPr>
          <w:rFonts w:eastAsia="Arial"/>
          <w:color w:val="000000" w:themeColor="text1"/>
        </w:rPr>
        <w:t xml:space="preserve"> identify and report on factors that:</w:t>
      </w:r>
    </w:p>
    <w:p w14:paraId="419048C9" w14:textId="606B9EDD" w:rsidR="004965E9" w:rsidRDefault="004965E9" w:rsidP="00281153">
      <w:pPr>
        <w:pStyle w:val="ListBullet"/>
        <w:numPr>
          <w:ilvl w:val="0"/>
          <w:numId w:val="79"/>
        </w:numPr>
      </w:pPr>
      <w:r>
        <w:t>are unique to the pro</w:t>
      </w:r>
      <w:r w:rsidR="00C4375F">
        <w:t>po</w:t>
      </w:r>
      <w:r>
        <w:t>sed technology, cir</w:t>
      </w:r>
      <w:r w:rsidR="00CC6F97">
        <w:t xml:space="preserve">cumstances of use or funding arrangement that </w:t>
      </w:r>
      <w:r w:rsidR="00717500">
        <w:t>may not have been captured elsewhere</w:t>
      </w:r>
    </w:p>
    <w:p w14:paraId="6B93BB9E" w14:textId="03CB501D" w:rsidR="00CD4056" w:rsidRDefault="00CD4056" w:rsidP="00281153">
      <w:pPr>
        <w:pStyle w:val="ListBullet"/>
        <w:numPr>
          <w:ilvl w:val="0"/>
          <w:numId w:val="79"/>
        </w:numPr>
      </w:pPr>
      <w:r>
        <w:lastRenderedPageBreak/>
        <w:t>have considerable impact on the way the clinical and economic results are interpreted</w:t>
      </w:r>
      <w:r w:rsidR="00AE3FD5">
        <w:t>.</w:t>
      </w:r>
    </w:p>
    <w:p w14:paraId="0A1AE170" w14:textId="141935F1" w:rsidR="00433FF3" w:rsidRDefault="00C12FD0" w:rsidP="00405FD7">
      <w:pPr>
        <w:spacing w:after="120"/>
        <w:rPr>
          <w:rFonts w:eastAsia="Arial"/>
          <w:color w:val="000000" w:themeColor="text1"/>
        </w:rPr>
      </w:pPr>
      <w:r>
        <w:t>T</w:t>
      </w:r>
      <w:r w:rsidR="00433FF3">
        <w:t>hese factors can include</w:t>
      </w:r>
      <w:r w:rsidR="00A15B0E">
        <w:t xml:space="preserve"> </w:t>
      </w:r>
      <w:r w:rsidR="00A15B0E" w:rsidRPr="000C756E">
        <w:t>PROMs and PREMs that might not otherwise be captured via standard measures of quality of life</w:t>
      </w:r>
      <w:r w:rsidR="00A15B0E">
        <w:t>, or</w:t>
      </w:r>
      <w:r w:rsidR="00433FF3">
        <w:t xml:space="preserve"> non-clinical outcomes for patients such as </w:t>
      </w:r>
      <w:r w:rsidR="00433FF3" w:rsidRPr="000C756E">
        <w:t>second</w:t>
      </w:r>
      <w:r w:rsidR="00433FF3">
        <w:t>-</w:t>
      </w:r>
      <w:r w:rsidR="00433FF3" w:rsidRPr="000C756E">
        <w:t>order effects, social benefits, carer benefits</w:t>
      </w:r>
      <w:r w:rsidR="009B7235">
        <w:t xml:space="preserve"> and</w:t>
      </w:r>
      <w:r w:rsidR="00433FF3" w:rsidRPr="000C756E">
        <w:t xml:space="preserve"> productivity</w:t>
      </w:r>
      <w:r w:rsidR="00433FF3">
        <w:t xml:space="preserve">. They also include other factors that may influence decision-making such as </w:t>
      </w:r>
      <w:r w:rsidR="00433FF3" w:rsidRPr="00803D71">
        <w:t>equity</w:t>
      </w:r>
      <w:r w:rsidR="00433FF3">
        <w:t xml:space="preserve">, </w:t>
      </w:r>
      <w:r w:rsidR="00433FF3" w:rsidRPr="00803D71">
        <w:t>clinical need, severity, value of knowing prognosis or diagnosis, public health issues and other relevant considerations</w:t>
      </w:r>
      <w:r w:rsidR="00433FF3">
        <w:t>.</w:t>
      </w:r>
    </w:p>
    <w:p w14:paraId="5A42908E" w14:textId="263715ED" w:rsidR="00D656D6" w:rsidRDefault="00845353" w:rsidP="002E014B">
      <w:pPr>
        <w:spacing w:after="120"/>
        <w:rPr>
          <w:rFonts w:eastAsia="Arial"/>
          <w:color w:val="000000" w:themeColor="text1"/>
        </w:rPr>
      </w:pPr>
      <w:r>
        <w:rPr>
          <w:rFonts w:eastAsia="Arial"/>
          <w:color w:val="000000" w:themeColor="text1"/>
        </w:rPr>
        <w:t>C</w:t>
      </w:r>
      <w:r w:rsidR="000E74D5">
        <w:rPr>
          <w:rFonts w:eastAsia="Arial"/>
          <w:color w:val="000000" w:themeColor="text1"/>
        </w:rPr>
        <w:t xml:space="preserve">onsideration of consumer evidence and input is a prominent part of deliberation by HTA </w:t>
      </w:r>
      <w:r w:rsidR="00C16518">
        <w:rPr>
          <w:rFonts w:eastAsia="Arial"/>
          <w:color w:val="000000" w:themeColor="text1"/>
        </w:rPr>
        <w:t xml:space="preserve">advisory </w:t>
      </w:r>
      <w:r w:rsidR="000E74D5">
        <w:rPr>
          <w:rFonts w:eastAsia="Arial"/>
          <w:color w:val="000000" w:themeColor="text1"/>
        </w:rPr>
        <w:t>committees</w:t>
      </w:r>
      <w:r w:rsidR="00F079D9">
        <w:rPr>
          <w:rFonts w:eastAsia="Arial"/>
          <w:color w:val="000000" w:themeColor="text1"/>
        </w:rPr>
        <w:t xml:space="preserve"> in Australia</w:t>
      </w:r>
      <w:r w:rsidR="00FB7457">
        <w:rPr>
          <w:rFonts w:eastAsia="Arial"/>
          <w:color w:val="000000" w:themeColor="text1"/>
        </w:rPr>
        <w:t>.</w:t>
      </w:r>
      <w:r w:rsidR="000E74D5">
        <w:rPr>
          <w:rFonts w:eastAsia="Arial"/>
          <w:color w:val="000000" w:themeColor="text1"/>
        </w:rPr>
        <w:t xml:space="preserve"> </w:t>
      </w:r>
      <w:r w:rsidR="00FB7457">
        <w:rPr>
          <w:rFonts w:eastAsia="Arial"/>
          <w:color w:val="000000" w:themeColor="text1"/>
        </w:rPr>
        <w:t>I</w:t>
      </w:r>
      <w:r w:rsidR="000E74D5">
        <w:rPr>
          <w:rFonts w:eastAsia="Arial"/>
          <w:color w:val="000000" w:themeColor="text1"/>
        </w:rPr>
        <w:t>t can significantly impact the clinical and economic evaluation as well as overall decision-making.</w:t>
      </w:r>
      <w:r w:rsidR="000E74D5">
        <w:rPr>
          <w:rStyle w:val="FootnoteReference"/>
          <w:rFonts w:eastAsia="Arial"/>
          <w:color w:val="000000" w:themeColor="text1"/>
        </w:rPr>
        <w:footnoteReference w:id="173"/>
      </w:r>
      <w:r w:rsidR="000E74D5">
        <w:rPr>
          <w:rFonts w:eastAsia="Arial"/>
          <w:color w:val="000000" w:themeColor="text1"/>
        </w:rPr>
        <w:t xml:space="preserve"> </w:t>
      </w:r>
    </w:p>
    <w:p w14:paraId="307CEBE8" w14:textId="77777777" w:rsidR="00CA6246" w:rsidRDefault="00845353" w:rsidP="002E014B">
      <w:pPr>
        <w:spacing w:after="120"/>
      </w:pPr>
      <w:r>
        <w:t>Common feedback from individuals and organisations from multiple sectors was that it was uncertain how th</w:t>
      </w:r>
      <w:r w:rsidR="009B06FD">
        <w:t xml:space="preserve">is </w:t>
      </w:r>
      <w:r>
        <w:t>additional</w:t>
      </w:r>
      <w:r w:rsidR="009B06FD">
        <w:t xml:space="preserve"> relevant</w:t>
      </w:r>
      <w:r>
        <w:t xml:space="preserve"> </w:t>
      </w:r>
      <w:r w:rsidR="3DDB8229">
        <w:t xml:space="preserve">evidence and input </w:t>
      </w:r>
      <w:r>
        <w:t xml:space="preserve">was considered in decision-making. </w:t>
      </w:r>
    </w:p>
    <w:p w14:paraId="59612118" w14:textId="566C530E" w:rsidR="00CA6246" w:rsidRDefault="00CA6246" w:rsidP="002E014B">
      <w:pPr>
        <w:spacing w:after="120"/>
      </w:pPr>
      <w:r>
        <w:rPr>
          <w:noProof/>
        </w:rPr>
        <w:lastRenderedPageBreak/>
        <mc:AlternateContent>
          <mc:Choice Requires="wps">
            <w:drawing>
              <wp:inline distT="0" distB="0" distL="0" distR="0" wp14:anchorId="14BB34AD" wp14:editId="55DC68C1">
                <wp:extent cx="5852160" cy="5220586"/>
                <wp:effectExtent l="0" t="0" r="0" b="0"/>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2160" cy="5220586"/>
                        </a:xfrm>
                        <a:prstGeom prst="round2DiagRect">
                          <a:avLst>
                            <a:gd name="adj1" fmla="val 10060"/>
                            <a:gd name="adj2" fmla="val 0"/>
                          </a:avLst>
                        </a:prstGeom>
                        <a:solidFill>
                          <a:schemeClr val="bg1">
                            <a:lumMod val="95000"/>
                          </a:schemeClr>
                        </a:solidFill>
                        <a:ln w="9525">
                          <a:noFill/>
                          <a:miter lim="800000"/>
                          <a:headEnd/>
                          <a:tailEnd/>
                        </a:ln>
                      </wps:spPr>
                      <wps:txbx>
                        <w:txbxContent>
                          <w:p w14:paraId="7E3F6E81" w14:textId="77777777" w:rsidR="00CA6246" w:rsidRPr="00BA3CA7" w:rsidRDefault="00CA6246" w:rsidP="00CA6246">
                            <w:pPr>
                              <w:ind w:right="19"/>
                              <w:rPr>
                                <w:b/>
                                <w:color w:val="005A68" w:themeColor="accent6" w:themeShade="80"/>
                              </w:rPr>
                            </w:pPr>
                            <w:r w:rsidRPr="00BA3CA7">
                              <w:rPr>
                                <w:b/>
                                <w:color w:val="005A68" w:themeColor="accent6" w:themeShade="80"/>
                              </w:rPr>
                              <w:t>What we heard:</w:t>
                            </w:r>
                          </w:p>
                          <w:p w14:paraId="627F546E" w14:textId="77777777" w:rsidR="00CA6246" w:rsidRPr="000C5623" w:rsidRDefault="00CA6246" w:rsidP="00CA6246">
                            <w:pPr>
                              <w:spacing w:after="0"/>
                              <w:ind w:left="283" w:right="19"/>
                              <w:rPr>
                                <w:color w:val="005A68" w:themeColor="accent6" w:themeShade="80"/>
                              </w:rPr>
                            </w:pPr>
                            <w:r>
                              <w:rPr>
                                <w:color w:val="005A68" w:themeColor="accent6" w:themeShade="80"/>
                              </w:rPr>
                              <w:t>‘</w:t>
                            </w:r>
                            <w:r w:rsidRPr="000C5623">
                              <w:rPr>
                                <w:color w:val="005A68" w:themeColor="accent6" w:themeShade="80"/>
                              </w:rPr>
                              <w:t>People with lived experience and consumer perspectives are critical in better understanding the role and value that a medicine can bring. This is particularly so for medicines for treating people with rare diseases when little may be known or published about the condition and the researcher/developer is making available the first-ever treatment.</w:t>
                            </w:r>
                            <w:r>
                              <w:rPr>
                                <w:color w:val="005A68" w:themeColor="accent6" w:themeShade="80"/>
                              </w:rPr>
                              <w:t>’</w:t>
                            </w:r>
                          </w:p>
                          <w:p w14:paraId="49D6ECAE" w14:textId="75CD5295" w:rsidR="00CA6246" w:rsidRPr="00BA3CA7" w:rsidRDefault="00242D8B" w:rsidP="00CA6246">
                            <w:pPr>
                              <w:spacing w:after="0"/>
                              <w:ind w:right="19"/>
                              <w:jc w:val="right"/>
                              <w:rPr>
                                <w:b/>
                                <w:color w:val="005A68" w:themeColor="accent6" w:themeShade="80"/>
                              </w:rPr>
                            </w:pPr>
                            <w:r>
                              <w:rPr>
                                <w:b/>
                                <w:color w:val="005A68" w:themeColor="accent6" w:themeShade="80"/>
                              </w:rPr>
                              <w:t xml:space="preserve">Consultation 1 submission: </w:t>
                            </w:r>
                            <w:r w:rsidR="00CA6246" w:rsidRPr="00BA3CA7">
                              <w:rPr>
                                <w:b/>
                                <w:color w:val="005A68" w:themeColor="accent6" w:themeShade="80"/>
                              </w:rPr>
                              <w:t xml:space="preserve">Biogen </w:t>
                            </w:r>
                          </w:p>
                          <w:p w14:paraId="5542BE8E" w14:textId="77777777" w:rsidR="00CA6246" w:rsidRPr="0065011A" w:rsidRDefault="00CA6246" w:rsidP="00CA6246">
                            <w:pPr>
                              <w:spacing w:after="0"/>
                              <w:ind w:right="19"/>
                              <w:rPr>
                                <w:b/>
                                <w:bCs/>
                                <w:i/>
                                <w:iCs/>
                                <w:color w:val="005A68" w:themeColor="accent6" w:themeShade="80"/>
                              </w:rPr>
                            </w:pPr>
                          </w:p>
                          <w:p w14:paraId="7C952446" w14:textId="77777777" w:rsidR="00CA6246" w:rsidRPr="00637D24"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Guidance and education around expectations of patient involvement in the HTA process needs to be addressed, with the Consumer Evidence and Engagement Unit working with the PBAC to provide clear guidelines for HCOs on the types of information that is valued and the standard of evidence that can support evaluation, so that patients can meaningfully participate.</w:t>
                            </w:r>
                            <w:r>
                              <w:rPr>
                                <w:color w:val="005A68" w:themeColor="accent6" w:themeShade="80"/>
                              </w:rPr>
                              <w:t>’</w:t>
                            </w:r>
                          </w:p>
                          <w:p w14:paraId="5C360036" w14:textId="338766BB" w:rsidR="00CA6246" w:rsidRPr="00BA3CA7" w:rsidRDefault="000D0009" w:rsidP="00CA6246">
                            <w:pPr>
                              <w:ind w:right="19"/>
                              <w:jc w:val="right"/>
                              <w:rPr>
                                <w:b/>
                                <w:color w:val="005A68" w:themeColor="accent6" w:themeShade="80"/>
                              </w:rPr>
                            </w:pPr>
                            <w:bookmarkStart w:id="565" w:name="_Hlk171597558"/>
                            <w:bookmarkStart w:id="566" w:name="_Hlk171597542"/>
                            <w:r>
                              <w:rPr>
                                <w:b/>
                                <w:color w:val="005A68" w:themeColor="accent6" w:themeShade="80"/>
                              </w:rPr>
                              <w:t xml:space="preserve">Consultation 1 submission: </w:t>
                            </w:r>
                            <w:r w:rsidR="00CA6246" w:rsidRPr="00BA3CA7">
                              <w:rPr>
                                <w:b/>
                                <w:color w:val="005A68" w:themeColor="accent6" w:themeShade="80"/>
                              </w:rPr>
                              <w:t>AstraZeneca</w:t>
                            </w:r>
                            <w:bookmarkEnd w:id="565"/>
                          </w:p>
                          <w:bookmarkEnd w:id="566"/>
                          <w:p w14:paraId="2839C3E2" w14:textId="77777777" w:rsidR="000C05E6" w:rsidRDefault="00F15415" w:rsidP="00F15415">
                            <w:pPr>
                              <w:ind w:left="283" w:right="19"/>
                              <w:rPr>
                                <w:color w:val="005A68" w:themeColor="accent6" w:themeShade="80"/>
                              </w:rPr>
                            </w:pPr>
                            <w:r>
                              <w:rPr>
                                <w:color w:val="005A68" w:themeColor="accent6" w:themeShade="80"/>
                              </w:rPr>
                              <w:t>‘</w:t>
                            </w:r>
                            <w:r w:rsidRPr="000C5623">
                              <w:rPr>
                                <w:color w:val="005A68" w:themeColor="accent6" w:themeShade="80"/>
                              </w:rPr>
                              <w:t xml:space="preserve">This is critical and </w:t>
                            </w:r>
                            <w:r w:rsidRPr="000C5623">
                              <w:rPr>
                                <w:color w:val="005A68" w:themeColor="accent6" w:themeShade="80"/>
                              </w:rPr>
                              <w:t>has to be recognised as such. The education and agreement of all stakeholders in how this evidence is weighted and how it is utilised must be transparent and reported on. Best practice models should also be developed to inform all those gathering consumer evidence</w:t>
                            </w:r>
                            <w:r>
                              <w:rPr>
                                <w:color w:val="005A68" w:themeColor="accent6" w:themeShade="80"/>
                              </w:rPr>
                              <w:t>.’</w:t>
                            </w:r>
                            <w:r w:rsidR="000C05E6">
                              <w:rPr>
                                <w:color w:val="005A68" w:themeColor="accent6" w:themeShade="80"/>
                              </w:rPr>
                              <w:t xml:space="preserve"> </w:t>
                            </w:r>
                          </w:p>
                          <w:p w14:paraId="1EC8B219" w14:textId="6A237C46" w:rsidR="00F15415" w:rsidRPr="00A318F7" w:rsidRDefault="000C05E6" w:rsidP="00A318F7">
                            <w:pPr>
                              <w:ind w:left="3915" w:right="19"/>
                              <w:jc w:val="right"/>
                              <w:rPr>
                                <w:b/>
                                <w:bCs/>
                                <w:color w:val="005A68" w:themeColor="accent6" w:themeShade="80"/>
                              </w:rPr>
                            </w:pPr>
                            <w:r w:rsidRPr="00A318F7">
                              <w:rPr>
                                <w:b/>
                                <w:bCs/>
                                <w:color w:val="005A68" w:themeColor="accent6" w:themeShade="80"/>
                              </w:rPr>
                              <w:t xml:space="preserve">Consultation 2 submission: </w:t>
                            </w:r>
                            <w:r w:rsidR="001F0637" w:rsidRPr="00A318F7">
                              <w:rPr>
                                <w:b/>
                                <w:bCs/>
                                <w:color w:val="005A68" w:themeColor="accent6" w:themeShade="80"/>
                              </w:rPr>
                              <w:t>Genetic</w:t>
                            </w:r>
                            <w:r w:rsidR="00CA6465">
                              <w:rPr>
                                <w:b/>
                                <w:bCs/>
                                <w:color w:val="005A68" w:themeColor="accent6" w:themeShade="80"/>
                              </w:rPr>
                              <w:t xml:space="preserve"> </w:t>
                            </w:r>
                            <w:r w:rsidR="001F0637" w:rsidRPr="00A318F7">
                              <w:rPr>
                                <w:b/>
                                <w:bCs/>
                                <w:color w:val="005A68" w:themeColor="accent6" w:themeShade="80"/>
                              </w:rPr>
                              <w:t xml:space="preserve">Support Network of Victoria </w:t>
                            </w:r>
                          </w:p>
                          <w:p w14:paraId="7611DBBE" w14:textId="59815D73" w:rsidR="000C05E6" w:rsidRPr="000C05E6" w:rsidRDefault="000C05E6" w:rsidP="00F15415">
                            <w:pPr>
                              <w:ind w:left="283" w:right="19"/>
                              <w:rPr>
                                <w:color w:val="005A68" w:themeColor="accent6" w:themeShade="80"/>
                              </w:rPr>
                            </w:pPr>
                          </w:p>
                          <w:p w14:paraId="79655222" w14:textId="77777777" w:rsidR="000C05E6" w:rsidRPr="000C5623" w:rsidRDefault="000C05E6" w:rsidP="00F15415">
                            <w:pPr>
                              <w:ind w:left="283" w:right="19"/>
                              <w:rPr>
                                <w:color w:val="005A68" w:themeColor="accent6" w:themeShade="80"/>
                              </w:rPr>
                            </w:pPr>
                          </w:p>
                          <w:p w14:paraId="146523AE" w14:textId="29B0EFD3" w:rsidR="00F15415" w:rsidRPr="00F15415" w:rsidRDefault="000D0009" w:rsidP="00F15415">
                            <w:pPr>
                              <w:ind w:right="19"/>
                              <w:jc w:val="right"/>
                              <w:rPr>
                                <w:b/>
                                <w:bCs/>
                                <w:i/>
                                <w:color w:val="005A68" w:themeColor="accent6" w:themeShade="80"/>
                              </w:rPr>
                            </w:pPr>
                            <w:r>
                              <w:rPr>
                                <w:b/>
                                <w:bCs/>
                                <w:color w:val="005A68" w:themeColor="accent6" w:themeShade="80"/>
                              </w:rPr>
                              <w:t xml:space="preserve">Consultation 2 submission: </w:t>
                            </w:r>
                            <w:r w:rsidR="00F15415" w:rsidRPr="00F15415">
                              <w:rPr>
                                <w:b/>
                                <w:bCs/>
                                <w:color w:val="005A68" w:themeColor="accent6" w:themeShade="80"/>
                              </w:rPr>
                              <w:t>Genetic Support Network of Victoria</w:t>
                            </w:r>
                          </w:p>
                          <w:p w14:paraId="1A53DE7F" w14:textId="1963A155" w:rsidR="00B263F0" w:rsidRDefault="00B263F0" w:rsidP="00CA6246">
                            <w:pPr>
                              <w:ind w:right="19"/>
                              <w:jc w:val="right"/>
                              <w:rPr>
                                <w:b/>
                                <w:color w:val="005A68" w:themeColor="accent6" w:themeShade="80"/>
                              </w:rPr>
                            </w:pPr>
                          </w:p>
                          <w:p w14:paraId="691D31EA" w14:textId="77777777" w:rsidR="00D76176" w:rsidRDefault="00D76176">
                            <w:pPr>
                              <w:rPr>
                                <w:b/>
                                <w:color w:val="005A68" w:themeColor="accent6" w:themeShade="80"/>
                              </w:rPr>
                            </w:pPr>
                          </w:p>
                          <w:p w14:paraId="1934DBF0" w14:textId="77777777" w:rsidR="00685DCD" w:rsidRDefault="00685DCD">
                            <w:pPr>
                              <w:rPr>
                                <w:b/>
                                <w:color w:val="005A68" w:themeColor="accent6" w:themeShade="80"/>
                              </w:rPr>
                            </w:pPr>
                          </w:p>
                          <w:p w14:paraId="4E2082B7" w14:textId="77777777" w:rsidR="00E94FAB" w:rsidRDefault="00E94FAB">
                            <w:pPr>
                              <w:rPr>
                                <w:b/>
                                <w:color w:val="005A68" w:themeColor="accent6" w:themeShade="80"/>
                              </w:rPr>
                            </w:pPr>
                          </w:p>
                          <w:p w14:paraId="579213E1" w14:textId="77777777" w:rsidR="0047006F" w:rsidRDefault="0047006F">
                            <w:pPr>
                              <w:rPr>
                                <w:b/>
                                <w:color w:val="005A68" w:themeColor="accent6" w:themeShade="80"/>
                              </w:rPr>
                            </w:pPr>
                          </w:p>
                          <w:p w14:paraId="692024B7" w14:textId="77777777" w:rsidR="000E22B0" w:rsidRDefault="000E22B0">
                            <w:pPr>
                              <w:rPr>
                                <w:b/>
                                <w:color w:val="005A68" w:themeColor="accent6" w:themeShade="80"/>
                              </w:rPr>
                            </w:pPr>
                          </w:p>
                          <w:p w14:paraId="3CF9A677" w14:textId="77777777" w:rsidR="0047006F" w:rsidRDefault="0047006F">
                            <w:pPr>
                              <w:rPr>
                                <w:b/>
                                <w:color w:val="005A68" w:themeColor="accent6" w:themeShade="80"/>
                              </w:rPr>
                            </w:pPr>
                          </w:p>
                          <w:p w14:paraId="20052808" w14:textId="77777777" w:rsidR="0047006F" w:rsidRDefault="0047006F">
                            <w:pPr>
                              <w:rPr>
                                <w:b/>
                                <w:color w:val="005A68" w:themeColor="accent6" w:themeShade="80"/>
                              </w:rPr>
                            </w:pPr>
                          </w:p>
                          <w:p w14:paraId="49148371" w14:textId="77777777" w:rsidR="00CD6ED9" w:rsidRDefault="00CD6ED9">
                            <w:pPr>
                              <w:rPr>
                                <w:b/>
                                <w:color w:val="005A68" w:themeColor="accent6" w:themeShade="80"/>
                              </w:rPr>
                            </w:pPr>
                          </w:p>
                          <w:p w14:paraId="6C0A2A81" w14:textId="77777777" w:rsidR="00DB242C" w:rsidRDefault="00DB242C">
                            <w:pPr>
                              <w:rPr>
                                <w:b/>
                                <w:color w:val="005A68" w:themeColor="accent6" w:themeShade="80"/>
                              </w:rPr>
                            </w:pPr>
                          </w:p>
                          <w:p w14:paraId="1291EAD1" w14:textId="77777777" w:rsidR="0047006F" w:rsidRDefault="0047006F">
                            <w:pPr>
                              <w:rPr>
                                <w:b/>
                                <w:color w:val="005A68" w:themeColor="accent6" w:themeShade="80"/>
                              </w:rPr>
                            </w:pPr>
                          </w:p>
                          <w:p w14:paraId="1D3100AE" w14:textId="77777777" w:rsidR="004F7178" w:rsidRDefault="004F7178">
                            <w:pPr>
                              <w:rPr>
                                <w:b/>
                                <w:color w:val="005A68" w:themeColor="accent6" w:themeShade="80"/>
                              </w:rPr>
                            </w:pPr>
                          </w:p>
                          <w:p w14:paraId="77C05917" w14:textId="77777777" w:rsidR="005443AE" w:rsidRDefault="005443AE">
                            <w:pPr>
                              <w:rPr>
                                <w:b/>
                                <w:color w:val="000000"/>
                                <w14:textFill>
                                  <w14:solidFill>
                                    <w14:srgbClr w14:val="000000">
                                      <w14:lumMod w14:val="50000"/>
                                    </w14:srgbClr>
                                  </w14:solidFill>
                                </w14:textFill>
                              </w:rPr>
                            </w:pPr>
                          </w:p>
                          <w:p w14:paraId="1EB30FA8" w14:textId="2BD3CF26" w:rsidR="00CA6246" w:rsidRDefault="00CA6246">
                            <w:pPr>
                              <w:rPr>
                                <w:b/>
                                <w:color w:val="000000"/>
                                <w14:textFill>
                                  <w14:solidFill>
                                    <w14:srgbClr w14:val="000000">
                                      <w14:lumMod w14:val="50000"/>
                                    </w14:srgbClr>
                                  </w14:solidFill>
                                </w14:textFill>
                              </w:rPr>
                            </w:pPr>
                          </w:p>
                        </w:txbxContent>
                      </wps:txbx>
                      <wps:bodyPr rot="0" vert="horz" wrap="square" lIns="91440" tIns="45720" rIns="91440" bIns="45720" anchor="t" anchorCtr="0">
                        <a:noAutofit/>
                      </wps:bodyPr>
                    </wps:wsp>
                  </a:graphicData>
                </a:graphic>
              </wp:inline>
            </w:drawing>
          </mc:Choice>
          <mc:Fallback>
            <w:pict>
              <v:shape w14:anchorId="14BB34AD" id="Text Box 20" o:spid="_x0000_s1045" style="width:460.8pt;height:411.05pt;visibility:visible;mso-wrap-style:square;mso-left-percent:-10001;mso-top-percent:-10001;mso-position-horizontal:absolute;mso-position-horizontal-relative:char;mso-position-vertical:absolute;mso-position-vertical-relative:line;mso-left-percent:-10001;mso-top-percent:-10001;v-text-anchor:top" coordsize="5852160,522058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" adj="-11796480,,5400" path="m525191,l5852160,r,l5852160,4695395v,290055,-235136,525191,-525191,525191l,5220586r,l,525191c,235136,235136,,525191,xe" fillcolor="#f2f2f2 [3052]" stroked="f">
                <v:stroke joinstyle="miter"/>
                <v:formulas/>
                <v:path arrowok="t" o:connecttype="custom" o:connectlocs="525191,0;5852160,0;5852160,0;5852160,4695395;5326969,5220586;0,5220586;0,5220586;0,525191;525191,0" o:connectangles="0,0,0,0,0,0,0,0,0" textboxrect="0,0,5852160,5220586"/>
                <v:textbox>
                  <w:txbxContent>
                    <w:p w14:paraId="7E3F6E81" w14:textId="77777777" w:rsidR="00CA6246" w:rsidRPr="00BA3CA7" w:rsidRDefault="00CA6246" w:rsidP="00CA6246">
                      <w:pPr>
                        <w:ind w:right="19"/>
                        <w:rPr>
                          <w:b/>
                          <w:color w:val="005A68" w:themeColor="accent6" w:themeShade="80"/>
                        </w:rPr>
                      </w:pPr>
                      <w:r w:rsidRPr="00BA3CA7">
                        <w:rPr>
                          <w:b/>
                          <w:color w:val="005A68" w:themeColor="accent6" w:themeShade="80"/>
                        </w:rPr>
                        <w:t>What we heard:</w:t>
                      </w:r>
                    </w:p>
                    <w:p w14:paraId="627F546E" w14:textId="77777777" w:rsidR="00CA6246" w:rsidRPr="000C5623" w:rsidRDefault="00CA6246" w:rsidP="00CA6246">
                      <w:pPr>
                        <w:spacing w:after="0"/>
                        <w:ind w:left="283" w:right="19"/>
                        <w:rPr>
                          <w:color w:val="005A68" w:themeColor="accent6" w:themeShade="80"/>
                        </w:rPr>
                      </w:pPr>
                      <w:r>
                        <w:rPr>
                          <w:color w:val="005A68" w:themeColor="accent6" w:themeShade="80"/>
                        </w:rPr>
                        <w:t>‘</w:t>
                      </w:r>
                      <w:r w:rsidRPr="000C5623">
                        <w:rPr>
                          <w:color w:val="005A68" w:themeColor="accent6" w:themeShade="80"/>
                        </w:rPr>
                        <w:t>People with lived experience and consumer perspectives are critical in better understanding the role and value that a medicine can bring. This is particularly so for medicines for treating people with rare diseases when little may be known or published about the condition and the researcher/developer is making available the first-ever treatment.</w:t>
                      </w:r>
                      <w:r>
                        <w:rPr>
                          <w:color w:val="005A68" w:themeColor="accent6" w:themeShade="80"/>
                        </w:rPr>
                        <w:t>’</w:t>
                      </w:r>
                    </w:p>
                    <w:p w14:paraId="49D6ECAE" w14:textId="75CD5295" w:rsidR="00CA6246" w:rsidRPr="00BA3CA7" w:rsidRDefault="00242D8B" w:rsidP="00CA6246">
                      <w:pPr>
                        <w:spacing w:after="0"/>
                        <w:ind w:right="19"/>
                        <w:jc w:val="right"/>
                        <w:rPr>
                          <w:b/>
                          <w:color w:val="005A68" w:themeColor="accent6" w:themeShade="80"/>
                        </w:rPr>
                      </w:pPr>
                      <w:r>
                        <w:rPr>
                          <w:b/>
                          <w:color w:val="005A68" w:themeColor="accent6" w:themeShade="80"/>
                        </w:rPr>
                        <w:t xml:space="preserve">Consultation 1 submission: </w:t>
                      </w:r>
                      <w:r w:rsidR="00CA6246" w:rsidRPr="00BA3CA7">
                        <w:rPr>
                          <w:b/>
                          <w:color w:val="005A68" w:themeColor="accent6" w:themeShade="80"/>
                        </w:rPr>
                        <w:t xml:space="preserve">Biogen </w:t>
                      </w:r>
                    </w:p>
                    <w:p w14:paraId="5542BE8E" w14:textId="77777777" w:rsidR="00CA6246" w:rsidRPr="0065011A" w:rsidRDefault="00CA6246" w:rsidP="00CA6246">
                      <w:pPr>
                        <w:spacing w:after="0"/>
                        <w:ind w:right="19"/>
                        <w:rPr>
                          <w:b/>
                          <w:bCs/>
                          <w:i/>
                          <w:iCs/>
                          <w:color w:val="005A68" w:themeColor="accent6" w:themeShade="80"/>
                        </w:rPr>
                      </w:pPr>
                    </w:p>
                    <w:p w14:paraId="7C952446" w14:textId="77777777" w:rsidR="00CA6246" w:rsidRPr="00637D24" w:rsidRDefault="00CA6246" w:rsidP="00CA6246">
                      <w:pPr>
                        <w:ind w:left="283" w:right="19"/>
                        <w:rPr>
                          <w:color w:val="005A68" w:themeColor="accent6" w:themeShade="80"/>
                        </w:rPr>
                      </w:pPr>
                      <w:r>
                        <w:rPr>
                          <w:color w:val="005A68" w:themeColor="accent6" w:themeShade="80"/>
                        </w:rPr>
                        <w:t>‘</w:t>
                      </w:r>
                      <w:r w:rsidRPr="000C5623">
                        <w:rPr>
                          <w:color w:val="005A68" w:themeColor="accent6" w:themeShade="80"/>
                        </w:rPr>
                        <w:t>Guidance and education around expectations of patient involvement in the HTA process needs to be addressed, with the Consumer Evidence and Engagement Unit working with the PBAC to provide clear guidelines for HCOs on the types of information that is valued and the standard of evidence that can support evaluation, so that patients can meaningfully participate.</w:t>
                      </w:r>
                      <w:r>
                        <w:rPr>
                          <w:color w:val="005A68" w:themeColor="accent6" w:themeShade="80"/>
                        </w:rPr>
                        <w:t>’</w:t>
                      </w:r>
                    </w:p>
                    <w:p w14:paraId="5C360036" w14:textId="338766BB" w:rsidR="00CA6246" w:rsidRPr="00BA3CA7" w:rsidRDefault="000D0009" w:rsidP="00CA6246">
                      <w:pPr>
                        <w:ind w:right="19"/>
                        <w:jc w:val="right"/>
                        <w:rPr>
                          <w:b/>
                          <w:color w:val="005A68" w:themeColor="accent6" w:themeShade="80"/>
                        </w:rPr>
                      </w:pPr>
                      <w:bookmarkStart w:id="569" w:name="_Hlk171597558"/>
                      <w:bookmarkStart w:id="570" w:name="_Hlk171597542"/>
                      <w:r>
                        <w:rPr>
                          <w:b/>
                          <w:color w:val="005A68" w:themeColor="accent6" w:themeShade="80"/>
                        </w:rPr>
                        <w:t xml:space="preserve">Consultation 1 submission: </w:t>
                      </w:r>
                      <w:r w:rsidR="00CA6246" w:rsidRPr="00BA3CA7">
                        <w:rPr>
                          <w:b/>
                          <w:color w:val="005A68" w:themeColor="accent6" w:themeShade="80"/>
                        </w:rPr>
                        <w:t>AstraZeneca</w:t>
                      </w:r>
                      <w:bookmarkEnd w:id="569"/>
                    </w:p>
                    <w:bookmarkEnd w:id="570"/>
                    <w:p w14:paraId="2839C3E2" w14:textId="77777777" w:rsidR="000C05E6" w:rsidRDefault="00F15415" w:rsidP="00F15415">
                      <w:pPr>
                        <w:ind w:left="283" w:right="19"/>
                        <w:rPr>
                          <w:color w:val="005A68" w:themeColor="accent6" w:themeShade="80"/>
                        </w:rPr>
                      </w:pPr>
                      <w:r>
                        <w:rPr>
                          <w:color w:val="005A68" w:themeColor="accent6" w:themeShade="80"/>
                        </w:rPr>
                        <w:t>‘</w:t>
                      </w:r>
                      <w:r w:rsidRPr="000C5623">
                        <w:rPr>
                          <w:color w:val="005A68" w:themeColor="accent6" w:themeShade="80"/>
                        </w:rPr>
                        <w:t>This is critical and has to be recognised as such. The education and agreement of all stakeholders in how this evidence is weighted and how it is utilised must be transparent and reported on. Best practice models should also be developed to inform all those gathering consumer evidence</w:t>
                      </w:r>
                      <w:r>
                        <w:rPr>
                          <w:color w:val="005A68" w:themeColor="accent6" w:themeShade="80"/>
                        </w:rPr>
                        <w:t>.’</w:t>
                      </w:r>
                      <w:r w:rsidR="000C05E6">
                        <w:rPr>
                          <w:color w:val="005A68" w:themeColor="accent6" w:themeShade="80"/>
                        </w:rPr>
                        <w:t xml:space="preserve"> </w:t>
                      </w:r>
                    </w:p>
                    <w:p w14:paraId="1EC8B219" w14:textId="6A237C46" w:rsidR="00F15415" w:rsidRPr="00A318F7" w:rsidRDefault="000C05E6" w:rsidP="00A318F7">
                      <w:pPr>
                        <w:ind w:left="3915" w:right="19"/>
                        <w:jc w:val="right"/>
                        <w:rPr>
                          <w:b/>
                          <w:bCs/>
                          <w:color w:val="005A68" w:themeColor="accent6" w:themeShade="80"/>
                        </w:rPr>
                      </w:pPr>
                      <w:r w:rsidRPr="00A318F7">
                        <w:rPr>
                          <w:b/>
                          <w:bCs/>
                          <w:color w:val="005A68" w:themeColor="accent6" w:themeShade="80"/>
                        </w:rPr>
                        <w:t xml:space="preserve">Consultation 2 submission: </w:t>
                      </w:r>
                      <w:r w:rsidR="001F0637" w:rsidRPr="00A318F7">
                        <w:rPr>
                          <w:b/>
                          <w:bCs/>
                          <w:color w:val="005A68" w:themeColor="accent6" w:themeShade="80"/>
                        </w:rPr>
                        <w:t>Genetic</w:t>
                      </w:r>
                      <w:r w:rsidR="00CA6465">
                        <w:rPr>
                          <w:b/>
                          <w:bCs/>
                          <w:color w:val="005A68" w:themeColor="accent6" w:themeShade="80"/>
                        </w:rPr>
                        <w:t xml:space="preserve"> </w:t>
                      </w:r>
                      <w:r w:rsidR="001F0637" w:rsidRPr="00A318F7">
                        <w:rPr>
                          <w:b/>
                          <w:bCs/>
                          <w:color w:val="005A68" w:themeColor="accent6" w:themeShade="80"/>
                        </w:rPr>
                        <w:t xml:space="preserve">Support Network of Victoria </w:t>
                      </w:r>
                    </w:p>
                    <w:p w14:paraId="7611DBBE" w14:textId="59815D73" w:rsidR="000C05E6" w:rsidRPr="000C05E6" w:rsidRDefault="000C05E6" w:rsidP="00F15415">
                      <w:pPr>
                        <w:ind w:left="283" w:right="19"/>
                        <w:rPr>
                          <w:color w:val="005A68" w:themeColor="accent6" w:themeShade="80"/>
                        </w:rPr>
                      </w:pPr>
                    </w:p>
                    <w:p w14:paraId="79655222" w14:textId="77777777" w:rsidR="000C05E6" w:rsidRPr="000C5623" w:rsidRDefault="000C05E6" w:rsidP="00F15415">
                      <w:pPr>
                        <w:ind w:left="283" w:right="19"/>
                        <w:rPr>
                          <w:color w:val="005A68" w:themeColor="accent6" w:themeShade="80"/>
                        </w:rPr>
                      </w:pPr>
                    </w:p>
                    <w:p w14:paraId="146523AE" w14:textId="29B0EFD3" w:rsidR="00F15415" w:rsidRPr="00F15415" w:rsidRDefault="000D0009" w:rsidP="00F15415">
                      <w:pPr>
                        <w:ind w:right="19"/>
                        <w:jc w:val="right"/>
                        <w:rPr>
                          <w:b/>
                          <w:bCs/>
                          <w:i/>
                          <w:color w:val="005A68" w:themeColor="accent6" w:themeShade="80"/>
                        </w:rPr>
                      </w:pPr>
                      <w:r>
                        <w:rPr>
                          <w:b/>
                          <w:bCs/>
                          <w:color w:val="005A68" w:themeColor="accent6" w:themeShade="80"/>
                        </w:rPr>
                        <w:t xml:space="preserve">Consultation 2 submission: </w:t>
                      </w:r>
                      <w:r w:rsidR="00F15415" w:rsidRPr="00F15415">
                        <w:rPr>
                          <w:b/>
                          <w:bCs/>
                          <w:color w:val="005A68" w:themeColor="accent6" w:themeShade="80"/>
                        </w:rPr>
                        <w:t>Genetic Support Network of Victoria</w:t>
                      </w:r>
                    </w:p>
                    <w:p w14:paraId="1A53DE7F" w14:textId="1963A155" w:rsidR="00B263F0" w:rsidRDefault="00B263F0" w:rsidP="00CA6246">
                      <w:pPr>
                        <w:ind w:right="19"/>
                        <w:jc w:val="right"/>
                        <w:rPr>
                          <w:b/>
                          <w:color w:val="005A68" w:themeColor="accent6" w:themeShade="80"/>
                        </w:rPr>
                      </w:pPr>
                    </w:p>
                    <w:p w14:paraId="691D31EA" w14:textId="77777777" w:rsidR="00D76176" w:rsidRDefault="00D76176">
                      <w:pPr>
                        <w:rPr>
                          <w:b/>
                          <w:color w:val="005A68" w:themeColor="accent6" w:themeShade="80"/>
                        </w:rPr>
                      </w:pPr>
                    </w:p>
                    <w:p w14:paraId="1934DBF0" w14:textId="77777777" w:rsidR="00685DCD" w:rsidRDefault="00685DCD">
                      <w:pPr>
                        <w:rPr>
                          <w:b/>
                          <w:color w:val="005A68" w:themeColor="accent6" w:themeShade="80"/>
                        </w:rPr>
                      </w:pPr>
                    </w:p>
                    <w:p w14:paraId="4E2082B7" w14:textId="77777777" w:rsidR="00E94FAB" w:rsidRDefault="00E94FAB">
                      <w:pPr>
                        <w:rPr>
                          <w:b/>
                          <w:color w:val="005A68" w:themeColor="accent6" w:themeShade="80"/>
                        </w:rPr>
                      </w:pPr>
                    </w:p>
                    <w:p w14:paraId="579213E1" w14:textId="77777777" w:rsidR="0047006F" w:rsidRDefault="0047006F">
                      <w:pPr>
                        <w:rPr>
                          <w:b/>
                          <w:color w:val="005A68" w:themeColor="accent6" w:themeShade="80"/>
                        </w:rPr>
                      </w:pPr>
                    </w:p>
                    <w:p w14:paraId="692024B7" w14:textId="77777777" w:rsidR="000E22B0" w:rsidRDefault="000E22B0">
                      <w:pPr>
                        <w:rPr>
                          <w:b/>
                          <w:color w:val="005A68" w:themeColor="accent6" w:themeShade="80"/>
                        </w:rPr>
                      </w:pPr>
                    </w:p>
                    <w:p w14:paraId="3CF9A677" w14:textId="77777777" w:rsidR="0047006F" w:rsidRDefault="0047006F">
                      <w:pPr>
                        <w:rPr>
                          <w:b/>
                          <w:color w:val="005A68" w:themeColor="accent6" w:themeShade="80"/>
                        </w:rPr>
                      </w:pPr>
                    </w:p>
                    <w:p w14:paraId="20052808" w14:textId="77777777" w:rsidR="0047006F" w:rsidRDefault="0047006F">
                      <w:pPr>
                        <w:rPr>
                          <w:b/>
                          <w:color w:val="005A68" w:themeColor="accent6" w:themeShade="80"/>
                        </w:rPr>
                      </w:pPr>
                    </w:p>
                    <w:p w14:paraId="49148371" w14:textId="77777777" w:rsidR="00CD6ED9" w:rsidRDefault="00CD6ED9">
                      <w:pPr>
                        <w:rPr>
                          <w:b/>
                          <w:color w:val="005A68" w:themeColor="accent6" w:themeShade="80"/>
                        </w:rPr>
                      </w:pPr>
                    </w:p>
                    <w:p w14:paraId="6C0A2A81" w14:textId="77777777" w:rsidR="00DB242C" w:rsidRDefault="00DB242C">
                      <w:pPr>
                        <w:rPr>
                          <w:b/>
                          <w:color w:val="005A68" w:themeColor="accent6" w:themeShade="80"/>
                        </w:rPr>
                      </w:pPr>
                    </w:p>
                    <w:p w14:paraId="1291EAD1" w14:textId="77777777" w:rsidR="0047006F" w:rsidRDefault="0047006F">
                      <w:pPr>
                        <w:rPr>
                          <w:b/>
                          <w:color w:val="005A68" w:themeColor="accent6" w:themeShade="80"/>
                        </w:rPr>
                      </w:pPr>
                    </w:p>
                    <w:p w14:paraId="1D3100AE" w14:textId="77777777" w:rsidR="004F7178" w:rsidRDefault="004F7178">
                      <w:pPr>
                        <w:rPr>
                          <w:b/>
                          <w:color w:val="005A68" w:themeColor="accent6" w:themeShade="80"/>
                        </w:rPr>
                      </w:pPr>
                    </w:p>
                    <w:p w14:paraId="77C05917" w14:textId="77777777" w:rsidR="005443AE" w:rsidRDefault="005443AE">
                      <w:pPr>
                        <w:rPr>
                          <w:b/>
                          <w:color w:val="000000"/>
                          <w14:textFill>
                            <w14:solidFill>
                              <w14:srgbClr w14:val="000000">
                                <w14:lumMod w14:val="50000"/>
                              </w14:srgbClr>
                            </w14:solidFill>
                          </w14:textFill>
                        </w:rPr>
                      </w:pPr>
                    </w:p>
                    <w:p w14:paraId="1EB30FA8" w14:textId="2BD3CF26" w:rsidR="00CA6246" w:rsidRDefault="00CA6246">
                      <w:pPr>
                        <w:rPr>
                          <w:b/>
                          <w:color w:val="000000"/>
                          <w14:textFill>
                            <w14:solidFill>
                              <w14:srgbClr w14:val="000000">
                                <w14:lumMod w14:val="50000"/>
                              </w14:srgbClr>
                            </w14:solidFill>
                          </w14:textFill>
                        </w:rPr>
                      </w:pPr>
                    </w:p>
                  </w:txbxContent>
                </v:textbox>
                <w10:anchorlock/>
              </v:shape>
            </w:pict>
          </mc:Fallback>
        </mc:AlternateContent>
      </w:r>
    </w:p>
    <w:p w14:paraId="494D10B6" w14:textId="4751001A" w:rsidR="00731464" w:rsidRDefault="00544066" w:rsidP="009A62EC">
      <w:pPr>
        <w:pStyle w:val="Heading3"/>
      </w:pPr>
      <w:r>
        <w:t>Findings</w:t>
      </w:r>
    </w:p>
    <w:p w14:paraId="2C86E3AB" w14:textId="2A50E17E" w:rsidR="00731464" w:rsidRDefault="00731464" w:rsidP="00731464">
      <w:pPr>
        <w:pStyle w:val="Heading4"/>
      </w:pPr>
      <w:r>
        <w:t>How</w:t>
      </w:r>
      <w:r w:rsidRPr="00F97B57">
        <w:t xml:space="preserve"> </w:t>
      </w:r>
      <w:r>
        <w:t>consumer evidence and input</w:t>
      </w:r>
      <w:r w:rsidRPr="00F97B57">
        <w:t xml:space="preserve"> is considered by </w:t>
      </w:r>
      <w:r>
        <w:t>HTA advisory c</w:t>
      </w:r>
      <w:r w:rsidRPr="00F97B57">
        <w:t>ommittees</w:t>
      </w:r>
      <w:r>
        <w:t xml:space="preserve"> is uncertain</w:t>
      </w:r>
    </w:p>
    <w:p w14:paraId="16E6D1CF" w14:textId="7BE761AE" w:rsidR="000E74D5" w:rsidRDefault="000E74D5" w:rsidP="00405FD7">
      <w:pPr>
        <w:spacing w:after="120"/>
        <w:rPr>
          <w:rFonts w:eastAsia="Arial"/>
          <w:color w:val="000000" w:themeColor="text1"/>
        </w:rPr>
      </w:pPr>
      <w:r>
        <w:rPr>
          <w:rFonts w:eastAsia="Arial"/>
          <w:color w:val="000000" w:themeColor="text1"/>
        </w:rPr>
        <w:t xml:space="preserve">As discussed in Chapter 6, this </w:t>
      </w:r>
      <w:r w:rsidR="00E967F5">
        <w:rPr>
          <w:rFonts w:eastAsia="Arial"/>
          <w:color w:val="000000" w:themeColor="text1"/>
        </w:rPr>
        <w:t>uncertainty is</w:t>
      </w:r>
      <w:r>
        <w:rPr>
          <w:rFonts w:eastAsia="Arial"/>
          <w:color w:val="000000" w:themeColor="text1"/>
        </w:rPr>
        <w:t xml:space="preserve"> </w:t>
      </w:r>
      <w:r w:rsidR="00A902BB">
        <w:rPr>
          <w:rFonts w:eastAsia="Arial"/>
          <w:color w:val="000000" w:themeColor="text1"/>
        </w:rPr>
        <w:t>partly</w:t>
      </w:r>
      <w:r>
        <w:rPr>
          <w:rFonts w:eastAsia="Arial"/>
          <w:color w:val="000000" w:themeColor="text1"/>
        </w:rPr>
        <w:t xml:space="preserve"> due to a lack of</w:t>
      </w:r>
      <w:r w:rsidRPr="00AF4822">
        <w:rPr>
          <w:rFonts w:eastAsia="Arial"/>
          <w:color w:val="000000" w:themeColor="text1"/>
        </w:rPr>
        <w:t xml:space="preserve"> information about how </w:t>
      </w:r>
      <w:r>
        <w:rPr>
          <w:rFonts w:eastAsia="Arial"/>
          <w:color w:val="000000" w:themeColor="text1"/>
        </w:rPr>
        <w:t xml:space="preserve">consumer evidence and input should be </w:t>
      </w:r>
      <w:r w:rsidR="00171A5D">
        <w:rPr>
          <w:rFonts w:eastAsia="Arial"/>
          <w:color w:val="000000" w:themeColor="text1"/>
        </w:rPr>
        <w:t>prepared and</w:t>
      </w:r>
      <w:r>
        <w:rPr>
          <w:rFonts w:eastAsia="Arial"/>
          <w:color w:val="000000" w:themeColor="text1"/>
        </w:rPr>
        <w:t xml:space="preserve"> presented</w:t>
      </w:r>
      <w:r w:rsidR="00A902BB">
        <w:rPr>
          <w:rFonts w:eastAsia="Arial"/>
          <w:color w:val="000000" w:themeColor="text1"/>
        </w:rPr>
        <w:t>,</w:t>
      </w:r>
      <w:r>
        <w:rPr>
          <w:rFonts w:eastAsia="Arial"/>
          <w:color w:val="000000" w:themeColor="text1"/>
        </w:rPr>
        <w:t xml:space="preserve"> in sponsor submissions and consumer comments</w:t>
      </w:r>
      <w:r w:rsidRPr="00AF4822">
        <w:rPr>
          <w:rFonts w:eastAsia="Arial"/>
          <w:color w:val="000000" w:themeColor="text1"/>
        </w:rPr>
        <w:t xml:space="preserve">. </w:t>
      </w:r>
      <w:r>
        <w:rPr>
          <w:rFonts w:eastAsia="Arial"/>
          <w:color w:val="000000" w:themeColor="text1"/>
        </w:rPr>
        <w:t xml:space="preserve">It was perceived that this </w:t>
      </w:r>
      <w:r w:rsidR="00BB442C">
        <w:rPr>
          <w:rFonts w:eastAsia="Arial"/>
          <w:color w:val="000000" w:themeColor="text1"/>
        </w:rPr>
        <w:t>lack of information</w:t>
      </w:r>
      <w:r>
        <w:rPr>
          <w:rFonts w:eastAsia="Arial"/>
          <w:color w:val="000000" w:themeColor="text1"/>
        </w:rPr>
        <w:t xml:space="preserve"> impeded </w:t>
      </w:r>
      <w:r w:rsidR="009B7235">
        <w:rPr>
          <w:rFonts w:eastAsia="Arial"/>
          <w:color w:val="000000" w:themeColor="text1"/>
        </w:rPr>
        <w:t xml:space="preserve">bringing </w:t>
      </w:r>
      <w:r>
        <w:rPr>
          <w:rFonts w:eastAsia="Arial"/>
          <w:color w:val="000000" w:themeColor="text1"/>
        </w:rPr>
        <w:t xml:space="preserve">a strong and useful consumer perspective into the decision-making </w:t>
      </w:r>
      <w:proofErr w:type="gramStart"/>
      <w:r>
        <w:rPr>
          <w:rFonts w:eastAsia="Arial"/>
          <w:color w:val="000000" w:themeColor="text1"/>
        </w:rPr>
        <w:t>process</w:t>
      </w:r>
      <w:r w:rsidR="04452A3C" w:rsidRPr="760B44C9">
        <w:rPr>
          <w:rFonts w:eastAsia="Arial"/>
          <w:color w:val="000000" w:themeColor="text1"/>
        </w:rPr>
        <w:t>, and</w:t>
      </w:r>
      <w:proofErr w:type="gramEnd"/>
      <w:r w:rsidR="04452A3C" w:rsidRPr="760B44C9">
        <w:rPr>
          <w:rFonts w:eastAsia="Arial"/>
          <w:color w:val="000000" w:themeColor="text1"/>
        </w:rPr>
        <w:t xml:space="preserve"> resulted in it</w:t>
      </w:r>
      <w:r w:rsidR="009B7235">
        <w:rPr>
          <w:rFonts w:eastAsia="Arial"/>
          <w:color w:val="000000" w:themeColor="text1"/>
        </w:rPr>
        <w:t xml:space="preserve"> only</w:t>
      </w:r>
      <w:r w:rsidR="04452A3C" w:rsidRPr="760B44C9">
        <w:rPr>
          <w:rFonts w:eastAsia="Arial"/>
          <w:color w:val="000000" w:themeColor="text1"/>
        </w:rPr>
        <w:t xml:space="preserve"> being</w:t>
      </w:r>
      <w:r w:rsidR="04452A3C" w:rsidRPr="760B44C9" w:rsidDel="009B7235">
        <w:rPr>
          <w:rFonts w:eastAsia="Arial"/>
          <w:color w:val="000000" w:themeColor="text1"/>
        </w:rPr>
        <w:t xml:space="preserve"> </w:t>
      </w:r>
      <w:r w:rsidR="04452A3C" w:rsidRPr="760B44C9">
        <w:rPr>
          <w:rFonts w:eastAsia="Arial"/>
          <w:color w:val="000000" w:themeColor="text1"/>
        </w:rPr>
        <w:t>used in appraisal</w:t>
      </w:r>
      <w:r w:rsidR="009B7235">
        <w:rPr>
          <w:rFonts w:eastAsia="Arial"/>
          <w:color w:val="000000" w:themeColor="text1"/>
        </w:rPr>
        <w:t>s</w:t>
      </w:r>
      <w:r>
        <w:rPr>
          <w:rFonts w:eastAsia="Arial"/>
          <w:color w:val="000000" w:themeColor="text1"/>
        </w:rPr>
        <w:t xml:space="preserve">. </w:t>
      </w:r>
    </w:p>
    <w:p w14:paraId="543BEF41" w14:textId="769B5847" w:rsidR="000E74D5" w:rsidRDefault="000E74D5" w:rsidP="00405FD7">
      <w:pPr>
        <w:spacing w:after="120" w:line="257" w:lineRule="auto"/>
        <w:rPr>
          <w:rFonts w:eastAsia="Segoe UI" w:cs="Segoe UI"/>
          <w:color w:val="000000" w:themeColor="text1"/>
        </w:rPr>
      </w:pPr>
      <w:r w:rsidRPr="760B44C9">
        <w:rPr>
          <w:rFonts w:eastAsia="Arial"/>
          <w:color w:val="000000" w:themeColor="text1"/>
        </w:rPr>
        <w:t>Additionally, the outcome measures used in HTA</w:t>
      </w:r>
      <w:r w:rsidR="009B7235">
        <w:rPr>
          <w:rFonts w:eastAsia="Arial"/>
          <w:color w:val="000000" w:themeColor="text1"/>
        </w:rPr>
        <w:t>s</w:t>
      </w:r>
      <w:r w:rsidRPr="760B44C9">
        <w:rPr>
          <w:rFonts w:eastAsia="Arial"/>
          <w:color w:val="000000" w:themeColor="text1"/>
        </w:rPr>
        <w:t xml:space="preserve"> can sometimes be contentious or not representative of </w:t>
      </w:r>
      <w:proofErr w:type="gramStart"/>
      <w:r w:rsidRPr="760B44C9">
        <w:rPr>
          <w:rFonts w:eastAsia="Arial"/>
          <w:color w:val="000000" w:themeColor="text1"/>
        </w:rPr>
        <w:t>particular patient</w:t>
      </w:r>
      <w:proofErr w:type="gramEnd"/>
      <w:r w:rsidRPr="760B44C9">
        <w:rPr>
          <w:rFonts w:eastAsia="Arial"/>
          <w:color w:val="000000" w:themeColor="text1"/>
        </w:rPr>
        <w:t xml:space="preserve"> populations. </w:t>
      </w:r>
      <w:r w:rsidR="0D8B9C1C" w:rsidRPr="760B44C9">
        <w:rPr>
          <w:rFonts w:eastAsia="Segoe UI" w:cs="Segoe UI"/>
          <w:color w:val="000000" w:themeColor="text1"/>
        </w:rPr>
        <w:t xml:space="preserve">While </w:t>
      </w:r>
      <w:r w:rsidR="009B7235">
        <w:rPr>
          <w:rFonts w:eastAsia="Segoe UI" w:cs="Segoe UI"/>
          <w:color w:val="000000" w:themeColor="text1"/>
        </w:rPr>
        <w:t>p</w:t>
      </w:r>
      <w:r w:rsidR="0D8B9C1C" w:rsidRPr="760B44C9">
        <w:rPr>
          <w:rFonts w:eastAsia="Segoe UI" w:cs="Segoe UI"/>
          <w:color w:val="000000" w:themeColor="text1"/>
        </w:rPr>
        <w:t>atient-</w:t>
      </w:r>
      <w:r w:rsidR="009B7235">
        <w:rPr>
          <w:rFonts w:eastAsia="Segoe UI" w:cs="Segoe UI"/>
          <w:color w:val="000000" w:themeColor="text1"/>
        </w:rPr>
        <w:t>r</w:t>
      </w:r>
      <w:r w:rsidR="0D8B9C1C" w:rsidRPr="760B44C9">
        <w:rPr>
          <w:rFonts w:eastAsia="Segoe UI" w:cs="Segoe UI"/>
          <w:color w:val="000000" w:themeColor="text1"/>
        </w:rPr>
        <w:t xml:space="preserve">elevant </w:t>
      </w:r>
      <w:r w:rsidR="009B7235">
        <w:rPr>
          <w:rFonts w:eastAsia="Segoe UI" w:cs="Segoe UI"/>
          <w:color w:val="000000" w:themeColor="text1"/>
        </w:rPr>
        <w:t>o</w:t>
      </w:r>
      <w:r w:rsidR="0D8B9C1C" w:rsidRPr="760B44C9">
        <w:rPr>
          <w:rFonts w:eastAsia="Segoe UI" w:cs="Segoe UI"/>
          <w:color w:val="000000" w:themeColor="text1"/>
        </w:rPr>
        <w:t>utcomes</w:t>
      </w:r>
      <w:bookmarkStart w:id="567" w:name="_Hlk167638121"/>
      <w:r w:rsidR="002E5B9B">
        <w:rPr>
          <w:rFonts w:eastAsia="Segoe UI" w:cs="Segoe UI"/>
          <w:color w:val="000000" w:themeColor="text1"/>
        </w:rPr>
        <w:t xml:space="preserve"> (PROs)</w:t>
      </w:r>
      <w:r w:rsidR="0D8B9C1C" w:rsidRPr="760B44C9">
        <w:rPr>
          <w:rFonts w:eastAsia="Segoe UI" w:cs="Segoe UI"/>
          <w:color w:val="000000" w:themeColor="text1"/>
        </w:rPr>
        <w:t xml:space="preserve"> </w:t>
      </w:r>
      <w:bookmarkEnd w:id="567"/>
      <w:r w:rsidR="0D8B9C1C" w:rsidRPr="760B44C9">
        <w:rPr>
          <w:rFonts w:eastAsia="Segoe UI" w:cs="Segoe UI"/>
          <w:color w:val="000000" w:themeColor="text1"/>
        </w:rPr>
        <w:t xml:space="preserve">are generally considered in the form of </w:t>
      </w:r>
      <w:r w:rsidR="00335276">
        <w:rPr>
          <w:rFonts w:eastAsia="Segoe UI" w:cs="Segoe UI"/>
          <w:color w:val="000000" w:themeColor="text1"/>
        </w:rPr>
        <w:t>quality</w:t>
      </w:r>
      <w:r w:rsidR="00255A6F">
        <w:rPr>
          <w:rFonts w:eastAsia="Segoe UI" w:cs="Segoe UI"/>
          <w:color w:val="000000" w:themeColor="text1"/>
        </w:rPr>
        <w:t>-</w:t>
      </w:r>
      <w:r w:rsidR="00335276">
        <w:rPr>
          <w:rFonts w:eastAsia="Segoe UI" w:cs="Segoe UI"/>
          <w:color w:val="000000" w:themeColor="text1"/>
        </w:rPr>
        <w:t>of</w:t>
      </w:r>
      <w:r w:rsidR="00255A6F">
        <w:rPr>
          <w:rFonts w:eastAsia="Segoe UI" w:cs="Segoe UI"/>
          <w:color w:val="000000" w:themeColor="text1"/>
        </w:rPr>
        <w:t>-</w:t>
      </w:r>
      <w:r w:rsidR="00335276">
        <w:rPr>
          <w:rFonts w:eastAsia="Segoe UI" w:cs="Segoe UI"/>
          <w:color w:val="000000" w:themeColor="text1"/>
        </w:rPr>
        <w:t>life</w:t>
      </w:r>
      <w:r w:rsidR="002E5B9B">
        <w:rPr>
          <w:rFonts w:eastAsia="Segoe UI" w:cs="Segoe UI"/>
          <w:color w:val="000000" w:themeColor="text1"/>
        </w:rPr>
        <w:t xml:space="preserve"> </w:t>
      </w:r>
      <w:r w:rsidR="0D8B9C1C" w:rsidRPr="760B44C9">
        <w:rPr>
          <w:rFonts w:eastAsia="Segoe UI" w:cs="Segoe UI"/>
          <w:color w:val="000000" w:themeColor="text1"/>
        </w:rPr>
        <w:t>ratings, the relevance of particular outcome measures can vary for different groups, and sometimes commonly</w:t>
      </w:r>
      <w:r w:rsidR="004D57FC">
        <w:rPr>
          <w:rFonts w:eastAsia="Segoe UI" w:cs="Segoe UI"/>
          <w:color w:val="000000" w:themeColor="text1"/>
        </w:rPr>
        <w:t xml:space="preserve"> </w:t>
      </w:r>
      <w:r w:rsidR="0D8B9C1C" w:rsidRPr="760B44C9">
        <w:rPr>
          <w:rFonts w:eastAsia="Segoe UI" w:cs="Segoe UI"/>
          <w:color w:val="000000" w:themeColor="text1"/>
        </w:rPr>
        <w:t xml:space="preserve">used </w:t>
      </w:r>
      <w:r w:rsidR="00335276">
        <w:rPr>
          <w:rFonts w:eastAsia="Segoe UI" w:cs="Segoe UI"/>
          <w:color w:val="000000" w:themeColor="text1"/>
        </w:rPr>
        <w:t>quality of life</w:t>
      </w:r>
      <w:r w:rsidR="00335276" w:rsidRPr="760B44C9">
        <w:rPr>
          <w:rFonts w:eastAsia="Segoe UI" w:cs="Segoe UI"/>
          <w:color w:val="000000" w:themeColor="text1"/>
        </w:rPr>
        <w:t xml:space="preserve"> </w:t>
      </w:r>
      <w:r w:rsidR="0D8B9C1C" w:rsidRPr="760B44C9">
        <w:rPr>
          <w:rFonts w:eastAsia="Segoe UI" w:cs="Segoe UI"/>
          <w:color w:val="000000" w:themeColor="text1"/>
        </w:rPr>
        <w:t>tools use</w:t>
      </w:r>
      <w:r w:rsidR="00AF5620">
        <w:rPr>
          <w:rFonts w:eastAsia="Segoe UI" w:cs="Segoe UI"/>
          <w:color w:val="000000" w:themeColor="text1"/>
        </w:rPr>
        <w:t xml:space="preserve"> </w:t>
      </w:r>
      <w:r w:rsidR="0D8B9C1C" w:rsidRPr="760B44C9">
        <w:rPr>
          <w:rFonts w:eastAsia="Segoe UI" w:cs="Segoe UI"/>
          <w:color w:val="000000" w:themeColor="text1"/>
        </w:rPr>
        <w:t>domains that are less relevant for populations with different lived experience to the developers of the tools (e.g. people living with life</w:t>
      </w:r>
      <w:r w:rsidR="00932B38">
        <w:rPr>
          <w:rFonts w:eastAsia="Segoe UI" w:cs="Segoe UI"/>
          <w:color w:val="000000" w:themeColor="text1"/>
        </w:rPr>
        <w:t>-</w:t>
      </w:r>
      <w:r w:rsidR="0D8B9C1C" w:rsidRPr="760B44C9">
        <w:rPr>
          <w:rFonts w:eastAsia="Segoe UI" w:cs="Segoe UI"/>
          <w:color w:val="000000" w:themeColor="text1"/>
        </w:rPr>
        <w:t xml:space="preserve">long, degenerative conditions and First Nations people). </w:t>
      </w:r>
      <w:r w:rsidR="0D8B9C1C" w:rsidRPr="001D5CB3">
        <w:rPr>
          <w:rFonts w:eastAsia="Segoe UI" w:cs="Segoe UI"/>
          <w:color w:val="000000" w:themeColor="text1"/>
        </w:rPr>
        <w:t xml:space="preserve">Additionally, sometimes </w:t>
      </w:r>
      <w:r w:rsidR="0032227F" w:rsidRPr="001D5CB3">
        <w:rPr>
          <w:rFonts w:eastAsia="Segoe UI" w:cs="Segoe UI"/>
          <w:color w:val="000000" w:themeColor="text1"/>
        </w:rPr>
        <w:t xml:space="preserve">PROs </w:t>
      </w:r>
      <w:r w:rsidR="0032227F" w:rsidRPr="001D5CB3">
        <w:rPr>
          <w:rFonts w:eastAsia="Segoe UI" w:cs="Segoe UI"/>
          <w:color w:val="000000" w:themeColor="text1"/>
        </w:rPr>
        <w:lastRenderedPageBreak/>
        <w:t xml:space="preserve">derived from the published literature may be clinician reported, </w:t>
      </w:r>
      <w:r w:rsidR="0D8B9C1C" w:rsidRPr="001D5CB3">
        <w:rPr>
          <w:rFonts w:eastAsia="Segoe UI" w:cs="Segoe UI"/>
          <w:color w:val="000000" w:themeColor="text1"/>
        </w:rPr>
        <w:t xml:space="preserve">rather than </w:t>
      </w:r>
      <w:r w:rsidR="004D57FC">
        <w:rPr>
          <w:rFonts w:eastAsia="Segoe UI" w:cs="Segoe UI"/>
          <w:color w:val="000000" w:themeColor="text1"/>
        </w:rPr>
        <w:t xml:space="preserve">being based on </w:t>
      </w:r>
      <w:r w:rsidR="0D8B9C1C" w:rsidRPr="001D5CB3">
        <w:rPr>
          <w:rFonts w:eastAsia="Segoe UI" w:cs="Segoe UI"/>
          <w:color w:val="000000" w:themeColor="text1"/>
        </w:rPr>
        <w:t>those living with the condition or experiencing the treatment.</w:t>
      </w:r>
    </w:p>
    <w:p w14:paraId="4AE12B27" w14:textId="2D827E91" w:rsidR="000E74D5" w:rsidRDefault="1393433E" w:rsidP="00405FD7">
      <w:pPr>
        <w:spacing w:after="120"/>
        <w:rPr>
          <w:rFonts w:eastAsia="Segoe UI" w:cs="Segoe UI"/>
          <w:color w:val="000000" w:themeColor="text1"/>
        </w:rPr>
      </w:pPr>
      <w:r w:rsidRPr="760B44C9">
        <w:rPr>
          <w:rFonts w:eastAsia="Segoe UI" w:cs="Segoe UI"/>
          <w:color w:val="000000" w:themeColor="text1"/>
        </w:rPr>
        <w:t>Therefore, many stakeholders are calling for the greater inclusion of PROs in clinical trials and the use of validated disease-specific PROMs when necessary to ensure that outcomes being measured are meaningful to the population or populations under consideration.</w:t>
      </w:r>
    </w:p>
    <w:p w14:paraId="5B1D9236" w14:textId="5E700D55" w:rsidR="00B123DF" w:rsidRDefault="00FC44DC" w:rsidP="00B123DF">
      <w:pPr>
        <w:pStyle w:val="Heading3"/>
      </w:pPr>
      <w:r>
        <w:t>Conclusion</w:t>
      </w:r>
    </w:p>
    <w:p w14:paraId="67401ECB" w14:textId="1660B209" w:rsidR="00932345" w:rsidRPr="00803D71" w:rsidRDefault="00253BA2" w:rsidP="00405FD7">
      <w:pPr>
        <w:rPr>
          <w:rFonts w:eastAsia="Arial"/>
          <w:color w:val="000000" w:themeColor="text1"/>
        </w:rPr>
      </w:pPr>
      <w:r>
        <w:t>C</w:t>
      </w:r>
      <w:r w:rsidR="008C41ED">
        <w:t>onsumer evidence and input</w:t>
      </w:r>
      <w:r w:rsidR="00932345">
        <w:t xml:space="preserve"> are considered</w:t>
      </w:r>
      <w:r w:rsidR="008C41ED">
        <w:t xml:space="preserve"> extensively by HTA advisory committees</w:t>
      </w:r>
      <w:r w:rsidR="68EB2AAA">
        <w:t xml:space="preserve">, </w:t>
      </w:r>
      <w:r w:rsidR="1AF6A6D4">
        <w:t>but</w:t>
      </w:r>
      <w:r w:rsidR="00932345">
        <w:t xml:space="preserve"> </w:t>
      </w:r>
      <w:r w:rsidR="0008190F">
        <w:t>their</w:t>
      </w:r>
      <w:r w:rsidR="00932345">
        <w:t xml:space="preserve"> impact </w:t>
      </w:r>
      <w:r w:rsidR="0008190F">
        <w:t xml:space="preserve">on </w:t>
      </w:r>
      <w:r w:rsidR="00932345">
        <w:t xml:space="preserve">decision-making is </w:t>
      </w:r>
      <w:r w:rsidR="30EDF0DD">
        <w:t>not understood from</w:t>
      </w:r>
      <w:r w:rsidR="00932345" w:rsidDel="00932345">
        <w:t xml:space="preserve"> </w:t>
      </w:r>
      <w:r w:rsidR="0008190F">
        <w:t>PSDs</w:t>
      </w:r>
      <w:r w:rsidR="00932345">
        <w:t xml:space="preserve">, </w:t>
      </w:r>
      <w:r w:rsidR="67BC3EB2" w:rsidRPr="760B44C9">
        <w:rPr>
          <w:rFonts w:eastAsia="Segoe UI" w:cs="Segoe UI"/>
        </w:rPr>
        <w:t xml:space="preserve">and appropriate methods and use </w:t>
      </w:r>
      <w:r w:rsidR="00255A6F">
        <w:rPr>
          <w:rFonts w:eastAsia="Segoe UI" w:cs="Segoe UI"/>
        </w:rPr>
        <w:t>are</w:t>
      </w:r>
      <w:r w:rsidR="67BC3EB2" w:rsidRPr="760B44C9">
        <w:rPr>
          <w:rFonts w:eastAsia="Segoe UI" w:cs="Segoe UI"/>
        </w:rPr>
        <w:t xml:space="preserve"> not clear</w:t>
      </w:r>
      <w:r w:rsidR="00932345">
        <w:t xml:space="preserve"> in </w:t>
      </w:r>
      <w:r w:rsidR="17E46A13">
        <w:t>the</w:t>
      </w:r>
      <w:r w:rsidR="00932345">
        <w:t xml:space="preserve"> guidelines. </w:t>
      </w:r>
      <w:r w:rsidR="00046383">
        <w:t>This has created uncertainty for</w:t>
      </w:r>
      <w:r w:rsidR="00046383" w:rsidDel="001B7E15">
        <w:t xml:space="preserve"> </w:t>
      </w:r>
      <w:r w:rsidR="00046383">
        <w:t xml:space="preserve">sponsors, clinicians and consumers about </w:t>
      </w:r>
      <w:r w:rsidR="001E08D0">
        <w:t xml:space="preserve">how to prepare </w:t>
      </w:r>
      <w:r w:rsidR="00D91121">
        <w:t xml:space="preserve">and use this </w:t>
      </w:r>
      <w:r w:rsidR="1709EE4B">
        <w:t>evidence and input</w:t>
      </w:r>
      <w:r w:rsidR="00B322C6">
        <w:t>,</w:t>
      </w:r>
      <w:r w:rsidR="1709EE4B">
        <w:t xml:space="preserve"> </w:t>
      </w:r>
      <w:r w:rsidR="00D91121">
        <w:t>and the</w:t>
      </w:r>
      <w:r w:rsidR="001E08D0">
        <w:t xml:space="preserve"> impact </w:t>
      </w:r>
      <w:r w:rsidR="00D91121">
        <w:t xml:space="preserve">it </w:t>
      </w:r>
      <w:r w:rsidR="001E08D0">
        <w:t>ha</w:t>
      </w:r>
      <w:r w:rsidR="00D91121">
        <w:t>s</w:t>
      </w:r>
      <w:r w:rsidR="001E08D0">
        <w:t xml:space="preserve"> on decision</w:t>
      </w:r>
      <w:r w:rsidR="00B322C6">
        <w:t>-</w:t>
      </w:r>
      <w:r w:rsidR="001E08D0">
        <w:t xml:space="preserve">making. </w:t>
      </w:r>
      <w:r w:rsidR="00171A5D">
        <w:t>In turn</w:t>
      </w:r>
      <w:r w:rsidR="001B7E15">
        <w:t>,</w:t>
      </w:r>
      <w:r w:rsidR="00171A5D">
        <w:t xml:space="preserve"> it </w:t>
      </w:r>
      <w:proofErr w:type="gramStart"/>
      <w:r w:rsidR="00171A5D">
        <w:t>has</w:t>
      </w:r>
      <w:r w:rsidR="000701CF">
        <w:t>,</w:t>
      </w:r>
      <w:proofErr w:type="gramEnd"/>
      <w:r w:rsidR="000701CF">
        <w:t xml:space="preserve"> at times,</w:t>
      </w:r>
      <w:r w:rsidR="00171A5D">
        <w:t xml:space="preserve"> impeded </w:t>
      </w:r>
      <w:r w:rsidR="00255A6F">
        <w:t>the inclusion of</w:t>
      </w:r>
      <w:r w:rsidR="001B7E15">
        <w:t xml:space="preserve"> </w:t>
      </w:r>
      <w:r w:rsidR="00171A5D">
        <w:t xml:space="preserve">a </w:t>
      </w:r>
      <w:r w:rsidR="000701CF">
        <w:rPr>
          <w:rFonts w:eastAsia="Arial"/>
          <w:color w:val="000000" w:themeColor="text1"/>
        </w:rPr>
        <w:t>useful patient perspective in the decision-making process.</w:t>
      </w:r>
    </w:p>
    <w:p w14:paraId="4047AA1B" w14:textId="5323FFD2" w:rsidR="000D301D" w:rsidRDefault="000D301D" w:rsidP="00A318F7">
      <w:pPr>
        <w:pStyle w:val="Heading3"/>
      </w:pPr>
      <w:bookmarkStart w:id="568" w:name="_Toc164767803"/>
      <w:bookmarkStart w:id="569" w:name="_Toc165473734"/>
      <w:r>
        <w:t>Objective</w:t>
      </w:r>
      <w:r w:rsidR="00AF337F">
        <w:t>s</w:t>
      </w:r>
      <w:r>
        <w:t xml:space="preserve"> of recommendations</w:t>
      </w:r>
      <w:bookmarkEnd w:id="568"/>
      <w:bookmarkEnd w:id="569"/>
    </w:p>
    <w:p w14:paraId="0CA99ADA" w14:textId="4096969A" w:rsidR="00B94851" w:rsidRPr="00F46EFC" w:rsidRDefault="009769DB" w:rsidP="00405FD7">
      <w:pPr>
        <w:rPr>
          <w:rFonts w:eastAsiaTheme="minorEastAsia"/>
        </w:rPr>
      </w:pPr>
      <w:r>
        <w:t xml:space="preserve">The </w:t>
      </w:r>
      <w:r w:rsidR="009B13F7">
        <w:t>Review</w:t>
      </w:r>
      <w:r w:rsidR="00E75822">
        <w:t>’s</w:t>
      </w:r>
      <w:r w:rsidR="009B13F7">
        <w:t xml:space="preserve"> recommendations are intended to ensure that </w:t>
      </w:r>
      <w:r w:rsidR="00D41444">
        <w:rPr>
          <w:rFonts w:eastAsiaTheme="minorEastAsia"/>
        </w:rPr>
        <w:t xml:space="preserve">sponsors and consumers </w:t>
      </w:r>
      <w:r w:rsidR="00983BD9">
        <w:rPr>
          <w:rFonts w:eastAsiaTheme="minorEastAsia"/>
        </w:rPr>
        <w:t xml:space="preserve">understand </w:t>
      </w:r>
      <w:r w:rsidR="00D41444">
        <w:rPr>
          <w:rFonts w:eastAsiaTheme="minorEastAsia"/>
        </w:rPr>
        <w:t>how to prepare</w:t>
      </w:r>
      <w:r w:rsidR="00B94851" w:rsidRPr="585DA335">
        <w:rPr>
          <w:rFonts w:eastAsiaTheme="minorEastAsia"/>
        </w:rPr>
        <w:t xml:space="preserve"> </w:t>
      </w:r>
      <w:r w:rsidR="00A47CBC">
        <w:rPr>
          <w:rFonts w:eastAsiaTheme="minorEastAsia"/>
        </w:rPr>
        <w:t xml:space="preserve">consumer evidence and input </w:t>
      </w:r>
      <w:r w:rsidR="005406C3">
        <w:rPr>
          <w:rFonts w:eastAsiaTheme="minorEastAsia"/>
        </w:rPr>
        <w:t>about patient experiences and perspectives</w:t>
      </w:r>
      <w:r w:rsidR="00A47CBC">
        <w:rPr>
          <w:rFonts w:eastAsiaTheme="minorEastAsia"/>
        </w:rPr>
        <w:t xml:space="preserve"> so that it can inform the </w:t>
      </w:r>
      <w:r w:rsidR="00B94851" w:rsidRPr="585DA335">
        <w:rPr>
          <w:rFonts w:eastAsiaTheme="minorEastAsia"/>
        </w:rPr>
        <w:t>HTA</w:t>
      </w:r>
      <w:r w:rsidR="001B7E15">
        <w:rPr>
          <w:rFonts w:eastAsiaTheme="minorEastAsia"/>
        </w:rPr>
        <w:t xml:space="preserve"> </w:t>
      </w:r>
      <w:r w:rsidR="00B94851" w:rsidRPr="585DA335">
        <w:rPr>
          <w:rFonts w:eastAsiaTheme="minorEastAsia"/>
        </w:rPr>
        <w:t>decision-making process</w:t>
      </w:r>
      <w:r w:rsidR="00A47CBC">
        <w:rPr>
          <w:rFonts w:eastAsiaTheme="minorEastAsia"/>
        </w:rPr>
        <w:t>.</w:t>
      </w:r>
    </w:p>
    <w:p w14:paraId="0370FFF6" w14:textId="0118D7D9" w:rsidR="00951116" w:rsidRDefault="00951116" w:rsidP="00A318F7">
      <w:pPr>
        <w:pStyle w:val="Heading3"/>
      </w:pPr>
      <w:bookmarkStart w:id="570" w:name="_Toc164767804"/>
      <w:bookmarkStart w:id="571" w:name="_Toc165473735"/>
      <w:r>
        <w:t>Recommendation</w:t>
      </w:r>
      <w:bookmarkEnd w:id="570"/>
      <w:bookmarkEnd w:id="571"/>
    </w:p>
    <w:p w14:paraId="23730C97" w14:textId="6C1C60B1" w:rsidR="00951116" w:rsidRDefault="00951116" w:rsidP="00645D5E">
      <w:pPr>
        <w:pStyle w:val="Recommendation1"/>
        <w:rPr>
          <w:rFonts w:cs="Segoe UI"/>
        </w:rPr>
      </w:pPr>
      <w:bookmarkStart w:id="572" w:name="_Ref164782216"/>
      <w:bookmarkStart w:id="573" w:name="_Hlk167302425"/>
      <w:r w:rsidRPr="00824739">
        <w:rPr>
          <w:rFonts w:cs="Segoe UI"/>
        </w:rPr>
        <w:t>M</w:t>
      </w:r>
      <w:r w:rsidRPr="0019054D">
        <w:rPr>
          <w:rStyle w:val="Heading4Char"/>
        </w:rPr>
        <w:t>ethods for assess</w:t>
      </w:r>
      <w:r w:rsidR="00284FDD">
        <w:rPr>
          <w:rStyle w:val="Heading4Char"/>
        </w:rPr>
        <w:t>ing</w:t>
      </w:r>
      <w:r w:rsidRPr="0019054D">
        <w:rPr>
          <w:rStyle w:val="Heading4Char"/>
        </w:rPr>
        <w:t xml:space="preserve"> consumer evidence</w:t>
      </w:r>
      <w:bookmarkEnd w:id="572"/>
    </w:p>
    <w:bookmarkEnd w:id="573"/>
    <w:p w14:paraId="01C6304E" w14:textId="1C8CF139" w:rsidR="00951116" w:rsidRDefault="00951116" w:rsidP="00AC5F37">
      <w:pPr>
        <w:keepNext/>
        <w:spacing w:before="120"/>
      </w:pPr>
      <w:r w:rsidRPr="00A53E48">
        <w:rPr>
          <w:rFonts w:cs="Segoe UI"/>
        </w:rPr>
        <w:t xml:space="preserve">The Review recommends </w:t>
      </w:r>
      <w:r w:rsidR="001B7E15">
        <w:rPr>
          <w:rFonts w:cs="Segoe UI"/>
        </w:rPr>
        <w:t xml:space="preserve">that </w:t>
      </w:r>
      <w:r w:rsidRPr="00A53E48">
        <w:rPr>
          <w:rFonts w:cs="Segoe UI"/>
        </w:rPr>
        <w:t>the Australian Government</w:t>
      </w:r>
      <w:r w:rsidR="00C44592">
        <w:rPr>
          <w:rFonts w:cs="Segoe UI"/>
        </w:rPr>
        <w:t xml:space="preserve"> </w:t>
      </w:r>
      <w:r w:rsidR="00A53E48">
        <w:t>s</w:t>
      </w:r>
      <w:r w:rsidRPr="00FF76E4">
        <w:t xml:space="preserve">upport the development of updates to the </w:t>
      </w:r>
      <w:r w:rsidR="00980F02">
        <w:t>P</w:t>
      </w:r>
      <w:r w:rsidR="00980F02" w:rsidRPr="00980F02">
        <w:t>harmaceutical Benefits Advisory Committee</w:t>
      </w:r>
      <w:r w:rsidR="006A381B">
        <w:t xml:space="preserve"> (PBAC)</w:t>
      </w:r>
      <w:r w:rsidR="00980F02" w:rsidRPr="00980F02">
        <w:t xml:space="preserve"> </w:t>
      </w:r>
      <w:r w:rsidRPr="00FF76E4">
        <w:t xml:space="preserve">and </w:t>
      </w:r>
      <w:r w:rsidR="00825F12" w:rsidRPr="00825F12">
        <w:t>Medical Services Advisory Committee</w:t>
      </w:r>
      <w:r w:rsidR="00BB0004">
        <w:t xml:space="preserve"> (MSAC)</w:t>
      </w:r>
      <w:r w:rsidR="00825F12" w:rsidRPr="00825F12">
        <w:t xml:space="preserve"> </w:t>
      </w:r>
      <w:r w:rsidR="00510E61">
        <w:t>G</w:t>
      </w:r>
      <w:r w:rsidRPr="00FF76E4">
        <w:t xml:space="preserve">uidelines, assessment methods, public summaries and other explanatory materials to ensure it is clear how both consumer evidence (research into patients’ needs, preferences, experiences and perspectives) and consumer input arising from engagement processes (see </w:t>
      </w:r>
      <w:r w:rsidR="003B50D2">
        <w:t>C</w:t>
      </w:r>
      <w:r w:rsidRPr="00FF76E4">
        <w:t xml:space="preserve">hapter 6) may be integrated into </w:t>
      </w:r>
      <w:r w:rsidR="00A72F2E">
        <w:t>HTA</w:t>
      </w:r>
      <w:r w:rsidRPr="00FF76E4">
        <w:t>s.</w:t>
      </w:r>
      <w:r w:rsidR="00A53E48">
        <w:t xml:space="preserve"> </w:t>
      </w:r>
      <w:r>
        <w:t>The updates should:</w:t>
      </w:r>
    </w:p>
    <w:p w14:paraId="2B37E4BF" w14:textId="654725B0" w:rsidR="00951116" w:rsidRPr="00E91ED2" w:rsidRDefault="00951116" w:rsidP="00AC5F37">
      <w:pPr>
        <w:pStyle w:val="ListParagraph"/>
        <w:numPr>
          <w:ilvl w:val="0"/>
          <w:numId w:val="122"/>
        </w:numPr>
        <w:spacing w:after="0"/>
        <w:rPr>
          <w:rFonts w:cs="Segoe UI"/>
          <w:lang w:eastAsia="en-AU"/>
        </w:rPr>
      </w:pPr>
      <w:r w:rsidRPr="00E91ED2">
        <w:rPr>
          <w:rFonts w:cs="Segoe UI"/>
          <w:lang w:eastAsia="en-AU"/>
        </w:rPr>
        <w:t xml:space="preserve">include further guidance on the preparation, use and evaluation of consumer evidence and input, and evidence about equity in submissions. This should include guidance on use of: </w:t>
      </w:r>
    </w:p>
    <w:p w14:paraId="1A4F4703" w14:textId="32BC9E5D" w:rsidR="00951116" w:rsidRPr="00E91ED2" w:rsidRDefault="00951116" w:rsidP="00281153">
      <w:pPr>
        <w:pStyle w:val="ListNumber"/>
        <w:numPr>
          <w:ilvl w:val="1"/>
          <w:numId w:val="122"/>
        </w:numPr>
      </w:pPr>
      <w:r w:rsidRPr="00E91ED2">
        <w:t xml:space="preserve">qualitative evidence </w:t>
      </w:r>
    </w:p>
    <w:p w14:paraId="6E63FD7A" w14:textId="62AE0A40" w:rsidR="00951116" w:rsidRPr="00E91ED2" w:rsidRDefault="00951116" w:rsidP="00281153">
      <w:pPr>
        <w:pStyle w:val="ListNumber"/>
        <w:numPr>
          <w:ilvl w:val="1"/>
          <w:numId w:val="122"/>
        </w:numPr>
      </w:pPr>
      <w:r w:rsidRPr="00E91ED2">
        <w:t>patient</w:t>
      </w:r>
      <w:r w:rsidR="007A4FAC" w:rsidRPr="00E91ED2">
        <w:t>-</w:t>
      </w:r>
      <w:r w:rsidRPr="00E91ED2">
        <w:t xml:space="preserve">reported outcome measures </w:t>
      </w:r>
    </w:p>
    <w:p w14:paraId="0D0024CA" w14:textId="23A4E799" w:rsidR="00951116" w:rsidRPr="00E91ED2" w:rsidRDefault="00951116" w:rsidP="00281153">
      <w:pPr>
        <w:pStyle w:val="ListNumber"/>
        <w:numPr>
          <w:ilvl w:val="1"/>
          <w:numId w:val="122"/>
        </w:numPr>
      </w:pPr>
      <w:r w:rsidRPr="00E91ED2">
        <w:t xml:space="preserve">patient preference studies </w:t>
      </w:r>
    </w:p>
    <w:p w14:paraId="59900969" w14:textId="49CC163C" w:rsidR="00951116" w:rsidRPr="00E91ED2" w:rsidRDefault="00951116" w:rsidP="00281153">
      <w:pPr>
        <w:pStyle w:val="ListNumber"/>
        <w:numPr>
          <w:ilvl w:val="1"/>
          <w:numId w:val="122"/>
        </w:numPr>
      </w:pPr>
      <w:r w:rsidRPr="00E91ED2">
        <w:t>patient</w:t>
      </w:r>
      <w:r w:rsidR="007A4FAC" w:rsidRPr="00E91ED2">
        <w:t>-</w:t>
      </w:r>
      <w:r w:rsidRPr="00E91ED2">
        <w:t>reported experience measures</w:t>
      </w:r>
    </w:p>
    <w:p w14:paraId="05C5EB8C" w14:textId="1027AAD1" w:rsidR="00951116" w:rsidRPr="00E91ED2" w:rsidRDefault="00951116" w:rsidP="00281153">
      <w:pPr>
        <w:pStyle w:val="ListNumber"/>
        <w:numPr>
          <w:ilvl w:val="1"/>
          <w:numId w:val="122"/>
        </w:numPr>
      </w:pPr>
      <w:r w:rsidRPr="00E91ED2">
        <w:t>evidence about why patients and clinicians in Australia want or need a substitute for current care</w:t>
      </w:r>
    </w:p>
    <w:p w14:paraId="14EA0AA4" w14:textId="3AD93152" w:rsidR="00951116" w:rsidRPr="00E91ED2" w:rsidRDefault="00951116" w:rsidP="00281153">
      <w:pPr>
        <w:pStyle w:val="ListNumber"/>
        <w:numPr>
          <w:ilvl w:val="1"/>
          <w:numId w:val="122"/>
        </w:numPr>
      </w:pPr>
      <w:r w:rsidRPr="00E91ED2">
        <w:t xml:space="preserve">consumer input or use of consumer </w:t>
      </w:r>
      <w:r w:rsidR="6FFB2558" w:rsidRPr="00E91ED2">
        <w:t xml:space="preserve">evidence </w:t>
      </w:r>
      <w:r w:rsidRPr="00E91ED2">
        <w:t xml:space="preserve">in </w:t>
      </w:r>
      <w:r w:rsidR="00BF7860" w:rsidRPr="00E91ED2">
        <w:t>R&amp;D</w:t>
      </w:r>
      <w:r w:rsidRPr="00E91ED2">
        <w:t xml:space="preserve"> </w:t>
      </w:r>
      <w:r w:rsidR="00255A6F">
        <w:t>relating to</w:t>
      </w:r>
      <w:r w:rsidRPr="00E91ED2">
        <w:t xml:space="preserve"> the product</w:t>
      </w:r>
      <w:r w:rsidR="00DD61DE">
        <w:t>.</w:t>
      </w:r>
      <w:r w:rsidRPr="00E91ED2">
        <w:t xml:space="preserve"> </w:t>
      </w:r>
    </w:p>
    <w:p w14:paraId="71A6F291" w14:textId="2E2EE064" w:rsidR="00951116" w:rsidRPr="00E91ED2" w:rsidRDefault="00951116" w:rsidP="00281153">
      <w:pPr>
        <w:pStyle w:val="ListParagraph"/>
        <w:numPr>
          <w:ilvl w:val="0"/>
          <w:numId w:val="122"/>
        </w:numPr>
        <w:spacing w:before="120" w:after="120"/>
        <w:rPr>
          <w:rFonts w:cs="Segoe UI"/>
          <w:lang w:eastAsia="en-AU"/>
        </w:rPr>
      </w:pPr>
      <w:r w:rsidRPr="00E91ED2">
        <w:rPr>
          <w:rFonts w:cs="Segoe UI"/>
          <w:lang w:eastAsia="en-AU"/>
        </w:rPr>
        <w:lastRenderedPageBreak/>
        <w:t xml:space="preserve">clarify how </w:t>
      </w:r>
      <w:r w:rsidR="00825F12" w:rsidRPr="00E91ED2">
        <w:rPr>
          <w:rFonts w:cs="Segoe UI"/>
          <w:lang w:eastAsia="en-AU"/>
        </w:rPr>
        <w:t>Population, Intervention, Comparator, and Outcome</w:t>
      </w:r>
      <w:r w:rsidR="00FE0C62">
        <w:rPr>
          <w:rFonts w:cs="Segoe UI"/>
          <w:lang w:eastAsia="en-AU"/>
        </w:rPr>
        <w:t xml:space="preserve"> (PICO)</w:t>
      </w:r>
      <w:r w:rsidR="00255A6F">
        <w:rPr>
          <w:rFonts w:cs="Segoe UI"/>
          <w:lang w:eastAsia="en-AU"/>
        </w:rPr>
        <w:t xml:space="preserve"> scoping</w:t>
      </w:r>
      <w:r w:rsidR="007A4FAC" w:rsidRPr="00E91ED2">
        <w:rPr>
          <w:rFonts w:cs="Segoe UI"/>
          <w:lang w:eastAsia="en-AU"/>
        </w:rPr>
        <w:t xml:space="preserve">; and </w:t>
      </w:r>
      <w:r w:rsidRPr="00E91ED2">
        <w:rPr>
          <w:rFonts w:cs="Segoe UI"/>
          <w:lang w:eastAsia="en-AU"/>
        </w:rPr>
        <w:t>clinical and economic evaluation steps can be informed by this evidence</w:t>
      </w:r>
    </w:p>
    <w:p w14:paraId="2CB49F56" w14:textId="1583EADC" w:rsidR="00951116" w:rsidRPr="00E91ED2" w:rsidRDefault="00951116" w:rsidP="00AC5F37">
      <w:pPr>
        <w:pStyle w:val="ListParagraph"/>
        <w:numPr>
          <w:ilvl w:val="0"/>
          <w:numId w:val="122"/>
        </w:numPr>
        <w:spacing w:before="120" w:after="0"/>
        <w:rPr>
          <w:rFonts w:cs="Segoe UI"/>
          <w:lang w:eastAsia="en-AU"/>
        </w:rPr>
      </w:pPr>
      <w:r w:rsidRPr="00E91ED2">
        <w:rPr>
          <w:rFonts w:cs="Segoe UI"/>
          <w:lang w:eastAsia="en-AU"/>
        </w:rPr>
        <w:t>elicit evidence that would help determine applicability to the Australian setting such as:</w:t>
      </w:r>
    </w:p>
    <w:p w14:paraId="2851670F" w14:textId="4A4C6B4C" w:rsidR="00951116" w:rsidRPr="00E91ED2" w:rsidRDefault="00951116" w:rsidP="00281153">
      <w:pPr>
        <w:pStyle w:val="ListNumber"/>
        <w:numPr>
          <w:ilvl w:val="1"/>
          <w:numId w:val="122"/>
        </w:numPr>
      </w:pPr>
      <w:r w:rsidRPr="00E91ED2">
        <w:t>evidence from relevant Australian trials (if any), including any evidence specific to Australia in terms of comparative effectiveness and safety and/or patient preferences to inform the clinical evaluation</w:t>
      </w:r>
    </w:p>
    <w:p w14:paraId="55EB627F" w14:textId="63E92078" w:rsidR="00951116" w:rsidRPr="00E91ED2" w:rsidRDefault="00951116" w:rsidP="00281153">
      <w:pPr>
        <w:pStyle w:val="ListNumber"/>
        <w:numPr>
          <w:ilvl w:val="1"/>
          <w:numId w:val="122"/>
        </w:numPr>
      </w:pPr>
      <w:r w:rsidRPr="00E91ED2">
        <w:t>evidence from Australian patients about their experiences using the technology, including where patients see its use in Australian practice.</w:t>
      </w:r>
    </w:p>
    <w:p w14:paraId="49F4DF80" w14:textId="1C6EF9CB" w:rsidR="00DF1235" w:rsidRDefault="00D06DAB" w:rsidP="002B25F3">
      <w:pPr>
        <w:pStyle w:val="Heading2"/>
        <w:rPr>
          <w:rStyle w:val="Heading2Char"/>
          <w:rFonts w:eastAsiaTheme="majorEastAsia"/>
        </w:rPr>
      </w:pPr>
      <w:bookmarkStart w:id="574" w:name="_Toc164685852"/>
      <w:bookmarkStart w:id="575" w:name="_Toc164691478"/>
      <w:bookmarkStart w:id="576" w:name="_Toc164696272"/>
      <w:bookmarkStart w:id="577" w:name="_Toc164696418"/>
      <w:bookmarkStart w:id="578" w:name="_Toc164767805"/>
      <w:bookmarkStart w:id="579" w:name="_Toc165473736"/>
      <w:bookmarkStart w:id="580" w:name="_Toc171935896"/>
      <w:r>
        <w:rPr>
          <w:rStyle w:val="Heading2Char"/>
          <w:rFonts w:eastAsiaTheme="majorEastAsia"/>
        </w:rPr>
        <w:t>Chapter 8.</w:t>
      </w:r>
      <w:r w:rsidR="00520B70">
        <w:rPr>
          <w:rStyle w:val="Heading2Char"/>
          <w:rFonts w:eastAsiaTheme="majorEastAsia"/>
        </w:rPr>
        <w:t>3</w:t>
      </w:r>
      <w:r>
        <w:rPr>
          <w:rStyle w:val="Heading2Char"/>
          <w:rFonts w:eastAsiaTheme="majorEastAsia"/>
        </w:rPr>
        <w:t xml:space="preserve">: </w:t>
      </w:r>
      <w:r w:rsidR="00A726BB" w:rsidRPr="004A3226">
        <w:rPr>
          <w:rStyle w:val="Heading2Char"/>
          <w:rFonts w:eastAsiaTheme="majorEastAsia"/>
        </w:rPr>
        <w:t>Clinical evaluation</w:t>
      </w:r>
      <w:bookmarkEnd w:id="574"/>
      <w:bookmarkEnd w:id="575"/>
      <w:bookmarkEnd w:id="576"/>
      <w:bookmarkEnd w:id="577"/>
      <w:bookmarkEnd w:id="578"/>
      <w:bookmarkEnd w:id="579"/>
      <w:bookmarkEnd w:id="580"/>
    </w:p>
    <w:p w14:paraId="57887DC8" w14:textId="19B85E49" w:rsidR="00A726BB" w:rsidRPr="00A726BB" w:rsidRDefault="00544066" w:rsidP="00A318F7">
      <w:pPr>
        <w:pStyle w:val="Heading3"/>
      </w:pPr>
      <w:r>
        <w:t xml:space="preserve">Introduction and </w:t>
      </w:r>
      <w:r w:rsidR="002B76B5">
        <w:t>context</w:t>
      </w:r>
    </w:p>
    <w:p w14:paraId="751C8679" w14:textId="77777777" w:rsidR="00544066" w:rsidRDefault="00544066" w:rsidP="00544066">
      <w:pPr>
        <w:keepNext/>
        <w:keepLines/>
      </w:pPr>
      <w:r w:rsidRPr="008B10FA">
        <w:t xml:space="preserve">The </w:t>
      </w:r>
      <w:r>
        <w:t>PBAC Guidelines</w:t>
      </w:r>
      <w:r w:rsidRPr="008B10FA">
        <w:t xml:space="preserve"> and </w:t>
      </w:r>
      <w:r>
        <w:t xml:space="preserve">the MSAC Guidelines instruct applicants to present the best available clinical evidence to support the effectiveness and safety of the proposed medicine and patient indication. </w:t>
      </w:r>
    </w:p>
    <w:p w14:paraId="7C3C2297" w14:textId="676E3F94" w:rsidR="00030C69" w:rsidRDefault="00F07C8E" w:rsidP="00724CE2">
      <w:r>
        <w:t>To make</w:t>
      </w:r>
      <w:r w:rsidR="00030C69">
        <w:t xml:space="preserve"> the best </w:t>
      </w:r>
      <w:r w:rsidR="00142EB8">
        <w:t xml:space="preserve">choice about </w:t>
      </w:r>
      <w:r w:rsidR="00030C69">
        <w:t>treatment</w:t>
      </w:r>
      <w:r w:rsidR="00006E00">
        <w:t>,</w:t>
      </w:r>
      <w:r w:rsidR="00030C69">
        <w:t xml:space="preserve"> patients, clinicians, </w:t>
      </w:r>
      <w:r w:rsidR="00D22EE9">
        <w:t xml:space="preserve">HTA </w:t>
      </w:r>
      <w:r w:rsidR="00030C69">
        <w:t xml:space="preserve">advisory committees and funders </w:t>
      </w:r>
      <w:r w:rsidR="00006E00">
        <w:t xml:space="preserve">must </w:t>
      </w:r>
      <w:r w:rsidR="00030C69">
        <w:t xml:space="preserve">understand the available evidence about how safe and effective a health technology is compared to alternative treatments </w:t>
      </w:r>
      <w:r w:rsidR="00DF0690">
        <w:t>patients</w:t>
      </w:r>
      <w:r w:rsidR="00030C69">
        <w:t xml:space="preserve"> would use.</w:t>
      </w:r>
    </w:p>
    <w:p w14:paraId="1452D650" w14:textId="6AB0E9E7" w:rsidR="00CF4CE1" w:rsidRDefault="00030C69" w:rsidP="00724CE2">
      <w:r>
        <w:t xml:space="preserve">The clinical evaluation in submissions to </w:t>
      </w:r>
      <w:r w:rsidR="00D22EE9">
        <w:t xml:space="preserve">HTA </w:t>
      </w:r>
      <w:r>
        <w:t xml:space="preserve">advisory committees serves this purpose by evaluating </w:t>
      </w:r>
      <w:r w:rsidR="00C131EB">
        <w:t xml:space="preserve">the best </w:t>
      </w:r>
      <w:r>
        <w:t xml:space="preserve">available evidence and providing a conclusion about the effectiveness and safety of a health technology relative to the chosen comparator. </w:t>
      </w:r>
    </w:p>
    <w:p w14:paraId="2A07E4BB" w14:textId="0B8A0582" w:rsidR="00030C69" w:rsidRDefault="00030C69" w:rsidP="00724CE2">
      <w:r>
        <w:t xml:space="preserve">This conclusion supports decisions about the circumstances under which access to a health technology should be funded, and whether any additional cost is commensurate with any improvement in outcomes for patients. </w:t>
      </w:r>
    </w:p>
    <w:p w14:paraId="00F490CF" w14:textId="75C1B394" w:rsidR="00AE0413" w:rsidRPr="00AE0413" w:rsidRDefault="002874BF" w:rsidP="002B76B5">
      <w:pPr>
        <w:pStyle w:val="Heading4"/>
      </w:pPr>
      <w:r>
        <w:t>Preferred evidence and c</w:t>
      </w:r>
      <w:r w:rsidR="00BF6F83">
        <w:t>onstraints in the evidence base</w:t>
      </w:r>
    </w:p>
    <w:p w14:paraId="07724959" w14:textId="1E27C176" w:rsidR="001378A8" w:rsidRDefault="000B33AE" w:rsidP="00F21679">
      <w:pPr>
        <w:rPr>
          <w:rFonts w:eastAsia="Arial" w:cs="Arial"/>
          <w:color w:val="000000" w:themeColor="text1"/>
        </w:rPr>
      </w:pPr>
      <w:r w:rsidRPr="00DF0E29">
        <w:rPr>
          <w:rFonts w:eastAsia="Arial" w:cs="Arial"/>
          <w:color w:val="000000" w:themeColor="text1"/>
        </w:rPr>
        <w:t>Throughout the</w:t>
      </w:r>
      <w:r w:rsidR="001378A8" w:rsidRPr="00DF0E29">
        <w:rPr>
          <w:rFonts w:eastAsia="Arial" w:cs="Arial"/>
          <w:color w:val="000000" w:themeColor="text1"/>
        </w:rPr>
        <w:t xml:space="preserve"> Review</w:t>
      </w:r>
      <w:r w:rsidR="00AC52C4">
        <w:rPr>
          <w:rFonts w:eastAsia="Arial" w:cs="Arial"/>
          <w:color w:val="000000" w:themeColor="text1"/>
        </w:rPr>
        <w:t>,</w:t>
      </w:r>
      <w:r w:rsidR="001378A8" w:rsidRPr="00DF0E29">
        <w:rPr>
          <w:rFonts w:eastAsia="Arial" w:cs="Arial"/>
          <w:color w:val="000000" w:themeColor="text1"/>
        </w:rPr>
        <w:t xml:space="preserve"> </w:t>
      </w:r>
      <w:r w:rsidRPr="00DF0E29">
        <w:rPr>
          <w:rFonts w:eastAsia="Arial" w:cs="Arial"/>
          <w:color w:val="000000" w:themeColor="text1"/>
        </w:rPr>
        <w:t>there was</w:t>
      </w:r>
      <w:r w:rsidR="001378A8" w:rsidRPr="00DF0E29">
        <w:rPr>
          <w:rFonts w:eastAsia="Arial" w:cs="Arial"/>
          <w:color w:val="000000" w:themeColor="text1"/>
        </w:rPr>
        <w:t xml:space="preserve"> an often-repeated claim that HTA</w:t>
      </w:r>
      <w:r w:rsidR="00AC52C4">
        <w:rPr>
          <w:rFonts w:eastAsia="Arial" w:cs="Arial"/>
          <w:color w:val="000000" w:themeColor="text1"/>
        </w:rPr>
        <w:t xml:space="preserve"> processes</w:t>
      </w:r>
      <w:r w:rsidR="001378A8" w:rsidRPr="00DF0E29">
        <w:rPr>
          <w:rFonts w:eastAsia="Arial" w:cs="Arial"/>
          <w:color w:val="000000" w:themeColor="text1"/>
        </w:rPr>
        <w:t xml:space="preserve"> in Australia do not recognise constraints on evidence </w:t>
      </w:r>
      <w:r w:rsidR="00AC52C4">
        <w:rPr>
          <w:rFonts w:eastAsia="Arial" w:cs="Arial"/>
          <w:color w:val="000000" w:themeColor="text1"/>
        </w:rPr>
        <w:t xml:space="preserve">that </w:t>
      </w:r>
      <w:r w:rsidR="001378A8" w:rsidRPr="00DF0E29">
        <w:rPr>
          <w:rFonts w:eastAsia="Arial" w:cs="Arial"/>
          <w:color w:val="000000" w:themeColor="text1"/>
        </w:rPr>
        <w:t>can be generated for certain health technologies</w:t>
      </w:r>
      <w:r w:rsidR="00E149E6">
        <w:rPr>
          <w:rFonts w:eastAsia="Arial" w:cs="Arial"/>
          <w:color w:val="000000" w:themeColor="text1"/>
        </w:rPr>
        <w:t>,</w:t>
      </w:r>
      <w:r w:rsidR="001378A8" w:rsidRPr="00DF0E29">
        <w:rPr>
          <w:rFonts w:eastAsia="Arial" w:cs="Arial"/>
          <w:color w:val="000000" w:themeColor="text1"/>
        </w:rPr>
        <w:t xml:space="preserve"> such as those that treat rare diseases. This </w:t>
      </w:r>
      <w:r w:rsidR="007F761F" w:rsidRPr="00DF0E29">
        <w:rPr>
          <w:rFonts w:eastAsia="Arial" w:cs="Arial"/>
          <w:color w:val="000000" w:themeColor="text1"/>
        </w:rPr>
        <w:t>is</w:t>
      </w:r>
      <w:r w:rsidR="001378A8" w:rsidRPr="00DF0E29">
        <w:rPr>
          <w:rFonts w:eastAsia="Arial" w:cs="Arial"/>
          <w:color w:val="000000" w:themeColor="text1"/>
        </w:rPr>
        <w:t xml:space="preserve"> not </w:t>
      </w:r>
      <w:r w:rsidR="00140E89" w:rsidRPr="00DF0E29">
        <w:rPr>
          <w:rFonts w:eastAsia="Arial" w:cs="Arial"/>
          <w:color w:val="000000" w:themeColor="text1"/>
        </w:rPr>
        <w:t>accurate</w:t>
      </w:r>
      <w:r w:rsidR="001378A8" w:rsidRPr="00DF0E29">
        <w:rPr>
          <w:rFonts w:eastAsia="Arial" w:cs="Arial"/>
          <w:color w:val="000000" w:themeColor="text1"/>
        </w:rPr>
        <w:t>. Constraints in the available evidence base (such as for health technologies that treat rare diseases</w:t>
      </w:r>
      <w:r w:rsidR="006E5D90" w:rsidRPr="00DF0E29">
        <w:rPr>
          <w:rFonts w:eastAsia="Arial" w:cs="Arial"/>
          <w:color w:val="000000" w:themeColor="text1"/>
        </w:rPr>
        <w:t xml:space="preserve"> </w:t>
      </w:r>
      <w:r w:rsidR="001378A8" w:rsidRPr="00DF0E29">
        <w:rPr>
          <w:rFonts w:eastAsia="Arial" w:cs="Arial"/>
          <w:color w:val="000000" w:themeColor="text1"/>
        </w:rPr>
        <w:t>and advanced therapies</w:t>
      </w:r>
      <w:r w:rsidR="006E5D90" w:rsidRPr="00DF0E29">
        <w:rPr>
          <w:rFonts w:eastAsia="Arial" w:cs="Arial"/>
          <w:color w:val="000000" w:themeColor="text1"/>
        </w:rPr>
        <w:t>)</w:t>
      </w:r>
      <w:r w:rsidR="001378A8" w:rsidRPr="00DF0E29">
        <w:rPr>
          <w:rFonts w:eastAsia="Arial" w:cs="Arial"/>
          <w:color w:val="000000" w:themeColor="text1"/>
        </w:rPr>
        <w:t xml:space="preserve"> are recognised.</w:t>
      </w:r>
      <w:r w:rsidR="001378A8">
        <w:rPr>
          <w:rFonts w:eastAsia="Arial" w:cs="Arial"/>
          <w:color w:val="000000" w:themeColor="text1"/>
        </w:rPr>
        <w:t xml:space="preserve"> </w:t>
      </w:r>
    </w:p>
    <w:p w14:paraId="078B08A6" w14:textId="3FE663FF" w:rsidR="00F965AA" w:rsidRDefault="00C25980" w:rsidP="00F21679">
      <w:pPr>
        <w:rPr>
          <w:rFonts w:eastAsia="Arial" w:cs="Arial"/>
          <w:color w:val="000000" w:themeColor="text1"/>
        </w:rPr>
      </w:pPr>
      <w:r w:rsidRPr="00DF0E29">
        <w:rPr>
          <w:rFonts w:eastAsia="Arial" w:cs="Arial"/>
          <w:color w:val="000000" w:themeColor="text1"/>
        </w:rPr>
        <w:t xml:space="preserve">While </w:t>
      </w:r>
      <w:r w:rsidR="005D09EF" w:rsidRPr="00DF0E29">
        <w:rPr>
          <w:rFonts w:eastAsia="Arial" w:cs="Arial"/>
          <w:color w:val="000000" w:themeColor="text1"/>
        </w:rPr>
        <w:t>the PBAC</w:t>
      </w:r>
      <w:r w:rsidR="00AC52C4">
        <w:rPr>
          <w:rFonts w:eastAsia="Arial" w:cs="Arial"/>
          <w:color w:val="000000" w:themeColor="text1"/>
        </w:rPr>
        <w:t xml:space="preserve"> Guidelines</w:t>
      </w:r>
      <w:r w:rsidR="00AC52C4">
        <w:rPr>
          <w:rStyle w:val="FootnoteReference"/>
          <w:rFonts w:eastAsia="Arial" w:cs="Arial"/>
          <w:color w:val="000000" w:themeColor="text1"/>
        </w:rPr>
        <w:footnoteReference w:id="174"/>
      </w:r>
      <w:r w:rsidR="005D09EF" w:rsidRPr="00DF0E29">
        <w:rPr>
          <w:rFonts w:eastAsia="Arial" w:cs="Arial"/>
          <w:color w:val="000000" w:themeColor="text1"/>
        </w:rPr>
        <w:t xml:space="preserve"> and </w:t>
      </w:r>
      <w:r w:rsidR="00AC52C4">
        <w:rPr>
          <w:rFonts w:eastAsia="Arial" w:cs="Arial"/>
          <w:color w:val="000000" w:themeColor="text1"/>
        </w:rPr>
        <w:t xml:space="preserve">the </w:t>
      </w:r>
      <w:r w:rsidR="005D09EF" w:rsidRPr="00DF0E29">
        <w:rPr>
          <w:rFonts w:eastAsia="Arial" w:cs="Arial"/>
          <w:color w:val="000000" w:themeColor="text1"/>
        </w:rPr>
        <w:t>MSAC</w:t>
      </w:r>
      <w:r w:rsidRPr="00DF0E29">
        <w:rPr>
          <w:rFonts w:eastAsia="Arial" w:cs="Arial"/>
          <w:color w:val="000000" w:themeColor="text1"/>
        </w:rPr>
        <w:t xml:space="preserve"> </w:t>
      </w:r>
      <w:r w:rsidR="00AC52C4">
        <w:rPr>
          <w:rFonts w:eastAsia="Arial" w:cs="Arial"/>
          <w:color w:val="000000" w:themeColor="text1"/>
        </w:rPr>
        <w:t>G</w:t>
      </w:r>
      <w:r w:rsidRPr="00DF0E29">
        <w:rPr>
          <w:rFonts w:eastAsia="Arial" w:cs="Arial"/>
          <w:color w:val="000000" w:themeColor="text1"/>
        </w:rPr>
        <w:t>uidelines</w:t>
      </w:r>
      <w:r w:rsidR="00AC52C4">
        <w:rPr>
          <w:rStyle w:val="FootnoteReference"/>
          <w:rFonts w:eastAsia="Arial" w:cs="Arial"/>
          <w:color w:val="000000" w:themeColor="text1"/>
        </w:rPr>
        <w:footnoteReference w:id="175"/>
      </w:r>
      <w:r w:rsidRPr="00DF0E29">
        <w:rPr>
          <w:rFonts w:eastAsia="Arial" w:cs="Arial"/>
          <w:color w:val="000000" w:themeColor="text1"/>
        </w:rPr>
        <w:t xml:space="preserve"> state a preference for clinical and economic evaluations to be based on direct </w:t>
      </w:r>
      <w:r w:rsidR="0094635F" w:rsidRPr="00DF0E29">
        <w:rPr>
          <w:rFonts w:eastAsia="Arial" w:cs="Arial"/>
          <w:color w:val="000000" w:themeColor="text1"/>
        </w:rPr>
        <w:t>RCTs</w:t>
      </w:r>
      <w:r w:rsidRPr="00DF0E29">
        <w:rPr>
          <w:rFonts w:eastAsia="Arial" w:cs="Arial"/>
          <w:color w:val="000000" w:themeColor="text1"/>
        </w:rPr>
        <w:t xml:space="preserve">, they also provide guidance on </w:t>
      </w:r>
      <w:r w:rsidR="003D7B6F">
        <w:rPr>
          <w:rFonts w:eastAsia="Arial" w:cs="Arial"/>
          <w:color w:val="000000" w:themeColor="text1"/>
        </w:rPr>
        <w:t>including</w:t>
      </w:r>
      <w:r w:rsidRPr="00DF0E29">
        <w:rPr>
          <w:rFonts w:eastAsia="Arial" w:cs="Arial"/>
          <w:color w:val="000000" w:themeColor="text1"/>
        </w:rPr>
        <w:t xml:space="preserve"> non-traditional evidence such as indirect comparisons, non-randomised studies and non</w:t>
      </w:r>
      <w:r w:rsidR="003D7B6F">
        <w:rPr>
          <w:rFonts w:eastAsia="Arial" w:cs="Arial"/>
          <w:color w:val="000000" w:themeColor="text1"/>
        </w:rPr>
        <w:t>–</w:t>
      </w:r>
      <w:r w:rsidRPr="00DF0E29">
        <w:rPr>
          <w:rFonts w:eastAsia="Arial" w:cs="Arial"/>
          <w:color w:val="000000" w:themeColor="text1"/>
        </w:rPr>
        <w:t xml:space="preserve">peer reviewed studies (e.g. clinical study reports). </w:t>
      </w:r>
      <w:r w:rsidR="0097732A" w:rsidRPr="00DF0E29">
        <w:rPr>
          <w:rFonts w:eastAsia="Arial" w:cs="Arial"/>
          <w:color w:val="000000" w:themeColor="text1"/>
        </w:rPr>
        <w:t xml:space="preserve">The approaches </w:t>
      </w:r>
      <w:r w:rsidR="0097732A" w:rsidRPr="00DF0E29">
        <w:rPr>
          <w:rFonts w:eastAsia="Arial" w:cs="Arial"/>
          <w:color w:val="000000" w:themeColor="text1"/>
        </w:rPr>
        <w:lastRenderedPageBreak/>
        <w:t xml:space="preserve">used in Australia are </w:t>
      </w:r>
      <w:proofErr w:type="gramStart"/>
      <w:r w:rsidR="0097732A" w:rsidRPr="00DF0E29">
        <w:rPr>
          <w:rFonts w:eastAsia="Arial" w:cs="Arial"/>
          <w:color w:val="000000" w:themeColor="text1"/>
        </w:rPr>
        <w:t>similar to</w:t>
      </w:r>
      <w:proofErr w:type="gramEnd"/>
      <w:r w:rsidR="0097732A" w:rsidRPr="00DF0E29">
        <w:rPr>
          <w:rFonts w:eastAsia="Arial" w:cs="Arial"/>
          <w:color w:val="000000" w:themeColor="text1"/>
        </w:rPr>
        <w:t xml:space="preserve"> those of other comparable countries</w:t>
      </w:r>
      <w:r w:rsidR="00C03423">
        <w:rPr>
          <w:rFonts w:eastAsia="Arial" w:cs="Arial"/>
          <w:color w:val="000000" w:themeColor="text1"/>
        </w:rPr>
        <w:t>,</w:t>
      </w:r>
      <w:r w:rsidR="0097732A" w:rsidRPr="00DF0E29">
        <w:rPr>
          <w:rFonts w:eastAsia="Arial" w:cs="Arial"/>
          <w:color w:val="000000" w:themeColor="text1"/>
        </w:rPr>
        <w:t xml:space="preserve"> and consistent with best practice.</w:t>
      </w:r>
      <w:r w:rsidR="003D7B6F">
        <w:rPr>
          <w:rStyle w:val="FootnoteReference"/>
          <w:rFonts w:eastAsia="Arial" w:cs="Arial"/>
          <w:color w:val="000000" w:themeColor="text1"/>
        </w:rPr>
        <w:footnoteReference w:id="176"/>
      </w:r>
      <w:r w:rsidR="00F965AA">
        <w:rPr>
          <w:rFonts w:eastAsia="Arial" w:cs="Arial"/>
          <w:color w:val="000000" w:themeColor="text1"/>
        </w:rPr>
        <w:t xml:space="preserve"> </w:t>
      </w:r>
    </w:p>
    <w:p w14:paraId="0247BE6C" w14:textId="76359239" w:rsidR="007517F0" w:rsidRDefault="003D7B6F" w:rsidP="00F21679">
      <w:pPr>
        <w:rPr>
          <w:rFonts w:eastAsia="Arial" w:cs="Arial"/>
          <w:color w:val="000000" w:themeColor="text1"/>
        </w:rPr>
      </w:pPr>
      <w:r>
        <w:rPr>
          <w:rFonts w:eastAsia="Arial" w:cs="Arial"/>
          <w:color w:val="000000" w:themeColor="text1"/>
        </w:rPr>
        <w:t>N</w:t>
      </w:r>
      <w:r w:rsidR="00F965AA" w:rsidRPr="006F7F09">
        <w:rPr>
          <w:rFonts w:eastAsia="Arial" w:cs="Arial"/>
          <w:color w:val="000000" w:themeColor="text1"/>
        </w:rPr>
        <w:t xml:space="preserve">umerous examples can be found in </w:t>
      </w:r>
      <w:r>
        <w:rPr>
          <w:rFonts w:eastAsia="Arial" w:cs="Arial"/>
          <w:color w:val="000000" w:themeColor="text1"/>
        </w:rPr>
        <w:t>PSDs of</w:t>
      </w:r>
      <w:r w:rsidR="00F965AA" w:rsidRPr="006F7F09">
        <w:rPr>
          <w:rFonts w:eastAsia="Arial" w:cs="Arial"/>
          <w:color w:val="000000" w:themeColor="text1"/>
        </w:rPr>
        <w:t xml:space="preserve"> </w:t>
      </w:r>
      <w:r w:rsidR="005A36B3">
        <w:rPr>
          <w:rFonts w:eastAsia="Arial" w:cs="Arial"/>
          <w:color w:val="000000" w:themeColor="text1"/>
        </w:rPr>
        <w:t xml:space="preserve">health technologies </w:t>
      </w:r>
      <w:r>
        <w:rPr>
          <w:rFonts w:eastAsia="Arial" w:cs="Arial"/>
          <w:color w:val="000000" w:themeColor="text1"/>
        </w:rPr>
        <w:t>being</w:t>
      </w:r>
      <w:r w:rsidR="00F965AA" w:rsidRPr="006F7F09">
        <w:rPr>
          <w:rFonts w:eastAsia="Arial" w:cs="Arial"/>
          <w:color w:val="000000" w:themeColor="text1"/>
        </w:rPr>
        <w:t xml:space="preserve"> recommended for funding by </w:t>
      </w:r>
      <w:r w:rsidR="00F965AA">
        <w:rPr>
          <w:rFonts w:eastAsia="Arial" w:cs="Arial"/>
          <w:color w:val="000000" w:themeColor="text1"/>
        </w:rPr>
        <w:t xml:space="preserve">HTA </w:t>
      </w:r>
      <w:r w:rsidR="00C16518">
        <w:rPr>
          <w:rFonts w:eastAsia="Arial" w:cs="Arial"/>
          <w:color w:val="000000" w:themeColor="text1"/>
        </w:rPr>
        <w:t xml:space="preserve">advisory </w:t>
      </w:r>
      <w:r w:rsidR="00F965AA">
        <w:rPr>
          <w:rFonts w:eastAsia="Arial" w:cs="Arial"/>
          <w:color w:val="000000" w:themeColor="text1"/>
        </w:rPr>
        <w:t>committees</w:t>
      </w:r>
      <w:r w:rsidR="00F965AA" w:rsidRPr="006F7F09">
        <w:rPr>
          <w:rFonts w:eastAsia="Arial" w:cs="Arial"/>
          <w:color w:val="000000" w:themeColor="text1"/>
        </w:rPr>
        <w:t xml:space="preserve"> in the absence of direct RCT evidence</w:t>
      </w:r>
      <w:r w:rsidR="00750800">
        <w:rPr>
          <w:rFonts w:eastAsia="Arial" w:cs="Arial"/>
          <w:color w:val="000000" w:themeColor="text1"/>
        </w:rPr>
        <w:t>,</w:t>
      </w:r>
      <w:r w:rsidR="00F965AA">
        <w:rPr>
          <w:rFonts w:eastAsia="Arial" w:cs="Arial"/>
          <w:color w:val="000000" w:themeColor="text1"/>
        </w:rPr>
        <w:t xml:space="preserve"> and where they instead relied on observational evidence (including </w:t>
      </w:r>
      <w:r w:rsidR="00610E5D">
        <w:rPr>
          <w:rFonts w:eastAsia="Arial" w:cs="Arial"/>
          <w:color w:val="000000" w:themeColor="text1"/>
        </w:rPr>
        <w:t>RWD</w:t>
      </w:r>
      <w:r w:rsidR="00F965AA">
        <w:rPr>
          <w:rFonts w:eastAsia="Arial" w:cs="Arial"/>
          <w:color w:val="000000" w:themeColor="text1"/>
        </w:rPr>
        <w:t xml:space="preserve"> or </w:t>
      </w:r>
      <w:r w:rsidR="00610E5D">
        <w:rPr>
          <w:rFonts w:eastAsia="Arial" w:cs="Arial"/>
          <w:color w:val="000000" w:themeColor="text1"/>
        </w:rPr>
        <w:t>RWE</w:t>
      </w:r>
      <w:r w:rsidR="00F965AA">
        <w:rPr>
          <w:rFonts w:eastAsia="Arial" w:cs="Arial"/>
          <w:color w:val="000000" w:themeColor="text1"/>
        </w:rPr>
        <w:t>)</w:t>
      </w:r>
      <w:r w:rsidR="00F965AA" w:rsidRPr="006F7F09">
        <w:rPr>
          <w:rFonts w:eastAsia="Arial" w:cs="Arial"/>
          <w:color w:val="000000" w:themeColor="text1"/>
        </w:rPr>
        <w:t>.</w:t>
      </w:r>
      <w:r w:rsidR="00F965AA">
        <w:rPr>
          <w:rStyle w:val="FootnoteReference"/>
          <w:rFonts w:eastAsia="Arial" w:cs="Arial"/>
          <w:color w:val="000000" w:themeColor="text1"/>
        </w:rPr>
        <w:footnoteReference w:id="177"/>
      </w:r>
    </w:p>
    <w:p w14:paraId="35DAF147" w14:textId="0A76953B" w:rsidR="00DF66EE" w:rsidRDefault="00CA6246" w:rsidP="00F21679">
      <w:pPr>
        <w:rPr>
          <w:rFonts w:eastAsia="Arial" w:cs="Arial"/>
          <w:color w:val="000000" w:themeColor="text1"/>
        </w:rPr>
      </w:pPr>
      <w:r w:rsidRPr="00BA75AA">
        <w:rPr>
          <w:rFonts w:eastAsia="Arial" w:cs="Arial"/>
          <w:noProof/>
          <w:color w:val="000000" w:themeColor="text1"/>
        </w:rPr>
        <mc:AlternateContent>
          <mc:Choice Requires="wps">
            <w:drawing>
              <wp:inline distT="0" distB="0" distL="0" distR="0" wp14:anchorId="470F8DAE" wp14:editId="05924F7C">
                <wp:extent cx="5760720" cy="6032665"/>
                <wp:effectExtent l="0" t="0" r="0" b="635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6032665"/>
                        </a:xfrm>
                        <a:prstGeom prst="rect">
                          <a:avLst/>
                        </a:prstGeom>
                        <a:solidFill>
                          <a:schemeClr val="bg1">
                            <a:lumMod val="95000"/>
                          </a:schemeClr>
                        </a:solidFill>
                        <a:ln>
                          <a:noFill/>
                          <a:headEnd/>
                          <a:tailEnd/>
                        </a:ln>
                      </wps:spPr>
                      <wps:style>
                        <a:lnRef idx="2">
                          <a:schemeClr val="accent5"/>
                        </a:lnRef>
                        <a:fillRef idx="1">
                          <a:schemeClr val="lt1"/>
                        </a:fillRef>
                        <a:effectRef idx="0">
                          <a:schemeClr val="accent5"/>
                        </a:effectRef>
                        <a:fontRef idx="minor">
                          <a:schemeClr val="dk1"/>
                        </a:fontRef>
                      </wps:style>
                      <wps:txbx>
                        <w:txbxContent>
                          <w:p w14:paraId="647DE912" w14:textId="77777777" w:rsidR="00CA6246" w:rsidRPr="00BD34D3" w:rsidRDefault="00CA6246" w:rsidP="00CA6246">
                            <w:pPr>
                              <w:pStyle w:val="Call-outbox"/>
                              <w:spacing w:after="240"/>
                              <w:jc w:val="both"/>
                              <w:rPr>
                                <w:b w:val="0"/>
                                <w:i w:val="0"/>
                                <w:color w:val="0E6C9B"/>
                              </w:rPr>
                            </w:pPr>
                            <w:r w:rsidRPr="00BD34D3">
                              <w:rPr>
                                <w:b w:val="0"/>
                                <w:i w:val="0"/>
                                <w:color w:val="0E6C9B"/>
                              </w:rPr>
                              <w:t xml:space="preserve">Why are </w:t>
                            </w:r>
                            <w:r>
                              <w:rPr>
                                <w:b w:val="0"/>
                                <w:i w:val="0"/>
                                <w:color w:val="0E6C9B"/>
                              </w:rPr>
                              <w:t>randomised controlled trials</w:t>
                            </w:r>
                            <w:r w:rsidRPr="00BD34D3">
                              <w:rPr>
                                <w:b w:val="0"/>
                                <w:i w:val="0"/>
                                <w:color w:val="0E6C9B"/>
                              </w:rPr>
                              <w:t xml:space="preserve"> preferred over other types of evidence?</w:t>
                            </w:r>
                          </w:p>
                          <w:p w14:paraId="4D634B61" w14:textId="77777777" w:rsidR="00CA6246" w:rsidRDefault="00CA6246" w:rsidP="00CA6246">
                            <w:pPr>
                              <w:rPr>
                                <w:color w:val="000000" w:themeColor="text1"/>
                              </w:rPr>
                            </w:pPr>
                            <w:r w:rsidRPr="002B154F">
                              <w:t>RCTs are</w:t>
                            </w:r>
                            <w:r w:rsidRPr="00C641CC">
                              <w:rPr>
                                <w:color w:val="000000" w:themeColor="text1"/>
                              </w:rPr>
                              <w:t xml:space="preserve"> considered the </w:t>
                            </w:r>
                            <w:r>
                              <w:rPr>
                                <w:color w:val="000000" w:themeColor="text1"/>
                              </w:rPr>
                              <w:t>strongest</w:t>
                            </w:r>
                            <w:r w:rsidRPr="00C641CC">
                              <w:rPr>
                                <w:color w:val="000000" w:themeColor="text1"/>
                              </w:rPr>
                              <w:t xml:space="preserve"> evidence </w:t>
                            </w:r>
                            <w:r>
                              <w:rPr>
                                <w:color w:val="000000" w:themeColor="text1"/>
                              </w:rPr>
                              <w:t>to</w:t>
                            </w:r>
                            <w:r w:rsidRPr="00C641CC">
                              <w:rPr>
                                <w:color w:val="000000" w:themeColor="text1"/>
                              </w:rPr>
                              <w:t xml:space="preserve"> demonstrat</w:t>
                            </w:r>
                            <w:r>
                              <w:rPr>
                                <w:color w:val="000000" w:themeColor="text1"/>
                              </w:rPr>
                              <w:t>e</w:t>
                            </w:r>
                            <w:r w:rsidRPr="00C641CC">
                              <w:rPr>
                                <w:color w:val="000000" w:themeColor="text1"/>
                              </w:rPr>
                              <w:t xml:space="preserve"> the efficacy of a health technology</w:t>
                            </w:r>
                            <w:r>
                              <w:rPr>
                                <w:color w:val="000000" w:themeColor="text1"/>
                              </w:rPr>
                              <w:t>. They</w:t>
                            </w:r>
                            <w:r w:rsidRPr="00C641CC">
                              <w:rPr>
                                <w:color w:val="000000" w:themeColor="text1"/>
                              </w:rPr>
                              <w:t xml:space="preserve"> are designed to address a specific study hypothesis or question</w:t>
                            </w:r>
                            <w:r>
                              <w:rPr>
                                <w:color w:val="000000" w:themeColor="text1"/>
                              </w:rPr>
                              <w:t xml:space="preserve"> and minimise the likelihood of errors and biases that could cause investigators to come to the wrong conclusions about the beneficial and/or harmful effects of a health technology. </w:t>
                            </w:r>
                          </w:p>
                          <w:p w14:paraId="754F9B08" w14:textId="77777777" w:rsidR="00CA6246" w:rsidRDefault="00CA6246" w:rsidP="00CA6246">
                            <w:pPr>
                              <w:rPr>
                                <w:color w:val="000000" w:themeColor="text1"/>
                              </w:rPr>
                            </w:pPr>
                            <w:r>
                              <w:rPr>
                                <w:color w:val="000000" w:themeColor="text1"/>
                              </w:rPr>
                              <w:t>For RCTs, blinding and r</w:t>
                            </w:r>
                            <w:r w:rsidRPr="00C641CC">
                              <w:rPr>
                                <w:color w:val="000000" w:themeColor="text1"/>
                              </w:rPr>
                              <w:t xml:space="preserve">andomisation </w:t>
                            </w:r>
                            <w:r>
                              <w:rPr>
                                <w:color w:val="000000" w:themeColor="text1"/>
                              </w:rPr>
                              <w:t xml:space="preserve">controls are used </w:t>
                            </w:r>
                            <w:r w:rsidRPr="00C641CC">
                              <w:rPr>
                                <w:color w:val="000000" w:themeColor="text1"/>
                              </w:rPr>
                              <w:t xml:space="preserve">to ensure that bias and confounding is minimised, data </w:t>
                            </w:r>
                            <w:r>
                              <w:rPr>
                                <w:color w:val="000000" w:themeColor="text1"/>
                              </w:rPr>
                              <w:t>is</w:t>
                            </w:r>
                            <w:r w:rsidRPr="00C641CC">
                              <w:rPr>
                                <w:color w:val="000000" w:themeColor="text1"/>
                              </w:rPr>
                              <w:t xml:space="preserve"> collected purposefully, and data curation is highly regulated. </w:t>
                            </w:r>
                          </w:p>
                          <w:p w14:paraId="6DD978EE" w14:textId="77777777" w:rsidR="00CA6246" w:rsidRDefault="00CA6246" w:rsidP="00CA6246">
                            <w:pPr>
                              <w:rPr>
                                <w:color w:val="000000" w:themeColor="text1"/>
                              </w:rPr>
                            </w:pPr>
                            <w:r>
                              <w:rPr>
                                <w:color w:val="000000" w:themeColor="text1"/>
                              </w:rPr>
                              <w:t xml:space="preserve">These controls are especially important in studies where the effects of an intervention are moderate or small. Differences in the characteristics of treated and untreated populations, or a biased assessment of outcomes, can cause investigators to incorrectly conclude that differences in health outcomes between treated and untreated study participants are due to the intervention. </w:t>
                            </w:r>
                          </w:p>
                          <w:p w14:paraId="6BDE75F1" w14:textId="77777777" w:rsidR="00CA6246" w:rsidRDefault="00CA6246" w:rsidP="00CA6246">
                            <w:pPr>
                              <w:rPr>
                                <w:color w:val="000000" w:themeColor="text1"/>
                              </w:rPr>
                            </w:pPr>
                            <w:r w:rsidRPr="00C641CC">
                              <w:rPr>
                                <w:color w:val="000000" w:themeColor="text1"/>
                              </w:rPr>
                              <w:t xml:space="preserve">In contrast, studies </w:t>
                            </w:r>
                            <w:r>
                              <w:rPr>
                                <w:color w:val="000000" w:themeColor="text1"/>
                              </w:rPr>
                              <w:t>using observational evidence</w:t>
                            </w:r>
                            <w:r w:rsidRPr="00C641CC">
                              <w:rPr>
                                <w:color w:val="000000" w:themeColor="text1"/>
                              </w:rPr>
                              <w:t>, where data is commonly collected in real</w:t>
                            </w:r>
                            <w:r>
                              <w:rPr>
                                <w:color w:val="000000" w:themeColor="text1"/>
                              </w:rPr>
                              <w:t>-</w:t>
                            </w:r>
                            <w:r w:rsidRPr="00C641CC">
                              <w:rPr>
                                <w:color w:val="000000" w:themeColor="text1"/>
                              </w:rPr>
                              <w:t>world clinical settings, are subject to bias and confounding</w:t>
                            </w:r>
                            <w:r>
                              <w:rPr>
                                <w:color w:val="000000" w:themeColor="text1"/>
                              </w:rPr>
                              <w:t>,</w:t>
                            </w:r>
                            <w:r w:rsidRPr="00C641CC">
                              <w:rPr>
                                <w:color w:val="000000" w:themeColor="text1"/>
                              </w:rPr>
                              <w:t xml:space="preserve"> and may not complete</w:t>
                            </w:r>
                            <w:r>
                              <w:rPr>
                                <w:color w:val="000000" w:themeColor="text1"/>
                              </w:rPr>
                              <w:t>ly</w:t>
                            </w:r>
                            <w:r w:rsidRPr="00C641CC">
                              <w:rPr>
                                <w:color w:val="000000" w:themeColor="text1"/>
                              </w:rPr>
                              <w:t xml:space="preserve"> capture all necessary information. The quality of</w:t>
                            </w:r>
                            <w:r>
                              <w:rPr>
                                <w:color w:val="000000" w:themeColor="text1"/>
                              </w:rPr>
                              <w:t xml:space="preserve"> observational evidence</w:t>
                            </w:r>
                            <w:r w:rsidRPr="00C641CC">
                              <w:rPr>
                                <w:color w:val="000000" w:themeColor="text1"/>
                              </w:rPr>
                              <w:t xml:space="preserve"> is multifactorial</w:t>
                            </w:r>
                            <w:r>
                              <w:rPr>
                                <w:color w:val="000000" w:themeColor="text1"/>
                              </w:rPr>
                              <w:t>:</w:t>
                            </w:r>
                            <w:r w:rsidRPr="00C641CC">
                              <w:rPr>
                                <w:color w:val="000000" w:themeColor="text1"/>
                              </w:rPr>
                              <w:t xml:space="preserve"> it relies on the quality of the underlying data (provenance, reliability and </w:t>
                            </w:r>
                            <w:r>
                              <w:rPr>
                                <w:color w:val="000000" w:themeColor="text1"/>
                              </w:rPr>
                              <w:t>whether data is missing</w:t>
                            </w:r>
                            <w:r w:rsidRPr="00C641CC">
                              <w:rPr>
                                <w:color w:val="000000" w:themeColor="text1"/>
                              </w:rPr>
                              <w:t xml:space="preserve">), the quality of the methods used to analyse the data (appropriate study design and analytic methods to control for bias) and the quality of the question itself (data </w:t>
                            </w:r>
                            <w:r>
                              <w:rPr>
                                <w:color w:val="000000" w:themeColor="text1"/>
                              </w:rPr>
                              <w:t xml:space="preserve">being </w:t>
                            </w:r>
                            <w:r w:rsidRPr="00C641CC">
                              <w:rPr>
                                <w:color w:val="000000" w:themeColor="text1"/>
                              </w:rPr>
                              <w:t>fit</w:t>
                            </w:r>
                            <w:r>
                              <w:rPr>
                                <w:color w:val="000000" w:themeColor="text1"/>
                              </w:rPr>
                              <w:t>-</w:t>
                            </w:r>
                            <w:r w:rsidRPr="00C641CC">
                              <w:rPr>
                                <w:color w:val="000000" w:themeColor="text1"/>
                              </w:rPr>
                              <w:t>for</w:t>
                            </w:r>
                            <w:r>
                              <w:rPr>
                                <w:color w:val="000000" w:themeColor="text1"/>
                              </w:rPr>
                              <w:t>-</w:t>
                            </w:r>
                            <w:r w:rsidRPr="00C641CC">
                              <w:rPr>
                                <w:color w:val="000000" w:themeColor="text1"/>
                              </w:rPr>
                              <w:t xml:space="preserve">purpose to address the question). </w:t>
                            </w:r>
                          </w:p>
                          <w:p w14:paraId="505F8401" w14:textId="77777777" w:rsidR="00CA6246" w:rsidRPr="00BA75AA" w:rsidRDefault="00CA6246" w:rsidP="00CA6246">
                            <w:pPr>
                              <w:rPr>
                                <w:rFonts w:cs="Segoe UI"/>
                              </w:rPr>
                            </w:pPr>
                            <w:r>
                              <w:rPr>
                                <w:color w:val="000000" w:themeColor="text1"/>
                              </w:rPr>
                              <w:t>RCTs, therefore, allow decision-makers to have greater confidence that the health technologies they decide to fund will perform as claimed.</w:t>
                            </w:r>
                          </w:p>
                          <w:p w14:paraId="30774D55" w14:textId="77777777" w:rsidR="00CA6246" w:rsidRDefault="00CA6246" w:rsidP="00CA6246">
                            <w:pPr>
                              <w:rPr>
                                <w:color w:val="000000" w:themeColor="text1"/>
                              </w:rPr>
                            </w:pPr>
                          </w:p>
                          <w:p w14:paraId="7598469A" w14:textId="77777777" w:rsidR="00CA6246" w:rsidRDefault="00CA6246" w:rsidP="00CA6246">
                            <w:pPr>
                              <w:rPr>
                                <w:color w:val="000000" w:themeColor="text1"/>
                              </w:rPr>
                            </w:pPr>
                          </w:p>
                        </w:txbxContent>
                      </wps:txbx>
                      <wps:bodyPr rot="0" vert="horz" wrap="square" lIns="91440" tIns="45720" rIns="91440" bIns="45720" anchor="t" anchorCtr="0">
                        <a:noAutofit/>
                      </wps:bodyPr>
                    </wps:wsp>
                  </a:graphicData>
                </a:graphic>
              </wp:inline>
            </w:drawing>
          </mc:Choice>
          <mc:Fallback>
            <w:pict>
              <v:shape w14:anchorId="470F8DAE" id="Text Box 6" o:spid="_x0000_s1046" type="#_x0000_t202" style="width:453.6pt;height: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" fillcolor="#f2f2f2 [3052]" stroked="f" strokeweight="1pt">
                <v:textbox>
                  <w:txbxContent>
                    <w:p w14:paraId="647DE912" w14:textId="77777777" w:rsidR="00CA6246" w:rsidRPr="00BD34D3" w:rsidRDefault="00CA6246" w:rsidP="00CA6246">
                      <w:pPr>
                        <w:pStyle w:val="Call-outbox"/>
                        <w:spacing w:after="240"/>
                        <w:jc w:val="both"/>
                        <w:rPr>
                          <w:b w:val="0"/>
                          <w:i w:val="0"/>
                          <w:color w:val="0E6C9B"/>
                        </w:rPr>
                      </w:pPr>
                      <w:r w:rsidRPr="00BD34D3">
                        <w:rPr>
                          <w:b w:val="0"/>
                          <w:i w:val="0"/>
                          <w:color w:val="0E6C9B"/>
                        </w:rPr>
                        <w:t xml:space="preserve">Why are </w:t>
                      </w:r>
                      <w:r>
                        <w:rPr>
                          <w:b w:val="0"/>
                          <w:i w:val="0"/>
                          <w:color w:val="0E6C9B"/>
                        </w:rPr>
                        <w:t>randomised controlled trials</w:t>
                      </w:r>
                      <w:r w:rsidRPr="00BD34D3">
                        <w:rPr>
                          <w:b w:val="0"/>
                          <w:i w:val="0"/>
                          <w:color w:val="0E6C9B"/>
                        </w:rPr>
                        <w:t xml:space="preserve"> preferred over other types of evidence?</w:t>
                      </w:r>
                    </w:p>
                    <w:p w14:paraId="4D634B61" w14:textId="77777777" w:rsidR="00CA6246" w:rsidRDefault="00CA6246" w:rsidP="00CA6246">
                      <w:pPr>
                        <w:rPr>
                          <w:color w:val="000000" w:themeColor="text1"/>
                        </w:rPr>
                      </w:pPr>
                      <w:r w:rsidRPr="002B154F">
                        <w:t>RCTs are</w:t>
                      </w:r>
                      <w:r w:rsidRPr="00C641CC">
                        <w:rPr>
                          <w:color w:val="000000" w:themeColor="text1"/>
                        </w:rPr>
                        <w:t xml:space="preserve"> considered the </w:t>
                      </w:r>
                      <w:r>
                        <w:rPr>
                          <w:color w:val="000000" w:themeColor="text1"/>
                        </w:rPr>
                        <w:t>strongest</w:t>
                      </w:r>
                      <w:r w:rsidRPr="00C641CC">
                        <w:rPr>
                          <w:color w:val="000000" w:themeColor="text1"/>
                        </w:rPr>
                        <w:t xml:space="preserve"> evidence </w:t>
                      </w:r>
                      <w:r>
                        <w:rPr>
                          <w:color w:val="000000" w:themeColor="text1"/>
                        </w:rPr>
                        <w:t>to</w:t>
                      </w:r>
                      <w:r w:rsidRPr="00C641CC">
                        <w:rPr>
                          <w:color w:val="000000" w:themeColor="text1"/>
                        </w:rPr>
                        <w:t xml:space="preserve"> demonstrat</w:t>
                      </w:r>
                      <w:r>
                        <w:rPr>
                          <w:color w:val="000000" w:themeColor="text1"/>
                        </w:rPr>
                        <w:t>e</w:t>
                      </w:r>
                      <w:r w:rsidRPr="00C641CC">
                        <w:rPr>
                          <w:color w:val="000000" w:themeColor="text1"/>
                        </w:rPr>
                        <w:t xml:space="preserve"> the efficacy of a health technology</w:t>
                      </w:r>
                      <w:r>
                        <w:rPr>
                          <w:color w:val="000000" w:themeColor="text1"/>
                        </w:rPr>
                        <w:t>. They</w:t>
                      </w:r>
                      <w:r w:rsidRPr="00C641CC">
                        <w:rPr>
                          <w:color w:val="000000" w:themeColor="text1"/>
                        </w:rPr>
                        <w:t xml:space="preserve"> are designed to address a specific study hypothesis or question</w:t>
                      </w:r>
                      <w:r>
                        <w:rPr>
                          <w:color w:val="000000" w:themeColor="text1"/>
                        </w:rPr>
                        <w:t xml:space="preserve"> and minimise the likelihood of errors and biases that could cause investigators to come to the wrong conclusions about the beneficial and/or harmful effects of a health technology. </w:t>
                      </w:r>
                    </w:p>
                    <w:p w14:paraId="754F9B08" w14:textId="77777777" w:rsidR="00CA6246" w:rsidRDefault="00CA6246" w:rsidP="00CA6246">
                      <w:pPr>
                        <w:rPr>
                          <w:color w:val="000000" w:themeColor="text1"/>
                        </w:rPr>
                      </w:pPr>
                      <w:r>
                        <w:rPr>
                          <w:color w:val="000000" w:themeColor="text1"/>
                        </w:rPr>
                        <w:t>For RCTs, blinding and r</w:t>
                      </w:r>
                      <w:r w:rsidRPr="00C641CC">
                        <w:rPr>
                          <w:color w:val="000000" w:themeColor="text1"/>
                        </w:rPr>
                        <w:t xml:space="preserve">andomisation </w:t>
                      </w:r>
                      <w:r>
                        <w:rPr>
                          <w:color w:val="000000" w:themeColor="text1"/>
                        </w:rPr>
                        <w:t xml:space="preserve">controls are used </w:t>
                      </w:r>
                      <w:r w:rsidRPr="00C641CC">
                        <w:rPr>
                          <w:color w:val="000000" w:themeColor="text1"/>
                        </w:rPr>
                        <w:t xml:space="preserve">to ensure that bias and confounding is minimised, data </w:t>
                      </w:r>
                      <w:r>
                        <w:rPr>
                          <w:color w:val="000000" w:themeColor="text1"/>
                        </w:rPr>
                        <w:t>is</w:t>
                      </w:r>
                      <w:r w:rsidRPr="00C641CC">
                        <w:rPr>
                          <w:color w:val="000000" w:themeColor="text1"/>
                        </w:rPr>
                        <w:t xml:space="preserve"> collected purposefully, and data curation is highly regulated. </w:t>
                      </w:r>
                    </w:p>
                    <w:p w14:paraId="6DD978EE" w14:textId="77777777" w:rsidR="00CA6246" w:rsidRDefault="00CA6246" w:rsidP="00CA6246">
                      <w:pPr>
                        <w:rPr>
                          <w:color w:val="000000" w:themeColor="text1"/>
                        </w:rPr>
                      </w:pPr>
                      <w:r>
                        <w:rPr>
                          <w:color w:val="000000" w:themeColor="text1"/>
                        </w:rPr>
                        <w:t xml:space="preserve">These controls are especially important in studies where the effects of an intervention are moderate or small. Differences in the characteristics of treated and untreated populations, or a biased assessment of outcomes, can cause investigators to incorrectly conclude that differences in health outcomes between treated and untreated study participants are due to the intervention. </w:t>
                      </w:r>
                    </w:p>
                    <w:p w14:paraId="6BDE75F1" w14:textId="77777777" w:rsidR="00CA6246" w:rsidRDefault="00CA6246" w:rsidP="00CA6246">
                      <w:pPr>
                        <w:rPr>
                          <w:color w:val="000000" w:themeColor="text1"/>
                        </w:rPr>
                      </w:pPr>
                      <w:r w:rsidRPr="00C641CC">
                        <w:rPr>
                          <w:color w:val="000000" w:themeColor="text1"/>
                        </w:rPr>
                        <w:t xml:space="preserve">In contrast, studies </w:t>
                      </w:r>
                      <w:r>
                        <w:rPr>
                          <w:color w:val="000000" w:themeColor="text1"/>
                        </w:rPr>
                        <w:t>using observational evidence</w:t>
                      </w:r>
                      <w:r w:rsidRPr="00C641CC">
                        <w:rPr>
                          <w:color w:val="000000" w:themeColor="text1"/>
                        </w:rPr>
                        <w:t>, where data is commonly collected in real</w:t>
                      </w:r>
                      <w:r>
                        <w:rPr>
                          <w:color w:val="000000" w:themeColor="text1"/>
                        </w:rPr>
                        <w:t>-</w:t>
                      </w:r>
                      <w:r w:rsidRPr="00C641CC">
                        <w:rPr>
                          <w:color w:val="000000" w:themeColor="text1"/>
                        </w:rPr>
                        <w:t>world clinical settings, are subject to bias and confounding</w:t>
                      </w:r>
                      <w:r>
                        <w:rPr>
                          <w:color w:val="000000" w:themeColor="text1"/>
                        </w:rPr>
                        <w:t>,</w:t>
                      </w:r>
                      <w:r w:rsidRPr="00C641CC">
                        <w:rPr>
                          <w:color w:val="000000" w:themeColor="text1"/>
                        </w:rPr>
                        <w:t xml:space="preserve"> and may not complete</w:t>
                      </w:r>
                      <w:r>
                        <w:rPr>
                          <w:color w:val="000000" w:themeColor="text1"/>
                        </w:rPr>
                        <w:t>ly</w:t>
                      </w:r>
                      <w:r w:rsidRPr="00C641CC">
                        <w:rPr>
                          <w:color w:val="000000" w:themeColor="text1"/>
                        </w:rPr>
                        <w:t xml:space="preserve"> capture all necessary information. The quality of</w:t>
                      </w:r>
                      <w:r>
                        <w:rPr>
                          <w:color w:val="000000" w:themeColor="text1"/>
                        </w:rPr>
                        <w:t xml:space="preserve"> observational evidence</w:t>
                      </w:r>
                      <w:r w:rsidRPr="00C641CC">
                        <w:rPr>
                          <w:color w:val="000000" w:themeColor="text1"/>
                        </w:rPr>
                        <w:t xml:space="preserve"> is multifactorial</w:t>
                      </w:r>
                      <w:r>
                        <w:rPr>
                          <w:color w:val="000000" w:themeColor="text1"/>
                        </w:rPr>
                        <w:t>:</w:t>
                      </w:r>
                      <w:r w:rsidRPr="00C641CC">
                        <w:rPr>
                          <w:color w:val="000000" w:themeColor="text1"/>
                        </w:rPr>
                        <w:t xml:space="preserve"> it relies on the quality of the underlying data (provenance, reliability and </w:t>
                      </w:r>
                      <w:r>
                        <w:rPr>
                          <w:color w:val="000000" w:themeColor="text1"/>
                        </w:rPr>
                        <w:t>whether data is missing</w:t>
                      </w:r>
                      <w:r w:rsidRPr="00C641CC">
                        <w:rPr>
                          <w:color w:val="000000" w:themeColor="text1"/>
                        </w:rPr>
                        <w:t xml:space="preserve">), the quality of the methods used to analyse the data (appropriate study design and analytic methods to control for bias) and the quality of the question itself (data </w:t>
                      </w:r>
                      <w:r>
                        <w:rPr>
                          <w:color w:val="000000" w:themeColor="text1"/>
                        </w:rPr>
                        <w:t xml:space="preserve">being </w:t>
                      </w:r>
                      <w:r w:rsidRPr="00C641CC">
                        <w:rPr>
                          <w:color w:val="000000" w:themeColor="text1"/>
                        </w:rPr>
                        <w:t>fit</w:t>
                      </w:r>
                      <w:r>
                        <w:rPr>
                          <w:color w:val="000000" w:themeColor="text1"/>
                        </w:rPr>
                        <w:t>-</w:t>
                      </w:r>
                      <w:r w:rsidRPr="00C641CC">
                        <w:rPr>
                          <w:color w:val="000000" w:themeColor="text1"/>
                        </w:rPr>
                        <w:t>for</w:t>
                      </w:r>
                      <w:r>
                        <w:rPr>
                          <w:color w:val="000000" w:themeColor="text1"/>
                        </w:rPr>
                        <w:t>-</w:t>
                      </w:r>
                      <w:r w:rsidRPr="00C641CC">
                        <w:rPr>
                          <w:color w:val="000000" w:themeColor="text1"/>
                        </w:rPr>
                        <w:t xml:space="preserve">purpose to address the question). </w:t>
                      </w:r>
                    </w:p>
                    <w:p w14:paraId="505F8401" w14:textId="77777777" w:rsidR="00CA6246" w:rsidRPr="00BA75AA" w:rsidRDefault="00CA6246" w:rsidP="00CA6246">
                      <w:pPr>
                        <w:rPr>
                          <w:rFonts w:cs="Segoe UI"/>
                        </w:rPr>
                      </w:pPr>
                      <w:r>
                        <w:rPr>
                          <w:color w:val="000000" w:themeColor="text1"/>
                        </w:rPr>
                        <w:t>RCTs, therefore, allow decision-makers to have greater confidence that the health technologies they decide to fund will perform as claimed.</w:t>
                      </w:r>
                    </w:p>
                    <w:p w14:paraId="30774D55" w14:textId="77777777" w:rsidR="00CA6246" w:rsidRDefault="00CA6246" w:rsidP="00CA6246">
                      <w:pPr>
                        <w:rPr>
                          <w:color w:val="000000" w:themeColor="text1"/>
                        </w:rPr>
                      </w:pPr>
                    </w:p>
                    <w:p w14:paraId="7598469A" w14:textId="77777777" w:rsidR="00CA6246" w:rsidRDefault="00CA6246" w:rsidP="00CA6246">
                      <w:pPr>
                        <w:rPr>
                          <w:color w:val="000000" w:themeColor="text1"/>
                        </w:rPr>
                      </w:pPr>
                    </w:p>
                  </w:txbxContent>
                </v:textbox>
                <w10:anchorlock/>
              </v:shape>
            </w:pict>
          </mc:Fallback>
        </mc:AlternateContent>
      </w:r>
    </w:p>
    <w:p w14:paraId="399AABB4" w14:textId="388670A6" w:rsidR="00B97771" w:rsidRDefault="006B2678" w:rsidP="00B1572B">
      <w:pPr>
        <w:pStyle w:val="Heading4"/>
      </w:pPr>
      <w:r>
        <w:t>Changing evidence landscape</w:t>
      </w:r>
    </w:p>
    <w:p w14:paraId="7F318FCB" w14:textId="6CD1BD90" w:rsidR="00FE5B02" w:rsidRDefault="00D739CF" w:rsidP="00F21679">
      <w:r>
        <w:t xml:space="preserve">The Review </w:t>
      </w:r>
      <w:r w:rsidR="006A39FF">
        <w:t>heard from a range of participants</w:t>
      </w:r>
      <w:r>
        <w:t xml:space="preserve"> that emerging therapies (such as cell and gene therapies</w:t>
      </w:r>
      <w:r w:rsidR="00255A6F">
        <w:t>,</w:t>
      </w:r>
      <w:r w:rsidR="00825945">
        <w:t xml:space="preserve"> and other therapies that target biomarkers</w:t>
      </w:r>
      <w:r>
        <w:t>) pose different</w:t>
      </w:r>
      <w:r w:rsidR="005D5904">
        <w:t xml:space="preserve"> </w:t>
      </w:r>
      <w:r w:rsidR="005D5904">
        <w:lastRenderedPageBreak/>
        <w:t>evidentiary</w:t>
      </w:r>
      <w:r>
        <w:t xml:space="preserve"> challenges to conventional medicines</w:t>
      </w:r>
      <w:r w:rsidR="00300DB4">
        <w:t>.</w:t>
      </w:r>
      <w:r w:rsidR="006A39FF">
        <w:t xml:space="preserve"> </w:t>
      </w:r>
      <w:r w:rsidR="0051498A">
        <w:t xml:space="preserve">Patients, clinicians and industry called </w:t>
      </w:r>
      <w:r w:rsidR="006A39FF">
        <w:t xml:space="preserve">for greater </w:t>
      </w:r>
      <w:r w:rsidR="00F11312">
        <w:t>‘</w:t>
      </w:r>
      <w:r w:rsidR="006A39FF">
        <w:t>recognition and acceptance</w:t>
      </w:r>
      <w:r w:rsidR="00F11312">
        <w:t>’</w:t>
      </w:r>
      <w:r w:rsidR="006A39FF">
        <w:t xml:space="preserve"> of RWE and RWD</w:t>
      </w:r>
      <w:r w:rsidR="00A364F4">
        <w:t>,</w:t>
      </w:r>
      <w:r w:rsidR="0051498A">
        <w:t xml:space="preserve"> particularly for </w:t>
      </w:r>
      <w:r w:rsidR="006A39FF">
        <w:t>therapies where it is difficult to undertake RCTs (such as those for small patient populations).</w:t>
      </w:r>
      <w:r w:rsidR="006A39FF">
        <w:rPr>
          <w:rStyle w:val="FootnoteReference"/>
          <w:rFonts w:eastAsia="Arial"/>
          <w:color w:val="000000" w:themeColor="text1"/>
        </w:rPr>
        <w:footnoteReference w:id="178"/>
      </w:r>
    </w:p>
    <w:p w14:paraId="4088B175" w14:textId="7B3ADC37" w:rsidR="00ED128E" w:rsidRDefault="00B97771" w:rsidP="00F21679">
      <w:r>
        <w:t xml:space="preserve">The </w:t>
      </w:r>
      <w:r w:rsidR="006B2678">
        <w:t>Review</w:t>
      </w:r>
      <w:r>
        <w:t xml:space="preserve"> also heard that methods for assessing non-traditional non-RCT evidence are becoming more sophisticated</w:t>
      </w:r>
      <w:r w:rsidR="00F11312">
        <w:t>. Additionally,</w:t>
      </w:r>
      <w:r w:rsidDel="00F11312">
        <w:t xml:space="preserve"> </w:t>
      </w:r>
      <w:r>
        <w:t xml:space="preserve">methods for controlling for potential bias and confounding in these studies are </w:t>
      </w:r>
      <w:r w:rsidR="00C653DB">
        <w:t>being developed globally</w:t>
      </w:r>
      <w:r w:rsidR="00F11312">
        <w:t>,</w:t>
      </w:r>
      <w:r w:rsidR="00C653DB" w:rsidDel="00F11312">
        <w:t xml:space="preserve"> </w:t>
      </w:r>
      <w:r>
        <w:t>improving</w:t>
      </w:r>
      <w:r w:rsidR="00C653DB">
        <w:t xml:space="preserve"> the confidence </w:t>
      </w:r>
      <w:r w:rsidR="009450BF">
        <w:t>in conclusions made using these datasets</w:t>
      </w:r>
      <w:r>
        <w:t>.</w:t>
      </w:r>
      <w:r w:rsidR="00300DB4">
        <w:t xml:space="preserve"> </w:t>
      </w:r>
    </w:p>
    <w:p w14:paraId="3C87081D" w14:textId="5F88A2CE" w:rsidR="00300DB4" w:rsidRPr="00B97771" w:rsidRDefault="00300DB4" w:rsidP="00F21679">
      <w:r>
        <w:t xml:space="preserve">Participants in the Review expressed </w:t>
      </w:r>
      <w:r w:rsidR="00BD3005">
        <w:t xml:space="preserve">a desire for greater guidance on </w:t>
      </w:r>
      <w:r w:rsidR="00E76755">
        <w:t xml:space="preserve">preparing </w:t>
      </w:r>
      <w:r w:rsidR="004E3DAB">
        <w:t xml:space="preserve">submissions for emerging therapies and </w:t>
      </w:r>
      <w:r w:rsidR="00347E4F">
        <w:t xml:space="preserve">using </w:t>
      </w:r>
      <w:r w:rsidR="005A57F3">
        <w:t xml:space="preserve">more advanced methods for assessing non-RCT evidence. </w:t>
      </w:r>
    </w:p>
    <w:p w14:paraId="54D3D5E9" w14:textId="58FFB070" w:rsidR="009F0CD8" w:rsidRDefault="00C20D47" w:rsidP="00B1572B">
      <w:pPr>
        <w:pStyle w:val="Heading4"/>
        <w:rPr>
          <w:lang w:val="en-US"/>
        </w:rPr>
      </w:pPr>
      <w:r>
        <w:rPr>
          <w:lang w:val="en-US"/>
        </w:rPr>
        <w:t xml:space="preserve">Instructions on how to implement </w:t>
      </w:r>
      <w:r w:rsidR="00B23877">
        <w:rPr>
          <w:lang w:val="en-US"/>
        </w:rPr>
        <w:t>methods in guidelines</w:t>
      </w:r>
    </w:p>
    <w:p w14:paraId="2020ECD0" w14:textId="409692E0" w:rsidR="00B23877" w:rsidRDefault="00B23877" w:rsidP="005071A7">
      <w:pPr>
        <w:rPr>
          <w:lang w:val="en-US"/>
        </w:rPr>
      </w:pPr>
      <w:r>
        <w:rPr>
          <w:lang w:val="en-US"/>
        </w:rPr>
        <w:t xml:space="preserve">The Review heard that there was a lack of </w:t>
      </w:r>
      <w:r w:rsidR="00416B88">
        <w:rPr>
          <w:lang w:val="en-US"/>
        </w:rPr>
        <w:t>guidance</w:t>
      </w:r>
      <w:r>
        <w:rPr>
          <w:lang w:val="en-US"/>
        </w:rPr>
        <w:t xml:space="preserve"> on how to </w:t>
      </w:r>
      <w:r w:rsidR="00211070">
        <w:rPr>
          <w:lang w:val="en-US"/>
        </w:rPr>
        <w:t xml:space="preserve">implement methods in guidelines. </w:t>
      </w:r>
    </w:p>
    <w:p w14:paraId="51791757" w14:textId="41103A4B" w:rsidR="008F3AF4" w:rsidRDefault="00922542" w:rsidP="005071A7">
      <w:pPr>
        <w:rPr>
          <w:lang w:val="en-US"/>
        </w:rPr>
      </w:pPr>
      <w:r>
        <w:rPr>
          <w:lang w:val="en-US"/>
        </w:rPr>
        <w:t xml:space="preserve">Most participants </w:t>
      </w:r>
      <w:r w:rsidR="008707D9">
        <w:rPr>
          <w:lang w:val="en-US"/>
        </w:rPr>
        <w:t>agreed</w:t>
      </w:r>
      <w:r w:rsidR="00F14C88">
        <w:rPr>
          <w:lang w:val="en-US"/>
        </w:rPr>
        <w:t xml:space="preserve"> </w:t>
      </w:r>
      <w:r w:rsidR="005D3FF3">
        <w:rPr>
          <w:lang w:val="en-US"/>
        </w:rPr>
        <w:t xml:space="preserve">that </w:t>
      </w:r>
      <w:r w:rsidR="00DA6B24">
        <w:rPr>
          <w:lang w:val="en-US"/>
        </w:rPr>
        <w:t xml:space="preserve">additional guidance </w:t>
      </w:r>
      <w:r w:rsidR="006F3D98">
        <w:rPr>
          <w:lang w:val="en-US"/>
        </w:rPr>
        <w:t>in several areas</w:t>
      </w:r>
      <w:r w:rsidR="00082465">
        <w:rPr>
          <w:lang w:val="en-US"/>
        </w:rPr>
        <w:t xml:space="preserve"> of </w:t>
      </w:r>
      <w:r w:rsidR="006F3D98">
        <w:rPr>
          <w:lang w:val="en-US"/>
        </w:rPr>
        <w:t>clinical evaluation</w:t>
      </w:r>
      <w:r w:rsidR="00BD7CEC">
        <w:rPr>
          <w:lang w:val="en-US"/>
        </w:rPr>
        <w:t xml:space="preserve"> would </w:t>
      </w:r>
      <w:r w:rsidR="0090327D">
        <w:rPr>
          <w:lang w:val="en-US"/>
        </w:rPr>
        <w:t>help to improve the quality of submissions</w:t>
      </w:r>
      <w:r w:rsidR="0082099B">
        <w:rPr>
          <w:lang w:val="en-US"/>
        </w:rPr>
        <w:t xml:space="preserve"> and consumer input</w:t>
      </w:r>
      <w:r w:rsidR="0090327D">
        <w:rPr>
          <w:lang w:val="en-US"/>
        </w:rPr>
        <w:t xml:space="preserve"> to advisory committees</w:t>
      </w:r>
      <w:r w:rsidR="006F3D98">
        <w:rPr>
          <w:lang w:val="en-US"/>
        </w:rPr>
        <w:t>, including</w:t>
      </w:r>
      <w:r w:rsidR="00082465">
        <w:rPr>
          <w:lang w:val="en-US"/>
        </w:rPr>
        <w:t xml:space="preserve"> </w:t>
      </w:r>
      <w:r w:rsidR="00F40F45">
        <w:rPr>
          <w:lang w:val="en-US"/>
        </w:rPr>
        <w:t>on</w:t>
      </w:r>
      <w:r w:rsidR="008F3AF4">
        <w:rPr>
          <w:lang w:val="en-US"/>
        </w:rPr>
        <w:t>:</w:t>
      </w:r>
      <w:r w:rsidR="00F40F45">
        <w:rPr>
          <w:lang w:val="en-US"/>
        </w:rPr>
        <w:t xml:space="preserve"> </w:t>
      </w:r>
    </w:p>
    <w:p w14:paraId="3178F9B2" w14:textId="45622B29" w:rsidR="008F3AF4" w:rsidRDefault="005D3FF3" w:rsidP="00281153">
      <w:pPr>
        <w:pStyle w:val="ListBullet"/>
        <w:numPr>
          <w:ilvl w:val="0"/>
          <w:numId w:val="80"/>
        </w:numPr>
        <w:rPr>
          <w:lang w:val="en-US"/>
        </w:rPr>
      </w:pPr>
      <w:r>
        <w:rPr>
          <w:lang w:val="en-US"/>
        </w:rPr>
        <w:t xml:space="preserve">the </w:t>
      </w:r>
      <w:r w:rsidR="00F40F45" w:rsidRPr="76C41307">
        <w:rPr>
          <w:lang w:val="en-US"/>
        </w:rPr>
        <w:t>use of non-randomised and observational evidence</w:t>
      </w:r>
      <w:r w:rsidR="00AC0FE5" w:rsidRPr="76C41307">
        <w:rPr>
          <w:lang w:val="en-US"/>
        </w:rPr>
        <w:t xml:space="preserve"> (</w:t>
      </w:r>
      <w:r w:rsidR="004A3947" w:rsidRPr="76C41307">
        <w:rPr>
          <w:lang w:val="en-US"/>
        </w:rPr>
        <w:t>including</w:t>
      </w:r>
      <w:r w:rsidR="00AC0FE5" w:rsidRPr="76C41307">
        <w:rPr>
          <w:lang w:val="en-US"/>
        </w:rPr>
        <w:t xml:space="preserve"> RWD and RWE)</w:t>
      </w:r>
    </w:p>
    <w:p w14:paraId="44E878C5" w14:textId="3E83AC49" w:rsidR="008F3AF4" w:rsidRDefault="005D3FF3" w:rsidP="00281153">
      <w:pPr>
        <w:pStyle w:val="ListBullet"/>
        <w:numPr>
          <w:ilvl w:val="0"/>
          <w:numId w:val="80"/>
        </w:numPr>
        <w:rPr>
          <w:lang w:val="en-US"/>
        </w:rPr>
      </w:pPr>
      <w:r>
        <w:rPr>
          <w:lang w:val="en-US"/>
        </w:rPr>
        <w:t xml:space="preserve">the </w:t>
      </w:r>
      <w:r w:rsidR="00F40F45" w:rsidRPr="76C41307">
        <w:rPr>
          <w:lang w:val="en-US"/>
        </w:rPr>
        <w:t>use of surrogate end</w:t>
      </w:r>
      <w:r w:rsidR="005667E7">
        <w:rPr>
          <w:lang w:val="en-US"/>
        </w:rPr>
        <w:t xml:space="preserve"> </w:t>
      </w:r>
      <w:r w:rsidR="00F40F45" w:rsidRPr="76C41307">
        <w:rPr>
          <w:lang w:val="en-US"/>
        </w:rPr>
        <w:t xml:space="preserve">points </w:t>
      </w:r>
    </w:p>
    <w:p w14:paraId="04D9180E" w14:textId="5C754575" w:rsidR="008F3AF4" w:rsidRDefault="00F40F45" w:rsidP="00281153">
      <w:pPr>
        <w:pStyle w:val="ListBullet"/>
        <w:numPr>
          <w:ilvl w:val="0"/>
          <w:numId w:val="80"/>
        </w:numPr>
        <w:rPr>
          <w:lang w:val="en-US"/>
        </w:rPr>
      </w:pPr>
      <w:r w:rsidRPr="76C41307">
        <w:rPr>
          <w:lang w:val="en-US"/>
        </w:rPr>
        <w:t xml:space="preserve">assessment of consumer input </w:t>
      </w:r>
    </w:p>
    <w:p w14:paraId="1E8BFEC6" w14:textId="19F68AA6" w:rsidR="008F3AF4" w:rsidRDefault="00F40F45" w:rsidP="00281153">
      <w:pPr>
        <w:pStyle w:val="ListBullet"/>
        <w:numPr>
          <w:ilvl w:val="0"/>
          <w:numId w:val="80"/>
        </w:numPr>
        <w:rPr>
          <w:lang w:val="en-US"/>
        </w:rPr>
      </w:pPr>
      <w:r w:rsidRPr="76C41307">
        <w:rPr>
          <w:lang w:val="en-US"/>
        </w:rPr>
        <w:t>methods preferred by decision</w:t>
      </w:r>
      <w:r w:rsidR="006E2C23" w:rsidRPr="76C41307">
        <w:rPr>
          <w:lang w:val="en-US"/>
        </w:rPr>
        <w:t>-</w:t>
      </w:r>
      <w:r w:rsidRPr="76C41307">
        <w:rPr>
          <w:lang w:val="en-US"/>
        </w:rPr>
        <w:t xml:space="preserve">makers </w:t>
      </w:r>
    </w:p>
    <w:p w14:paraId="2DBD3A74" w14:textId="751297FF" w:rsidR="00082465" w:rsidRDefault="009D669D" w:rsidP="00281153">
      <w:pPr>
        <w:pStyle w:val="ListBullet"/>
        <w:numPr>
          <w:ilvl w:val="0"/>
          <w:numId w:val="80"/>
        </w:numPr>
        <w:rPr>
          <w:lang w:val="en-US"/>
        </w:rPr>
      </w:pPr>
      <w:r w:rsidRPr="76C41307">
        <w:rPr>
          <w:lang w:val="en-US"/>
        </w:rPr>
        <w:t>therapies that target biomarkers.</w:t>
      </w:r>
      <w:r w:rsidR="00453069">
        <w:rPr>
          <w:lang w:val="en-US"/>
        </w:rPr>
        <w:t xml:space="preserve"> </w:t>
      </w:r>
    </w:p>
    <w:p w14:paraId="3513550B" w14:textId="65C2349B" w:rsidR="00ED656B" w:rsidRDefault="00ED656B" w:rsidP="005071A7">
      <w:pPr>
        <w:spacing w:after="120"/>
        <w:rPr>
          <w:rFonts w:eastAsia="Arial"/>
          <w:color w:val="000000" w:themeColor="text1"/>
        </w:rPr>
      </w:pPr>
      <w:r>
        <w:rPr>
          <w:rFonts w:eastAsia="Arial"/>
          <w:color w:val="000000" w:themeColor="text1"/>
        </w:rPr>
        <w:t>Participants generally support</w:t>
      </w:r>
      <w:r w:rsidR="009D55C6">
        <w:rPr>
          <w:rFonts w:eastAsia="Arial"/>
          <w:color w:val="000000" w:themeColor="text1"/>
        </w:rPr>
        <w:t>ed</w:t>
      </w:r>
      <w:r>
        <w:rPr>
          <w:rFonts w:eastAsia="Arial"/>
          <w:color w:val="000000" w:themeColor="text1"/>
        </w:rPr>
        <w:t xml:space="preserve"> proposals to generate a curated list of methodologies and update methods for assess</w:t>
      </w:r>
      <w:r w:rsidR="005667E7">
        <w:rPr>
          <w:rFonts w:eastAsia="Arial"/>
          <w:color w:val="000000" w:themeColor="text1"/>
        </w:rPr>
        <w:t>ing</w:t>
      </w:r>
      <w:r>
        <w:rPr>
          <w:rFonts w:eastAsia="Arial"/>
          <w:color w:val="000000" w:themeColor="text1"/>
        </w:rPr>
        <w:t xml:space="preserve"> non-randomised and observational evidence and surrogate end points. These were particularly supported by the pharmaceutical industry</w:t>
      </w:r>
      <w:r w:rsidR="00824DED">
        <w:rPr>
          <w:rFonts w:eastAsia="Arial"/>
          <w:color w:val="000000" w:themeColor="text1"/>
        </w:rPr>
        <w:t>,</w:t>
      </w:r>
      <w:r>
        <w:rPr>
          <w:rFonts w:eastAsia="Arial"/>
          <w:color w:val="000000" w:themeColor="text1"/>
        </w:rPr>
        <w:t xml:space="preserve"> </w:t>
      </w:r>
      <w:r w:rsidR="00465515">
        <w:rPr>
          <w:rFonts w:eastAsia="Arial"/>
          <w:color w:val="000000" w:themeColor="text1"/>
        </w:rPr>
        <w:t>which</w:t>
      </w:r>
      <w:r>
        <w:rPr>
          <w:rFonts w:eastAsia="Arial"/>
          <w:color w:val="000000" w:themeColor="text1"/>
        </w:rPr>
        <w:t xml:space="preserve"> considered these would assist sponsors in developing HTA submissions in areas </w:t>
      </w:r>
      <w:r w:rsidR="00824DED">
        <w:rPr>
          <w:rFonts w:eastAsia="Arial"/>
          <w:color w:val="000000" w:themeColor="text1"/>
        </w:rPr>
        <w:t xml:space="preserve">with </w:t>
      </w:r>
      <w:r>
        <w:rPr>
          <w:rFonts w:eastAsia="Arial"/>
          <w:color w:val="000000" w:themeColor="text1"/>
        </w:rPr>
        <w:t>evidentiary deficiencies.</w:t>
      </w:r>
      <w:r>
        <w:rPr>
          <w:rStyle w:val="FootnoteReference"/>
          <w:rFonts w:eastAsia="Arial"/>
          <w:color w:val="000000" w:themeColor="text1"/>
        </w:rPr>
        <w:footnoteReference w:id="179"/>
      </w:r>
      <w:r>
        <w:rPr>
          <w:rFonts w:eastAsia="Arial"/>
          <w:color w:val="000000" w:themeColor="text1"/>
        </w:rPr>
        <w:t xml:space="preserve"> Pharmaceutical companies also expressed some caution about how prescriptive guidance should be</w:t>
      </w:r>
      <w:r w:rsidR="00686B22">
        <w:rPr>
          <w:rFonts w:eastAsia="Arial"/>
          <w:color w:val="000000" w:themeColor="text1"/>
        </w:rPr>
        <w:t>,</w:t>
      </w:r>
      <w:r>
        <w:rPr>
          <w:rFonts w:eastAsia="Arial"/>
          <w:color w:val="000000" w:themeColor="text1"/>
        </w:rPr>
        <w:t xml:space="preserve"> and that flexibility should be maintained. All participants felt </w:t>
      </w:r>
      <w:r w:rsidR="00824DED">
        <w:rPr>
          <w:rFonts w:eastAsia="Arial"/>
          <w:color w:val="000000" w:themeColor="text1"/>
        </w:rPr>
        <w:t xml:space="preserve">that </w:t>
      </w:r>
      <w:r>
        <w:rPr>
          <w:rFonts w:eastAsia="Arial"/>
          <w:color w:val="000000" w:themeColor="text1"/>
        </w:rPr>
        <w:t>industry, clinicians, patients and consumers</w:t>
      </w:r>
      <w:r w:rsidR="00824DED">
        <w:rPr>
          <w:rFonts w:eastAsia="Arial"/>
          <w:color w:val="000000" w:themeColor="text1"/>
        </w:rPr>
        <w:t xml:space="preserve"> should be included in their development</w:t>
      </w:r>
      <w:r>
        <w:rPr>
          <w:rFonts w:eastAsia="Arial"/>
          <w:color w:val="000000" w:themeColor="text1"/>
        </w:rPr>
        <w:t xml:space="preserve">. </w:t>
      </w:r>
    </w:p>
    <w:p w14:paraId="2ADDAE34" w14:textId="03514AC2" w:rsidR="00681A4A" w:rsidRDefault="00B1572B" w:rsidP="004A3226">
      <w:pPr>
        <w:pStyle w:val="Heading3"/>
      </w:pPr>
      <w:bookmarkStart w:id="581" w:name="_Toc164691480"/>
      <w:bookmarkStart w:id="582" w:name="_Toc164696274"/>
      <w:bookmarkStart w:id="583" w:name="_Toc164696420"/>
      <w:bookmarkStart w:id="584" w:name="_Toc164767807"/>
      <w:bookmarkStart w:id="585" w:name="_Toc165473738"/>
      <w:r>
        <w:lastRenderedPageBreak/>
        <w:t>F</w:t>
      </w:r>
      <w:r w:rsidR="00681A4A">
        <w:t>indings</w:t>
      </w:r>
      <w:bookmarkEnd w:id="581"/>
      <w:bookmarkEnd w:id="582"/>
      <w:bookmarkEnd w:id="583"/>
      <w:bookmarkEnd w:id="584"/>
      <w:bookmarkEnd w:id="585"/>
    </w:p>
    <w:p w14:paraId="37399CEF" w14:textId="3B50720A" w:rsidR="00273CB5" w:rsidRDefault="00273CB5" w:rsidP="009F3730">
      <w:pPr>
        <w:pStyle w:val="Heading4"/>
      </w:pPr>
      <w:r>
        <w:t>Clinical evaluations in HTA</w:t>
      </w:r>
      <w:r w:rsidR="00824DED">
        <w:t>s</w:t>
      </w:r>
      <w:r>
        <w:t>, and the evidence that supports them, are critical to determining best treatment options for patients</w:t>
      </w:r>
    </w:p>
    <w:p w14:paraId="38464ECC" w14:textId="4642BBB3" w:rsidR="00273CB5" w:rsidRDefault="00824DED" w:rsidP="005071A7">
      <w:pPr>
        <w:spacing w:before="40"/>
      </w:pPr>
      <w:r>
        <w:t>In clinical evaluations, c</w:t>
      </w:r>
      <w:r w:rsidR="00AC0FE5">
        <w:t>omparison of</w:t>
      </w:r>
      <w:r w:rsidR="00273CB5">
        <w:t xml:space="preserve"> </w:t>
      </w:r>
      <w:r w:rsidR="003B393C">
        <w:t>health</w:t>
      </w:r>
      <w:r w:rsidR="00273CB5">
        <w:t xml:space="preserve"> outcomes delivered by new health technologies with those of alternatives treatments</w:t>
      </w:r>
      <w:r w:rsidR="00AC0FE5">
        <w:t xml:space="preserve"> </w:t>
      </w:r>
      <w:r w:rsidR="00273CB5">
        <w:t xml:space="preserve">is fundamental to patients receiving the best available treatment for their circumstances. </w:t>
      </w:r>
    </w:p>
    <w:p w14:paraId="3F1B104D" w14:textId="28B23CB9" w:rsidR="009C009D" w:rsidRDefault="00273CB5" w:rsidP="005071A7">
      <w:pPr>
        <w:spacing w:before="40"/>
      </w:pPr>
      <w:r>
        <w:t xml:space="preserve">Assessments of the safety and effectiveness of a health technology compared to alternative treatments depend on the evidence presented in submissions to advisory committees. A patient, </w:t>
      </w:r>
      <w:r w:rsidR="00FA396E">
        <w:t xml:space="preserve">a </w:t>
      </w:r>
      <w:r>
        <w:t xml:space="preserve">clinician, </w:t>
      </w:r>
      <w:r w:rsidR="00FA396E">
        <w:t xml:space="preserve">an </w:t>
      </w:r>
      <w:r w:rsidR="000E5377">
        <w:t xml:space="preserve">HTA </w:t>
      </w:r>
      <w:r>
        <w:t xml:space="preserve">advisory committee or </w:t>
      </w:r>
      <w:r w:rsidR="00FA396E">
        <w:t xml:space="preserve">a </w:t>
      </w:r>
      <w:r>
        <w:t xml:space="preserve">funder can only be as confident that a health technology is the best treatment option for a patient as the evidence </w:t>
      </w:r>
      <w:r w:rsidR="00BA4119">
        <w:t xml:space="preserve">for it </w:t>
      </w:r>
      <w:r>
        <w:t xml:space="preserve">allows. </w:t>
      </w:r>
    </w:p>
    <w:p w14:paraId="7C49B701" w14:textId="58D055D4" w:rsidR="00273CB5" w:rsidRPr="004D60CB" w:rsidRDefault="00273CB5" w:rsidP="005071A7">
      <w:pPr>
        <w:spacing w:before="40"/>
      </w:pPr>
      <w:r>
        <w:t xml:space="preserve">The </w:t>
      </w:r>
      <w:r w:rsidR="00C54807">
        <w:t xml:space="preserve">more elements of uncertainty in </w:t>
      </w:r>
      <w:r>
        <w:t>the evidence</w:t>
      </w:r>
      <w:r w:rsidR="002F034E">
        <w:t xml:space="preserve"> (such as confounding and bias)</w:t>
      </w:r>
      <w:r w:rsidR="007617D2">
        <w:t>,</w:t>
      </w:r>
      <w:r>
        <w:t xml:space="preserve"> the more difficult it is </w:t>
      </w:r>
      <w:r w:rsidR="009C009D">
        <w:t>for decision</w:t>
      </w:r>
      <w:r w:rsidR="008337A2">
        <w:t>-</w:t>
      </w:r>
      <w:r w:rsidR="009C009D">
        <w:t xml:space="preserve">makers </w:t>
      </w:r>
      <w:r>
        <w:t xml:space="preserve">to be confident </w:t>
      </w:r>
      <w:r w:rsidR="00AE0390">
        <w:t>a health technology will perform as</w:t>
      </w:r>
      <w:r>
        <w:t xml:space="preserve"> claimed</w:t>
      </w:r>
      <w:r w:rsidR="00824DED">
        <w:t>,</w:t>
      </w:r>
      <w:r w:rsidR="00347DB7">
        <w:t xml:space="preserve"> and</w:t>
      </w:r>
      <w:r>
        <w:t xml:space="preserve"> for patients </w:t>
      </w:r>
      <w:r w:rsidR="00347DB7">
        <w:t>and clinicians to make informed choices</w:t>
      </w:r>
      <w:r>
        <w:t>. To that end, expectations about, and grading of, the quality of evidence presented in submissions are critical for determining the best treatment for patients in particular circumstances.</w:t>
      </w:r>
      <w:r w:rsidR="00453069">
        <w:t xml:space="preserve"> </w:t>
      </w:r>
    </w:p>
    <w:p w14:paraId="32FEABD5" w14:textId="621E90B2" w:rsidR="00273CB5" w:rsidRDefault="00824DED" w:rsidP="009F3730">
      <w:pPr>
        <w:pStyle w:val="Heading4"/>
      </w:pPr>
      <w:r>
        <w:t xml:space="preserve">The </w:t>
      </w:r>
      <w:r w:rsidR="00273CB5">
        <w:t>HTA</w:t>
      </w:r>
      <w:r>
        <w:t xml:space="preserve"> system</w:t>
      </w:r>
      <w:r w:rsidR="00273CB5">
        <w:t xml:space="preserve"> in Australia already recognise</w:t>
      </w:r>
      <w:r>
        <w:t>s</w:t>
      </w:r>
      <w:r w:rsidR="00273CB5">
        <w:t xml:space="preserve"> constraints on available evidence for certain health technologies and considers </w:t>
      </w:r>
      <w:r w:rsidR="00313483">
        <w:t>real-world data</w:t>
      </w:r>
      <w:r w:rsidR="00273CB5">
        <w:t xml:space="preserve"> and </w:t>
      </w:r>
      <w:r w:rsidR="00313483">
        <w:t>real-world evidence</w:t>
      </w:r>
      <w:r w:rsidR="00273CB5">
        <w:t xml:space="preserve"> when included in submissions</w:t>
      </w:r>
    </w:p>
    <w:p w14:paraId="2ABCFD1F" w14:textId="49A1DD79" w:rsidR="00CA6D90" w:rsidRPr="00883BFE" w:rsidRDefault="00824DED" w:rsidP="005071A7">
      <w:r>
        <w:t>S</w:t>
      </w:r>
      <w:r w:rsidR="00CA6D90">
        <w:t xml:space="preserve">ome stakeholders </w:t>
      </w:r>
      <w:r>
        <w:t>told the Review</w:t>
      </w:r>
      <w:r w:rsidR="00CA6D90">
        <w:t xml:space="preserve"> the existing preference for the best available evidence, in particular RCT evidence, disadvantages health technologies intended to treat rarer conditions where RCT evidence is less likely to be available. Many stakeholders advocated for greater recognition and acceptance of RWD and RWE. </w:t>
      </w:r>
    </w:p>
    <w:p w14:paraId="6F12D7A1" w14:textId="6DC1FB62" w:rsidR="00273CB5" w:rsidRDefault="00273CB5" w:rsidP="005071A7">
      <w:r>
        <w:t xml:space="preserve">The </w:t>
      </w:r>
      <w:r w:rsidR="006C1806">
        <w:t>Review</w:t>
      </w:r>
      <w:r w:rsidDel="005B4D44">
        <w:t xml:space="preserve"> </w:t>
      </w:r>
      <w:r>
        <w:t>found that the preference for the best available evidence, such as RCT evidence, has not precluded consideration of other evidence where RCTs are not feasible. The ability to present non-RCT evidence, where RCT evidence is not feasible, is already built into the PBAC</w:t>
      </w:r>
      <w:r w:rsidR="00824DED">
        <w:t xml:space="preserve"> Guidelines</w:t>
      </w:r>
      <w:r w:rsidR="00824DED">
        <w:rPr>
          <w:rStyle w:val="FootnoteReference"/>
        </w:rPr>
        <w:footnoteReference w:id="180"/>
      </w:r>
      <w:r>
        <w:t xml:space="preserve"> and </w:t>
      </w:r>
      <w:r w:rsidR="00824DED">
        <w:t xml:space="preserve">the </w:t>
      </w:r>
      <w:r>
        <w:t xml:space="preserve">MSAC </w:t>
      </w:r>
      <w:r w:rsidR="00824DED">
        <w:t>G</w:t>
      </w:r>
      <w:r>
        <w:t>uidelines.</w:t>
      </w:r>
      <w:r w:rsidR="00824DED">
        <w:rPr>
          <w:rStyle w:val="FootnoteReference"/>
        </w:rPr>
        <w:footnoteReference w:id="181"/>
      </w:r>
      <w:r>
        <w:t xml:space="preserve"> </w:t>
      </w:r>
      <w:r w:rsidR="00BA4B8F">
        <w:t>As referenced earlier, t</w:t>
      </w:r>
      <w:r>
        <w:t xml:space="preserve">hese committees have and will make decisions based on </w:t>
      </w:r>
      <w:r w:rsidR="009A52AA">
        <w:t>non-RCT</w:t>
      </w:r>
      <w:r>
        <w:t xml:space="preserve"> evidence when it is recognised as the best available. </w:t>
      </w:r>
    </w:p>
    <w:p w14:paraId="79A522EC" w14:textId="61BA3882" w:rsidR="00317879" w:rsidRDefault="00273CB5" w:rsidP="005071A7">
      <w:r>
        <w:t>RWE and RWD is also regularly used in HTA</w:t>
      </w:r>
      <w:r w:rsidR="00824DED">
        <w:t>s</w:t>
      </w:r>
      <w:r>
        <w:t xml:space="preserve"> for a range of purposes. </w:t>
      </w:r>
      <w:r w:rsidR="00E5063A">
        <w:rPr>
          <w:color w:val="000000" w:themeColor="text1"/>
        </w:rPr>
        <w:t>In</w:t>
      </w:r>
      <w:r>
        <w:rPr>
          <w:color w:val="000000" w:themeColor="text1"/>
        </w:rPr>
        <w:t xml:space="preserve"> most jurisdictions, </w:t>
      </w:r>
      <w:r>
        <w:t>RWE</w:t>
      </w:r>
      <w:r w:rsidR="00925CAD">
        <w:t xml:space="preserve"> </w:t>
      </w:r>
      <w:r>
        <w:t>is successfully used to help determine</w:t>
      </w:r>
      <w:r w:rsidR="00317879">
        <w:t>:</w:t>
      </w:r>
    </w:p>
    <w:p w14:paraId="051ABE78" w14:textId="055F5C8E" w:rsidR="00F577DF" w:rsidRDefault="00273CB5" w:rsidP="00281153">
      <w:pPr>
        <w:pStyle w:val="ListBullet"/>
        <w:numPr>
          <w:ilvl w:val="0"/>
          <w:numId w:val="81"/>
        </w:numPr>
      </w:pPr>
      <w:r>
        <w:t>the appropriate comparator</w:t>
      </w:r>
    </w:p>
    <w:p w14:paraId="3517D033" w14:textId="0CB08E5C" w:rsidR="00F577DF" w:rsidRDefault="00824DED" w:rsidP="00281153">
      <w:pPr>
        <w:pStyle w:val="ListBullet"/>
        <w:numPr>
          <w:ilvl w:val="0"/>
          <w:numId w:val="81"/>
        </w:numPr>
      </w:pPr>
      <w:r>
        <w:t xml:space="preserve">the </w:t>
      </w:r>
      <w:r w:rsidR="00273CB5">
        <w:t>natural history of the disease</w:t>
      </w:r>
    </w:p>
    <w:p w14:paraId="06D0AD0B" w14:textId="77777777" w:rsidR="00F577DF" w:rsidRDefault="00273CB5" w:rsidP="00281153">
      <w:pPr>
        <w:pStyle w:val="ListBullet"/>
        <w:numPr>
          <w:ilvl w:val="0"/>
          <w:numId w:val="81"/>
        </w:numPr>
      </w:pPr>
      <w:r>
        <w:t>treatment pathways</w:t>
      </w:r>
    </w:p>
    <w:p w14:paraId="26A29457" w14:textId="77777777" w:rsidR="00F577DF" w:rsidRDefault="00273CB5" w:rsidP="00281153">
      <w:pPr>
        <w:pStyle w:val="ListBullet"/>
        <w:numPr>
          <w:ilvl w:val="0"/>
          <w:numId w:val="81"/>
        </w:numPr>
      </w:pPr>
      <w:r>
        <w:t>long-term side effects</w:t>
      </w:r>
    </w:p>
    <w:p w14:paraId="6E26A9CA" w14:textId="77777777" w:rsidR="00F577DF" w:rsidRDefault="00273CB5" w:rsidP="00281153">
      <w:pPr>
        <w:pStyle w:val="ListBullet"/>
        <w:numPr>
          <w:ilvl w:val="0"/>
          <w:numId w:val="81"/>
        </w:numPr>
      </w:pPr>
      <w:r>
        <w:lastRenderedPageBreak/>
        <w:t>resource use</w:t>
      </w:r>
    </w:p>
    <w:p w14:paraId="20D913EB" w14:textId="77777777" w:rsidR="00F577DF" w:rsidRDefault="00273CB5" w:rsidP="00281153">
      <w:pPr>
        <w:pStyle w:val="ListBullet"/>
        <w:numPr>
          <w:ilvl w:val="0"/>
          <w:numId w:val="81"/>
        </w:numPr>
      </w:pPr>
      <w:r>
        <w:t>incidence</w:t>
      </w:r>
    </w:p>
    <w:p w14:paraId="725B2746" w14:textId="422BF2EA" w:rsidR="00E5019A" w:rsidRDefault="00273CB5" w:rsidP="00281153">
      <w:pPr>
        <w:pStyle w:val="ListBullet"/>
        <w:numPr>
          <w:ilvl w:val="0"/>
          <w:numId w:val="81"/>
        </w:numPr>
      </w:pPr>
      <w:r>
        <w:t>compliance</w:t>
      </w:r>
    </w:p>
    <w:p w14:paraId="03A111D5" w14:textId="77777777" w:rsidR="00B176CA" w:rsidRDefault="00273CB5" w:rsidP="00281153">
      <w:pPr>
        <w:pStyle w:val="ListBullet"/>
        <w:numPr>
          <w:ilvl w:val="0"/>
          <w:numId w:val="81"/>
        </w:numPr>
      </w:pPr>
      <w:r>
        <w:t>quality of life</w:t>
      </w:r>
    </w:p>
    <w:p w14:paraId="08DF48D4" w14:textId="45485992" w:rsidR="00717BD6" w:rsidRDefault="00273CB5" w:rsidP="00281153">
      <w:pPr>
        <w:pStyle w:val="ListBullet"/>
        <w:numPr>
          <w:ilvl w:val="0"/>
          <w:numId w:val="81"/>
        </w:numPr>
      </w:pPr>
      <w:r>
        <w:t xml:space="preserve">some parameters for economic analysis. </w:t>
      </w:r>
    </w:p>
    <w:p w14:paraId="40E71FBE" w14:textId="4016ACFE" w:rsidR="00273CB5" w:rsidRDefault="00273CB5" w:rsidP="005071A7">
      <w:r>
        <w:t xml:space="preserve">In most cases, these uses of RWE are well established and accepted. </w:t>
      </w:r>
      <w:r w:rsidR="005F614F">
        <w:t>However</w:t>
      </w:r>
      <w:r w:rsidR="00925CAD">
        <w:t>,</w:t>
      </w:r>
      <w:r w:rsidR="005F614F">
        <w:t xml:space="preserve"> RWE is used </w:t>
      </w:r>
      <w:r w:rsidR="00824DED">
        <w:t xml:space="preserve">less frequently </w:t>
      </w:r>
      <w:r w:rsidR="005F614F">
        <w:t xml:space="preserve">for </w:t>
      </w:r>
      <w:r w:rsidR="00A92E7E">
        <w:t xml:space="preserve">establishing treatment effectiveness. </w:t>
      </w:r>
      <w:r w:rsidR="00426C5F">
        <w:t>This is due to concerns about</w:t>
      </w:r>
      <w:r w:rsidR="00FC1165">
        <w:t>:</w:t>
      </w:r>
      <w:r w:rsidR="00426C5F">
        <w:t xml:space="preserve"> </w:t>
      </w:r>
    </w:p>
    <w:p w14:paraId="53F08E5F" w14:textId="4532E963" w:rsidR="00273CB5" w:rsidRDefault="00273CB5" w:rsidP="00281153">
      <w:pPr>
        <w:pStyle w:val="ListBullet"/>
        <w:numPr>
          <w:ilvl w:val="0"/>
          <w:numId w:val="82"/>
        </w:numPr>
      </w:pPr>
      <w:r>
        <w:t xml:space="preserve">data quality and acceptability </w:t>
      </w:r>
    </w:p>
    <w:p w14:paraId="4E92A65B" w14:textId="77777777" w:rsidR="00273CB5" w:rsidRDefault="00273CB5" w:rsidP="00281153">
      <w:pPr>
        <w:pStyle w:val="ListBullet"/>
        <w:numPr>
          <w:ilvl w:val="0"/>
          <w:numId w:val="82"/>
        </w:numPr>
      </w:pPr>
      <w:r>
        <w:t xml:space="preserve">bias and confounding </w:t>
      </w:r>
    </w:p>
    <w:p w14:paraId="6B04D4B6" w14:textId="098F8C3C" w:rsidR="00273CB5" w:rsidRDefault="00273CB5" w:rsidP="00281153">
      <w:pPr>
        <w:pStyle w:val="ListBullet"/>
        <w:numPr>
          <w:ilvl w:val="0"/>
          <w:numId w:val="82"/>
        </w:numPr>
      </w:pPr>
      <w:r>
        <w:t xml:space="preserve">lack of training in HTA </w:t>
      </w:r>
      <w:r w:rsidR="00824DED">
        <w:t>and</w:t>
      </w:r>
      <w:r>
        <w:t xml:space="preserve"> methods for evaluation </w:t>
      </w:r>
    </w:p>
    <w:p w14:paraId="33613A49" w14:textId="40F756FA" w:rsidR="00273CB5" w:rsidRDefault="00273CB5" w:rsidP="00281153">
      <w:pPr>
        <w:pStyle w:val="ListBullet"/>
        <w:numPr>
          <w:ilvl w:val="0"/>
          <w:numId w:val="82"/>
        </w:numPr>
      </w:pPr>
      <w:r>
        <w:t xml:space="preserve">trust and transparency </w:t>
      </w:r>
    </w:p>
    <w:p w14:paraId="3405D936" w14:textId="63038FAB" w:rsidR="00273CB5" w:rsidRDefault="00273CB5" w:rsidP="00281153">
      <w:pPr>
        <w:pStyle w:val="ListBullet"/>
        <w:numPr>
          <w:ilvl w:val="0"/>
          <w:numId w:val="82"/>
        </w:numPr>
      </w:pPr>
      <w:r>
        <w:t>lack of standardisation</w:t>
      </w:r>
    </w:p>
    <w:p w14:paraId="5F6ACC86" w14:textId="77777777" w:rsidR="00273CB5" w:rsidRPr="00E61EBA" w:rsidRDefault="00273CB5" w:rsidP="00281153">
      <w:pPr>
        <w:pStyle w:val="ListBullet"/>
        <w:numPr>
          <w:ilvl w:val="0"/>
          <w:numId w:val="82"/>
        </w:numPr>
        <w:rPr>
          <w:color w:val="000000" w:themeColor="text1"/>
        </w:rPr>
      </w:pPr>
      <w:r>
        <w:t>transferability.</w:t>
      </w:r>
    </w:p>
    <w:p w14:paraId="61C8E9A2" w14:textId="58538A87" w:rsidR="00DF54B7" w:rsidRDefault="00DF54B7" w:rsidP="005071A7">
      <w:r>
        <w:t>W</w:t>
      </w:r>
      <w:r w:rsidR="00273CB5">
        <w:t>hen RCT evidence is not available, evidence of treatment effectiveness is more uncertain</w:t>
      </w:r>
      <w:r w:rsidR="00824DED">
        <w:t>. T</w:t>
      </w:r>
      <w:r w:rsidR="00273CB5">
        <w:t>his has flow</w:t>
      </w:r>
      <w:r w:rsidR="003916B9">
        <w:t>-</w:t>
      </w:r>
      <w:r w:rsidR="00273CB5">
        <w:t xml:space="preserve">on impacts </w:t>
      </w:r>
      <w:r w:rsidR="00824DED">
        <w:t xml:space="preserve">on </w:t>
      </w:r>
      <w:r w:rsidR="00273CB5">
        <w:t>the confidence that advisory committees and decisions</w:t>
      </w:r>
      <w:r w:rsidR="006E411F">
        <w:t>-</w:t>
      </w:r>
      <w:r w:rsidR="00273CB5">
        <w:t xml:space="preserve">makers have about the claimed clinical benefits of a health technology. </w:t>
      </w:r>
    </w:p>
    <w:p w14:paraId="5E4A21B4" w14:textId="18444207" w:rsidR="000853C0" w:rsidRDefault="00567768" w:rsidP="005071A7">
      <w:pPr>
        <w:pStyle w:val="Heading4"/>
        <w:jc w:val="both"/>
      </w:pPr>
      <w:r>
        <w:t>M</w:t>
      </w:r>
      <w:r w:rsidR="000606CE">
        <w:t xml:space="preserve">ore guidance is needed on </w:t>
      </w:r>
      <w:r w:rsidR="00A54812">
        <w:t>methods</w:t>
      </w:r>
      <w:r w:rsidR="00EB7D59">
        <w:t xml:space="preserve"> in areas where the evidence base is changing</w:t>
      </w:r>
      <w:r w:rsidR="00453069">
        <w:t xml:space="preserve"> </w:t>
      </w:r>
    </w:p>
    <w:p w14:paraId="608705F5" w14:textId="140DD6C6" w:rsidR="00351B97" w:rsidRDefault="001E020E" w:rsidP="005071A7">
      <w:r>
        <w:t>T</w:t>
      </w:r>
      <w:r w:rsidR="00257A98">
        <w:t>wo primary drivers are changing the evidence base</w:t>
      </w:r>
      <w:r w:rsidR="000B1DB6">
        <w:t xml:space="preserve"> and guidance on</w:t>
      </w:r>
      <w:r w:rsidR="006344D6">
        <w:t xml:space="preserve"> their</w:t>
      </w:r>
      <w:r w:rsidR="000B1DB6">
        <w:t xml:space="preserve"> use in HTA</w:t>
      </w:r>
      <w:r w:rsidR="006344D6">
        <w:t>s</w:t>
      </w:r>
      <w:r w:rsidR="000B1DB6">
        <w:t xml:space="preserve"> is limited</w:t>
      </w:r>
      <w:r w:rsidR="00DA71AF">
        <w:t xml:space="preserve">. </w:t>
      </w:r>
    </w:p>
    <w:p w14:paraId="34E0F3A6" w14:textId="6BD09254" w:rsidR="000853C0" w:rsidRDefault="00351B97" w:rsidP="005071A7">
      <w:r>
        <w:t>The first driver is</w:t>
      </w:r>
      <w:r w:rsidR="00E4501A">
        <w:t xml:space="preserve"> the increasing number of health technologies</w:t>
      </w:r>
      <w:r w:rsidR="007E2078">
        <w:t xml:space="preserve"> (such as cell and gene technologies)</w:t>
      </w:r>
      <w:r w:rsidR="00E4501A">
        <w:t xml:space="preserve"> that </w:t>
      </w:r>
      <w:r w:rsidR="00825945">
        <w:t xml:space="preserve">target biomarkers and/or </w:t>
      </w:r>
      <w:r w:rsidR="00E4501A">
        <w:t>treat rare diseases</w:t>
      </w:r>
      <w:r>
        <w:t xml:space="preserve">. </w:t>
      </w:r>
      <w:r w:rsidR="000853C0">
        <w:t xml:space="preserve">They are evidenced by trials with small sample sizes or </w:t>
      </w:r>
      <w:r w:rsidR="006344D6">
        <w:t xml:space="preserve">that </w:t>
      </w:r>
      <w:r w:rsidR="000853C0">
        <w:t>lack controls used in RCTs, involve greater assumptions about long-term benefits, sometimes carry high risk of adverse events or death, require complex implementation, and can cost several million dollars for a course of treatment for a single patient.</w:t>
      </w:r>
      <w:r w:rsidR="000853C0">
        <w:rPr>
          <w:rStyle w:val="FootnoteReference"/>
        </w:rPr>
        <w:footnoteReference w:id="182"/>
      </w:r>
      <w:r w:rsidR="000853C0">
        <w:t xml:space="preserve"> </w:t>
      </w:r>
    </w:p>
    <w:p w14:paraId="63A5E4CB" w14:textId="5AE52F40" w:rsidR="00AC6B7D" w:rsidRDefault="00AC6B7D" w:rsidP="005071A7">
      <w:r>
        <w:t xml:space="preserve">The second driver is </w:t>
      </w:r>
      <w:r w:rsidR="000B1DB6">
        <w:t>the increasing sophistication of methods for assessing and linking</w:t>
      </w:r>
      <w:r w:rsidR="006344D6">
        <w:t> </w:t>
      </w:r>
      <w:r w:rsidR="0051570E">
        <w:t>RWD</w:t>
      </w:r>
      <w:r w:rsidR="000B1DB6">
        <w:t xml:space="preserve">. </w:t>
      </w:r>
    </w:p>
    <w:p w14:paraId="16CD9080" w14:textId="3AA8F8BE" w:rsidR="00C95E74" w:rsidRDefault="007E6D5A" w:rsidP="005071A7">
      <w:r>
        <w:t xml:space="preserve">Existing guidelines </w:t>
      </w:r>
      <w:r w:rsidR="00E020FE">
        <w:t xml:space="preserve">do not </w:t>
      </w:r>
      <w:r w:rsidR="006344D6">
        <w:t xml:space="preserve">give participants </w:t>
      </w:r>
      <w:r w:rsidR="00E020FE">
        <w:t xml:space="preserve">enough clarity </w:t>
      </w:r>
      <w:r w:rsidR="006344D6">
        <w:t>o</w:t>
      </w:r>
      <w:r w:rsidR="00E020FE">
        <w:t xml:space="preserve">n the HTA process </w:t>
      </w:r>
      <w:r w:rsidR="006344D6">
        <w:t>for</w:t>
      </w:r>
      <w:r w:rsidR="00E020FE">
        <w:t xml:space="preserve"> </w:t>
      </w:r>
      <w:r w:rsidR="00070F1E">
        <w:t>present</w:t>
      </w:r>
      <w:r w:rsidR="006344D6">
        <w:t>ing</w:t>
      </w:r>
      <w:r w:rsidR="00070F1E">
        <w:t>, us</w:t>
      </w:r>
      <w:r w:rsidR="006344D6">
        <w:t>ing</w:t>
      </w:r>
      <w:r w:rsidR="00070F1E">
        <w:t xml:space="preserve"> and assess</w:t>
      </w:r>
      <w:r w:rsidR="006344D6">
        <w:t>ing</w:t>
      </w:r>
      <w:r w:rsidR="00070F1E">
        <w:t xml:space="preserve"> </w:t>
      </w:r>
      <w:r w:rsidR="00537166">
        <w:t>emerging evidence, and evidence for emerging technologies.</w:t>
      </w:r>
      <w:r w:rsidR="00E020FE">
        <w:t xml:space="preserve"> </w:t>
      </w:r>
    </w:p>
    <w:p w14:paraId="165D8C1C" w14:textId="7F5B71FA" w:rsidR="00273CB5" w:rsidRDefault="00C95BD6" w:rsidP="009F3730">
      <w:pPr>
        <w:pStyle w:val="Heading4"/>
      </w:pPr>
      <w:r>
        <w:lastRenderedPageBreak/>
        <w:t>G</w:t>
      </w:r>
      <w:r w:rsidR="00273CB5">
        <w:t>uidelines do not provide detailed advice on how to implement and apply many of the methods they describe</w:t>
      </w:r>
    </w:p>
    <w:p w14:paraId="1DD4C6BF" w14:textId="3B8A94BB" w:rsidR="00273CB5" w:rsidRDefault="00D52676" w:rsidP="005071A7">
      <w:r>
        <w:t>I</w:t>
      </w:r>
      <w:r w:rsidR="00273CB5">
        <w:t>n</w:t>
      </w:r>
      <w:r w:rsidR="00273CB5" w:rsidDel="00D52676">
        <w:t xml:space="preserve"> </w:t>
      </w:r>
      <w:r w:rsidR="00273CB5">
        <w:t>jurisdictions such as England</w:t>
      </w:r>
      <w:r w:rsidR="00BB64D1">
        <w:t>,</w:t>
      </w:r>
      <w:r w:rsidR="00273CB5">
        <w:t xml:space="preserve"> detailed technical support documents have been developed to assist sponsors and evaluators </w:t>
      </w:r>
      <w:r w:rsidR="00FA396E">
        <w:t>to determine</w:t>
      </w:r>
      <w:r w:rsidR="00273CB5">
        <w:t xml:space="preserve"> how to implement methods set out in guidelines.</w:t>
      </w:r>
      <w:r w:rsidR="00273CB5">
        <w:rPr>
          <w:rStyle w:val="FootnoteReference"/>
        </w:rPr>
        <w:footnoteReference w:id="183"/>
      </w:r>
      <w:r w:rsidR="00273CB5">
        <w:t xml:space="preserve"> The absence of such documents in Australia may contribute to a perception that certain types of evidence (such as RWE</w:t>
      </w:r>
      <w:r w:rsidR="00FA3588">
        <w:t>,</w:t>
      </w:r>
      <w:r w:rsidR="00273CB5">
        <w:t xml:space="preserve"> RWD</w:t>
      </w:r>
      <w:r w:rsidR="007F7104">
        <w:t xml:space="preserve"> or surrogate </w:t>
      </w:r>
      <w:r w:rsidR="00347E10">
        <w:t>outcomes</w:t>
      </w:r>
      <w:r w:rsidR="00273CB5">
        <w:t xml:space="preserve">) are not considered or accepted or that there </w:t>
      </w:r>
      <w:r w:rsidR="00015285">
        <w:t xml:space="preserve">is not </w:t>
      </w:r>
      <w:r w:rsidR="00273CB5">
        <w:t xml:space="preserve">flexibility where generation of higher quality evidence, such as RCTs, is not feasible. It may also contribute to the number of submissions that are too </w:t>
      </w:r>
      <w:r w:rsidR="004F0CF4">
        <w:t>unreliable</w:t>
      </w:r>
      <w:r w:rsidR="00273CB5">
        <w:t xml:space="preserve"> to be used for decision</w:t>
      </w:r>
      <w:r w:rsidR="00931C67">
        <w:t>-</w:t>
      </w:r>
      <w:r w:rsidR="00273CB5">
        <w:t xml:space="preserve">making. </w:t>
      </w:r>
    </w:p>
    <w:p w14:paraId="5BED8E2B" w14:textId="74A5C47F" w:rsidR="00293ED1" w:rsidRDefault="00293ED1" w:rsidP="00DF70C3">
      <w:pPr>
        <w:pStyle w:val="Heading3"/>
      </w:pPr>
      <w:bookmarkStart w:id="586" w:name="_Toc164691481"/>
      <w:bookmarkStart w:id="587" w:name="_Toc164696275"/>
      <w:bookmarkStart w:id="588" w:name="_Toc164696421"/>
      <w:bookmarkStart w:id="589" w:name="_Toc164767808"/>
      <w:bookmarkStart w:id="590" w:name="_Toc165473739"/>
      <w:r>
        <w:t>Conclusion</w:t>
      </w:r>
      <w:bookmarkEnd w:id="586"/>
      <w:bookmarkEnd w:id="587"/>
      <w:bookmarkEnd w:id="588"/>
      <w:bookmarkEnd w:id="589"/>
      <w:bookmarkEnd w:id="590"/>
    </w:p>
    <w:p w14:paraId="72146571" w14:textId="4BCF4868" w:rsidR="00067334" w:rsidRDefault="00067334" w:rsidP="00067334">
      <w:r>
        <w:t>Given the importance and major public impacts of decisions</w:t>
      </w:r>
      <w:r w:rsidR="00D52676">
        <w:t xml:space="preserve"> about</w:t>
      </w:r>
      <w:r>
        <w:t xml:space="preserve"> funding </w:t>
      </w:r>
      <w:r w:rsidR="00D52676">
        <w:t xml:space="preserve">for </w:t>
      </w:r>
      <w:r>
        <w:t xml:space="preserve">new health technologies, decision-makers need to </w:t>
      </w:r>
      <w:r w:rsidR="00D52676">
        <w:t>be</w:t>
      </w:r>
      <w:r>
        <w:t xml:space="preserve"> confiden</w:t>
      </w:r>
      <w:r w:rsidR="00D52676">
        <w:t xml:space="preserve">t </w:t>
      </w:r>
      <w:r>
        <w:t>they will perform as claimed. HTA</w:t>
      </w:r>
      <w:r w:rsidR="00D52676">
        <w:t>s</w:t>
      </w:r>
      <w:r>
        <w:t xml:space="preserve"> play an important role in incentivising the generation of evidence that enables decision-makers to make these decisions confidently. To those ends, it is vital </w:t>
      </w:r>
      <w:r w:rsidR="00D52676">
        <w:t xml:space="preserve">to maintain </w:t>
      </w:r>
      <w:r>
        <w:t xml:space="preserve">preference for the best possible evidence to inform clinical evaluations. </w:t>
      </w:r>
    </w:p>
    <w:p w14:paraId="3F9BF652" w14:textId="4E789948" w:rsidR="008859E0" w:rsidRPr="007405FA" w:rsidRDefault="008859E0" w:rsidP="008859E0">
      <w:r>
        <w:t xml:space="preserve">Methods </w:t>
      </w:r>
      <w:r w:rsidR="00067334">
        <w:t xml:space="preserve">nevertheless </w:t>
      </w:r>
      <w:r>
        <w:t>need to adapt to the changing evidence base</w:t>
      </w:r>
      <w:r w:rsidR="0034092C">
        <w:t>. T</w:t>
      </w:r>
      <w:r>
        <w:t>he increasing number of treatments for rarer conditions (such as cell and gene therapies)</w:t>
      </w:r>
      <w:r w:rsidR="006176E8">
        <w:t xml:space="preserve"> and </w:t>
      </w:r>
      <w:r w:rsidR="00D52676">
        <w:t>for</w:t>
      </w:r>
      <w:r w:rsidR="006176E8">
        <w:t xml:space="preserve"> target</w:t>
      </w:r>
      <w:r w:rsidR="00D52676">
        <w:t>ing</w:t>
      </w:r>
      <w:r w:rsidR="006176E8">
        <w:t xml:space="preserve"> biomarkers</w:t>
      </w:r>
      <w:r>
        <w:t xml:space="preserve"> will not be supported by evidence that delivers the same confidence as evidence that supported emerging technologies in the 1990s and 2000s. </w:t>
      </w:r>
    </w:p>
    <w:p w14:paraId="6F0A6791" w14:textId="5D9C06BF" w:rsidR="00F036E1" w:rsidRDefault="00F036E1" w:rsidP="00DF70C3">
      <w:pPr>
        <w:pStyle w:val="Heading3"/>
      </w:pPr>
      <w:bookmarkStart w:id="591" w:name="_Toc164767809"/>
      <w:bookmarkStart w:id="592" w:name="_Toc165473740"/>
      <w:bookmarkStart w:id="593" w:name="_Toc164691482"/>
      <w:bookmarkStart w:id="594" w:name="_Toc164696276"/>
      <w:bookmarkStart w:id="595" w:name="_Toc164696422"/>
      <w:r>
        <w:t>Objective</w:t>
      </w:r>
      <w:r w:rsidR="00AF337F">
        <w:t>s</w:t>
      </w:r>
      <w:r>
        <w:t xml:space="preserve"> of recommendations</w:t>
      </w:r>
      <w:bookmarkEnd w:id="591"/>
      <w:bookmarkEnd w:id="592"/>
    </w:p>
    <w:p w14:paraId="7B3206B2" w14:textId="115B9381" w:rsidR="00F036E1" w:rsidRPr="00F036E1" w:rsidRDefault="009E039C" w:rsidP="00F036E1">
      <w:r>
        <w:t xml:space="preserve">The Review </w:t>
      </w:r>
      <w:r w:rsidR="009879A8">
        <w:t xml:space="preserve">seeks to ensure that </w:t>
      </w:r>
      <w:r w:rsidR="003D42D5">
        <w:t xml:space="preserve">decision-makers have the best possible evidence </w:t>
      </w:r>
      <w:r w:rsidR="00072F4F">
        <w:t xml:space="preserve">available </w:t>
      </w:r>
      <w:r w:rsidR="00FA1B94">
        <w:t>when deciding whether to recommend funding of health technologies through Australia’s universal access schemes</w:t>
      </w:r>
      <w:r w:rsidR="003D42D5">
        <w:t>. To that end</w:t>
      </w:r>
      <w:r w:rsidR="008E662F">
        <w:t xml:space="preserve">, recommendations </w:t>
      </w:r>
      <w:r w:rsidR="00EB78A6">
        <w:t>propose further and updated</w:t>
      </w:r>
      <w:r w:rsidR="005D344E">
        <w:t xml:space="preserve"> guidance to </w:t>
      </w:r>
      <w:r w:rsidR="008E662F">
        <w:t xml:space="preserve">ensure that </w:t>
      </w:r>
      <w:r w:rsidR="005D344E">
        <w:t>sponsors</w:t>
      </w:r>
      <w:r w:rsidR="00650450">
        <w:t xml:space="preserve"> </w:t>
      </w:r>
      <w:r w:rsidR="008E662F">
        <w:t>understand</w:t>
      </w:r>
      <w:r w:rsidR="000944E1">
        <w:t xml:space="preserve"> </w:t>
      </w:r>
      <w:r w:rsidR="00072795">
        <w:t xml:space="preserve">HTA </w:t>
      </w:r>
      <w:r w:rsidR="00C16518">
        <w:t xml:space="preserve">advisory </w:t>
      </w:r>
      <w:r w:rsidR="00072795">
        <w:t>committees</w:t>
      </w:r>
      <w:r w:rsidR="00D52676">
        <w:t>’</w:t>
      </w:r>
      <w:r w:rsidR="00072795">
        <w:t xml:space="preserve"> preferred methodologies and approaches</w:t>
      </w:r>
      <w:r w:rsidR="00D52676">
        <w:t>. This</w:t>
      </w:r>
      <w:r w:rsidR="005D344E">
        <w:t xml:space="preserve"> includ</w:t>
      </w:r>
      <w:r w:rsidR="00D52676">
        <w:t>es</w:t>
      </w:r>
      <w:r w:rsidR="005D344E">
        <w:t xml:space="preserve"> for </w:t>
      </w:r>
      <w:r w:rsidR="00EB78A6">
        <w:t>use of</w:t>
      </w:r>
      <w:r w:rsidR="00072795">
        <w:t xml:space="preserve"> non</w:t>
      </w:r>
      <w:r w:rsidR="00EB78A6">
        <w:t xml:space="preserve">-randomised and observational evidence, surrogate end points and </w:t>
      </w:r>
      <w:r w:rsidR="00732D23">
        <w:t>therapies that target biomarkers. The Review</w:t>
      </w:r>
      <w:r w:rsidR="000944E1">
        <w:t xml:space="preserve"> also </w:t>
      </w:r>
      <w:r w:rsidR="00732D23">
        <w:t>seeks to ensure</w:t>
      </w:r>
      <w:r w:rsidR="003E760F">
        <w:t xml:space="preserve"> guideline </w:t>
      </w:r>
      <w:r w:rsidR="00AC3A63">
        <w:t>updates</w:t>
      </w:r>
      <w:r w:rsidR="00732D23">
        <w:t>, and additional guidance,</w:t>
      </w:r>
      <w:r w:rsidR="003E760F">
        <w:t xml:space="preserve"> continue to adhere to principles that require evidence to be sufficiently rigorous to support confidence in decision-making. </w:t>
      </w:r>
    </w:p>
    <w:p w14:paraId="23CC863E" w14:textId="7EFD7139" w:rsidR="00681A4A" w:rsidRPr="00681A4A" w:rsidRDefault="00BA7CA6" w:rsidP="00DF70C3">
      <w:pPr>
        <w:pStyle w:val="Heading3"/>
      </w:pPr>
      <w:bookmarkStart w:id="596" w:name="_Toc164767810"/>
      <w:bookmarkStart w:id="597" w:name="_Toc165473741"/>
      <w:r>
        <w:lastRenderedPageBreak/>
        <w:t>Recommendations</w:t>
      </w:r>
      <w:bookmarkEnd w:id="593"/>
      <w:bookmarkEnd w:id="594"/>
      <w:bookmarkEnd w:id="595"/>
      <w:bookmarkEnd w:id="596"/>
      <w:bookmarkEnd w:id="597"/>
    </w:p>
    <w:p w14:paraId="6BE49C97" w14:textId="4A7936E2" w:rsidR="00456055" w:rsidRPr="00824739" w:rsidRDefault="00456055" w:rsidP="00645D5E">
      <w:pPr>
        <w:pStyle w:val="Recommendation1"/>
      </w:pPr>
      <w:bookmarkStart w:id="598" w:name="_Ref164782266"/>
      <w:bookmarkStart w:id="599" w:name="_Hlk167302457"/>
      <w:r w:rsidRPr="00824739">
        <w:t>Overarching principles for adopting methods in Australian HTA</w:t>
      </w:r>
      <w:bookmarkEnd w:id="598"/>
      <w:r w:rsidR="00D52676">
        <w:t>s</w:t>
      </w:r>
    </w:p>
    <w:bookmarkEnd w:id="599"/>
    <w:p w14:paraId="20522410" w14:textId="05E321DF" w:rsidR="00456055" w:rsidRPr="00824739" w:rsidRDefault="00456055" w:rsidP="00D92FEE">
      <w:pPr>
        <w:spacing w:before="120"/>
        <w:rPr>
          <w:rFonts w:cs="Segoe UI"/>
        </w:rPr>
      </w:pPr>
      <w:r w:rsidRPr="00C07AE2">
        <w:rPr>
          <w:rFonts w:cs="Segoe UI"/>
        </w:rPr>
        <w:t xml:space="preserve">The Review recommends </w:t>
      </w:r>
      <w:r w:rsidR="00D52676" w:rsidRPr="00C07AE2">
        <w:rPr>
          <w:rFonts w:cs="Segoe UI"/>
        </w:rPr>
        <w:t xml:space="preserve">that </w:t>
      </w:r>
      <w:r w:rsidRPr="00C07AE2">
        <w:rPr>
          <w:rFonts w:cs="Segoe UI"/>
        </w:rPr>
        <w:t>the Australian Government</w:t>
      </w:r>
      <w:r w:rsidR="00E91ED2">
        <w:rPr>
          <w:rFonts w:cs="Segoe UI"/>
        </w:rPr>
        <w:t xml:space="preserve"> </w:t>
      </w:r>
      <w:r w:rsidRPr="00C07AE2">
        <w:rPr>
          <w:rFonts w:cs="Segoe UI"/>
        </w:rPr>
        <w:t xml:space="preserve">adopt overarching principles for </w:t>
      </w:r>
      <w:r w:rsidR="00C51818" w:rsidRPr="00C07AE2">
        <w:rPr>
          <w:rFonts w:cs="Segoe UI"/>
        </w:rPr>
        <w:t xml:space="preserve">the </w:t>
      </w:r>
      <w:r w:rsidRPr="00C07AE2">
        <w:rPr>
          <w:rFonts w:cs="Segoe UI"/>
        </w:rPr>
        <w:t xml:space="preserve">methods </w:t>
      </w:r>
      <w:r w:rsidR="00C51818" w:rsidRPr="00C07AE2">
        <w:rPr>
          <w:rFonts w:cs="Segoe UI"/>
        </w:rPr>
        <w:t xml:space="preserve">used </w:t>
      </w:r>
      <w:r w:rsidRPr="00C07AE2">
        <w:rPr>
          <w:rFonts w:cs="Segoe UI"/>
        </w:rPr>
        <w:t xml:space="preserve">in </w:t>
      </w:r>
      <w:r w:rsidR="00144E97" w:rsidRPr="00C07AE2">
        <w:rPr>
          <w:rFonts w:cs="Segoe UI"/>
        </w:rPr>
        <w:t>HTA</w:t>
      </w:r>
      <w:r w:rsidR="00C51818" w:rsidRPr="00C07AE2">
        <w:rPr>
          <w:rFonts w:cs="Segoe UI"/>
        </w:rPr>
        <w:t>s</w:t>
      </w:r>
      <w:r w:rsidR="00144E97" w:rsidRPr="00C07AE2" w:rsidDel="00144E97">
        <w:rPr>
          <w:rFonts w:cs="Segoe UI"/>
        </w:rPr>
        <w:t xml:space="preserve"> </w:t>
      </w:r>
      <w:r w:rsidRPr="00C07AE2" w:rsidDel="00C51818">
        <w:rPr>
          <w:rFonts w:cs="Segoe UI"/>
        </w:rPr>
        <w:t xml:space="preserve">for </w:t>
      </w:r>
      <w:r w:rsidRPr="00C07AE2">
        <w:rPr>
          <w:rFonts w:cs="Segoe UI"/>
        </w:rPr>
        <w:t>decision-making</w:t>
      </w:r>
      <w:r w:rsidR="00C51818" w:rsidRPr="00C07AE2">
        <w:rPr>
          <w:rFonts w:cs="Segoe UI"/>
        </w:rPr>
        <w:t xml:space="preserve"> about reimbursements</w:t>
      </w:r>
      <w:r w:rsidR="00497AAC" w:rsidRPr="00C07AE2">
        <w:rPr>
          <w:rFonts w:cs="Segoe UI"/>
        </w:rPr>
        <w:t>. Th</w:t>
      </w:r>
      <w:r w:rsidR="00FE354F" w:rsidRPr="00C07AE2">
        <w:rPr>
          <w:rFonts w:cs="Segoe UI"/>
        </w:rPr>
        <w:t>ese should include:</w:t>
      </w:r>
    </w:p>
    <w:p w14:paraId="3A41950E" w14:textId="77777777" w:rsidR="00333D3E" w:rsidRDefault="00456055" w:rsidP="00D92FEE">
      <w:pPr>
        <w:pStyle w:val="ListParagraph"/>
        <w:numPr>
          <w:ilvl w:val="0"/>
          <w:numId w:val="123"/>
        </w:numPr>
        <w:spacing w:after="0"/>
        <w:rPr>
          <w:rFonts w:cs="Segoe UI"/>
          <w:lang w:eastAsia="en-AU"/>
        </w:rPr>
      </w:pPr>
      <w:r w:rsidRPr="76C41307">
        <w:rPr>
          <w:rFonts w:cs="Segoe UI"/>
          <w:lang w:eastAsia="en-AU"/>
        </w:rPr>
        <w:t>maintain</w:t>
      </w:r>
      <w:r w:rsidR="00D94914">
        <w:rPr>
          <w:rFonts w:cs="Segoe UI"/>
          <w:lang w:eastAsia="en-AU"/>
        </w:rPr>
        <w:t>ing</w:t>
      </w:r>
      <w:r w:rsidRPr="76C41307">
        <w:rPr>
          <w:rFonts w:cs="Segoe UI"/>
          <w:lang w:eastAsia="en-AU"/>
        </w:rPr>
        <w:t xml:space="preserve"> preference for</w:t>
      </w:r>
      <w:r w:rsidR="00333D3E">
        <w:rPr>
          <w:rFonts w:cs="Segoe UI"/>
          <w:lang w:eastAsia="en-AU"/>
        </w:rPr>
        <w:t>:</w:t>
      </w:r>
      <w:r w:rsidRPr="76C41307">
        <w:rPr>
          <w:rFonts w:cs="Segoe UI"/>
          <w:lang w:eastAsia="en-AU"/>
        </w:rPr>
        <w:t xml:space="preserve"> </w:t>
      </w:r>
    </w:p>
    <w:p w14:paraId="0A3E4665" w14:textId="1ACCF7D1" w:rsidR="00456055" w:rsidRPr="00824739" w:rsidRDefault="00456055" w:rsidP="00D92FEE">
      <w:pPr>
        <w:pStyle w:val="ListNumber"/>
        <w:numPr>
          <w:ilvl w:val="1"/>
          <w:numId w:val="123"/>
        </w:numPr>
        <w:spacing w:after="0"/>
      </w:pPr>
      <w:r w:rsidRPr="76C41307">
        <w:t>the best available evidence</w:t>
      </w:r>
    </w:p>
    <w:p w14:paraId="121F363C" w14:textId="60126202" w:rsidR="00456055" w:rsidRPr="00824739" w:rsidRDefault="000D3FB1" w:rsidP="00D92FEE">
      <w:pPr>
        <w:pStyle w:val="ListNumber"/>
        <w:numPr>
          <w:ilvl w:val="1"/>
          <w:numId w:val="123"/>
        </w:numPr>
        <w:spacing w:after="0"/>
      </w:pPr>
      <w:r>
        <w:t xml:space="preserve">methods </w:t>
      </w:r>
      <w:r w:rsidR="00FE354F">
        <w:t>that</w:t>
      </w:r>
      <w:r>
        <w:t xml:space="preserve"> are</w:t>
      </w:r>
      <w:r w:rsidR="00456055" w:rsidRPr="76C41307">
        <w:t xml:space="preserve"> fit-for-purpose, transparent </w:t>
      </w:r>
      <w:r w:rsidR="000C04AF">
        <w:t>and</w:t>
      </w:r>
      <w:r w:rsidR="00456055" w:rsidRPr="76C41307">
        <w:t xml:space="preserve"> only as complex as required to address the problem</w:t>
      </w:r>
    </w:p>
    <w:p w14:paraId="52704F59" w14:textId="79EE89B5" w:rsidR="00456055" w:rsidRPr="00824739" w:rsidRDefault="00FE354F" w:rsidP="00D92FEE">
      <w:pPr>
        <w:pStyle w:val="ListNumber"/>
        <w:numPr>
          <w:ilvl w:val="1"/>
          <w:numId w:val="123"/>
        </w:numPr>
        <w:spacing w:after="0"/>
      </w:pPr>
      <w:r>
        <w:t xml:space="preserve">justification of the </w:t>
      </w:r>
      <w:r w:rsidR="00456055" w:rsidRPr="76C41307">
        <w:t>use of more complex methods</w:t>
      </w:r>
      <w:r w:rsidR="00982E4A">
        <w:t>.</w:t>
      </w:r>
    </w:p>
    <w:p w14:paraId="6500D859" w14:textId="3C2C89A7" w:rsidR="006C6BD9" w:rsidRDefault="006C6BD9" w:rsidP="00D92FEE">
      <w:pPr>
        <w:pStyle w:val="ListParagraph"/>
        <w:numPr>
          <w:ilvl w:val="0"/>
          <w:numId w:val="123"/>
        </w:numPr>
        <w:spacing w:after="0"/>
        <w:rPr>
          <w:rFonts w:cs="Segoe UI"/>
          <w:lang w:eastAsia="en-AU"/>
        </w:rPr>
      </w:pPr>
      <w:r>
        <w:rPr>
          <w:rFonts w:cs="Segoe UI"/>
          <w:lang w:eastAsia="en-AU"/>
        </w:rPr>
        <w:t>greater acceptance of uncertainty</w:t>
      </w:r>
      <w:r w:rsidR="007544A6">
        <w:rPr>
          <w:rFonts w:cs="Segoe UI"/>
          <w:lang w:eastAsia="en-AU"/>
        </w:rPr>
        <w:t xml:space="preserve"> </w:t>
      </w:r>
      <w:r w:rsidR="00F54CBA">
        <w:rPr>
          <w:rFonts w:cs="Segoe UI"/>
          <w:lang w:eastAsia="en-AU"/>
        </w:rPr>
        <w:t>and complex methods where</w:t>
      </w:r>
      <w:r w:rsidR="00F16083">
        <w:rPr>
          <w:rFonts w:cs="Segoe UI"/>
          <w:lang w:eastAsia="en-AU"/>
        </w:rPr>
        <w:t>:</w:t>
      </w:r>
    </w:p>
    <w:p w14:paraId="6F7A0FC2" w14:textId="0AB95D3B" w:rsidR="00AA5BB8" w:rsidRDefault="00AA5BB8" w:rsidP="00D92FEE">
      <w:pPr>
        <w:pStyle w:val="ListNumber"/>
        <w:numPr>
          <w:ilvl w:val="1"/>
          <w:numId w:val="123"/>
        </w:numPr>
        <w:spacing w:after="0"/>
      </w:pPr>
      <w:r>
        <w:t>managed entry a</w:t>
      </w:r>
      <w:r w:rsidR="001E3060">
        <w:t>greements</w:t>
      </w:r>
      <w:r>
        <w:t xml:space="preserve"> are proposed</w:t>
      </w:r>
      <w:r w:rsidR="00562BE5">
        <w:t>, and</w:t>
      </w:r>
      <w:r w:rsidR="001E3060">
        <w:t>/</w:t>
      </w:r>
      <w:r w:rsidR="00562BE5">
        <w:t>or</w:t>
      </w:r>
    </w:p>
    <w:p w14:paraId="7FC83744" w14:textId="38FBAFA2" w:rsidR="00AA5BB8" w:rsidRDefault="000F34E7" w:rsidP="00D92FEE">
      <w:pPr>
        <w:pStyle w:val="ListNumber"/>
        <w:numPr>
          <w:ilvl w:val="1"/>
          <w:numId w:val="123"/>
        </w:numPr>
        <w:spacing w:after="0"/>
      </w:pPr>
      <w:r>
        <w:t>a he</w:t>
      </w:r>
      <w:r w:rsidR="0003531C">
        <w:t>alth technology is likely to provide</w:t>
      </w:r>
      <w:r w:rsidR="00562BE5">
        <w:t xml:space="preserve"> high added therapeutic value in areas of high unmet clinical need</w:t>
      </w:r>
      <w:r w:rsidR="00F66B77">
        <w:t xml:space="preserve"> (HUCN)</w:t>
      </w:r>
      <w:r w:rsidR="00982E4A">
        <w:t>.</w:t>
      </w:r>
    </w:p>
    <w:p w14:paraId="0DB05624" w14:textId="30D48BB8" w:rsidR="00EA611B" w:rsidRDefault="00EA611B" w:rsidP="00D92FEE">
      <w:pPr>
        <w:pStyle w:val="ListParagraph"/>
        <w:numPr>
          <w:ilvl w:val="0"/>
          <w:numId w:val="123"/>
        </w:numPr>
        <w:spacing w:after="0"/>
        <w:rPr>
          <w:rFonts w:cs="Segoe UI"/>
          <w:lang w:eastAsia="en-AU"/>
        </w:rPr>
      </w:pPr>
      <w:r>
        <w:rPr>
          <w:rFonts w:cs="Segoe UI"/>
          <w:lang w:eastAsia="en-AU"/>
        </w:rPr>
        <w:t>provision of:</w:t>
      </w:r>
    </w:p>
    <w:p w14:paraId="39A0E1F9" w14:textId="59F3A708" w:rsidR="00456055" w:rsidRPr="00824739" w:rsidRDefault="00456055" w:rsidP="00D92FEE">
      <w:pPr>
        <w:pStyle w:val="ListNumber"/>
        <w:numPr>
          <w:ilvl w:val="1"/>
          <w:numId w:val="123"/>
        </w:numPr>
        <w:spacing w:after="0"/>
      </w:pPr>
      <w:r w:rsidRPr="76C41307">
        <w:t>guidance on methodologies preferred by decision-makers</w:t>
      </w:r>
    </w:p>
    <w:p w14:paraId="6C09E2B9" w14:textId="735BB771" w:rsidR="00456055" w:rsidRPr="00824739" w:rsidRDefault="00456055" w:rsidP="00D92FEE">
      <w:pPr>
        <w:pStyle w:val="ListNumber"/>
        <w:numPr>
          <w:ilvl w:val="1"/>
          <w:numId w:val="123"/>
        </w:numPr>
        <w:spacing w:after="0"/>
      </w:pPr>
      <w:r w:rsidRPr="76C41307">
        <w:t xml:space="preserve">training and guidance </w:t>
      </w:r>
      <w:r w:rsidR="00100BA2">
        <w:t>for evaluation groups</w:t>
      </w:r>
      <w:r w:rsidRPr="76C41307">
        <w:t xml:space="preserve"> on new methods</w:t>
      </w:r>
    </w:p>
    <w:p w14:paraId="524BC82B" w14:textId="6D46F70B" w:rsidR="00456055" w:rsidRPr="00824739" w:rsidRDefault="00456055" w:rsidP="00D92FEE">
      <w:pPr>
        <w:pStyle w:val="ListNumber"/>
        <w:numPr>
          <w:ilvl w:val="1"/>
          <w:numId w:val="123"/>
        </w:numPr>
        <w:spacing w:after="0"/>
      </w:pPr>
      <w:r w:rsidRPr="76C41307">
        <w:t>feedback to sponsors on their use and presentation of analys</w:t>
      </w:r>
      <w:r w:rsidR="00F16083">
        <w:t>i</w:t>
      </w:r>
      <w:r w:rsidRPr="76C41307">
        <w:t>s based on more complex methods</w:t>
      </w:r>
      <w:r w:rsidR="00982E4A">
        <w:t>.</w:t>
      </w:r>
    </w:p>
    <w:p w14:paraId="4C921DB3" w14:textId="42CC2B13" w:rsidR="00F872DC" w:rsidRPr="00F872DC" w:rsidRDefault="00F872DC" w:rsidP="00D92FEE">
      <w:pPr>
        <w:pStyle w:val="ListParagraph"/>
        <w:numPr>
          <w:ilvl w:val="0"/>
          <w:numId w:val="123"/>
        </w:numPr>
        <w:spacing w:after="0"/>
        <w:rPr>
          <w:rFonts w:cs="Segoe UI"/>
          <w:lang w:eastAsia="en-AU"/>
        </w:rPr>
      </w:pPr>
      <w:r>
        <w:rPr>
          <w:rFonts w:cs="Segoe UI"/>
          <w:lang w:eastAsia="en-AU"/>
        </w:rPr>
        <w:t>consultation with</w:t>
      </w:r>
      <w:r w:rsidR="00BF14DD">
        <w:rPr>
          <w:rFonts w:cs="Segoe UI"/>
          <w:lang w:eastAsia="en-AU"/>
        </w:rPr>
        <w:t xml:space="preserve"> stakeholders</w:t>
      </w:r>
      <w:r w:rsidRPr="76C41307">
        <w:rPr>
          <w:rFonts w:cs="Segoe UI"/>
          <w:lang w:eastAsia="en-AU"/>
        </w:rPr>
        <w:t xml:space="preserve"> on adoption of methodologies</w:t>
      </w:r>
      <w:r w:rsidR="00F16083">
        <w:rPr>
          <w:rFonts w:cs="Segoe UI"/>
          <w:lang w:eastAsia="en-AU"/>
        </w:rPr>
        <w:t>.</w:t>
      </w:r>
    </w:p>
    <w:p w14:paraId="6CF94545" w14:textId="72192849" w:rsidR="00456055" w:rsidRPr="00824739" w:rsidRDefault="00456055" w:rsidP="00645D5E">
      <w:pPr>
        <w:pStyle w:val="Recommendation1"/>
      </w:pPr>
      <w:bookmarkStart w:id="600" w:name="_Ref164782336"/>
      <w:bookmarkStart w:id="601" w:name="_Hlk167302479"/>
      <w:r w:rsidRPr="00824739">
        <w:t>Methods for assess</w:t>
      </w:r>
      <w:r w:rsidR="00F659F0">
        <w:t xml:space="preserve">ing </w:t>
      </w:r>
      <w:r w:rsidRPr="5DA15D02">
        <w:t>non-randomised</w:t>
      </w:r>
      <w:r w:rsidRPr="00824739">
        <w:t xml:space="preserve"> and observational evidence</w:t>
      </w:r>
      <w:bookmarkEnd w:id="600"/>
    </w:p>
    <w:bookmarkEnd w:id="601"/>
    <w:p w14:paraId="7CCAA94F" w14:textId="2D9D5B8F" w:rsidR="00456055" w:rsidRDefault="00456055" w:rsidP="00751FD5">
      <w:pPr>
        <w:spacing w:before="120" w:after="120"/>
        <w:rPr>
          <w:rFonts w:cs="Segoe UI"/>
          <w:kern w:val="24"/>
          <w:lang w:eastAsia="en-AU"/>
        </w:rPr>
      </w:pPr>
      <w:r w:rsidRPr="00C07AE2">
        <w:rPr>
          <w:rFonts w:cs="Segoe UI"/>
        </w:rPr>
        <w:t xml:space="preserve">The Review recommends </w:t>
      </w:r>
      <w:r w:rsidR="00F16083" w:rsidRPr="00C07AE2">
        <w:rPr>
          <w:rFonts w:cs="Segoe UI"/>
        </w:rPr>
        <w:t xml:space="preserve">that </w:t>
      </w:r>
      <w:r w:rsidRPr="00C07AE2">
        <w:rPr>
          <w:rFonts w:cs="Segoe UI"/>
        </w:rPr>
        <w:t>the Australian Government</w:t>
      </w:r>
      <w:r w:rsidR="00751FD5">
        <w:rPr>
          <w:rFonts w:cs="Segoe UI"/>
        </w:rPr>
        <w:t xml:space="preserve"> </w:t>
      </w:r>
      <w:r w:rsidR="00531DF1" w:rsidRPr="00C07AE2">
        <w:rPr>
          <w:rFonts w:cs="Segoe UI"/>
          <w:kern w:val="24"/>
          <w:lang w:eastAsia="en-AU"/>
        </w:rPr>
        <w:t>s</w:t>
      </w:r>
      <w:r w:rsidRPr="00C07AE2">
        <w:rPr>
          <w:rFonts w:cs="Segoe UI"/>
          <w:kern w:val="24"/>
          <w:lang w:eastAsia="en-AU"/>
        </w:rPr>
        <w:t>upport</w:t>
      </w:r>
      <w:r w:rsidRPr="00C07AE2" w:rsidDel="00F16083">
        <w:rPr>
          <w:rFonts w:cs="Segoe UI"/>
          <w:kern w:val="24"/>
          <w:lang w:eastAsia="en-AU"/>
        </w:rPr>
        <w:t xml:space="preserve"> </w:t>
      </w:r>
      <w:r w:rsidRPr="00C07AE2">
        <w:rPr>
          <w:rFonts w:cs="Segoe UI"/>
          <w:kern w:val="24"/>
          <w:lang w:eastAsia="en-AU"/>
        </w:rPr>
        <w:t>updates to methods</w:t>
      </w:r>
      <w:r w:rsidR="000646E1" w:rsidRPr="00C07AE2">
        <w:rPr>
          <w:rFonts w:cs="Segoe UI"/>
          <w:kern w:val="24"/>
          <w:lang w:eastAsia="en-AU"/>
        </w:rPr>
        <w:t>, in consultation with stakeholders,</w:t>
      </w:r>
      <w:r w:rsidRPr="00C07AE2">
        <w:rPr>
          <w:rFonts w:cs="Segoe UI"/>
          <w:kern w:val="24"/>
          <w:lang w:eastAsia="en-AU"/>
        </w:rPr>
        <w:t xml:space="preserve"> for us</w:t>
      </w:r>
      <w:r w:rsidR="00F16083" w:rsidRPr="00C07AE2">
        <w:rPr>
          <w:rFonts w:cs="Segoe UI"/>
          <w:kern w:val="24"/>
          <w:lang w:eastAsia="en-AU"/>
        </w:rPr>
        <w:t>ing</w:t>
      </w:r>
      <w:r w:rsidRPr="00C07AE2">
        <w:rPr>
          <w:rFonts w:cs="Segoe UI"/>
          <w:kern w:val="24"/>
          <w:lang w:eastAsia="en-AU"/>
        </w:rPr>
        <w:t xml:space="preserve"> non</w:t>
      </w:r>
      <w:r w:rsidR="00F16083" w:rsidRPr="00C07AE2">
        <w:rPr>
          <w:rFonts w:cs="Segoe UI"/>
          <w:kern w:val="24"/>
          <w:lang w:eastAsia="en-AU"/>
        </w:rPr>
        <w:t>-</w:t>
      </w:r>
      <w:r w:rsidRPr="00C07AE2">
        <w:rPr>
          <w:rFonts w:cs="Segoe UI"/>
          <w:kern w:val="24"/>
          <w:lang w:eastAsia="en-AU"/>
        </w:rPr>
        <w:t>randomised and observational evidence</w:t>
      </w:r>
      <w:r w:rsidR="00F16083" w:rsidRPr="00C07AE2">
        <w:rPr>
          <w:rFonts w:cs="Segoe UI"/>
          <w:kern w:val="24"/>
          <w:lang w:eastAsia="en-AU"/>
        </w:rPr>
        <w:t>,</w:t>
      </w:r>
      <w:r w:rsidRPr="00C07AE2">
        <w:rPr>
          <w:rFonts w:cs="Segoe UI"/>
          <w:kern w:val="24"/>
          <w:lang w:eastAsia="en-AU"/>
        </w:rPr>
        <w:t xml:space="preserve"> in line with the overarching principles for adopting methods in </w:t>
      </w:r>
      <w:r w:rsidR="00144E97" w:rsidRPr="00C07AE2">
        <w:rPr>
          <w:rFonts w:cs="Segoe UI"/>
          <w:kern w:val="24"/>
          <w:lang w:eastAsia="en-AU"/>
        </w:rPr>
        <w:t>HTA</w:t>
      </w:r>
      <w:r w:rsidR="00F16083" w:rsidRPr="00C07AE2">
        <w:rPr>
          <w:rFonts w:cs="Segoe UI"/>
          <w:kern w:val="24"/>
          <w:lang w:eastAsia="en-AU"/>
        </w:rPr>
        <w:t>s</w:t>
      </w:r>
      <w:r w:rsidRPr="00C07AE2">
        <w:rPr>
          <w:rFonts w:cs="Segoe UI"/>
          <w:kern w:val="24"/>
          <w:lang w:eastAsia="en-AU"/>
        </w:rPr>
        <w:t xml:space="preserve">. </w:t>
      </w:r>
    </w:p>
    <w:p w14:paraId="05CE3995" w14:textId="77777777" w:rsidR="00456055" w:rsidRPr="00C07AE2" w:rsidRDefault="00456055" w:rsidP="00D92FEE">
      <w:pPr>
        <w:rPr>
          <w:lang w:eastAsia="en-AU"/>
        </w:rPr>
      </w:pPr>
      <w:r w:rsidRPr="00C07AE2">
        <w:rPr>
          <w:lang w:eastAsia="en-AU"/>
        </w:rPr>
        <w:t>Revised methods should include the following updates:</w:t>
      </w:r>
    </w:p>
    <w:p w14:paraId="5383C299" w14:textId="34726416" w:rsidR="00456055" w:rsidRPr="00751FD5" w:rsidRDefault="00F16083" w:rsidP="00281153">
      <w:pPr>
        <w:pStyle w:val="ListNumber"/>
        <w:numPr>
          <w:ilvl w:val="0"/>
          <w:numId w:val="41"/>
        </w:numPr>
        <w:rPr>
          <w:lang w:eastAsia="en-AU"/>
        </w:rPr>
      </w:pPr>
      <w:r w:rsidRPr="00751FD5">
        <w:rPr>
          <w:lang w:eastAsia="en-AU"/>
        </w:rPr>
        <w:t>u</w:t>
      </w:r>
      <w:r w:rsidR="00456055" w:rsidRPr="00751FD5">
        <w:rPr>
          <w:lang w:eastAsia="en-AU"/>
        </w:rPr>
        <w:t xml:space="preserve">se of indirect comparisons </w:t>
      </w:r>
      <w:r w:rsidR="00723883" w:rsidRPr="00751FD5">
        <w:rPr>
          <w:lang w:eastAsia="en-AU"/>
        </w:rPr>
        <w:t>to</w:t>
      </w:r>
      <w:r w:rsidR="00456055" w:rsidRPr="00751FD5">
        <w:rPr>
          <w:lang w:eastAsia="en-AU"/>
        </w:rPr>
        <w:t xml:space="preserve"> include the presentation of a comparison of study characteristics, as well as how successful efforts for controlling for differences in characteristics are likely to be</w:t>
      </w:r>
    </w:p>
    <w:p w14:paraId="00CD4DA3" w14:textId="237671E4" w:rsidR="00456055" w:rsidRPr="00751FD5" w:rsidRDefault="00F16083" w:rsidP="00281153">
      <w:pPr>
        <w:pStyle w:val="ListNumber"/>
        <w:numPr>
          <w:ilvl w:val="0"/>
          <w:numId w:val="41"/>
        </w:numPr>
        <w:rPr>
          <w:lang w:eastAsia="en-AU"/>
        </w:rPr>
      </w:pPr>
      <w:r w:rsidRPr="00751FD5">
        <w:rPr>
          <w:lang w:eastAsia="en-AU"/>
        </w:rPr>
        <w:t>c</w:t>
      </w:r>
      <w:r w:rsidR="00456055" w:rsidRPr="00751FD5">
        <w:rPr>
          <w:lang w:eastAsia="en-AU"/>
        </w:rPr>
        <w:t xml:space="preserve">reation of control groups </w:t>
      </w:r>
      <w:r w:rsidR="00723883" w:rsidRPr="00751FD5">
        <w:rPr>
          <w:lang w:eastAsia="en-AU"/>
        </w:rPr>
        <w:t xml:space="preserve">to </w:t>
      </w:r>
      <w:r w:rsidR="00456055" w:rsidRPr="00751FD5">
        <w:rPr>
          <w:lang w:eastAsia="en-AU"/>
        </w:rPr>
        <w:t>include:</w:t>
      </w:r>
    </w:p>
    <w:p w14:paraId="5F2828D3" w14:textId="0B8F9DB5" w:rsidR="00456055" w:rsidRPr="00C07AE2" w:rsidRDefault="00456055" w:rsidP="00281153">
      <w:pPr>
        <w:pStyle w:val="ListNumber"/>
        <w:numPr>
          <w:ilvl w:val="1"/>
          <w:numId w:val="42"/>
        </w:numPr>
        <w:rPr>
          <w:lang w:eastAsia="en-AU"/>
        </w:rPr>
      </w:pPr>
      <w:r w:rsidRPr="00824739">
        <w:rPr>
          <w:lang w:eastAsia="en-AU"/>
        </w:rPr>
        <w:t>justification of why an indirect comparison is not possible, or less reliable, than the proposed approach of creating a control group</w:t>
      </w:r>
    </w:p>
    <w:p w14:paraId="22B312DA" w14:textId="18A26B55" w:rsidR="00456055" w:rsidRPr="00C07AE2" w:rsidRDefault="00456055" w:rsidP="00281153">
      <w:pPr>
        <w:pStyle w:val="ListNumber"/>
        <w:numPr>
          <w:ilvl w:val="1"/>
          <w:numId w:val="42"/>
        </w:numPr>
        <w:rPr>
          <w:lang w:eastAsia="en-AU"/>
        </w:rPr>
      </w:pPr>
      <w:r w:rsidRPr="00C07AE2">
        <w:rPr>
          <w:lang w:eastAsia="en-AU"/>
        </w:rPr>
        <w:t xml:space="preserve">justification for </w:t>
      </w:r>
      <w:r w:rsidR="00F16083" w:rsidRPr="00C07AE2">
        <w:rPr>
          <w:lang w:eastAsia="en-AU"/>
        </w:rPr>
        <w:t>using</w:t>
      </w:r>
      <w:r w:rsidRPr="00C07AE2">
        <w:rPr>
          <w:lang w:eastAsia="en-AU"/>
        </w:rPr>
        <w:t xml:space="preserve"> methods that are not pre</w:t>
      </w:r>
      <w:r w:rsidR="00F16083" w:rsidRPr="00C07AE2">
        <w:rPr>
          <w:lang w:eastAsia="en-AU"/>
        </w:rPr>
        <w:t>-</w:t>
      </w:r>
      <w:r w:rsidRPr="00C07AE2">
        <w:rPr>
          <w:lang w:eastAsia="en-AU"/>
        </w:rPr>
        <w:t>specified in the study protocol of the proposed technology</w:t>
      </w:r>
    </w:p>
    <w:p w14:paraId="4AE6FF39" w14:textId="3CE7F697" w:rsidR="00456055" w:rsidRPr="00C07AE2" w:rsidRDefault="00456055" w:rsidP="00281153">
      <w:pPr>
        <w:pStyle w:val="ListNumber"/>
        <w:numPr>
          <w:ilvl w:val="1"/>
          <w:numId w:val="42"/>
        </w:numPr>
        <w:rPr>
          <w:lang w:eastAsia="en-AU"/>
        </w:rPr>
      </w:pPr>
      <w:r w:rsidRPr="00C07AE2">
        <w:rPr>
          <w:lang w:eastAsia="en-AU"/>
        </w:rPr>
        <w:t>multiple approaches and/or multiple data sources, if possible, and a discussion of any inconsistencies in estimates</w:t>
      </w:r>
      <w:r w:rsidR="00455273">
        <w:rPr>
          <w:lang w:eastAsia="en-AU"/>
        </w:rPr>
        <w:t>.</w:t>
      </w:r>
    </w:p>
    <w:p w14:paraId="1ADA193B" w14:textId="7D33FFC8" w:rsidR="00456055" w:rsidRPr="00751FD5" w:rsidRDefault="00F16083" w:rsidP="00281153">
      <w:pPr>
        <w:pStyle w:val="ListNumber"/>
        <w:numPr>
          <w:ilvl w:val="0"/>
          <w:numId w:val="41"/>
        </w:numPr>
        <w:rPr>
          <w:lang w:eastAsia="en-AU"/>
        </w:rPr>
      </w:pPr>
      <w:r w:rsidRPr="00751FD5">
        <w:rPr>
          <w:lang w:eastAsia="en-AU"/>
        </w:rPr>
        <w:t>u</w:t>
      </w:r>
      <w:r w:rsidR="00456055" w:rsidRPr="00751FD5">
        <w:rPr>
          <w:lang w:eastAsia="en-AU"/>
        </w:rPr>
        <w:t>se of non</w:t>
      </w:r>
      <w:r w:rsidR="6D81673E" w:rsidRPr="00751FD5">
        <w:rPr>
          <w:lang w:eastAsia="en-AU"/>
        </w:rPr>
        <w:t>-</w:t>
      </w:r>
      <w:r w:rsidR="00456055" w:rsidRPr="00751FD5">
        <w:rPr>
          <w:lang w:eastAsia="en-AU"/>
        </w:rPr>
        <w:t xml:space="preserve">randomised studies to estimate a treatment effect only where: </w:t>
      </w:r>
    </w:p>
    <w:p w14:paraId="3C06B903" w14:textId="4E1A4860" w:rsidR="00456055" w:rsidRPr="00824739" w:rsidRDefault="00456055" w:rsidP="00281153">
      <w:pPr>
        <w:pStyle w:val="ListNumber"/>
        <w:numPr>
          <w:ilvl w:val="1"/>
          <w:numId w:val="110"/>
        </w:numPr>
        <w:rPr>
          <w:lang w:eastAsia="en-AU"/>
        </w:rPr>
      </w:pPr>
      <w:bookmarkStart w:id="602" w:name="_Int_I9kBCWH5"/>
      <w:r w:rsidRPr="00824739">
        <w:rPr>
          <w:lang w:eastAsia="en-AU"/>
        </w:rPr>
        <w:lastRenderedPageBreak/>
        <w:t>well</w:t>
      </w:r>
      <w:bookmarkEnd w:id="602"/>
      <w:r w:rsidRPr="00824739">
        <w:rPr>
          <w:lang w:eastAsia="en-AU"/>
        </w:rPr>
        <w:t xml:space="preserve"> justified</w:t>
      </w:r>
    </w:p>
    <w:p w14:paraId="68F473FD" w14:textId="615756B3" w:rsidR="00456055" w:rsidRPr="00510FDE" w:rsidRDefault="00456055" w:rsidP="00281153">
      <w:pPr>
        <w:pStyle w:val="ListNumber"/>
        <w:numPr>
          <w:ilvl w:val="1"/>
          <w:numId w:val="110"/>
        </w:numPr>
        <w:rPr>
          <w:lang w:eastAsia="en-AU"/>
        </w:rPr>
      </w:pPr>
      <w:r w:rsidRPr="00510FDE">
        <w:rPr>
          <w:lang w:eastAsia="en-AU"/>
        </w:rPr>
        <w:t xml:space="preserve">design and analysis elements are sufficiently rigorous to support confidence in </w:t>
      </w:r>
      <w:r w:rsidRPr="00510FDE" w:rsidDel="00830AFC">
        <w:rPr>
          <w:lang w:eastAsia="en-AU"/>
        </w:rPr>
        <w:t>decision</w:t>
      </w:r>
      <w:r w:rsidR="00830AFC">
        <w:rPr>
          <w:lang w:eastAsia="en-AU"/>
        </w:rPr>
        <w:t>-making</w:t>
      </w:r>
      <w:r w:rsidRPr="00510FDE">
        <w:rPr>
          <w:lang w:eastAsia="en-AU"/>
        </w:rPr>
        <w:t xml:space="preserve"> such as through</w:t>
      </w:r>
      <w:r w:rsidRPr="0019054D">
        <w:rPr>
          <w:lang w:eastAsia="en-AU"/>
        </w:rPr>
        <w:t>:</w:t>
      </w:r>
    </w:p>
    <w:p w14:paraId="0512B131" w14:textId="14F14215" w:rsidR="00456055" w:rsidRPr="00824739" w:rsidRDefault="00456055" w:rsidP="00281153">
      <w:pPr>
        <w:pStyle w:val="ListNumber"/>
        <w:numPr>
          <w:ilvl w:val="2"/>
          <w:numId w:val="110"/>
        </w:numPr>
        <w:rPr>
          <w:lang w:eastAsia="en-AU"/>
        </w:rPr>
      </w:pPr>
      <w:r w:rsidRPr="00824739">
        <w:rPr>
          <w:lang w:eastAsia="en-AU"/>
        </w:rPr>
        <w:t xml:space="preserve">prospective design (preferably in collaboration with </w:t>
      </w:r>
      <w:r w:rsidR="00F16083">
        <w:rPr>
          <w:lang w:eastAsia="en-AU"/>
        </w:rPr>
        <w:t xml:space="preserve">an </w:t>
      </w:r>
      <w:r w:rsidRPr="00824739">
        <w:rPr>
          <w:lang w:eastAsia="en-AU"/>
        </w:rPr>
        <w:t xml:space="preserve">HTA or regulatory scientific advice) </w:t>
      </w:r>
    </w:p>
    <w:p w14:paraId="39245714" w14:textId="19C34EE0" w:rsidR="00456055" w:rsidRPr="00824739" w:rsidRDefault="00456055" w:rsidP="00281153">
      <w:pPr>
        <w:pStyle w:val="ListNumber"/>
        <w:numPr>
          <w:ilvl w:val="2"/>
          <w:numId w:val="110"/>
        </w:numPr>
        <w:rPr>
          <w:lang w:eastAsia="en-AU"/>
        </w:rPr>
      </w:pPr>
      <w:r w:rsidRPr="00824739">
        <w:rPr>
          <w:lang w:eastAsia="en-AU"/>
        </w:rPr>
        <w:t>regist</w:t>
      </w:r>
      <w:r>
        <w:rPr>
          <w:lang w:eastAsia="en-AU"/>
        </w:rPr>
        <w:t>ration and transparent reporting</w:t>
      </w:r>
      <w:r w:rsidRPr="00824739">
        <w:rPr>
          <w:lang w:eastAsia="en-AU"/>
        </w:rPr>
        <w:t xml:space="preserve"> </w:t>
      </w:r>
    </w:p>
    <w:p w14:paraId="422D6F89" w14:textId="11CC5777" w:rsidR="00456055" w:rsidRPr="00824739" w:rsidRDefault="00456055" w:rsidP="00281153">
      <w:pPr>
        <w:pStyle w:val="ListNumber"/>
        <w:numPr>
          <w:ilvl w:val="2"/>
          <w:numId w:val="110"/>
        </w:numPr>
        <w:rPr>
          <w:lang w:eastAsia="en-AU"/>
        </w:rPr>
      </w:pPr>
      <w:r>
        <w:rPr>
          <w:lang w:eastAsia="en-AU"/>
        </w:rPr>
        <w:t xml:space="preserve">inclusion of </w:t>
      </w:r>
      <w:r w:rsidRPr="00824739">
        <w:rPr>
          <w:lang w:eastAsia="en-AU"/>
        </w:rPr>
        <w:t>multiple sensitivity</w:t>
      </w:r>
      <w:r>
        <w:rPr>
          <w:lang w:eastAsia="en-AU"/>
        </w:rPr>
        <w:t xml:space="preserve"> analyses demonstrating consistency of effect</w:t>
      </w:r>
      <w:r w:rsidR="00455273">
        <w:rPr>
          <w:lang w:eastAsia="en-AU"/>
        </w:rPr>
        <w:t>.</w:t>
      </w:r>
    </w:p>
    <w:p w14:paraId="641CA95E" w14:textId="0E796A93" w:rsidR="00456055" w:rsidRPr="00751FD5" w:rsidRDefault="00F16083" w:rsidP="00281153">
      <w:pPr>
        <w:pStyle w:val="ListNumber"/>
        <w:numPr>
          <w:ilvl w:val="0"/>
          <w:numId w:val="41"/>
        </w:numPr>
        <w:rPr>
          <w:lang w:eastAsia="en-AU"/>
        </w:rPr>
      </w:pPr>
      <w:r w:rsidRPr="00751FD5">
        <w:rPr>
          <w:lang w:eastAsia="en-AU"/>
        </w:rPr>
        <w:t>a</w:t>
      </w:r>
      <w:r w:rsidR="00456055" w:rsidRPr="00751FD5">
        <w:rPr>
          <w:lang w:eastAsia="en-AU"/>
        </w:rPr>
        <w:t xml:space="preserve">djustment of the treatment effect in the presence of treatment switching </w:t>
      </w:r>
      <w:r w:rsidR="00A57418" w:rsidRPr="00751FD5">
        <w:rPr>
          <w:lang w:eastAsia="en-AU"/>
        </w:rPr>
        <w:t xml:space="preserve">to </w:t>
      </w:r>
      <w:r w:rsidR="00456055" w:rsidRPr="00751FD5">
        <w:rPr>
          <w:lang w:eastAsia="en-AU"/>
        </w:rPr>
        <w:t>include:</w:t>
      </w:r>
    </w:p>
    <w:p w14:paraId="3A9A69BE" w14:textId="5B2C0480" w:rsidR="00456055" w:rsidRPr="00824739" w:rsidRDefault="00456055" w:rsidP="00281153">
      <w:pPr>
        <w:pStyle w:val="ListNumber"/>
        <w:numPr>
          <w:ilvl w:val="1"/>
          <w:numId w:val="111"/>
        </w:numPr>
        <w:rPr>
          <w:lang w:eastAsia="en-AU"/>
        </w:rPr>
      </w:pPr>
      <w:r w:rsidRPr="00824739">
        <w:rPr>
          <w:lang w:eastAsia="en-AU"/>
        </w:rPr>
        <w:t>multiple methods to be reported to show consisten</w:t>
      </w:r>
      <w:r w:rsidR="00F16083">
        <w:rPr>
          <w:lang w:eastAsia="en-AU"/>
        </w:rPr>
        <w:t xml:space="preserve">t </w:t>
      </w:r>
      <w:r w:rsidRPr="00824739">
        <w:rPr>
          <w:lang w:eastAsia="en-AU"/>
        </w:rPr>
        <w:t>results. This may include alternative approaches (not only methods to adjust for treatment switching) such as translating intermediate end</w:t>
      </w:r>
      <w:r w:rsidR="005667E7">
        <w:rPr>
          <w:lang w:eastAsia="en-AU"/>
        </w:rPr>
        <w:t xml:space="preserve"> </w:t>
      </w:r>
      <w:r w:rsidRPr="00824739">
        <w:rPr>
          <w:lang w:eastAsia="en-AU"/>
        </w:rPr>
        <w:t>points unaffected by treatment switching into final outcomes</w:t>
      </w:r>
    </w:p>
    <w:p w14:paraId="75B3A43B" w14:textId="2E78D8FE" w:rsidR="00456055" w:rsidRPr="001C452B" w:rsidRDefault="00456055" w:rsidP="00281153">
      <w:pPr>
        <w:pStyle w:val="ListNumber"/>
        <w:numPr>
          <w:ilvl w:val="1"/>
          <w:numId w:val="111"/>
        </w:numPr>
        <w:rPr>
          <w:lang w:eastAsia="en-AU"/>
        </w:rPr>
      </w:pPr>
      <w:r w:rsidRPr="00824739">
        <w:rPr>
          <w:lang w:eastAsia="en-AU"/>
        </w:rPr>
        <w:t>a justification of the use of methods that are not pre-specified in the trial protocol of the key study for the proposed technology.</w:t>
      </w:r>
    </w:p>
    <w:p w14:paraId="07B054B6" w14:textId="0680E5B1" w:rsidR="00456055" w:rsidRPr="00751FD5" w:rsidRDefault="00456055" w:rsidP="00751FD5">
      <w:pPr>
        <w:keepNext/>
        <w:spacing w:after="0"/>
        <w:rPr>
          <w:lang w:eastAsia="en-AU"/>
        </w:rPr>
      </w:pPr>
      <w:r w:rsidRPr="00751FD5">
        <w:rPr>
          <w:lang w:eastAsia="en-AU"/>
        </w:rPr>
        <w:t xml:space="preserve">Revised methods should include </w:t>
      </w:r>
      <w:r w:rsidR="00F16083" w:rsidRPr="00751FD5">
        <w:rPr>
          <w:lang w:eastAsia="en-AU"/>
        </w:rPr>
        <w:t xml:space="preserve">more </w:t>
      </w:r>
      <w:r w:rsidRPr="00751FD5">
        <w:rPr>
          <w:lang w:eastAsia="en-AU"/>
        </w:rPr>
        <w:t xml:space="preserve">guidance </w:t>
      </w:r>
      <w:r w:rsidR="00F16083" w:rsidRPr="00751FD5">
        <w:rPr>
          <w:lang w:eastAsia="en-AU"/>
        </w:rPr>
        <w:t>on using</w:t>
      </w:r>
      <w:r w:rsidRPr="00751FD5">
        <w:rPr>
          <w:lang w:eastAsia="en-AU"/>
        </w:rPr>
        <w:t xml:space="preserve"> </w:t>
      </w:r>
      <w:r w:rsidR="00144E97" w:rsidRPr="00751FD5">
        <w:rPr>
          <w:lang w:eastAsia="en-AU"/>
        </w:rPr>
        <w:t>real</w:t>
      </w:r>
      <w:r w:rsidR="007E3D0D" w:rsidRPr="00751FD5">
        <w:rPr>
          <w:lang w:eastAsia="en-AU"/>
        </w:rPr>
        <w:t>-</w:t>
      </w:r>
      <w:r w:rsidR="00144E97" w:rsidRPr="00751FD5">
        <w:rPr>
          <w:lang w:eastAsia="en-AU"/>
        </w:rPr>
        <w:t>world data (</w:t>
      </w:r>
      <w:r w:rsidRPr="00751FD5">
        <w:rPr>
          <w:lang w:eastAsia="en-AU"/>
        </w:rPr>
        <w:t>RWD</w:t>
      </w:r>
      <w:r w:rsidR="00144E97" w:rsidRPr="00751FD5">
        <w:rPr>
          <w:lang w:eastAsia="en-AU"/>
        </w:rPr>
        <w:t>)</w:t>
      </w:r>
      <w:r w:rsidRPr="00751FD5">
        <w:rPr>
          <w:lang w:eastAsia="en-AU"/>
        </w:rPr>
        <w:t xml:space="preserve"> and </w:t>
      </w:r>
      <w:r w:rsidR="00144E97" w:rsidRPr="00751FD5">
        <w:rPr>
          <w:lang w:eastAsia="en-AU"/>
        </w:rPr>
        <w:t>real</w:t>
      </w:r>
      <w:r w:rsidR="007E3D0D" w:rsidRPr="00751FD5">
        <w:rPr>
          <w:lang w:eastAsia="en-AU"/>
        </w:rPr>
        <w:t>-</w:t>
      </w:r>
      <w:r w:rsidR="00144E97" w:rsidRPr="00751FD5">
        <w:rPr>
          <w:lang w:eastAsia="en-AU"/>
        </w:rPr>
        <w:t>world evidence (</w:t>
      </w:r>
      <w:r w:rsidRPr="00751FD5">
        <w:rPr>
          <w:lang w:eastAsia="en-AU"/>
        </w:rPr>
        <w:t>RWE</w:t>
      </w:r>
      <w:r w:rsidR="00144E97" w:rsidRPr="00751FD5">
        <w:rPr>
          <w:lang w:eastAsia="en-AU"/>
        </w:rPr>
        <w:t>)</w:t>
      </w:r>
      <w:r w:rsidRPr="00751FD5">
        <w:rPr>
          <w:lang w:eastAsia="en-AU"/>
        </w:rPr>
        <w:t xml:space="preserve"> including:</w:t>
      </w:r>
    </w:p>
    <w:p w14:paraId="12AE858A" w14:textId="3C352213" w:rsidR="00456055" w:rsidRPr="00751FD5" w:rsidRDefault="00F16083" w:rsidP="00281153">
      <w:pPr>
        <w:pStyle w:val="ListNumber"/>
        <w:numPr>
          <w:ilvl w:val="0"/>
          <w:numId w:val="112"/>
        </w:numPr>
        <w:rPr>
          <w:lang w:eastAsia="en-AU"/>
        </w:rPr>
      </w:pPr>
      <w:r w:rsidRPr="00751FD5">
        <w:rPr>
          <w:lang w:eastAsia="en-AU"/>
        </w:rPr>
        <w:t>for</w:t>
      </w:r>
      <w:r w:rsidR="00456055" w:rsidRPr="00751FD5" w:rsidDel="00F16083">
        <w:rPr>
          <w:lang w:eastAsia="en-AU"/>
        </w:rPr>
        <w:t xml:space="preserve"> </w:t>
      </w:r>
      <w:r w:rsidRPr="00751FD5">
        <w:rPr>
          <w:lang w:eastAsia="en-AU"/>
        </w:rPr>
        <w:t xml:space="preserve">the </w:t>
      </w:r>
      <w:r w:rsidR="00456055" w:rsidRPr="00751FD5">
        <w:rPr>
          <w:lang w:eastAsia="en-AU"/>
        </w:rPr>
        <w:t xml:space="preserve">data sources </w:t>
      </w:r>
      <w:r w:rsidRPr="00751FD5">
        <w:rPr>
          <w:lang w:eastAsia="en-AU"/>
        </w:rPr>
        <w:t xml:space="preserve">that </w:t>
      </w:r>
      <w:r w:rsidR="00456055" w:rsidRPr="00751FD5">
        <w:rPr>
          <w:lang w:eastAsia="en-AU"/>
        </w:rPr>
        <w:t xml:space="preserve">would be acceptable for </w:t>
      </w:r>
      <w:proofErr w:type="gramStart"/>
      <w:r w:rsidR="00456055" w:rsidRPr="00751FD5">
        <w:rPr>
          <w:lang w:eastAsia="en-AU"/>
        </w:rPr>
        <w:t>particular purposes</w:t>
      </w:r>
      <w:proofErr w:type="gramEnd"/>
      <w:r w:rsidR="00456055" w:rsidRPr="00751FD5">
        <w:rPr>
          <w:lang w:eastAsia="en-AU"/>
        </w:rPr>
        <w:t xml:space="preserve"> (e.g. costs, utilities</w:t>
      </w:r>
      <w:r w:rsidRPr="00751FD5">
        <w:rPr>
          <w:lang w:eastAsia="en-AU"/>
        </w:rPr>
        <w:t xml:space="preserve"> and</w:t>
      </w:r>
      <w:r w:rsidR="00456055" w:rsidRPr="00751FD5">
        <w:rPr>
          <w:lang w:eastAsia="en-AU"/>
        </w:rPr>
        <w:t xml:space="preserve"> treatment effect)</w:t>
      </w:r>
    </w:p>
    <w:p w14:paraId="64112479" w14:textId="3520DDB9" w:rsidR="00330029" w:rsidRPr="00751FD5" w:rsidRDefault="00F16083" w:rsidP="00281153">
      <w:pPr>
        <w:pStyle w:val="ListNumber"/>
        <w:numPr>
          <w:ilvl w:val="0"/>
          <w:numId w:val="112"/>
        </w:numPr>
        <w:rPr>
          <w:lang w:eastAsia="en-AU"/>
        </w:rPr>
      </w:pPr>
      <w:r w:rsidRPr="00751FD5">
        <w:rPr>
          <w:lang w:eastAsia="en-AU"/>
        </w:rPr>
        <w:t xml:space="preserve">for </w:t>
      </w:r>
      <w:r w:rsidR="00456055" w:rsidRPr="00751FD5">
        <w:rPr>
          <w:lang w:eastAsia="en-AU"/>
        </w:rPr>
        <w:t>assessment of the quality of the data source</w:t>
      </w:r>
      <w:r w:rsidR="005C6D7D">
        <w:rPr>
          <w:lang w:eastAsia="en-AU"/>
        </w:rPr>
        <w:t>.</w:t>
      </w:r>
    </w:p>
    <w:p w14:paraId="0795A511" w14:textId="19F86469" w:rsidR="00456055" w:rsidRPr="00751FD5" w:rsidRDefault="00456055" w:rsidP="00751FD5">
      <w:pPr>
        <w:keepNext/>
        <w:spacing w:after="0"/>
        <w:rPr>
          <w:lang w:eastAsia="en-AU"/>
        </w:rPr>
      </w:pPr>
      <w:r w:rsidRPr="00751FD5">
        <w:rPr>
          <w:lang w:eastAsia="en-AU"/>
        </w:rPr>
        <w:t xml:space="preserve">Revised methods should ensure RWE is used </w:t>
      </w:r>
      <w:r w:rsidR="000646E1" w:rsidRPr="00751FD5">
        <w:rPr>
          <w:lang w:eastAsia="en-AU"/>
        </w:rPr>
        <w:t>to</w:t>
      </w:r>
      <w:r w:rsidRPr="00751FD5">
        <w:rPr>
          <w:lang w:eastAsia="en-AU"/>
        </w:rPr>
        <w:t xml:space="preserve"> determin</w:t>
      </w:r>
      <w:r w:rsidR="000646E1" w:rsidRPr="00751FD5">
        <w:rPr>
          <w:lang w:eastAsia="en-AU"/>
        </w:rPr>
        <w:t>e</w:t>
      </w:r>
      <w:r w:rsidRPr="00751FD5">
        <w:rPr>
          <w:lang w:eastAsia="en-AU"/>
        </w:rPr>
        <w:t xml:space="preserve"> treatment effectiveness only where the following conditions are met (or there is a strong justification that they cannot be met):</w:t>
      </w:r>
    </w:p>
    <w:p w14:paraId="12EA2CE8" w14:textId="6930D0F5" w:rsidR="00456055" w:rsidRPr="00751FD5" w:rsidRDefault="00456055" w:rsidP="00281153">
      <w:pPr>
        <w:pStyle w:val="ListNumber"/>
        <w:numPr>
          <w:ilvl w:val="0"/>
          <w:numId w:val="113"/>
        </w:numPr>
        <w:rPr>
          <w:lang w:eastAsia="en-AU"/>
        </w:rPr>
      </w:pPr>
      <w:r w:rsidRPr="00751FD5">
        <w:rPr>
          <w:lang w:eastAsia="en-AU"/>
        </w:rPr>
        <w:t xml:space="preserve">the technology is for use in </w:t>
      </w:r>
      <w:r w:rsidR="00981FA5" w:rsidRPr="00751FD5">
        <w:rPr>
          <w:lang w:eastAsia="en-AU"/>
        </w:rPr>
        <w:t>areas of high unmet clinical</w:t>
      </w:r>
      <w:r w:rsidR="006C1C54" w:rsidRPr="00751FD5">
        <w:rPr>
          <w:lang w:eastAsia="en-AU"/>
        </w:rPr>
        <w:t xml:space="preserve"> </w:t>
      </w:r>
      <w:r w:rsidR="00981FA5" w:rsidRPr="00751FD5">
        <w:rPr>
          <w:lang w:eastAsia="en-AU"/>
        </w:rPr>
        <w:t>need</w:t>
      </w:r>
      <w:r w:rsidR="00DC698D">
        <w:rPr>
          <w:lang w:eastAsia="en-AU"/>
        </w:rPr>
        <w:t xml:space="preserve"> (HUCN)</w:t>
      </w:r>
    </w:p>
    <w:p w14:paraId="3CC98ECE" w14:textId="595CAF2D" w:rsidR="00456055" w:rsidRPr="00751FD5" w:rsidRDefault="00456055" w:rsidP="00281153">
      <w:pPr>
        <w:pStyle w:val="ListNumber"/>
        <w:numPr>
          <w:ilvl w:val="0"/>
          <w:numId w:val="113"/>
        </w:numPr>
        <w:rPr>
          <w:lang w:eastAsia="en-AU"/>
        </w:rPr>
      </w:pPr>
      <w:r w:rsidRPr="00751FD5">
        <w:rPr>
          <w:lang w:eastAsia="en-AU"/>
        </w:rPr>
        <w:t>higher</w:t>
      </w:r>
      <w:r w:rsidR="006C1C54" w:rsidRPr="00751FD5">
        <w:rPr>
          <w:lang w:eastAsia="en-AU"/>
        </w:rPr>
        <w:t>-</w:t>
      </w:r>
      <w:r w:rsidRPr="00751FD5">
        <w:rPr>
          <w:lang w:eastAsia="en-AU"/>
        </w:rPr>
        <w:t>quality evidence cannot be generated or will not be generated in a timely fashion</w:t>
      </w:r>
    </w:p>
    <w:p w14:paraId="1B785C77" w14:textId="10CD256B" w:rsidR="00456055" w:rsidRPr="00751FD5" w:rsidRDefault="00456055" w:rsidP="00281153">
      <w:pPr>
        <w:pStyle w:val="ListNumber"/>
        <w:numPr>
          <w:ilvl w:val="0"/>
          <w:numId w:val="113"/>
        </w:numPr>
        <w:rPr>
          <w:lang w:eastAsia="en-AU"/>
        </w:rPr>
      </w:pPr>
      <w:r w:rsidRPr="00751FD5">
        <w:rPr>
          <w:lang w:eastAsia="en-AU"/>
        </w:rPr>
        <w:t xml:space="preserve">limitations of RWE and impact on </w:t>
      </w:r>
      <w:r w:rsidRPr="00751FD5" w:rsidDel="00830AFC">
        <w:rPr>
          <w:lang w:eastAsia="en-AU"/>
        </w:rPr>
        <w:t>decision</w:t>
      </w:r>
      <w:r w:rsidR="00830AFC" w:rsidRPr="00751FD5">
        <w:rPr>
          <w:lang w:eastAsia="en-AU"/>
        </w:rPr>
        <w:t>-making</w:t>
      </w:r>
      <w:r w:rsidRPr="00751FD5">
        <w:rPr>
          <w:lang w:eastAsia="en-AU"/>
        </w:rPr>
        <w:t xml:space="preserve"> confidence are mitigated such as through: </w:t>
      </w:r>
    </w:p>
    <w:p w14:paraId="737FFCB9" w14:textId="29212841" w:rsidR="00456055" w:rsidRPr="00824739" w:rsidRDefault="00456055" w:rsidP="00281153">
      <w:pPr>
        <w:pStyle w:val="ListNumber"/>
        <w:numPr>
          <w:ilvl w:val="1"/>
          <w:numId w:val="114"/>
        </w:numPr>
        <w:rPr>
          <w:lang w:eastAsia="en-AU"/>
        </w:rPr>
      </w:pPr>
      <w:r w:rsidRPr="00824739">
        <w:rPr>
          <w:lang w:eastAsia="en-AU"/>
        </w:rPr>
        <w:t xml:space="preserve">presentation of multiple sources of RWE (including methods of generating RWE from a source, and </w:t>
      </w:r>
      <w:r w:rsidR="001C452B">
        <w:rPr>
          <w:lang w:eastAsia="en-AU"/>
        </w:rPr>
        <w:t xml:space="preserve">from </w:t>
      </w:r>
      <w:r w:rsidRPr="00824739">
        <w:rPr>
          <w:lang w:eastAsia="en-AU"/>
        </w:rPr>
        <w:t>multiple RWD sources)</w:t>
      </w:r>
    </w:p>
    <w:p w14:paraId="6A344FBE" w14:textId="781209CC" w:rsidR="00484E00" w:rsidRPr="00824739" w:rsidRDefault="00456055" w:rsidP="00281153">
      <w:pPr>
        <w:pStyle w:val="ListNumber"/>
        <w:numPr>
          <w:ilvl w:val="1"/>
          <w:numId w:val="114"/>
        </w:numPr>
        <w:rPr>
          <w:lang w:eastAsia="en-AU"/>
        </w:rPr>
      </w:pPr>
      <w:r w:rsidRPr="00613A4F">
        <w:rPr>
          <w:lang w:eastAsia="en-AU"/>
        </w:rPr>
        <w:t>pre</w:t>
      </w:r>
      <w:r>
        <w:rPr>
          <w:lang w:eastAsia="en-AU"/>
        </w:rPr>
        <w:t>-</w:t>
      </w:r>
      <w:r w:rsidRPr="00613A4F">
        <w:rPr>
          <w:lang w:eastAsia="en-AU"/>
        </w:rPr>
        <w:t>specification of the use of RWE is in the study protocol for the proposed technology.</w:t>
      </w:r>
    </w:p>
    <w:p w14:paraId="320993C8" w14:textId="18AFAF74" w:rsidR="008D5540" w:rsidRPr="00751FD5" w:rsidRDefault="008D5540" w:rsidP="00A318F7">
      <w:pPr>
        <w:rPr>
          <w:lang w:eastAsia="en-AU"/>
        </w:rPr>
      </w:pPr>
      <w:r w:rsidRPr="00751FD5">
        <w:rPr>
          <w:lang w:eastAsia="en-AU"/>
        </w:rPr>
        <w:t xml:space="preserve">Consideration should also be given to </w:t>
      </w:r>
      <w:r w:rsidR="001C452B" w:rsidRPr="00751FD5">
        <w:rPr>
          <w:lang w:eastAsia="en-AU"/>
        </w:rPr>
        <w:t>setting</w:t>
      </w:r>
      <w:r w:rsidRPr="00751FD5">
        <w:rPr>
          <w:lang w:eastAsia="en-AU"/>
        </w:rPr>
        <w:t xml:space="preserve"> minimum standard</w:t>
      </w:r>
      <w:r w:rsidR="001C452B" w:rsidRPr="00751FD5">
        <w:rPr>
          <w:lang w:eastAsia="en-AU"/>
        </w:rPr>
        <w:t>s</w:t>
      </w:r>
      <w:r w:rsidRPr="00751FD5">
        <w:rPr>
          <w:lang w:eastAsia="en-AU"/>
        </w:rPr>
        <w:t xml:space="preserve"> of data quality </w:t>
      </w:r>
      <w:r w:rsidR="001C452B" w:rsidRPr="00751FD5">
        <w:rPr>
          <w:lang w:eastAsia="en-AU"/>
        </w:rPr>
        <w:t>before data is used in an</w:t>
      </w:r>
      <w:r w:rsidRPr="00751FD5">
        <w:rPr>
          <w:lang w:eastAsia="en-AU"/>
        </w:rPr>
        <w:t xml:space="preserve"> HTA.</w:t>
      </w:r>
    </w:p>
    <w:p w14:paraId="306E925D" w14:textId="3EE68745" w:rsidR="00456055" w:rsidRPr="00824739" w:rsidRDefault="00456055" w:rsidP="00645D5E">
      <w:pPr>
        <w:pStyle w:val="Recommendation1"/>
      </w:pPr>
      <w:bookmarkStart w:id="603" w:name="_Hlk167302501"/>
      <w:r w:rsidRPr="00824739">
        <w:t>Methods for assess</w:t>
      </w:r>
      <w:r w:rsidR="00F659F0">
        <w:t>ing</w:t>
      </w:r>
      <w:r w:rsidRPr="00824739">
        <w:t xml:space="preserve"> surrogate end</w:t>
      </w:r>
      <w:r w:rsidR="005667E7">
        <w:t xml:space="preserve"> </w:t>
      </w:r>
      <w:r w:rsidRPr="00824739">
        <w:t xml:space="preserve">points </w:t>
      </w:r>
    </w:p>
    <w:bookmarkEnd w:id="603"/>
    <w:p w14:paraId="03E057D8" w14:textId="611C8371" w:rsidR="00456055" w:rsidRDefault="00456055" w:rsidP="00454B4D">
      <w:pPr>
        <w:spacing w:before="120" w:after="120"/>
        <w:rPr>
          <w:rFonts w:cs="Segoe UI"/>
          <w:lang w:eastAsia="en-AU"/>
        </w:rPr>
      </w:pPr>
      <w:r w:rsidRPr="00405FD7">
        <w:rPr>
          <w:rFonts w:cs="Segoe UI"/>
        </w:rPr>
        <w:t xml:space="preserve">The Review recommends </w:t>
      </w:r>
      <w:r w:rsidR="00832C26">
        <w:rPr>
          <w:rFonts w:cs="Segoe UI"/>
        </w:rPr>
        <w:t xml:space="preserve">that </w:t>
      </w:r>
      <w:r w:rsidRPr="00405FD7">
        <w:rPr>
          <w:rFonts w:cs="Segoe UI"/>
        </w:rPr>
        <w:t>the Australian Government</w:t>
      </w:r>
      <w:r w:rsidR="00454B4D">
        <w:rPr>
          <w:rFonts w:cs="Segoe UI"/>
        </w:rPr>
        <w:t xml:space="preserve"> </w:t>
      </w:r>
      <w:r w:rsidR="008D5540" w:rsidRPr="006F3176">
        <w:rPr>
          <w:rFonts w:cs="Segoe UI"/>
          <w:lang w:eastAsia="en-AU"/>
        </w:rPr>
        <w:t xml:space="preserve">support </w:t>
      </w:r>
      <w:r w:rsidR="00C44592">
        <w:rPr>
          <w:rFonts w:cs="Segoe UI"/>
          <w:lang w:eastAsia="en-AU"/>
        </w:rPr>
        <w:t xml:space="preserve">the </w:t>
      </w:r>
      <w:r w:rsidRPr="006F3176">
        <w:rPr>
          <w:rFonts w:cs="Segoe UI"/>
          <w:lang w:eastAsia="en-AU"/>
        </w:rPr>
        <w:t>development of additional methods</w:t>
      </w:r>
      <w:r>
        <w:rPr>
          <w:rFonts w:cs="Segoe UI"/>
          <w:lang w:eastAsia="en-AU"/>
        </w:rPr>
        <w:t xml:space="preserve"> </w:t>
      </w:r>
      <w:r w:rsidRPr="00824739">
        <w:rPr>
          <w:rFonts w:cs="Segoe UI"/>
          <w:lang w:eastAsia="en-AU"/>
        </w:rPr>
        <w:t xml:space="preserve">for </w:t>
      </w:r>
      <w:r w:rsidR="000C5623">
        <w:rPr>
          <w:rFonts w:cs="Segoe UI"/>
          <w:lang w:eastAsia="en-AU"/>
        </w:rPr>
        <w:t>using</w:t>
      </w:r>
      <w:r w:rsidRPr="00824739">
        <w:rPr>
          <w:rFonts w:cs="Segoe UI"/>
          <w:lang w:eastAsia="en-AU"/>
        </w:rPr>
        <w:t xml:space="preserve"> surrogate end</w:t>
      </w:r>
      <w:r w:rsidR="005667E7">
        <w:rPr>
          <w:rFonts w:cs="Segoe UI"/>
          <w:lang w:eastAsia="en-AU"/>
        </w:rPr>
        <w:t xml:space="preserve"> </w:t>
      </w:r>
      <w:r w:rsidRPr="00824739">
        <w:rPr>
          <w:rFonts w:cs="Segoe UI"/>
          <w:lang w:eastAsia="en-AU"/>
        </w:rPr>
        <w:t xml:space="preserve">points in </w:t>
      </w:r>
      <w:r w:rsidR="00144E97" w:rsidRPr="00144E97">
        <w:rPr>
          <w:rFonts w:cs="Segoe UI"/>
          <w:lang w:eastAsia="en-AU"/>
        </w:rPr>
        <w:t>HTA</w:t>
      </w:r>
      <w:r w:rsidR="000C5623">
        <w:rPr>
          <w:rFonts w:cs="Segoe UI"/>
          <w:lang w:eastAsia="en-AU"/>
        </w:rPr>
        <w:t>s,</w:t>
      </w:r>
      <w:r w:rsidR="00144E97" w:rsidRPr="00144E97" w:rsidDel="00144E97">
        <w:rPr>
          <w:rFonts w:cs="Segoe UI"/>
          <w:lang w:eastAsia="en-AU"/>
        </w:rPr>
        <w:t xml:space="preserve"> </w:t>
      </w:r>
      <w:r>
        <w:rPr>
          <w:rFonts w:cs="Segoe UI"/>
          <w:lang w:eastAsia="en-AU"/>
        </w:rPr>
        <w:t>in line with the overarching principles. This guidance</w:t>
      </w:r>
      <w:r w:rsidRPr="00824739">
        <w:rPr>
          <w:rFonts w:cs="Segoe UI"/>
          <w:lang w:eastAsia="en-AU"/>
        </w:rPr>
        <w:t xml:space="preserve"> should</w:t>
      </w:r>
      <w:r>
        <w:rPr>
          <w:rFonts w:cs="Segoe UI"/>
          <w:lang w:eastAsia="en-AU"/>
        </w:rPr>
        <w:t>:</w:t>
      </w:r>
      <w:r w:rsidRPr="00824739">
        <w:rPr>
          <w:rFonts w:cs="Segoe UI"/>
          <w:lang w:eastAsia="en-AU"/>
        </w:rPr>
        <w:t xml:space="preserve"> </w:t>
      </w:r>
    </w:p>
    <w:p w14:paraId="5096B3C3" w14:textId="1DEB7E2A" w:rsidR="00456055" w:rsidRPr="00454B4D" w:rsidRDefault="00456055" w:rsidP="00281153">
      <w:pPr>
        <w:pStyle w:val="ListNumber"/>
        <w:numPr>
          <w:ilvl w:val="0"/>
          <w:numId w:val="115"/>
        </w:numPr>
        <w:rPr>
          <w:lang w:eastAsia="en-AU"/>
        </w:rPr>
      </w:pPr>
      <w:r w:rsidRPr="00454B4D">
        <w:rPr>
          <w:lang w:eastAsia="en-AU"/>
        </w:rPr>
        <w:lastRenderedPageBreak/>
        <w:t>include circumstances where surrogates would be acceptable (and may include a list of previously accepted surrogate end</w:t>
      </w:r>
      <w:r w:rsidR="005667E7" w:rsidRPr="00454B4D">
        <w:rPr>
          <w:lang w:eastAsia="en-AU"/>
        </w:rPr>
        <w:t xml:space="preserve"> </w:t>
      </w:r>
      <w:r w:rsidRPr="00454B4D">
        <w:rPr>
          <w:lang w:eastAsia="en-AU"/>
        </w:rPr>
        <w:t>points paired with use cases)</w:t>
      </w:r>
    </w:p>
    <w:p w14:paraId="659C8426" w14:textId="6E53CB40" w:rsidR="00456055" w:rsidRPr="00454B4D" w:rsidRDefault="00C5327D" w:rsidP="00281153">
      <w:pPr>
        <w:pStyle w:val="ListNumber"/>
        <w:numPr>
          <w:ilvl w:val="0"/>
          <w:numId w:val="115"/>
        </w:numPr>
        <w:rPr>
          <w:lang w:eastAsia="en-AU"/>
        </w:rPr>
      </w:pPr>
      <w:r w:rsidRPr="00454B4D">
        <w:rPr>
          <w:lang w:eastAsia="en-AU"/>
        </w:rPr>
        <w:t xml:space="preserve">provide </w:t>
      </w:r>
      <w:r w:rsidR="00456055" w:rsidRPr="00454B4D">
        <w:rPr>
          <w:lang w:eastAsia="en-AU"/>
        </w:rPr>
        <w:t>further instruction on evaluati</w:t>
      </w:r>
      <w:r w:rsidR="000C5623" w:rsidRPr="00454B4D">
        <w:rPr>
          <w:lang w:eastAsia="en-AU"/>
        </w:rPr>
        <w:t>ng</w:t>
      </w:r>
      <w:r w:rsidR="00456055" w:rsidRPr="00454B4D">
        <w:rPr>
          <w:lang w:eastAsia="en-AU"/>
        </w:rPr>
        <w:t xml:space="preserve"> evidence using surrogate end</w:t>
      </w:r>
      <w:r w:rsidR="005667E7" w:rsidRPr="00454B4D">
        <w:rPr>
          <w:lang w:eastAsia="en-AU"/>
        </w:rPr>
        <w:t xml:space="preserve"> </w:t>
      </w:r>
      <w:r w:rsidR="00456055" w:rsidRPr="00454B4D">
        <w:rPr>
          <w:lang w:eastAsia="en-AU"/>
        </w:rPr>
        <w:t>points</w:t>
      </w:r>
      <w:r w:rsidR="000C5623" w:rsidRPr="00454B4D">
        <w:rPr>
          <w:lang w:eastAsia="en-AU"/>
        </w:rPr>
        <w:t>,</w:t>
      </w:r>
      <w:r w:rsidR="00456055" w:rsidRPr="00454B4D">
        <w:rPr>
          <w:lang w:eastAsia="en-AU"/>
        </w:rPr>
        <w:t xml:space="preserve"> including methods for identifying the use of surrogates in submissions (as surrogate relationships can be implicit in economic models but not adequately presented for clinical evaluation).</w:t>
      </w:r>
    </w:p>
    <w:p w14:paraId="483E8A36" w14:textId="5D11D27F" w:rsidR="002B3013" w:rsidRPr="00824739" w:rsidRDefault="008B08E4" w:rsidP="00B61FDC">
      <w:pPr>
        <w:spacing w:before="120" w:after="120"/>
        <w:suppressOverlap/>
        <w:rPr>
          <w:rFonts w:cs="Segoe UI"/>
        </w:rPr>
      </w:pPr>
      <w:r>
        <w:rPr>
          <w:rFonts w:cs="Segoe UI"/>
        </w:rPr>
        <w:t xml:space="preserve">Development of additional methods should </w:t>
      </w:r>
      <w:r w:rsidR="00DD2D79">
        <w:rPr>
          <w:rFonts w:cs="Segoe UI"/>
        </w:rPr>
        <w:t>include</w:t>
      </w:r>
      <w:r>
        <w:rPr>
          <w:rFonts w:cs="Segoe UI"/>
        </w:rPr>
        <w:t xml:space="preserve"> </w:t>
      </w:r>
      <w:r w:rsidR="00684D8E">
        <w:rPr>
          <w:rFonts w:cs="Segoe UI"/>
        </w:rPr>
        <w:t>examination</w:t>
      </w:r>
      <w:r w:rsidR="00F36465">
        <w:rPr>
          <w:rFonts w:cs="Segoe UI"/>
        </w:rPr>
        <w:t xml:space="preserve"> of </w:t>
      </w:r>
      <w:r w:rsidR="002B3013" w:rsidRPr="00824739">
        <w:rPr>
          <w:rFonts w:cs="Segoe UI"/>
        </w:rPr>
        <w:t>methods required to validate surrogates to ensure they are</w:t>
      </w:r>
      <w:r w:rsidR="002B3013">
        <w:rPr>
          <w:rFonts w:cs="Segoe UI"/>
        </w:rPr>
        <w:t xml:space="preserve"> consistent with methods used internationally</w:t>
      </w:r>
      <w:r w:rsidR="006F3176">
        <w:rPr>
          <w:rFonts w:cs="Segoe UI"/>
        </w:rPr>
        <w:t>. They should also</w:t>
      </w:r>
      <w:r w:rsidR="002B3013" w:rsidDel="006F3176">
        <w:rPr>
          <w:rFonts w:cs="Segoe UI"/>
        </w:rPr>
        <w:t xml:space="preserve"> </w:t>
      </w:r>
      <w:r w:rsidR="002B3013" w:rsidRPr="00824739">
        <w:rPr>
          <w:rFonts w:cs="Segoe UI"/>
        </w:rPr>
        <w:t>include methods for describing</w:t>
      </w:r>
      <w:r w:rsidR="002B3013" w:rsidRPr="00824739" w:rsidDel="006F3176">
        <w:rPr>
          <w:rFonts w:cs="Segoe UI"/>
        </w:rPr>
        <w:t xml:space="preserve"> </w:t>
      </w:r>
      <w:r w:rsidR="002B3013" w:rsidRPr="00824739">
        <w:rPr>
          <w:rFonts w:cs="Segoe UI"/>
        </w:rPr>
        <w:t>uncertainty, particularly where surrogate relationships are used in combination with other methods (such as indirect comparisons or model extrapolation) where uncertainty may be substantially increased.</w:t>
      </w:r>
    </w:p>
    <w:p w14:paraId="4086A4CF" w14:textId="4F1912DC" w:rsidR="00456055" w:rsidRPr="00824739" w:rsidRDefault="00456055" w:rsidP="00074B8A">
      <w:pPr>
        <w:pStyle w:val="Recommendation1"/>
      </w:pPr>
      <w:bookmarkStart w:id="604" w:name="_Ref164112353"/>
      <w:bookmarkStart w:id="605" w:name="_Hlk167302509"/>
      <w:r>
        <w:t>M</w:t>
      </w:r>
      <w:r w:rsidRPr="00824739">
        <w:t>ethod</w:t>
      </w:r>
      <w:r>
        <w:t>s</w:t>
      </w:r>
      <w:r w:rsidRPr="00824739">
        <w:t xml:space="preserve"> preferred by decision-makers</w:t>
      </w:r>
      <w:bookmarkEnd w:id="604"/>
      <w:r w:rsidRPr="00824739">
        <w:t xml:space="preserve"> </w:t>
      </w:r>
    </w:p>
    <w:bookmarkEnd w:id="605"/>
    <w:p w14:paraId="0630C69A" w14:textId="6732787D" w:rsidR="00BD5033" w:rsidRPr="007910A8" w:rsidRDefault="00456055" w:rsidP="00B61FDC">
      <w:pPr>
        <w:keepNext/>
        <w:spacing w:before="120" w:after="120"/>
        <w:rPr>
          <w:rFonts w:cs="Segoe UI"/>
          <w:bCs/>
        </w:rPr>
      </w:pPr>
      <w:r w:rsidRPr="00405FD7">
        <w:rPr>
          <w:rFonts w:cs="Segoe UI"/>
        </w:rPr>
        <w:t xml:space="preserve">The Review recommends </w:t>
      </w:r>
      <w:r w:rsidR="00425730">
        <w:rPr>
          <w:rFonts w:cs="Segoe UI"/>
        </w:rPr>
        <w:t xml:space="preserve">that </w:t>
      </w:r>
      <w:r w:rsidRPr="00405FD7">
        <w:rPr>
          <w:rFonts w:cs="Segoe UI"/>
        </w:rPr>
        <w:t>the Australian Governmen</w:t>
      </w:r>
      <w:r>
        <w:t>t</w:t>
      </w:r>
      <w:r w:rsidR="00425730">
        <w:t>:</w:t>
      </w:r>
      <w:r w:rsidR="007910A8">
        <w:t xml:space="preserve"> </w:t>
      </w:r>
    </w:p>
    <w:p w14:paraId="62015186" w14:textId="17269D1D" w:rsidR="005E06FF" w:rsidRDefault="00425730" w:rsidP="00281153">
      <w:pPr>
        <w:pStyle w:val="ListNumber"/>
        <w:numPr>
          <w:ilvl w:val="0"/>
          <w:numId w:val="43"/>
        </w:numPr>
        <w:rPr>
          <w:rFonts w:cs="Segoe UI"/>
          <w:kern w:val="24"/>
          <w:lang w:eastAsia="en-AU"/>
        </w:rPr>
      </w:pPr>
      <w:r>
        <w:t>s</w:t>
      </w:r>
      <w:r w:rsidR="005E06FF" w:rsidRPr="005E06FF">
        <w:t xml:space="preserve">upport </w:t>
      </w:r>
      <w:r w:rsidR="00FA396E">
        <w:t xml:space="preserve">the </w:t>
      </w:r>
      <w:r w:rsidR="005E06FF" w:rsidRPr="005E06FF">
        <w:t>generation of a curated list of methodologies that are preferred by decision-makers, in collaboration with evaluation groups and sponsors.</w:t>
      </w:r>
      <w:r w:rsidR="00D8224B">
        <w:t xml:space="preserve"> </w:t>
      </w:r>
      <w:r w:rsidR="00D8224B" w:rsidRPr="00D8224B">
        <w:rPr>
          <w:rFonts w:cs="Segoe UI"/>
          <w:lang w:eastAsia="en-AU"/>
        </w:rPr>
        <w:t>The list should include methodologies for the appropriate use and assessment of consumer evidence, real</w:t>
      </w:r>
      <w:r w:rsidR="007E3D0D">
        <w:rPr>
          <w:rFonts w:cs="Segoe UI"/>
          <w:lang w:eastAsia="en-AU"/>
        </w:rPr>
        <w:t>-</w:t>
      </w:r>
      <w:r w:rsidR="00D8224B" w:rsidRPr="00D8224B">
        <w:rPr>
          <w:rFonts w:cs="Segoe UI"/>
          <w:lang w:eastAsia="en-AU"/>
        </w:rPr>
        <w:t>world data</w:t>
      </w:r>
      <w:r w:rsidR="00B25758">
        <w:rPr>
          <w:rFonts w:cs="Segoe UI"/>
          <w:lang w:eastAsia="en-AU"/>
        </w:rPr>
        <w:t xml:space="preserve"> (RWD)</w:t>
      </w:r>
      <w:r w:rsidR="00D8224B" w:rsidRPr="00D8224B">
        <w:rPr>
          <w:rFonts w:cs="Segoe UI"/>
          <w:lang w:eastAsia="en-AU"/>
        </w:rPr>
        <w:t xml:space="preserve"> and real-world evidence</w:t>
      </w:r>
      <w:r w:rsidR="00B25758">
        <w:rPr>
          <w:rFonts w:cs="Segoe UI"/>
          <w:lang w:eastAsia="en-AU"/>
        </w:rPr>
        <w:t xml:space="preserve"> (RWE)</w:t>
      </w:r>
      <w:r w:rsidR="00D8224B" w:rsidRPr="00D8224B">
        <w:rPr>
          <w:rFonts w:cs="Segoe UI"/>
          <w:lang w:eastAsia="en-AU"/>
        </w:rPr>
        <w:t xml:space="preserve">. </w:t>
      </w:r>
      <w:r w:rsidR="005E06FF" w:rsidRPr="005E06FF">
        <w:t>For each method in the list, brief guidance should be created that includes</w:t>
      </w:r>
      <w:r w:rsidR="00E91F43">
        <w:t>:</w:t>
      </w:r>
    </w:p>
    <w:p w14:paraId="023F2E6E" w14:textId="0220E98B" w:rsidR="00456055" w:rsidRPr="00BB0FD9" w:rsidRDefault="00FA396E" w:rsidP="00281153">
      <w:pPr>
        <w:pStyle w:val="ListNumber"/>
        <w:numPr>
          <w:ilvl w:val="1"/>
          <w:numId w:val="43"/>
        </w:numPr>
        <w:rPr>
          <w:lang w:eastAsia="en-AU"/>
        </w:rPr>
      </w:pPr>
      <w:r>
        <w:rPr>
          <w:lang w:eastAsia="en-AU"/>
        </w:rPr>
        <w:t xml:space="preserve">a </w:t>
      </w:r>
      <w:r w:rsidR="00425730">
        <w:rPr>
          <w:lang w:eastAsia="en-AU"/>
        </w:rPr>
        <w:t>d</w:t>
      </w:r>
      <w:r w:rsidR="00456055" w:rsidRPr="00BB0FD9">
        <w:rPr>
          <w:lang w:eastAsia="en-AU"/>
        </w:rPr>
        <w:t>escription of the method including links to key peer-reviewed articles</w:t>
      </w:r>
    </w:p>
    <w:p w14:paraId="4CE4EE5B" w14:textId="6CFAF0A6" w:rsidR="00456055" w:rsidRPr="00BB0FD9" w:rsidRDefault="00425730" w:rsidP="00281153">
      <w:pPr>
        <w:pStyle w:val="ListNumber"/>
        <w:numPr>
          <w:ilvl w:val="1"/>
          <w:numId w:val="43"/>
        </w:numPr>
        <w:rPr>
          <w:lang w:eastAsia="en-AU"/>
        </w:rPr>
      </w:pPr>
      <w:r>
        <w:rPr>
          <w:lang w:eastAsia="en-AU"/>
        </w:rPr>
        <w:t>g</w:t>
      </w:r>
      <w:r w:rsidR="00456055" w:rsidRPr="00BB0FD9">
        <w:rPr>
          <w:lang w:eastAsia="en-AU"/>
        </w:rPr>
        <w:t>uidance for sponsors or evaluation groups on the presentation of the method and results in a submission or assessment report (including a checklist of what data may be required to validate the method) to ensure transparency</w:t>
      </w:r>
    </w:p>
    <w:p w14:paraId="0598E779" w14:textId="763F0D5E" w:rsidR="00456055" w:rsidRPr="00BB0FD9" w:rsidRDefault="00425730" w:rsidP="00281153">
      <w:pPr>
        <w:pStyle w:val="ListNumber"/>
        <w:numPr>
          <w:ilvl w:val="1"/>
          <w:numId w:val="43"/>
        </w:numPr>
        <w:rPr>
          <w:lang w:eastAsia="en-AU"/>
        </w:rPr>
      </w:pPr>
      <w:r>
        <w:rPr>
          <w:lang w:eastAsia="en-AU"/>
        </w:rPr>
        <w:t>g</w:t>
      </w:r>
      <w:r w:rsidR="00456055" w:rsidRPr="00BB0FD9">
        <w:rPr>
          <w:lang w:eastAsia="en-AU"/>
        </w:rPr>
        <w:t>uidance for evaluation groups on how to evaluate the results generated by a method, and how to present uncertainty and the impact of the uncertainty on risk faced by decision-makers</w:t>
      </w:r>
    </w:p>
    <w:p w14:paraId="55F4BFFB" w14:textId="59AE2340" w:rsidR="00456055" w:rsidRPr="00BB0FD9" w:rsidRDefault="00425730" w:rsidP="00281153">
      <w:pPr>
        <w:pStyle w:val="ListNumber"/>
        <w:numPr>
          <w:ilvl w:val="1"/>
          <w:numId w:val="43"/>
        </w:numPr>
        <w:rPr>
          <w:lang w:eastAsia="en-AU"/>
        </w:rPr>
      </w:pPr>
      <w:r>
        <w:rPr>
          <w:lang w:eastAsia="en-AU"/>
        </w:rPr>
        <w:t>a b</w:t>
      </w:r>
      <w:r w:rsidR="00456055" w:rsidRPr="00BB0FD9">
        <w:rPr>
          <w:lang w:eastAsia="en-AU"/>
        </w:rPr>
        <w:t xml:space="preserve">rief explanation </w:t>
      </w:r>
      <w:r>
        <w:rPr>
          <w:lang w:eastAsia="en-AU"/>
        </w:rPr>
        <w:t>of</w:t>
      </w:r>
      <w:r w:rsidR="00456055" w:rsidRPr="00BB0FD9">
        <w:rPr>
          <w:lang w:eastAsia="en-AU"/>
        </w:rPr>
        <w:t xml:space="preserve"> how to interpret the results derived by a method</w:t>
      </w:r>
    </w:p>
    <w:p w14:paraId="2975F4C6" w14:textId="27E5D686" w:rsidR="00456055" w:rsidRPr="00BB0FD9" w:rsidRDefault="00425730" w:rsidP="00281153">
      <w:pPr>
        <w:pStyle w:val="ListNumber"/>
        <w:numPr>
          <w:ilvl w:val="1"/>
          <w:numId w:val="43"/>
        </w:numPr>
        <w:rPr>
          <w:lang w:eastAsia="en-AU"/>
        </w:rPr>
      </w:pPr>
      <w:r>
        <w:rPr>
          <w:lang w:eastAsia="en-AU"/>
        </w:rPr>
        <w:t>a b</w:t>
      </w:r>
      <w:r w:rsidR="00456055" w:rsidRPr="00BB0FD9">
        <w:rPr>
          <w:lang w:eastAsia="en-AU"/>
        </w:rPr>
        <w:t xml:space="preserve">rief lay explanation of the method for the benefit of patients, clinicians and the broader public to be incorporated into plain language explanation of </w:t>
      </w:r>
      <w:r w:rsidR="00DC4CAC" w:rsidRPr="00DC4CAC">
        <w:rPr>
          <w:lang w:eastAsia="en-AU"/>
        </w:rPr>
        <w:t>Pharmaceutical Benefits Advisory Committee</w:t>
      </w:r>
      <w:r w:rsidR="001D2AF2">
        <w:rPr>
          <w:lang w:eastAsia="en-AU"/>
        </w:rPr>
        <w:t xml:space="preserve"> (PBAC)</w:t>
      </w:r>
      <w:r w:rsidR="00DC4CAC" w:rsidRPr="00DC4CAC">
        <w:rPr>
          <w:lang w:eastAsia="en-AU"/>
        </w:rPr>
        <w:t xml:space="preserve"> </w:t>
      </w:r>
      <w:r w:rsidR="00456055" w:rsidRPr="00BB0FD9">
        <w:rPr>
          <w:lang w:eastAsia="en-AU"/>
        </w:rPr>
        <w:t xml:space="preserve">and </w:t>
      </w:r>
      <w:r w:rsidR="00121522" w:rsidRPr="00121522">
        <w:rPr>
          <w:lang w:eastAsia="en-AU"/>
        </w:rPr>
        <w:t>Medical Services Advisory Committee</w:t>
      </w:r>
      <w:r w:rsidR="001D2AF2">
        <w:rPr>
          <w:lang w:eastAsia="en-AU"/>
        </w:rPr>
        <w:t xml:space="preserve"> (MSAC)</w:t>
      </w:r>
      <w:r w:rsidR="00121522" w:rsidRPr="00121522">
        <w:rPr>
          <w:lang w:eastAsia="en-AU"/>
        </w:rPr>
        <w:t xml:space="preserve"> </w:t>
      </w:r>
      <w:r w:rsidR="00510E61">
        <w:rPr>
          <w:lang w:eastAsia="en-AU"/>
        </w:rPr>
        <w:t>G</w:t>
      </w:r>
      <w:r w:rsidR="00456055" w:rsidRPr="00BB0FD9">
        <w:rPr>
          <w:lang w:eastAsia="en-AU"/>
        </w:rPr>
        <w:t>uidelines.</w:t>
      </w:r>
    </w:p>
    <w:p w14:paraId="2D3C1BAF" w14:textId="10806CCA" w:rsidR="00456055" w:rsidRDefault="00425730" w:rsidP="00281153">
      <w:pPr>
        <w:pStyle w:val="ListNumber"/>
        <w:numPr>
          <w:ilvl w:val="0"/>
          <w:numId w:val="43"/>
        </w:numPr>
        <w:rPr>
          <w:lang w:eastAsia="en-AU"/>
        </w:rPr>
      </w:pPr>
      <w:r>
        <w:rPr>
          <w:lang w:eastAsia="en-AU"/>
        </w:rPr>
        <w:t>s</w:t>
      </w:r>
      <w:r w:rsidR="00037201">
        <w:rPr>
          <w:lang w:eastAsia="en-AU"/>
        </w:rPr>
        <w:t>upport</w:t>
      </w:r>
      <w:r w:rsidR="00456055">
        <w:rPr>
          <w:lang w:eastAsia="en-AU"/>
        </w:rPr>
        <w:t xml:space="preserve"> further</w:t>
      </w:r>
      <w:r w:rsidR="00456055" w:rsidRPr="00824739">
        <w:rPr>
          <w:lang w:eastAsia="en-AU"/>
        </w:rPr>
        <w:t xml:space="preserve"> training and guidance </w:t>
      </w:r>
      <w:r>
        <w:rPr>
          <w:lang w:eastAsia="en-AU"/>
        </w:rPr>
        <w:t>for</w:t>
      </w:r>
      <w:r w:rsidR="00456055" w:rsidRPr="00824739">
        <w:rPr>
          <w:lang w:eastAsia="en-AU"/>
        </w:rPr>
        <w:t xml:space="preserve"> evaluation groups when adopting new methods</w:t>
      </w:r>
    </w:p>
    <w:p w14:paraId="75FED48C" w14:textId="76B4EDFD" w:rsidR="00456055" w:rsidRDefault="00425730" w:rsidP="00281153">
      <w:pPr>
        <w:pStyle w:val="ListNumber"/>
        <w:numPr>
          <w:ilvl w:val="0"/>
          <w:numId w:val="43"/>
        </w:numPr>
        <w:rPr>
          <w:lang w:eastAsia="en-AU"/>
        </w:rPr>
      </w:pPr>
      <w:r>
        <w:rPr>
          <w:lang w:eastAsia="en-AU"/>
        </w:rPr>
        <w:t>s</w:t>
      </w:r>
      <w:r w:rsidR="00037201">
        <w:rPr>
          <w:lang w:eastAsia="en-AU"/>
        </w:rPr>
        <w:t xml:space="preserve">upport </w:t>
      </w:r>
      <w:r w:rsidR="00FA396E">
        <w:rPr>
          <w:lang w:eastAsia="en-AU"/>
        </w:rPr>
        <w:t xml:space="preserve">the </w:t>
      </w:r>
      <w:r w:rsidR="00037201">
        <w:rPr>
          <w:lang w:eastAsia="en-AU"/>
        </w:rPr>
        <w:t>p</w:t>
      </w:r>
      <w:r w:rsidR="00456055">
        <w:rPr>
          <w:lang w:eastAsia="en-AU"/>
        </w:rPr>
        <w:t>rov</w:t>
      </w:r>
      <w:r w:rsidR="00037201">
        <w:rPr>
          <w:lang w:eastAsia="en-AU"/>
        </w:rPr>
        <w:t>ision of</w:t>
      </w:r>
      <w:r w:rsidR="00456055">
        <w:rPr>
          <w:lang w:eastAsia="en-AU"/>
        </w:rPr>
        <w:t xml:space="preserve"> f</w:t>
      </w:r>
      <w:r w:rsidR="00456055" w:rsidRPr="00C3104D">
        <w:rPr>
          <w:lang w:eastAsia="en-AU"/>
        </w:rPr>
        <w:t>eedback to sponsors on their use and presentation of analys</w:t>
      </w:r>
      <w:r>
        <w:rPr>
          <w:lang w:eastAsia="en-AU"/>
        </w:rPr>
        <w:t>i</w:t>
      </w:r>
      <w:r w:rsidR="00456055" w:rsidRPr="00C3104D">
        <w:rPr>
          <w:lang w:eastAsia="en-AU"/>
        </w:rPr>
        <w:t xml:space="preserve">s based on more complex </w:t>
      </w:r>
      <w:proofErr w:type="gramStart"/>
      <w:r w:rsidR="00456055" w:rsidRPr="00C3104D">
        <w:rPr>
          <w:lang w:eastAsia="en-AU"/>
        </w:rPr>
        <w:t>methods</w:t>
      </w:r>
      <w:r>
        <w:rPr>
          <w:lang w:eastAsia="en-AU"/>
        </w:rPr>
        <w:t>, and</w:t>
      </w:r>
      <w:proofErr w:type="gramEnd"/>
      <w:r w:rsidR="00456055" w:rsidRPr="00C3104D">
        <w:rPr>
          <w:lang w:eastAsia="en-AU"/>
        </w:rPr>
        <w:t xml:space="preserve"> continue</w:t>
      </w:r>
      <w:r>
        <w:rPr>
          <w:lang w:eastAsia="en-AU"/>
        </w:rPr>
        <w:t xml:space="preserve"> this practice</w:t>
      </w:r>
      <w:r w:rsidR="00456055" w:rsidRPr="00C3104D">
        <w:rPr>
          <w:lang w:eastAsia="en-AU"/>
        </w:rPr>
        <w:t xml:space="preserve"> </w:t>
      </w:r>
      <w:r>
        <w:rPr>
          <w:lang w:eastAsia="en-AU"/>
        </w:rPr>
        <w:t xml:space="preserve">for </w:t>
      </w:r>
      <w:r w:rsidR="00456055" w:rsidRPr="00C3104D">
        <w:rPr>
          <w:lang w:eastAsia="en-AU"/>
        </w:rPr>
        <w:t>existing pre</w:t>
      </w:r>
      <w:r>
        <w:rPr>
          <w:lang w:eastAsia="en-AU"/>
        </w:rPr>
        <w:noBreakHyphen/>
      </w:r>
      <w:r w:rsidR="00456055" w:rsidRPr="00C3104D">
        <w:rPr>
          <w:lang w:eastAsia="en-AU"/>
        </w:rPr>
        <w:t>submission advice, commentaries, advisory sub-committee and committee advice, or as revised as part of the Review.</w:t>
      </w:r>
    </w:p>
    <w:p w14:paraId="76500E66" w14:textId="215C8F03" w:rsidR="00456055" w:rsidRPr="00824739" w:rsidRDefault="00456055" w:rsidP="00074B8A">
      <w:pPr>
        <w:pStyle w:val="Recommendation1"/>
      </w:pPr>
      <w:bookmarkStart w:id="606" w:name="_Hlk167302518"/>
      <w:r w:rsidRPr="00824739">
        <w:lastRenderedPageBreak/>
        <w:t xml:space="preserve">Therapies that target biomarkers (e.g. </w:t>
      </w:r>
      <w:proofErr w:type="spellStart"/>
      <w:r w:rsidRPr="00824739">
        <w:t>tumour</w:t>
      </w:r>
      <w:proofErr w:type="spellEnd"/>
      <w:r w:rsidR="00425730">
        <w:t>-</w:t>
      </w:r>
      <w:r w:rsidRPr="00824739">
        <w:t>agnostic cancer therapies</w:t>
      </w:r>
      <w:r w:rsidR="00425730">
        <w:t xml:space="preserve"> and</w:t>
      </w:r>
      <w:r w:rsidRPr="00824739">
        <w:t xml:space="preserve"> therapies that target </w:t>
      </w:r>
      <w:r w:rsidR="00164ED4">
        <w:t>cells with</w:t>
      </w:r>
      <w:r w:rsidRPr="00824739">
        <w:t xml:space="preserve"> </w:t>
      </w:r>
      <w:proofErr w:type="gramStart"/>
      <w:r w:rsidRPr="00824739">
        <w:t>particular gene</w:t>
      </w:r>
      <w:proofErr w:type="gramEnd"/>
      <w:r w:rsidRPr="00824739">
        <w:t xml:space="preserve"> alterations) </w:t>
      </w:r>
    </w:p>
    <w:bookmarkEnd w:id="606"/>
    <w:p w14:paraId="0FF5D5A9" w14:textId="1C5C2F60" w:rsidR="008B33BF" w:rsidRDefault="00456055" w:rsidP="00B64104">
      <w:pPr>
        <w:spacing w:before="120" w:after="120"/>
        <w:rPr>
          <w:rFonts w:cs="Segoe UI"/>
          <w:lang w:eastAsia="en-AU"/>
        </w:rPr>
      </w:pPr>
      <w:r w:rsidRPr="00405FD7">
        <w:rPr>
          <w:rFonts w:cs="Segoe UI"/>
        </w:rPr>
        <w:t xml:space="preserve">The Review recommends </w:t>
      </w:r>
      <w:r w:rsidR="00425730">
        <w:rPr>
          <w:rFonts w:cs="Segoe UI"/>
        </w:rPr>
        <w:t xml:space="preserve">that </w:t>
      </w:r>
      <w:r w:rsidRPr="00405FD7">
        <w:rPr>
          <w:rFonts w:cs="Segoe UI"/>
        </w:rPr>
        <w:t>the Australian Government</w:t>
      </w:r>
      <w:r w:rsidR="008B33BF">
        <w:rPr>
          <w:rFonts w:cs="Segoe UI"/>
          <w:lang w:eastAsia="en-AU"/>
        </w:rPr>
        <w:t>:</w:t>
      </w:r>
      <w:r>
        <w:rPr>
          <w:rFonts w:cs="Segoe UI"/>
          <w:lang w:eastAsia="en-AU"/>
        </w:rPr>
        <w:t xml:space="preserve"> </w:t>
      </w:r>
    </w:p>
    <w:p w14:paraId="18CE93DE" w14:textId="1564AC30" w:rsidR="00456055" w:rsidRPr="00824739" w:rsidRDefault="00425730" w:rsidP="00281153">
      <w:pPr>
        <w:pStyle w:val="ListParagraph"/>
        <w:numPr>
          <w:ilvl w:val="0"/>
          <w:numId w:val="44"/>
        </w:numPr>
        <w:spacing w:before="120" w:after="0"/>
        <w:rPr>
          <w:rFonts w:cs="Segoe UI"/>
          <w:lang w:eastAsia="en-AU"/>
        </w:rPr>
      </w:pPr>
      <w:r>
        <w:rPr>
          <w:rFonts w:cs="Segoe UI"/>
          <w:lang w:eastAsia="en-AU"/>
        </w:rPr>
        <w:t xml:space="preserve">support </w:t>
      </w:r>
      <w:r w:rsidR="00C44592">
        <w:rPr>
          <w:rFonts w:cs="Segoe UI"/>
          <w:lang w:eastAsia="en-AU"/>
        </w:rPr>
        <w:t xml:space="preserve">the </w:t>
      </w:r>
      <w:r>
        <w:rPr>
          <w:rFonts w:cs="Segoe UI"/>
          <w:lang w:eastAsia="en-AU"/>
        </w:rPr>
        <w:t>d</w:t>
      </w:r>
      <w:r w:rsidR="00456055" w:rsidRPr="00824739">
        <w:rPr>
          <w:rFonts w:cs="Segoe UI"/>
          <w:lang w:eastAsia="en-AU"/>
        </w:rPr>
        <w:t>evelop</w:t>
      </w:r>
      <w:r w:rsidR="00456055">
        <w:rPr>
          <w:rFonts w:cs="Segoe UI"/>
          <w:lang w:eastAsia="en-AU"/>
        </w:rPr>
        <w:t>ment of</w:t>
      </w:r>
      <w:r w:rsidR="00456055" w:rsidRPr="00824739">
        <w:rPr>
          <w:rFonts w:cs="Segoe UI"/>
          <w:lang w:eastAsia="en-AU"/>
        </w:rPr>
        <w:t xml:space="preserve"> further guidance on methods for assessing tumour</w:t>
      </w:r>
      <w:r>
        <w:rPr>
          <w:rFonts w:cs="Segoe UI"/>
          <w:lang w:eastAsia="en-AU"/>
        </w:rPr>
        <w:t>-</w:t>
      </w:r>
      <w:r w:rsidR="00456055" w:rsidRPr="00824739">
        <w:rPr>
          <w:rFonts w:cs="Segoe UI"/>
          <w:lang w:eastAsia="en-AU"/>
        </w:rPr>
        <w:t>agnostic therapies informed by:</w:t>
      </w:r>
    </w:p>
    <w:p w14:paraId="480B5FB9" w14:textId="4884DF42" w:rsidR="00456055" w:rsidRPr="00E23876" w:rsidRDefault="00456055" w:rsidP="00281153">
      <w:pPr>
        <w:pStyle w:val="ListNumber"/>
        <w:numPr>
          <w:ilvl w:val="1"/>
          <w:numId w:val="44"/>
        </w:numPr>
        <w:rPr>
          <w:lang w:eastAsia="en-AU"/>
        </w:rPr>
      </w:pPr>
      <w:r w:rsidRPr="00E23876">
        <w:rPr>
          <w:lang w:eastAsia="en-AU"/>
        </w:rPr>
        <w:t xml:space="preserve">approaches that have been used by the </w:t>
      </w:r>
      <w:r w:rsidR="00C80617" w:rsidRPr="00C80617">
        <w:rPr>
          <w:lang w:eastAsia="en-AU"/>
        </w:rPr>
        <w:t>Pharmaceutical Benefits Advisory Committee (PBAC)</w:t>
      </w:r>
      <w:r w:rsidR="00C80617" w:rsidRPr="00C80617" w:rsidDel="00C80617">
        <w:rPr>
          <w:lang w:eastAsia="en-AU"/>
        </w:rPr>
        <w:t xml:space="preserve"> </w:t>
      </w:r>
    </w:p>
    <w:p w14:paraId="77641F42" w14:textId="77777777" w:rsidR="00456055" w:rsidRPr="00E23876" w:rsidRDefault="00456055" w:rsidP="00281153">
      <w:pPr>
        <w:pStyle w:val="ListNumber"/>
        <w:numPr>
          <w:ilvl w:val="1"/>
          <w:numId w:val="44"/>
        </w:numPr>
        <w:rPr>
          <w:lang w:eastAsia="en-AU"/>
        </w:rPr>
      </w:pPr>
      <w:r w:rsidRPr="00E23876">
        <w:rPr>
          <w:lang w:eastAsia="en-AU"/>
        </w:rPr>
        <w:t>models proposed in academic literature</w:t>
      </w:r>
    </w:p>
    <w:p w14:paraId="57102C20" w14:textId="2C75C071" w:rsidR="00456055" w:rsidRPr="00E23876" w:rsidRDefault="00456055" w:rsidP="00281153">
      <w:pPr>
        <w:pStyle w:val="ListNumber"/>
        <w:numPr>
          <w:ilvl w:val="1"/>
          <w:numId w:val="44"/>
        </w:numPr>
        <w:rPr>
          <w:lang w:eastAsia="en-AU"/>
        </w:rPr>
      </w:pPr>
      <w:r w:rsidRPr="00E23876">
        <w:rPr>
          <w:lang w:eastAsia="en-AU"/>
        </w:rPr>
        <w:t>models adopted in other jurisdictions</w:t>
      </w:r>
    </w:p>
    <w:p w14:paraId="227998ED" w14:textId="61B4F8B7" w:rsidR="00456055" w:rsidRPr="00E23876" w:rsidRDefault="00425730" w:rsidP="00281153">
      <w:pPr>
        <w:pStyle w:val="ListNumber"/>
        <w:numPr>
          <w:ilvl w:val="1"/>
          <w:numId w:val="44"/>
        </w:numPr>
        <w:rPr>
          <w:lang w:eastAsia="en-AU"/>
        </w:rPr>
      </w:pPr>
      <w:r>
        <w:rPr>
          <w:lang w:eastAsia="en-AU"/>
        </w:rPr>
        <w:t>c</w:t>
      </w:r>
      <w:r w:rsidR="00456055">
        <w:rPr>
          <w:lang w:eastAsia="en-AU"/>
        </w:rPr>
        <w:t xml:space="preserve">onsultation </w:t>
      </w:r>
      <w:r w:rsidR="6B02319D">
        <w:rPr>
          <w:lang w:eastAsia="en-AU"/>
        </w:rPr>
        <w:t>with</w:t>
      </w:r>
      <w:r w:rsidR="00456055">
        <w:rPr>
          <w:lang w:eastAsia="en-AU"/>
        </w:rPr>
        <w:t xml:space="preserve"> patients, clinicians and industry</w:t>
      </w:r>
      <w:r w:rsidR="007B56F3">
        <w:rPr>
          <w:lang w:eastAsia="en-AU"/>
        </w:rPr>
        <w:t>.</w:t>
      </w:r>
    </w:p>
    <w:p w14:paraId="2DEC72A6" w14:textId="57425F47" w:rsidR="00456055" w:rsidRPr="00824739" w:rsidRDefault="00425730" w:rsidP="00281153">
      <w:pPr>
        <w:pStyle w:val="ListNumber"/>
        <w:numPr>
          <w:ilvl w:val="0"/>
          <w:numId w:val="44"/>
        </w:numPr>
        <w:rPr>
          <w:rStyle w:val="Strong"/>
          <w:rFonts w:cs="Segoe UI"/>
          <w:b w:val="0"/>
        </w:rPr>
      </w:pPr>
      <w:r>
        <w:rPr>
          <w:rFonts w:cs="Segoe UI"/>
          <w:lang w:eastAsia="en-AU"/>
        </w:rPr>
        <w:t xml:space="preserve">support </w:t>
      </w:r>
      <w:r w:rsidR="00C44592">
        <w:rPr>
          <w:rFonts w:cs="Segoe UI"/>
          <w:lang w:eastAsia="en-AU"/>
        </w:rPr>
        <w:t xml:space="preserve">the </w:t>
      </w:r>
      <w:r>
        <w:rPr>
          <w:rFonts w:cs="Segoe UI"/>
          <w:lang w:eastAsia="en-AU"/>
        </w:rPr>
        <w:t>d</w:t>
      </w:r>
      <w:r w:rsidR="005C7BB8">
        <w:rPr>
          <w:rFonts w:cs="Segoe UI"/>
          <w:lang w:eastAsia="en-AU"/>
        </w:rPr>
        <w:t>evelopment</w:t>
      </w:r>
      <w:r w:rsidR="00456055">
        <w:rPr>
          <w:rFonts w:cs="Segoe UI"/>
          <w:lang w:eastAsia="en-AU"/>
        </w:rPr>
        <w:t xml:space="preserve"> of</w:t>
      </w:r>
      <w:r w:rsidR="00456055" w:rsidRPr="0080061A">
        <w:rPr>
          <w:lang w:eastAsia="en-AU"/>
        </w:rPr>
        <w:t xml:space="preserve"> guidance on the assessment and appraisal of genomic technologies and gene therapies for </w:t>
      </w:r>
      <w:r w:rsidR="00D756C1" w:rsidRPr="00D756C1">
        <w:rPr>
          <w:lang w:eastAsia="en-AU"/>
        </w:rPr>
        <w:t>HTA</w:t>
      </w:r>
      <w:r w:rsidR="00D756C1" w:rsidRPr="00D756C1" w:rsidDel="00D756C1">
        <w:rPr>
          <w:lang w:eastAsia="en-AU"/>
        </w:rPr>
        <w:t xml:space="preserve"> </w:t>
      </w:r>
      <w:r w:rsidR="00456055" w:rsidRPr="0080061A">
        <w:rPr>
          <w:lang w:eastAsia="en-AU"/>
        </w:rPr>
        <w:t>decisions in Australia</w:t>
      </w:r>
      <w:r>
        <w:rPr>
          <w:lang w:eastAsia="en-AU"/>
        </w:rPr>
        <w:t>.</w:t>
      </w:r>
    </w:p>
    <w:p w14:paraId="62F706C5" w14:textId="131EE3E4" w:rsidR="00456055" w:rsidRPr="00995151" w:rsidRDefault="00456055" w:rsidP="00B61FDC">
      <w:pPr>
        <w:ind w:left="357"/>
        <w:rPr>
          <w:lang w:eastAsia="en-AU"/>
        </w:rPr>
      </w:pPr>
      <w:r w:rsidRPr="00995151">
        <w:rPr>
          <w:lang w:eastAsia="en-AU"/>
        </w:rPr>
        <w:t>This could be for gene therapies only</w:t>
      </w:r>
      <w:r w:rsidRPr="00995151" w:rsidDel="00425730">
        <w:rPr>
          <w:lang w:eastAsia="en-AU"/>
        </w:rPr>
        <w:t xml:space="preserve"> </w:t>
      </w:r>
      <w:r w:rsidR="00425730">
        <w:rPr>
          <w:lang w:eastAsia="en-AU"/>
        </w:rPr>
        <w:t>if</w:t>
      </w:r>
      <w:r w:rsidR="00425730" w:rsidRPr="00995151">
        <w:rPr>
          <w:lang w:eastAsia="en-AU"/>
        </w:rPr>
        <w:t xml:space="preserve"> </w:t>
      </w:r>
      <w:r w:rsidRPr="00995151">
        <w:rPr>
          <w:lang w:eastAsia="en-AU"/>
        </w:rPr>
        <w:t>PBAC’s remit remain</w:t>
      </w:r>
      <w:r w:rsidR="00425730">
        <w:rPr>
          <w:lang w:eastAsia="en-AU"/>
        </w:rPr>
        <w:t>s</w:t>
      </w:r>
      <w:r w:rsidRPr="00995151">
        <w:rPr>
          <w:lang w:eastAsia="en-AU"/>
        </w:rPr>
        <w:t xml:space="preserve"> as appraising medicines, vaccines</w:t>
      </w:r>
      <w:r w:rsidR="00425730">
        <w:rPr>
          <w:lang w:eastAsia="en-AU"/>
        </w:rPr>
        <w:t>,</w:t>
      </w:r>
      <w:r w:rsidRPr="00995151">
        <w:rPr>
          <w:lang w:eastAsia="en-AU"/>
        </w:rPr>
        <w:t xml:space="preserve"> advanced therapies and codependent technologies</w:t>
      </w:r>
      <w:r w:rsidR="00425730">
        <w:rPr>
          <w:lang w:eastAsia="en-AU"/>
        </w:rPr>
        <w:t>.</w:t>
      </w:r>
      <w:r w:rsidRPr="00995151">
        <w:rPr>
          <w:lang w:eastAsia="en-AU"/>
        </w:rPr>
        <w:t xml:space="preserve"> Alternatively, if the </w:t>
      </w:r>
      <w:r w:rsidR="00425730">
        <w:rPr>
          <w:lang w:eastAsia="en-AU"/>
        </w:rPr>
        <w:t>u</w:t>
      </w:r>
      <w:r w:rsidRPr="00995151">
        <w:rPr>
          <w:lang w:eastAsia="en-AU"/>
        </w:rPr>
        <w:t xml:space="preserve">nified HTA pathway </w:t>
      </w:r>
      <w:r w:rsidR="00425730">
        <w:rPr>
          <w:lang w:eastAsia="en-AU"/>
        </w:rPr>
        <w:t xml:space="preserve">(see </w:t>
      </w:r>
      <w:r w:rsidR="00425730">
        <w:t>‘</w:t>
      </w:r>
      <w:r w:rsidR="00425730">
        <w:fldChar w:fldCharType="begin" w:fldLock="1"/>
      </w:r>
      <w:r w:rsidR="00425730">
        <w:instrText xml:space="preserve"> REF _Ref166785329 \r \h </w:instrText>
      </w:r>
      <w:r w:rsidR="00425730">
        <w:fldChar w:fldCharType="separate"/>
      </w:r>
      <w:r w:rsidR="00425730">
        <w:t>Recommendation 4</w:t>
      </w:r>
      <w:r w:rsidR="00425730">
        <w:fldChar w:fldCharType="end"/>
      </w:r>
      <w:r w:rsidR="00425730">
        <w:t>.</w:t>
      </w:r>
      <w:r w:rsidR="00425730" w:rsidRPr="00AE3CEE">
        <w:rPr>
          <w:i/>
        </w:rPr>
        <w:t xml:space="preserve"> </w:t>
      </w:r>
      <w:r w:rsidR="00425730" w:rsidRPr="000C5623">
        <w:rPr>
          <w:iCs/>
        </w:rPr>
        <w:t xml:space="preserve">Unified HTA pathway and committee approach for all Australian </w:t>
      </w:r>
      <w:r w:rsidR="0036439F">
        <w:rPr>
          <w:iCs/>
        </w:rPr>
        <w:t>G</w:t>
      </w:r>
      <w:r w:rsidR="00425730" w:rsidRPr="000C5623">
        <w:rPr>
          <w:iCs/>
        </w:rPr>
        <w:t>overnment funding of health technologies’</w:t>
      </w:r>
      <w:r w:rsidR="00425730">
        <w:rPr>
          <w:iCs/>
        </w:rPr>
        <w:t xml:space="preserve">) </w:t>
      </w:r>
      <w:r w:rsidRPr="00995151">
        <w:rPr>
          <w:lang w:eastAsia="en-AU"/>
        </w:rPr>
        <w:t xml:space="preserve">is adopted and a single HTA </w:t>
      </w:r>
      <w:r w:rsidR="00C16518">
        <w:rPr>
          <w:lang w:eastAsia="en-AU"/>
        </w:rPr>
        <w:t>advisory committee</w:t>
      </w:r>
      <w:r w:rsidRPr="00995151">
        <w:rPr>
          <w:lang w:eastAsia="en-AU"/>
        </w:rPr>
        <w:t xml:space="preserve"> is constituted in Australia, it would include companion genomic and pharmacogenomic tests more generally (i.e. for funding decisions for all associated technologies).</w:t>
      </w:r>
    </w:p>
    <w:p w14:paraId="39CBA3CF" w14:textId="3EA62C55" w:rsidR="00456055" w:rsidRPr="00995151" w:rsidRDefault="00456055" w:rsidP="00B61FDC">
      <w:pPr>
        <w:ind w:left="357"/>
        <w:rPr>
          <w:lang w:eastAsia="en-AU"/>
        </w:rPr>
      </w:pPr>
      <w:r w:rsidRPr="00995151">
        <w:rPr>
          <w:lang w:eastAsia="en-AU"/>
        </w:rPr>
        <w:t>As part of the guideline development, a Statement of Principles concerning the access and use of genomic technologies and gene therapies should be co-designed with the public. This would involve stakeholder consultation with patients</w:t>
      </w:r>
      <w:r>
        <w:rPr>
          <w:lang w:eastAsia="en-AU"/>
        </w:rPr>
        <w:t>,</w:t>
      </w:r>
      <w:r w:rsidRPr="00995151">
        <w:rPr>
          <w:lang w:eastAsia="en-AU"/>
        </w:rPr>
        <w:t xml:space="preserve"> clinicians </w:t>
      </w:r>
      <w:r>
        <w:rPr>
          <w:lang w:eastAsia="en-AU"/>
        </w:rPr>
        <w:t>and industry</w:t>
      </w:r>
      <w:r w:rsidR="0036439F">
        <w:rPr>
          <w:lang w:eastAsia="en-AU"/>
        </w:rPr>
        <w:t>,</w:t>
      </w:r>
      <w:r w:rsidRPr="00995151">
        <w:rPr>
          <w:lang w:eastAsia="en-AU"/>
        </w:rPr>
        <w:t xml:space="preserve"> but also people who do not have an immediate vested interest in these technologies. </w:t>
      </w:r>
    </w:p>
    <w:p w14:paraId="0E02A594" w14:textId="30FEF4AF" w:rsidR="00FB04EE" w:rsidRDefault="00D06DAB" w:rsidP="00F51C08">
      <w:pPr>
        <w:pStyle w:val="Heading2"/>
      </w:pPr>
      <w:bookmarkStart w:id="607" w:name="_Toc164685853"/>
      <w:bookmarkStart w:id="608" w:name="_Toc164691483"/>
      <w:bookmarkStart w:id="609" w:name="_Toc164696277"/>
      <w:bookmarkStart w:id="610" w:name="_Toc164696423"/>
      <w:bookmarkStart w:id="611" w:name="_Toc164767811"/>
      <w:bookmarkStart w:id="612" w:name="_Toc165473742"/>
      <w:bookmarkStart w:id="613" w:name="_Toc171935897"/>
      <w:r>
        <w:t>Chapter 8.</w:t>
      </w:r>
      <w:r w:rsidR="001E69AC">
        <w:t>4</w:t>
      </w:r>
      <w:r>
        <w:t xml:space="preserve">: </w:t>
      </w:r>
      <w:r w:rsidR="000D5B03">
        <w:t>Economic evaluation</w:t>
      </w:r>
      <w:bookmarkEnd w:id="607"/>
      <w:bookmarkEnd w:id="608"/>
      <w:bookmarkEnd w:id="609"/>
      <w:bookmarkEnd w:id="610"/>
      <w:bookmarkEnd w:id="611"/>
      <w:bookmarkEnd w:id="612"/>
      <w:bookmarkEnd w:id="613"/>
    </w:p>
    <w:p w14:paraId="1B6FC63A" w14:textId="3E1DEC48" w:rsidR="00605CEC" w:rsidRDefault="00B1572B" w:rsidP="00A318F7">
      <w:pPr>
        <w:pStyle w:val="Heading3"/>
      </w:pPr>
      <w:r>
        <w:t>Introduction and context</w:t>
      </w:r>
    </w:p>
    <w:p w14:paraId="147860B3" w14:textId="77777777" w:rsidR="00B1572B" w:rsidRDefault="00B1572B" w:rsidP="00B1572B">
      <w:r>
        <w:t xml:space="preserve">The PBAC Guidelines and MSAC Guidelines instruct applicants to present an economic evaluation of substituting the proposed therapy with the main comparator in the context of the listing requested. </w:t>
      </w:r>
    </w:p>
    <w:p w14:paraId="09C27A3A" w14:textId="085FEE51" w:rsidR="009B38C1" w:rsidRDefault="009B38C1" w:rsidP="00405FD7">
      <w:r>
        <w:t xml:space="preserve">In Australia, economic evaluations support the Government’s </w:t>
      </w:r>
      <w:r w:rsidRPr="00EB46C2">
        <w:t>Fiscal Strategy</w:t>
      </w:r>
      <w:r>
        <w:t xml:space="preserve"> objective of improving living standards for all Australians.</w:t>
      </w:r>
      <w:r w:rsidR="00C20B05">
        <w:rPr>
          <w:rStyle w:val="FootnoteReference"/>
        </w:rPr>
        <w:footnoteReference w:id="184"/>
      </w:r>
      <w:r>
        <w:t xml:space="preserve"> They are a tool used to assist ministers and government entities to develop their portfolio priorities and manage their budget estimates by helping to ensure quality spending and responsible budget </w:t>
      </w:r>
      <w:r>
        <w:lastRenderedPageBreak/>
        <w:t>management</w:t>
      </w:r>
      <w:r w:rsidR="000F7695">
        <w:t>.</w:t>
      </w:r>
      <w:r w:rsidR="000F7695">
        <w:rPr>
          <w:rStyle w:val="FootnoteReference"/>
        </w:rPr>
        <w:footnoteReference w:id="185"/>
      </w:r>
      <w:r>
        <w:t xml:space="preserve"> In particular, they help </w:t>
      </w:r>
      <w:r w:rsidR="0036439F">
        <w:t>m</w:t>
      </w:r>
      <w:r>
        <w:t xml:space="preserve">inisters and entities uphold the principle that all expenditure should constitute proper use and management of public </w:t>
      </w:r>
      <w:r w:rsidR="004576B7">
        <w:t>funds</w:t>
      </w:r>
      <w:r>
        <w:t>, and the most efficient, effective</w:t>
      </w:r>
      <w:r w:rsidR="0036439F">
        <w:t>,</w:t>
      </w:r>
      <w:r>
        <w:t xml:space="preserve"> economic and ethical way to achieve the maximum economic benefit for Australians.</w:t>
      </w:r>
      <w:r w:rsidR="000F7695">
        <w:rPr>
          <w:rStyle w:val="FootnoteReference"/>
        </w:rPr>
        <w:footnoteReference w:id="186"/>
      </w:r>
    </w:p>
    <w:p w14:paraId="05B82709" w14:textId="608F713E" w:rsidR="000D5B03" w:rsidRPr="000D5B03" w:rsidRDefault="009B38C1" w:rsidP="00405FD7">
      <w:pPr>
        <w:pStyle w:val="Heading4"/>
        <w:jc w:val="both"/>
      </w:pPr>
      <w:r>
        <w:t>Approach for HTA</w:t>
      </w:r>
      <w:r w:rsidR="0036439F">
        <w:t>s</w:t>
      </w:r>
      <w:r w:rsidR="0017251E">
        <w:t xml:space="preserve"> in Australia</w:t>
      </w:r>
    </w:p>
    <w:p w14:paraId="47E822C8" w14:textId="30954F9D" w:rsidR="0003291C" w:rsidRDefault="0003291C" w:rsidP="00405FD7">
      <w:r>
        <w:t>When providing</w:t>
      </w:r>
      <w:r w:rsidDel="00540F99">
        <w:t xml:space="preserve"> </w:t>
      </w:r>
      <w:r>
        <w:t xml:space="preserve">advice that supports </w:t>
      </w:r>
      <w:r w:rsidR="00E06EFE">
        <w:t>a</w:t>
      </w:r>
      <w:r>
        <w:t xml:space="preserve"> funding decision for a health technology that costs more than alternative therapies, </w:t>
      </w:r>
      <w:r w:rsidR="000F753B">
        <w:t xml:space="preserve">HTA advisory committees </w:t>
      </w:r>
      <w:r>
        <w:t xml:space="preserve">need to be satisfied that </w:t>
      </w:r>
      <w:r w:rsidR="00E06EFE">
        <w:t>the health technology</w:t>
      </w:r>
      <w:r>
        <w:t xml:space="preserve"> also </w:t>
      </w:r>
      <w:r w:rsidDel="0036439F">
        <w:t xml:space="preserve">provides an </w:t>
      </w:r>
      <w:r>
        <w:t>improvement</w:t>
      </w:r>
      <w:r w:rsidDel="0036439F">
        <w:t xml:space="preserve"> in</w:t>
      </w:r>
      <w:r>
        <w:t xml:space="preserve"> efficacy or reduction</w:t>
      </w:r>
      <w:r w:rsidDel="0036439F">
        <w:t xml:space="preserve"> in</w:t>
      </w:r>
      <w:r>
        <w:t xml:space="preserve"> toxicity over alternative therapies for some patients. For the PBAC, this requirement is set out at section 101(3B) of the </w:t>
      </w:r>
      <w:r w:rsidR="00D029D5">
        <w:t>NHA</w:t>
      </w:r>
      <w:r>
        <w:t xml:space="preserve">. </w:t>
      </w:r>
    </w:p>
    <w:p w14:paraId="2F8B20E2" w14:textId="2FA07305" w:rsidR="0003291C" w:rsidRDefault="0003291C" w:rsidP="00405FD7">
      <w:r>
        <w:t xml:space="preserve">This requirement supports the principle that all expenditure should seek to achieve the maximum economic benefit for Australians by ensuring that where public </w:t>
      </w:r>
      <w:r w:rsidR="000D5259">
        <w:t>funds</w:t>
      </w:r>
      <w:r>
        <w:t xml:space="preserve"> are used </w:t>
      </w:r>
      <w:r w:rsidR="000D5259">
        <w:t xml:space="preserve">for </w:t>
      </w:r>
      <w:r>
        <w:t>a health technology that is more expensive than an alternative therapy, it is because that health technology provides a clinically important advantage over th</w:t>
      </w:r>
      <w:r w:rsidR="0036439F">
        <w:t>e</w:t>
      </w:r>
      <w:r>
        <w:t xml:space="preserve"> alternative therapy. </w:t>
      </w:r>
    </w:p>
    <w:p w14:paraId="077949DC" w14:textId="27DF9B0C" w:rsidR="0003291C" w:rsidRPr="003E00C9" w:rsidRDefault="0003291C" w:rsidP="00405FD7">
      <w:r>
        <w:t>The economic evaluation is the tool used to help advisory committees meet this requirement and ensure that any additional cost associated with a health technology is commensurate with the extent of improvement the health technology provides over alternative therapies.</w:t>
      </w:r>
    </w:p>
    <w:p w14:paraId="45E2328C" w14:textId="7A0DC9E5" w:rsidR="00701D20" w:rsidRDefault="00701D20" w:rsidP="00405FD7">
      <w:r>
        <w:t>Economic evaluations are a common feature of government priority setting globally, including in HTA</w:t>
      </w:r>
      <w:r w:rsidR="0036439F">
        <w:t>s</w:t>
      </w:r>
      <w:r>
        <w:t xml:space="preserve">. The </w:t>
      </w:r>
      <w:r w:rsidR="002163E3">
        <w:t xml:space="preserve">paper </w:t>
      </w:r>
      <w:r w:rsidR="00BC3000" w:rsidRPr="00BC3000">
        <w:rPr>
          <w:i/>
          <w:iCs/>
        </w:rPr>
        <w:t>HTA Methods: Economic evaluation</w:t>
      </w:r>
      <w:r>
        <w:t xml:space="preserve"> found that economic evaluations are considered by HTA bodies and funding authorities in most other countries to assist decisions about whether to fund health technologies</w:t>
      </w:r>
      <w:r w:rsidR="0036439F">
        <w:t>.</w:t>
      </w:r>
      <w:r w:rsidR="002E6CFD">
        <w:rPr>
          <w:rStyle w:val="FootnoteReference"/>
        </w:rPr>
        <w:footnoteReference w:id="187"/>
      </w:r>
    </w:p>
    <w:p w14:paraId="11BA0658" w14:textId="7A8532EE" w:rsidR="00701D20" w:rsidRDefault="00701D20" w:rsidP="00405FD7">
      <w:r>
        <w:t xml:space="preserve">In practice, economic evaluations in HTAs: </w:t>
      </w:r>
    </w:p>
    <w:p w14:paraId="28921D82" w14:textId="561C8441" w:rsidR="00701D20" w:rsidRDefault="00701D20" w:rsidP="00274AA9">
      <w:pPr>
        <w:pStyle w:val="ListBullet"/>
      </w:pPr>
      <w:r>
        <w:t>provide an estimate of the value for money of a health technology</w:t>
      </w:r>
      <w:r w:rsidR="0036439F">
        <w:t>,</w:t>
      </w:r>
      <w:r>
        <w:t xml:space="preserve"> based on the health outcomes delivered and costs compared to alternative therapies</w:t>
      </w:r>
    </w:p>
    <w:p w14:paraId="0882DF45" w14:textId="77777777" w:rsidR="00701D20" w:rsidRDefault="00701D20" w:rsidP="00274AA9">
      <w:pPr>
        <w:pStyle w:val="ListBullet"/>
      </w:pPr>
      <w:r>
        <w:t>help decision-makers understand how confident they should be in those estimates</w:t>
      </w:r>
    </w:p>
    <w:p w14:paraId="1FBC01C8" w14:textId="29305A8E" w:rsidR="00701D20" w:rsidRDefault="00701D20" w:rsidP="00274AA9">
      <w:pPr>
        <w:pStyle w:val="ListBullet"/>
      </w:pPr>
      <w:r w:rsidDel="0036439F">
        <w:t>are</w:t>
      </w:r>
      <w:r>
        <w:t xml:space="preserve"> the main mechanism to determine the agreed price paid between the payer and the supplier</w:t>
      </w:r>
    </w:p>
    <w:p w14:paraId="0A9D137A" w14:textId="77777777" w:rsidR="00701D20" w:rsidRDefault="00701D20" w:rsidP="00274AA9">
      <w:pPr>
        <w:pStyle w:val="ListBullet"/>
      </w:pPr>
      <w:r>
        <w:t xml:space="preserve">help determine what arrangements should be put in place to manage the risk that estimated benefits are not realised or that costs are greater than estimated. </w:t>
      </w:r>
    </w:p>
    <w:p w14:paraId="57C55744" w14:textId="3BC5A2A1" w:rsidR="0017251E" w:rsidRPr="0017251E" w:rsidRDefault="001F5DC3" w:rsidP="00405FD7">
      <w:pPr>
        <w:pStyle w:val="Heading4"/>
        <w:jc w:val="both"/>
      </w:pPr>
      <w:r>
        <w:lastRenderedPageBreak/>
        <w:t xml:space="preserve">Issues </w:t>
      </w:r>
    </w:p>
    <w:p w14:paraId="7DABA747" w14:textId="23195B00" w:rsidR="00BC770A" w:rsidRDefault="00A015D2" w:rsidP="00405FD7">
      <w:r>
        <w:t>Participants in the Review</w:t>
      </w:r>
      <w:r w:rsidR="00BC770A">
        <w:t xml:space="preserve"> across industry, patient organisation</w:t>
      </w:r>
      <w:r>
        <w:t>s</w:t>
      </w:r>
      <w:r w:rsidR="00BC770A">
        <w:t xml:space="preserve">, research and clinical practice sectors perceived certain features of </w:t>
      </w:r>
      <w:r w:rsidR="00540F99">
        <w:t>the PBAC and the MSAC’s</w:t>
      </w:r>
      <w:r w:rsidR="00BC770A">
        <w:t xml:space="preserve"> economic evaluation methods </w:t>
      </w:r>
      <w:r w:rsidR="00540F99">
        <w:t xml:space="preserve">were </w:t>
      </w:r>
      <w:r w:rsidR="00BC770A">
        <w:t>causing certain types of health technologies to be undervalued or valued without sufficient regard to societal and equity</w:t>
      </w:r>
      <w:r>
        <w:t xml:space="preserve"> </w:t>
      </w:r>
      <w:r w:rsidR="00BC770A">
        <w:t>principles. The elements of the economic evaluation that stakeholders expressed most concern about</w:t>
      </w:r>
      <w:r w:rsidR="0036439F">
        <w:t> </w:t>
      </w:r>
      <w:r w:rsidR="00BC770A">
        <w:t>were:</w:t>
      </w:r>
    </w:p>
    <w:p w14:paraId="3D3D5298" w14:textId="2596F700" w:rsidR="00BC770A" w:rsidRDefault="00BC770A" w:rsidP="00274AA9">
      <w:pPr>
        <w:pStyle w:val="ListBullet"/>
      </w:pPr>
      <w:r>
        <w:t>low-cost comparators</w:t>
      </w:r>
    </w:p>
    <w:p w14:paraId="7496582C" w14:textId="2BDC6F5B" w:rsidR="00BC770A" w:rsidRDefault="00BC770A" w:rsidP="00274AA9">
      <w:pPr>
        <w:pStyle w:val="ListBullet"/>
      </w:pPr>
      <w:r>
        <w:t>non-inclusion of costs and outcomes that are not related to health or provision of health</w:t>
      </w:r>
      <w:r w:rsidR="002D33A5">
        <w:t xml:space="preserve"> </w:t>
      </w:r>
      <w:r>
        <w:t>care in the base case economic evaluation (e.g. second</w:t>
      </w:r>
      <w:r w:rsidR="00D50789">
        <w:t>-</w:t>
      </w:r>
      <w:r>
        <w:t xml:space="preserve">order effects, social benefits, carer benefits </w:t>
      </w:r>
      <w:r w:rsidR="00B34F16">
        <w:t xml:space="preserve">and </w:t>
      </w:r>
      <w:r>
        <w:t>productivity)</w:t>
      </w:r>
      <w:r w:rsidR="00FA396E">
        <w:t>,</w:t>
      </w:r>
      <w:r>
        <w:t xml:space="preserve"> and PROMs and PREMs that might not otherwise be captured via standard measures of quality of life</w:t>
      </w:r>
    </w:p>
    <w:p w14:paraId="46C190B6" w14:textId="2E53E7D9" w:rsidR="00BC770A" w:rsidRDefault="00BC770A" w:rsidP="00274AA9">
      <w:pPr>
        <w:pStyle w:val="ListBullet"/>
      </w:pPr>
      <w:r>
        <w:t>the impact of discounting and consideration of uncertainty on the estimated value of long-term benefits</w:t>
      </w:r>
    </w:p>
    <w:p w14:paraId="0AD9725C" w14:textId="00CC8CD0" w:rsidR="00BC770A" w:rsidRDefault="0036439F" w:rsidP="00274AA9">
      <w:pPr>
        <w:pStyle w:val="ListBullet"/>
      </w:pPr>
      <w:r>
        <w:t xml:space="preserve">the </w:t>
      </w:r>
      <w:r w:rsidR="00BC770A">
        <w:t xml:space="preserve">absence of an explicit framework incorporating equity considerations into conclusions about whether cost-effectiveness was acceptable. </w:t>
      </w:r>
    </w:p>
    <w:p w14:paraId="5304D789" w14:textId="2F119DFE" w:rsidR="00BC770A" w:rsidRDefault="00BC770A" w:rsidP="00405FD7">
      <w:r>
        <w:t>Stakeholders perceived that undervaluing health technologies resulted in advice not to fund them at the price initially proposed by the applicant. They expressed concern about the impact this had on the time it takes to reimburse new health technologies.</w:t>
      </w:r>
    </w:p>
    <w:p w14:paraId="7BCD91BC" w14:textId="30B0EFFF" w:rsidR="00BC770A" w:rsidRDefault="00BC770A" w:rsidP="00405FD7">
      <w:r>
        <w:t xml:space="preserve">Stakeholders also expressed concern about the impact of economic evaluation on the time to reimbursement. </w:t>
      </w:r>
      <w:proofErr w:type="gramStart"/>
      <w:r>
        <w:t>In particular, some</w:t>
      </w:r>
      <w:proofErr w:type="gramEnd"/>
      <w:r>
        <w:t xml:space="preserve"> stakeholders expressed the view that it was being treated as a price negotiation step. Other stakeholders expressed concern that for certain health technologies (such as non-inferior health technologies) it was an inefficient use of limited HTA resources. </w:t>
      </w:r>
    </w:p>
    <w:p w14:paraId="67401A19" w14:textId="25CA0529" w:rsidR="00593D5A" w:rsidRDefault="00B1572B" w:rsidP="00A318F7">
      <w:pPr>
        <w:pStyle w:val="Heading3"/>
      </w:pPr>
      <w:bookmarkStart w:id="614" w:name="_Toc164691485"/>
      <w:bookmarkStart w:id="615" w:name="_Toc164696279"/>
      <w:bookmarkStart w:id="616" w:name="_Toc164696425"/>
      <w:bookmarkStart w:id="617" w:name="_Toc164767813"/>
      <w:bookmarkStart w:id="618" w:name="_Toc165473744"/>
      <w:r>
        <w:t>F</w:t>
      </w:r>
      <w:r w:rsidR="00593D5A">
        <w:t>indings</w:t>
      </w:r>
      <w:bookmarkEnd w:id="614"/>
      <w:bookmarkEnd w:id="615"/>
      <w:bookmarkEnd w:id="616"/>
      <w:bookmarkEnd w:id="617"/>
      <w:bookmarkEnd w:id="618"/>
    </w:p>
    <w:p w14:paraId="136A8B9D" w14:textId="1D82FBA4" w:rsidR="003C4D46" w:rsidRDefault="003C4D46" w:rsidP="00405FD7">
      <w:pPr>
        <w:pStyle w:val="Heading4"/>
        <w:jc w:val="both"/>
      </w:pPr>
      <w:r>
        <w:t>Some features of economic evaluation cause estimates of cost</w:t>
      </w:r>
      <w:r w:rsidR="00BB34D8">
        <w:t>-</w:t>
      </w:r>
      <w:r>
        <w:t xml:space="preserve"> effectiveness to vary for reasons unrelated to price and benefits</w:t>
      </w:r>
    </w:p>
    <w:p w14:paraId="797AD47B" w14:textId="11D5456D" w:rsidR="003C4D46" w:rsidRDefault="003C4D46" w:rsidP="00405FD7">
      <w:r w:rsidRPr="00BE26D0">
        <w:t>Th</w:t>
      </w:r>
      <w:r>
        <w:t xml:space="preserve">rough Consultation 1 and face-to-face </w:t>
      </w:r>
      <w:r w:rsidR="000F753B">
        <w:t>deep</w:t>
      </w:r>
      <w:r w:rsidR="0036439F">
        <w:t xml:space="preserve"> </w:t>
      </w:r>
      <w:r w:rsidR="000F753B">
        <w:t xml:space="preserve">dives and </w:t>
      </w:r>
      <w:r>
        <w:t>meetings, the</w:t>
      </w:r>
      <w:r w:rsidRPr="00BE26D0">
        <w:t xml:space="preserve"> </w:t>
      </w:r>
      <w:r w:rsidR="000F753B">
        <w:t>Review</w:t>
      </w:r>
      <w:r>
        <w:t xml:space="preserve"> heard evidence that features of the economic evaluation methods make certain types of health technologies appear less cost</w:t>
      </w:r>
      <w:r w:rsidR="00BB34D8">
        <w:t>-</w:t>
      </w:r>
      <w:r>
        <w:t>effective than other</w:t>
      </w:r>
      <w:r w:rsidR="00540F99">
        <w:t>s</w:t>
      </w:r>
      <w:r>
        <w:t xml:space="preserve">. The main categories identified were: </w:t>
      </w:r>
    </w:p>
    <w:p w14:paraId="783679B4" w14:textId="6B1E05EA" w:rsidR="003C4D46" w:rsidRDefault="003C4D46" w:rsidP="00274AA9">
      <w:pPr>
        <w:pStyle w:val="ListBullet"/>
      </w:pPr>
      <w:r>
        <w:t xml:space="preserve">new health technologies where the comparator is either an old </w:t>
      </w:r>
      <w:r w:rsidR="0036439F">
        <w:t>standard of care (</w:t>
      </w:r>
      <w:r>
        <w:t>SOC</w:t>
      </w:r>
      <w:r w:rsidR="0036439F">
        <w:t>)</w:t>
      </w:r>
      <w:r>
        <w:t xml:space="preserve"> or a health technology that has been commoditised (and is therefore cheap)</w:t>
      </w:r>
    </w:p>
    <w:p w14:paraId="5CE7D484" w14:textId="3DD51E92" w:rsidR="003C4D46" w:rsidRDefault="003C4D46" w:rsidP="00274AA9">
      <w:pPr>
        <w:pStyle w:val="ListBullet"/>
      </w:pPr>
      <w:r>
        <w:t xml:space="preserve">preventative treatments (such as vaccines and gene therapies) that have high upfront costs and benefits that accrue over a long period. </w:t>
      </w:r>
    </w:p>
    <w:p w14:paraId="0567CBE9" w14:textId="77777777" w:rsidR="00E42941" w:rsidRPr="00F52398" w:rsidRDefault="00E42941" w:rsidP="00405FD7">
      <w:pPr>
        <w:pStyle w:val="Heading5"/>
        <w:rPr>
          <w:i/>
          <w:iCs/>
          <w:color w:val="153A6E" w:themeColor="text2"/>
        </w:rPr>
      </w:pPr>
      <w:r w:rsidRPr="00F52398">
        <w:lastRenderedPageBreak/>
        <w:t>Valuing long</w:t>
      </w:r>
      <w:r>
        <w:t>-</w:t>
      </w:r>
      <w:r w:rsidRPr="00F52398">
        <w:t>term benefits</w:t>
      </w:r>
    </w:p>
    <w:p w14:paraId="7A065613" w14:textId="52D973C1" w:rsidR="00E42941" w:rsidRDefault="00540F99" w:rsidP="00405FD7">
      <w:r>
        <w:t>D</w:t>
      </w:r>
      <w:r w:rsidR="00E42941" w:rsidRPr="004623EB">
        <w:t>iscounting</w:t>
      </w:r>
      <w:r w:rsidR="003735B1">
        <w:t xml:space="preserve"> of costs and benefits</w:t>
      </w:r>
      <w:r w:rsidR="00D205CF">
        <w:t xml:space="preserve"> each year they accrue</w:t>
      </w:r>
      <w:r w:rsidR="003735B1">
        <w:t>,</w:t>
      </w:r>
      <w:r w:rsidR="00E42941" w:rsidRPr="004623EB">
        <w:t xml:space="preserve"> </w:t>
      </w:r>
      <w:r w:rsidR="00E42941">
        <w:t xml:space="preserve">and approaches </w:t>
      </w:r>
      <w:r w:rsidR="003735B1">
        <w:t>for</w:t>
      </w:r>
      <w:r w:rsidR="00E42941">
        <w:t xml:space="preserve"> assessing uncertainty</w:t>
      </w:r>
      <w:r w:rsidR="003735B1">
        <w:t>,</w:t>
      </w:r>
      <w:r w:rsidR="00E42941">
        <w:t xml:space="preserve"> </w:t>
      </w:r>
      <w:r w:rsidRPr="00E83469">
        <w:t>mean</w:t>
      </w:r>
      <w:r w:rsidR="00E42941" w:rsidRPr="00E83469">
        <w:t xml:space="preserve"> costs and benefits</w:t>
      </w:r>
      <w:r w:rsidR="00E42941" w:rsidRPr="00E83469" w:rsidDel="00E83469">
        <w:t xml:space="preserve"> </w:t>
      </w:r>
      <w:r w:rsidR="00E83469">
        <w:t xml:space="preserve">are less </w:t>
      </w:r>
      <w:r w:rsidR="00E42941" w:rsidRPr="00E83469">
        <w:t>valued</w:t>
      </w:r>
      <w:r w:rsidR="00E42941" w:rsidRPr="00E83469" w:rsidDel="00E83469">
        <w:t xml:space="preserve"> </w:t>
      </w:r>
      <w:r w:rsidR="00E42941">
        <w:t>the further into the future they are realised. This reflects the a</w:t>
      </w:r>
      <w:r w:rsidR="00A413C1">
        <w:t>ssumed</w:t>
      </w:r>
      <w:r w:rsidR="00E42941">
        <w:t xml:space="preserve"> societal preference for current over future benefits, and reduced confidence in benefits and costs being realised the further into the future they are estimated to occur.</w:t>
      </w:r>
    </w:p>
    <w:p w14:paraId="60210C17" w14:textId="6213DE3B" w:rsidR="00E42941" w:rsidRDefault="00E42941" w:rsidP="00405FD7">
      <w:r>
        <w:t xml:space="preserve">Relative to a health technology that delivers outcomes that are realised over the short term, the benefits of a health technology that delivers outcomes over a longer period are </w:t>
      </w:r>
      <w:r w:rsidR="00E83469">
        <w:t xml:space="preserve">less </w:t>
      </w:r>
      <w:r>
        <w:t xml:space="preserve">valued. This does not significantly impact estimation of cost-effectiveness where costs are spread over the same </w:t>
      </w:r>
      <w:proofErr w:type="gramStart"/>
      <w:r>
        <w:t>time period</w:t>
      </w:r>
      <w:proofErr w:type="gramEnd"/>
      <w:r>
        <w:t xml:space="preserve"> as the benefits (e.g. where continued doses are required to maintain the benefit over time). However, this significantly impacts estimates of cost-effectiveness where the costs are upfront, and the benefits accrue over many years (such as for vaccines and gene therapies).</w:t>
      </w:r>
    </w:p>
    <w:p w14:paraId="6ED9AB7D" w14:textId="2F416223" w:rsidR="00E42941" w:rsidRDefault="00E42941" w:rsidP="00405FD7">
      <w:r>
        <w:t>The</w:t>
      </w:r>
      <w:r w:rsidR="008461B2">
        <w:t xml:space="preserve"> effect</w:t>
      </w:r>
      <w:r>
        <w:t xml:space="preserve"> of valuing long-term benefits less than more immediate benefits is that </w:t>
      </w:r>
      <w:r w:rsidR="0036439F">
        <w:t>two </w:t>
      </w:r>
      <w:r>
        <w:t>therapies that deliver equivalent overall health outcomes at equivalent overall costs could have different estimates of cost-effectiveness if their costs are accrued over different time periods. The therapy with frontloaded costs would appear less cost-effective than the therapy with costs</w:t>
      </w:r>
      <w:r w:rsidR="00FA396E">
        <w:t xml:space="preserve"> that</w:t>
      </w:r>
      <w:r>
        <w:t xml:space="preserve"> spread more evenly over the period </w:t>
      </w:r>
      <w:r w:rsidR="00FA396E">
        <w:t>in which</w:t>
      </w:r>
      <w:r>
        <w:t xml:space="preserve"> benefits accrue into the future, notwithstanding equivalent overall costs and health outcomes.</w:t>
      </w:r>
    </w:p>
    <w:p w14:paraId="2F94D226" w14:textId="1EACBAFC" w:rsidR="00E42941" w:rsidRDefault="00E42941" w:rsidP="00405FD7">
      <w:r>
        <w:t xml:space="preserve">The flexibility afforded by the absence of an </w:t>
      </w:r>
      <w:r w:rsidR="00C21014" w:rsidRPr="00C21014">
        <w:t>incremental cost-effectiveness ratio</w:t>
      </w:r>
      <w:r>
        <w:t xml:space="preserve"> </w:t>
      </w:r>
      <w:r w:rsidR="00C21014">
        <w:t>(</w:t>
      </w:r>
      <w:r>
        <w:t>ICER</w:t>
      </w:r>
      <w:r w:rsidR="00C21014">
        <w:t>)</w:t>
      </w:r>
      <w:r>
        <w:t xml:space="preserve"> threshold</w:t>
      </w:r>
      <w:r w:rsidR="00E83469">
        <w:t>,</w:t>
      </w:r>
      <w:r>
        <w:t xml:space="preserve"> and flexibility in discounting approaches and other aspects of economic evaluation</w:t>
      </w:r>
      <w:r w:rsidR="00E83469">
        <w:t>,</w:t>
      </w:r>
      <w:r>
        <w:t xml:space="preserve"> enables the PBAC and the MSAC to account for where these variations impact cost-effectiveness estimates. For example, the PBAC considered </w:t>
      </w:r>
      <w:r w:rsidR="0049745A">
        <w:t>the ICER</w:t>
      </w:r>
      <w:r>
        <w:t xml:space="preserve"> </w:t>
      </w:r>
      <w:r w:rsidR="00A90FCA">
        <w:t xml:space="preserve">for the meningococcal B vaccine for </w:t>
      </w:r>
      <w:r w:rsidR="00CC78FE">
        <w:t>Aboriginal and Torres Strait Islander ch</w:t>
      </w:r>
      <w:r w:rsidR="007C6B97">
        <w:t>i</w:t>
      </w:r>
      <w:r w:rsidR="00CC78FE">
        <w:t>ldren</w:t>
      </w:r>
      <w:r w:rsidR="00F177BD">
        <w:t xml:space="preserve"> </w:t>
      </w:r>
      <w:r w:rsidR="003D442F">
        <w:t xml:space="preserve">was acceptable when </w:t>
      </w:r>
      <w:r w:rsidR="009E7456">
        <w:t xml:space="preserve">costs and benefits were discounted at </w:t>
      </w:r>
      <w:r w:rsidR="000E63D6">
        <w:t>3.5%</w:t>
      </w:r>
      <w:r w:rsidR="009E7456">
        <w:t xml:space="preserve"> per year</w:t>
      </w:r>
      <w:r w:rsidR="00DE30BA">
        <w:t xml:space="preserve"> instead of the base case</w:t>
      </w:r>
      <w:r>
        <w:t xml:space="preserve"> rate</w:t>
      </w:r>
      <w:r w:rsidR="00DE30BA">
        <w:t xml:space="preserve"> of 5</w:t>
      </w:r>
      <w:r w:rsidR="000E63D6">
        <w:t>%</w:t>
      </w:r>
      <w:r>
        <w:t>.</w:t>
      </w:r>
      <w:r w:rsidR="003D442F">
        <w:rPr>
          <w:rStyle w:val="FootnoteReference"/>
        </w:rPr>
        <w:footnoteReference w:id="188"/>
      </w:r>
    </w:p>
    <w:p w14:paraId="7B4EB978" w14:textId="638E0D84" w:rsidR="00E42941" w:rsidRDefault="00E42941" w:rsidP="00405FD7">
      <w:r>
        <w:t>There is no explicit guidance on how this flexibility is exercised in PBAC</w:t>
      </w:r>
      <w:r w:rsidR="00493458">
        <w:t xml:space="preserve"> Guidelines</w:t>
      </w:r>
      <w:r w:rsidR="00493458">
        <w:rPr>
          <w:rStyle w:val="FootnoteReference"/>
        </w:rPr>
        <w:footnoteReference w:id="189"/>
      </w:r>
      <w:r>
        <w:t xml:space="preserve"> or MSAC </w:t>
      </w:r>
      <w:r w:rsidR="00493458">
        <w:t>G</w:t>
      </w:r>
      <w:r>
        <w:t>uidelines</w:t>
      </w:r>
      <w:r w:rsidR="00AD514A">
        <w:t>.</w:t>
      </w:r>
      <w:r w:rsidR="00493458">
        <w:rPr>
          <w:rStyle w:val="FootnoteReference"/>
        </w:rPr>
        <w:footnoteReference w:id="190"/>
      </w:r>
      <w:r>
        <w:t xml:space="preserve"> </w:t>
      </w:r>
      <w:r w:rsidR="006C00A3">
        <w:t xml:space="preserve">The </w:t>
      </w:r>
      <w:r w:rsidR="00DD68B6">
        <w:t>G</w:t>
      </w:r>
      <w:r w:rsidR="006C00A3">
        <w:t>uidelines do not state that this flexibility may be exercised</w:t>
      </w:r>
      <w:r w:rsidR="00972C8F">
        <w:t>, particular</w:t>
      </w:r>
      <w:r w:rsidR="00D57CED">
        <w:t>ly</w:t>
      </w:r>
      <w:r w:rsidR="006C00A3">
        <w:t xml:space="preserve"> for </w:t>
      </w:r>
      <w:r>
        <w:t>health technologies that deliver long-term benefits and have upfront costs</w:t>
      </w:r>
      <w:r w:rsidR="00972C8F">
        <w:t>.</w:t>
      </w:r>
      <w:r>
        <w:t xml:space="preserve"> This contributes to a perception that </w:t>
      </w:r>
      <w:r w:rsidR="00972C8F">
        <w:t>these technologies</w:t>
      </w:r>
      <w:r>
        <w:t xml:space="preserve"> are valued less than those that have costs that are spread over the period that benefits accrue. This issue is not unique to HTA</w:t>
      </w:r>
      <w:r w:rsidR="00394B99">
        <w:t>s</w:t>
      </w:r>
      <w:r>
        <w:t xml:space="preserve"> in Australia. The </w:t>
      </w:r>
      <w:hyperlink r:id="rId31" w:history="1">
        <w:r w:rsidRPr="00BA07C1">
          <w:rPr>
            <w:rStyle w:val="Hyperlink"/>
          </w:rPr>
          <w:t>literature review on economic evaluation</w:t>
        </w:r>
      </w:hyperlink>
      <w:r w:rsidRPr="00B61FDC">
        <w:rPr>
          <w:rStyle w:val="Hyperlink"/>
          <w:u w:val="none"/>
        </w:rPr>
        <w:t xml:space="preserve"> </w:t>
      </w:r>
      <w:r>
        <w:t xml:space="preserve">found that approaches to valuing future costs and benefits in Australia are not significantly </w:t>
      </w:r>
      <w:r>
        <w:lastRenderedPageBreak/>
        <w:t xml:space="preserve">different to </w:t>
      </w:r>
      <w:r w:rsidR="00FA396E">
        <w:t xml:space="preserve">those used in </w:t>
      </w:r>
      <w:r>
        <w:t>other countries</w:t>
      </w:r>
      <w:r w:rsidR="00493458">
        <w:t>,</w:t>
      </w:r>
      <w:r>
        <w:t xml:space="preserve"> although Australia’s discount rate is at the upper end of those in comparable jurisdictions. </w:t>
      </w:r>
    </w:p>
    <w:p w14:paraId="162E1D3E" w14:textId="0EFDE207" w:rsidR="00E42941" w:rsidRDefault="00A53004" w:rsidP="00405FD7">
      <w:r>
        <w:t xml:space="preserve">The Review </w:t>
      </w:r>
      <w:r w:rsidR="005B4D44">
        <w:t>did</w:t>
      </w:r>
      <w:r>
        <w:t xml:space="preserve"> not receive evidence of specific company decisions to not bring health technologies to Australia because of the base case discount rate. However, t</w:t>
      </w:r>
      <w:r w:rsidR="00E42941">
        <w:t>o the extent that HTA bodies in Australia and overseas do not explain how decision-making is modified to account for characteristics that alter estimates of cost-effectiveness, systems that, in the base case, make certain health technologies that have upfront costs and deliver long-term benefits appear les</w:t>
      </w:r>
      <w:r w:rsidR="00493458">
        <w:t>s</w:t>
      </w:r>
      <w:r w:rsidR="00E42941">
        <w:t xml:space="preserve"> cost-effective, may be perceived as undervaluing these technologies.</w:t>
      </w:r>
    </w:p>
    <w:p w14:paraId="16C80824" w14:textId="4085962B" w:rsidR="003C4D46" w:rsidRPr="00BD7197" w:rsidRDefault="0082543E" w:rsidP="00405FD7">
      <w:pPr>
        <w:pStyle w:val="Heading5"/>
      </w:pPr>
      <w:r>
        <w:t>Low</w:t>
      </w:r>
      <w:r w:rsidR="66E3C930">
        <w:t>-</w:t>
      </w:r>
      <w:r>
        <w:t>cost</w:t>
      </w:r>
      <w:r w:rsidR="003C4D46" w:rsidRPr="00BD7197">
        <w:t xml:space="preserve"> comparator </w:t>
      </w:r>
      <w:r w:rsidR="007E5A18">
        <w:t>(where health technologies are claimed to be superior to alternatives)</w:t>
      </w:r>
    </w:p>
    <w:p w14:paraId="12ED07E6" w14:textId="6FA7B474" w:rsidR="003C4D46" w:rsidRDefault="003C4D46" w:rsidP="00405FD7">
      <w:r>
        <w:t>For health technologies claimed to be superior to alternatives, the incremental cost per QALY gained is much greater when the comparator is cheap</w:t>
      </w:r>
      <w:r w:rsidR="00513FD9">
        <w:t xml:space="preserve"> compared to</w:t>
      </w:r>
      <w:r>
        <w:t xml:space="preserve"> when it is expensive. This means that the ICER for a new health technology</w:t>
      </w:r>
      <w:r w:rsidR="00493458">
        <w:t>,</w:t>
      </w:r>
      <w:r>
        <w:t xml:space="preserve"> compared with a cheap comparator</w:t>
      </w:r>
      <w:r w:rsidR="00493458">
        <w:t>,</w:t>
      </w:r>
      <w:r>
        <w:t xml:space="preserve"> will appear to be less acceptable than an ICER for a new health technology compared with a</w:t>
      </w:r>
      <w:r w:rsidR="00190653">
        <w:t xml:space="preserve"> more</w:t>
      </w:r>
      <w:r>
        <w:t xml:space="preserve"> expensive comparator – even where the price and the number of QALYs gained are equal for both health technologies. </w:t>
      </w:r>
    </w:p>
    <w:p w14:paraId="2A54CC96" w14:textId="3CD4E4E2" w:rsidR="003C4D46" w:rsidRDefault="003C4D46" w:rsidP="00405FD7">
      <w:r>
        <w:t xml:space="preserve">For </w:t>
      </w:r>
      <w:r w:rsidR="004C6FF1">
        <w:t>therapies</w:t>
      </w:r>
      <w:r>
        <w:t xml:space="preserve"> where it has been demonstrated they offer an improvement over the old </w:t>
      </w:r>
      <w:r w:rsidR="00BB7AAF">
        <w:t>standard of care</w:t>
      </w:r>
      <w:r>
        <w:t xml:space="preserve"> or cheap comparators, the flexibility afforded by the absence of an ICER threshold and interpretation of economic models enables advisory committees to account for this issue when satisfying themselves that a health technology is cost-effective. This is illustrated by the fact that some of the highest priced medicines on the PBS (such as </w:t>
      </w:r>
      <w:bookmarkStart w:id="619" w:name="_Int_5KpBWNZL"/>
      <w:r>
        <w:t>nusinersen</w:t>
      </w:r>
      <w:bookmarkEnd w:id="619"/>
      <w:r>
        <w:t xml:space="preserve"> for spinal muscular atrophy</w:t>
      </w:r>
      <w:r w:rsidR="00493458">
        <w:t>,</w:t>
      </w:r>
      <w:r>
        <w:t xml:space="preserve"> which has a PBS dispensed price of $110,000 per injection) were assessed against</w:t>
      </w:r>
      <w:r w:rsidR="00FA396E">
        <w:t xml:space="preserve"> a</w:t>
      </w:r>
      <w:r>
        <w:t xml:space="preserve"> placebo or </w:t>
      </w:r>
      <w:r w:rsidR="004C6FF1">
        <w:t>SOC</w:t>
      </w:r>
      <w:r>
        <w:t xml:space="preserve">. </w:t>
      </w:r>
    </w:p>
    <w:p w14:paraId="12395BA7" w14:textId="4E5D90BC" w:rsidR="003C4D46" w:rsidRDefault="003C4D46" w:rsidP="00405FD7">
      <w:r>
        <w:t xml:space="preserve">There is no explicit guidance on how this flexibility is exercised in </w:t>
      </w:r>
      <w:r w:rsidR="00493458">
        <w:t xml:space="preserve">the </w:t>
      </w:r>
      <w:r>
        <w:t xml:space="preserve">PBAC or </w:t>
      </w:r>
      <w:r w:rsidR="00493458">
        <w:t xml:space="preserve">the </w:t>
      </w:r>
      <w:r>
        <w:t xml:space="preserve">MSAC </w:t>
      </w:r>
      <w:r w:rsidR="00DD68B6">
        <w:t>G</w:t>
      </w:r>
      <w:r>
        <w:t>uidelines. This contributes to a perception that health technologies that deliver small incremental benefits over a cheap SOC are less likely to have acceptable cost</w:t>
      </w:r>
      <w:r w:rsidR="00BB34D8">
        <w:t>-</w:t>
      </w:r>
      <w:r>
        <w:t xml:space="preserve">effectiveness compared to an expensive SOC. </w:t>
      </w:r>
    </w:p>
    <w:p w14:paraId="6CB02EDF" w14:textId="09AEC682" w:rsidR="006046A3" w:rsidRPr="00E17C20" w:rsidRDefault="006046A3" w:rsidP="00405FD7">
      <w:pPr>
        <w:pStyle w:val="Heading4"/>
        <w:jc w:val="both"/>
        <w:rPr>
          <w:i/>
          <w:color w:val="153A6E" w:themeColor="text2"/>
        </w:rPr>
      </w:pPr>
      <w:r>
        <w:t xml:space="preserve">There is a lack of guidance on the circumstances where </w:t>
      </w:r>
      <w:r w:rsidR="00B02164">
        <w:t>a</w:t>
      </w:r>
      <w:r>
        <w:t xml:space="preserve"> technology claim</w:t>
      </w:r>
      <w:r w:rsidR="00FA396E">
        <w:t>ed</w:t>
      </w:r>
      <w:r w:rsidR="00B02164">
        <w:t xml:space="preserve"> to be</w:t>
      </w:r>
      <w:r>
        <w:t xml:space="preserve"> non-</w:t>
      </w:r>
      <w:r w:rsidR="00B02164">
        <w:t>inferior</w:t>
      </w:r>
      <w:r>
        <w:t xml:space="preserve"> can cost more than a lower</w:t>
      </w:r>
      <w:r w:rsidR="00493458">
        <w:t>-</w:t>
      </w:r>
      <w:r>
        <w:t>cost alternative.</w:t>
      </w:r>
    </w:p>
    <w:p w14:paraId="0E179915" w14:textId="7263DB01" w:rsidR="006046A3" w:rsidRDefault="006046A3" w:rsidP="00405FD7">
      <w:r>
        <w:t xml:space="preserve">Where a health technology is non-inferior </w:t>
      </w:r>
      <w:r w:rsidR="0085054D">
        <w:t xml:space="preserve">to </w:t>
      </w:r>
      <w:r>
        <w:t>(no more safe or efficacious</w:t>
      </w:r>
      <w:r w:rsidR="000305DA">
        <w:t xml:space="preserve"> than</w:t>
      </w:r>
      <w:r>
        <w:t>) alternative therapies, funding can only be recommended on the basis that it will cost no more than the cheapest of those alternative therapies.</w:t>
      </w:r>
      <w:r w:rsidR="00E04307">
        <w:t xml:space="preserve"> For the PBS, this requirement is set out in section 101(3B) of the </w:t>
      </w:r>
      <w:r w:rsidR="00236A31" w:rsidRPr="00236A31">
        <w:t>NHA</w:t>
      </w:r>
      <w:r w:rsidR="00236A31">
        <w:t>.</w:t>
      </w:r>
    </w:p>
    <w:p w14:paraId="7E9BFF25" w14:textId="4BECF303" w:rsidR="00CA6246" w:rsidRDefault="00CA6246" w:rsidP="00405FD7">
      <w:r>
        <w:rPr>
          <w:noProof/>
        </w:rPr>
        <w:lastRenderedPageBreak/>
        <mc:AlternateContent>
          <mc:Choice Requires="wps">
            <w:drawing>
              <wp:inline distT="0" distB="0" distL="0" distR="0" wp14:anchorId="5C33A78F" wp14:editId="54038B2C">
                <wp:extent cx="5731510" cy="3285460"/>
                <wp:effectExtent l="0" t="0" r="2540" b="0"/>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3285460"/>
                        </a:xfrm>
                        <a:prstGeom prst="rect">
                          <a:avLst/>
                        </a:prstGeom>
                        <a:solidFill>
                          <a:schemeClr val="bg1">
                            <a:lumMod val="95000"/>
                          </a:schemeClr>
                        </a:solidFill>
                        <a:ln>
                          <a:noFill/>
                          <a:headEnd/>
                          <a:tailEnd/>
                        </a:ln>
                      </wps:spPr>
                      <wps:style>
                        <a:lnRef idx="2">
                          <a:schemeClr val="accent5"/>
                        </a:lnRef>
                        <a:fillRef idx="1">
                          <a:schemeClr val="lt1"/>
                        </a:fillRef>
                        <a:effectRef idx="0">
                          <a:schemeClr val="accent5"/>
                        </a:effectRef>
                        <a:fontRef idx="minor">
                          <a:schemeClr val="dk1"/>
                        </a:fontRef>
                      </wps:style>
                      <wps:txbx>
                        <w:txbxContent>
                          <w:p w14:paraId="41981F49" w14:textId="77777777" w:rsidR="00CA6246" w:rsidRPr="00BD34D3" w:rsidRDefault="00CA6246" w:rsidP="00CA6246">
                            <w:pPr>
                              <w:pStyle w:val="Call-outbox"/>
                              <w:rPr>
                                <w:b w:val="0"/>
                                <w:i w:val="0"/>
                                <w:color w:val="094767" w:themeColor="accent4" w:themeShade="80"/>
                              </w:rPr>
                            </w:pPr>
                            <w:r w:rsidRPr="00BD34D3">
                              <w:rPr>
                                <w:b w:val="0"/>
                                <w:i w:val="0"/>
                                <w:color w:val="094767" w:themeColor="accent4" w:themeShade="80"/>
                              </w:rPr>
                              <w:t xml:space="preserve">The operation of section 101(3B) of the </w:t>
                            </w:r>
                            <w:r w:rsidRPr="00493458">
                              <w:rPr>
                                <w:b w:val="0"/>
                                <w:i w:val="0"/>
                                <w:color w:val="094767" w:themeColor="accent4" w:themeShade="80"/>
                              </w:rPr>
                              <w:t>National Health Act 1953</w:t>
                            </w:r>
                            <w:r w:rsidRPr="00BD34D3">
                              <w:rPr>
                                <w:b w:val="0"/>
                                <w:i w:val="0"/>
                                <w:color w:val="094767" w:themeColor="accent4" w:themeShade="80"/>
                              </w:rPr>
                              <w:t xml:space="preserve"> </w:t>
                            </w:r>
                          </w:p>
                          <w:p w14:paraId="03F4FC47" w14:textId="77777777" w:rsidR="00CA6246" w:rsidRPr="009F6E64" w:rsidRDefault="00CA6246" w:rsidP="00CA6246">
                            <w:pPr>
                              <w:rPr>
                                <w:rFonts w:cs="Segoe UI"/>
                              </w:rPr>
                            </w:pPr>
                            <w:r w:rsidRPr="009F6E64">
                              <w:rPr>
                                <w:rFonts w:cs="Segoe UI"/>
                              </w:rPr>
                              <w:t xml:space="preserve">Whenever it is assessing an application for a new medicine, section 101(3B) requires the PBAC to consider: </w:t>
                            </w:r>
                          </w:p>
                          <w:p w14:paraId="687EF194" w14:textId="77777777" w:rsidR="00CA6246" w:rsidRPr="009F6E64" w:rsidRDefault="00CA6246" w:rsidP="00281153">
                            <w:pPr>
                              <w:pStyle w:val="ListNumber"/>
                              <w:numPr>
                                <w:ilvl w:val="0"/>
                                <w:numId w:val="122"/>
                              </w:numPr>
                              <w:rPr>
                                <w:rFonts w:cs="Segoe UI"/>
                              </w:rPr>
                            </w:pPr>
                            <w:r w:rsidRPr="009F6E64" w:rsidDel="00493458">
                              <w:rPr>
                                <w:rFonts w:cs="Segoe UI"/>
                              </w:rPr>
                              <w:t xml:space="preserve">what are </w:t>
                            </w:r>
                            <w:r w:rsidRPr="009F6E64">
                              <w:rPr>
                                <w:rFonts w:cs="Segoe UI"/>
                              </w:rPr>
                              <w:t>the alternative therapies to the new medicine</w:t>
                            </w:r>
                          </w:p>
                          <w:p w14:paraId="6906A709" w14:textId="77777777" w:rsidR="00CA6246" w:rsidRPr="009F6E64" w:rsidRDefault="00CA6246" w:rsidP="00281153">
                            <w:pPr>
                              <w:pStyle w:val="ListNumber"/>
                              <w:numPr>
                                <w:ilvl w:val="0"/>
                                <w:numId w:val="122"/>
                              </w:numPr>
                              <w:rPr>
                                <w:rFonts w:cs="Segoe UI"/>
                              </w:rPr>
                            </w:pPr>
                            <w:r w:rsidRPr="009F6E64">
                              <w:rPr>
                                <w:rFonts w:cs="Segoe UI"/>
                              </w:rPr>
                              <w:t xml:space="preserve">whether the new medicine is substantially more costly than an alternative therapy or therapies </w:t>
                            </w:r>
                          </w:p>
                          <w:p w14:paraId="3F42F02B" w14:textId="77777777" w:rsidR="00CA6246" w:rsidRPr="009F6E64" w:rsidRDefault="00CA6246" w:rsidP="00281153">
                            <w:pPr>
                              <w:pStyle w:val="ListNumber"/>
                              <w:numPr>
                                <w:ilvl w:val="0"/>
                                <w:numId w:val="122"/>
                              </w:numPr>
                              <w:rPr>
                                <w:rFonts w:cs="Segoe UI"/>
                              </w:rPr>
                            </w:pPr>
                            <w:r w:rsidRPr="009F6E64">
                              <w:rPr>
                                <w:rFonts w:cs="Segoe UI"/>
                              </w:rPr>
                              <w:t xml:space="preserve">if so, whether it is significantly more effective, or safer. </w:t>
                            </w:r>
                          </w:p>
                          <w:p w14:paraId="06046AAE" w14:textId="77777777" w:rsidR="00CA6246" w:rsidRPr="009F6E64" w:rsidRDefault="00CA6246" w:rsidP="00CA6246">
                            <w:pPr>
                              <w:rPr>
                                <w:rFonts w:cs="Segoe UI"/>
                              </w:rPr>
                            </w:pPr>
                            <w:r w:rsidRPr="009F6E64">
                              <w:rPr>
                                <w:rFonts w:cs="Segoe UI"/>
                              </w:rPr>
                              <w:t xml:space="preserve">The PBAC can consider the lowest cost alternative directly or indirectly. An example of an indirect </w:t>
                            </w:r>
                            <w:r>
                              <w:rPr>
                                <w:rFonts w:cs="Segoe UI"/>
                              </w:rPr>
                              <w:t>method</w:t>
                            </w:r>
                            <w:r w:rsidRPr="009F6E64">
                              <w:rPr>
                                <w:rFonts w:cs="Segoe UI"/>
                              </w:rPr>
                              <w:t xml:space="preserve"> would be if a new medicine is claimed to be more effective or safer than alternatives on the market</w:t>
                            </w:r>
                            <w:r>
                              <w:rPr>
                                <w:rFonts w:cs="Segoe UI"/>
                              </w:rPr>
                              <w:t xml:space="preserve"> (</w:t>
                            </w:r>
                            <w:r w:rsidRPr="009F6E64">
                              <w:rPr>
                                <w:rFonts w:cs="Segoe UI"/>
                              </w:rPr>
                              <w:t>which would include a medicine previously assessed to be more effective or safe</w:t>
                            </w:r>
                            <w:r>
                              <w:rPr>
                                <w:rFonts w:cs="Segoe UI"/>
                              </w:rPr>
                              <w:t>r</w:t>
                            </w:r>
                            <w:r w:rsidRPr="009F6E64">
                              <w:rPr>
                                <w:rFonts w:cs="Segoe UI"/>
                              </w:rPr>
                              <w:t xml:space="preserve"> than the least</w:t>
                            </w:r>
                            <w:r>
                              <w:rPr>
                                <w:rFonts w:cs="Segoe UI"/>
                              </w:rPr>
                              <w:t>-</w:t>
                            </w:r>
                            <w:r w:rsidRPr="009F6E64">
                              <w:rPr>
                                <w:rFonts w:cs="Segoe UI"/>
                              </w:rPr>
                              <w:t>cost alternative</w:t>
                            </w:r>
                            <w:r>
                              <w:rPr>
                                <w:rFonts w:cs="Segoe UI"/>
                              </w:rPr>
                              <w:t>)</w:t>
                            </w:r>
                            <w:r w:rsidRPr="009F6E64">
                              <w:rPr>
                                <w:rFonts w:cs="Segoe UI"/>
                              </w:rPr>
                              <w:t xml:space="preserve">, the PBAC can use the comparison against that medicine to form a view that the new medicine is also safer and more effective than the least costly alternative. </w:t>
                            </w:r>
                          </w:p>
                          <w:p w14:paraId="727D4C81" w14:textId="748EC952" w:rsidR="00CA6246" w:rsidRPr="005B2056" w:rsidRDefault="00CA6246" w:rsidP="00CA6246">
                            <w:pPr>
                              <w:rPr>
                                <w:rFonts w:cs="Segoe UI"/>
                              </w:rPr>
                            </w:pPr>
                          </w:p>
                        </w:txbxContent>
                      </wps:txbx>
                      <wps:bodyPr rot="0" vert="horz" wrap="square" lIns="91440" tIns="45720" rIns="91440" bIns="45720" anchor="t" anchorCtr="0">
                        <a:noAutofit/>
                      </wps:bodyPr>
                    </wps:wsp>
                  </a:graphicData>
                </a:graphic>
              </wp:inline>
            </w:drawing>
          </mc:Choice>
          <mc:Fallback>
            <w:pict>
              <v:shape w14:anchorId="5C33A78F" id="Text Box 22" o:spid="_x0000_s1047" type="#_x0000_t202" style="width:451.3pt;height:25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" fillcolor="#f2f2f2 [3052]" stroked="f" strokeweight="1pt">
                <v:textbox>
                  <w:txbxContent>
                    <w:p w14:paraId="41981F49" w14:textId="77777777" w:rsidR="00CA6246" w:rsidRPr="00BD34D3" w:rsidRDefault="00CA6246" w:rsidP="00CA6246">
                      <w:pPr>
                        <w:pStyle w:val="Call-outbox"/>
                        <w:rPr>
                          <w:b w:val="0"/>
                          <w:i w:val="0"/>
                          <w:color w:val="094767" w:themeColor="accent4" w:themeShade="80"/>
                        </w:rPr>
                      </w:pPr>
                      <w:r w:rsidRPr="00BD34D3">
                        <w:rPr>
                          <w:b w:val="0"/>
                          <w:i w:val="0"/>
                          <w:color w:val="094767" w:themeColor="accent4" w:themeShade="80"/>
                        </w:rPr>
                        <w:t xml:space="preserve">The operation of section 101(3B) of the </w:t>
                      </w:r>
                      <w:r w:rsidRPr="00493458">
                        <w:rPr>
                          <w:b w:val="0"/>
                          <w:i w:val="0"/>
                          <w:color w:val="094767" w:themeColor="accent4" w:themeShade="80"/>
                        </w:rPr>
                        <w:t>National Health Act 1953</w:t>
                      </w:r>
                      <w:r w:rsidRPr="00BD34D3">
                        <w:rPr>
                          <w:b w:val="0"/>
                          <w:i w:val="0"/>
                          <w:color w:val="094767" w:themeColor="accent4" w:themeShade="80"/>
                        </w:rPr>
                        <w:t xml:space="preserve"> </w:t>
                      </w:r>
                    </w:p>
                    <w:p w14:paraId="03F4FC47" w14:textId="77777777" w:rsidR="00CA6246" w:rsidRPr="009F6E64" w:rsidRDefault="00CA6246" w:rsidP="00CA6246">
                      <w:pPr>
                        <w:rPr>
                          <w:rFonts w:cs="Segoe UI"/>
                        </w:rPr>
                      </w:pPr>
                      <w:r w:rsidRPr="009F6E64">
                        <w:rPr>
                          <w:rFonts w:cs="Segoe UI"/>
                        </w:rPr>
                        <w:t xml:space="preserve">Whenever it is assessing an application for a new medicine, section 101(3B) requires the PBAC to consider: </w:t>
                      </w:r>
                    </w:p>
                    <w:p w14:paraId="687EF194" w14:textId="77777777" w:rsidR="00CA6246" w:rsidRPr="009F6E64" w:rsidRDefault="00CA6246" w:rsidP="00281153">
                      <w:pPr>
                        <w:pStyle w:val="ListNumber"/>
                        <w:numPr>
                          <w:ilvl w:val="0"/>
                          <w:numId w:val="122"/>
                        </w:numPr>
                        <w:rPr>
                          <w:rFonts w:cs="Segoe UI"/>
                        </w:rPr>
                      </w:pPr>
                      <w:r w:rsidRPr="009F6E64" w:rsidDel="00493458">
                        <w:rPr>
                          <w:rFonts w:cs="Segoe UI"/>
                        </w:rPr>
                        <w:t xml:space="preserve">what are </w:t>
                      </w:r>
                      <w:r w:rsidRPr="009F6E64">
                        <w:rPr>
                          <w:rFonts w:cs="Segoe UI"/>
                        </w:rPr>
                        <w:t>the alternative therapies to the new medicine</w:t>
                      </w:r>
                    </w:p>
                    <w:p w14:paraId="6906A709" w14:textId="77777777" w:rsidR="00CA6246" w:rsidRPr="009F6E64" w:rsidRDefault="00CA6246" w:rsidP="00281153">
                      <w:pPr>
                        <w:pStyle w:val="ListNumber"/>
                        <w:numPr>
                          <w:ilvl w:val="0"/>
                          <w:numId w:val="122"/>
                        </w:numPr>
                        <w:rPr>
                          <w:rFonts w:cs="Segoe UI"/>
                        </w:rPr>
                      </w:pPr>
                      <w:r w:rsidRPr="009F6E64">
                        <w:rPr>
                          <w:rFonts w:cs="Segoe UI"/>
                        </w:rPr>
                        <w:t xml:space="preserve">whether the new medicine is substantially more costly than an alternative therapy or therapies </w:t>
                      </w:r>
                    </w:p>
                    <w:p w14:paraId="3F42F02B" w14:textId="77777777" w:rsidR="00CA6246" w:rsidRPr="009F6E64" w:rsidRDefault="00CA6246" w:rsidP="00281153">
                      <w:pPr>
                        <w:pStyle w:val="ListNumber"/>
                        <w:numPr>
                          <w:ilvl w:val="0"/>
                          <w:numId w:val="122"/>
                        </w:numPr>
                        <w:rPr>
                          <w:rFonts w:cs="Segoe UI"/>
                        </w:rPr>
                      </w:pPr>
                      <w:r w:rsidRPr="009F6E64">
                        <w:rPr>
                          <w:rFonts w:cs="Segoe UI"/>
                        </w:rPr>
                        <w:t xml:space="preserve">if so, whether it is significantly more effective, or safer. </w:t>
                      </w:r>
                    </w:p>
                    <w:p w14:paraId="06046AAE" w14:textId="77777777" w:rsidR="00CA6246" w:rsidRPr="009F6E64" w:rsidRDefault="00CA6246" w:rsidP="00CA6246">
                      <w:pPr>
                        <w:rPr>
                          <w:rFonts w:cs="Segoe UI"/>
                        </w:rPr>
                      </w:pPr>
                      <w:r w:rsidRPr="009F6E64">
                        <w:rPr>
                          <w:rFonts w:cs="Segoe UI"/>
                        </w:rPr>
                        <w:t xml:space="preserve">The PBAC can consider the lowest cost alternative directly or indirectly. An example of an indirect </w:t>
                      </w:r>
                      <w:r>
                        <w:rPr>
                          <w:rFonts w:cs="Segoe UI"/>
                        </w:rPr>
                        <w:t>method</w:t>
                      </w:r>
                      <w:r w:rsidRPr="009F6E64">
                        <w:rPr>
                          <w:rFonts w:cs="Segoe UI"/>
                        </w:rPr>
                        <w:t xml:space="preserve"> would be if a new medicine is claimed to be more effective or safer than alternatives on the market</w:t>
                      </w:r>
                      <w:r>
                        <w:rPr>
                          <w:rFonts w:cs="Segoe UI"/>
                        </w:rPr>
                        <w:t xml:space="preserve"> (</w:t>
                      </w:r>
                      <w:r w:rsidRPr="009F6E64">
                        <w:rPr>
                          <w:rFonts w:cs="Segoe UI"/>
                        </w:rPr>
                        <w:t>which would include a medicine previously assessed to be more effective or safe</w:t>
                      </w:r>
                      <w:r>
                        <w:rPr>
                          <w:rFonts w:cs="Segoe UI"/>
                        </w:rPr>
                        <w:t>r</w:t>
                      </w:r>
                      <w:r w:rsidRPr="009F6E64">
                        <w:rPr>
                          <w:rFonts w:cs="Segoe UI"/>
                        </w:rPr>
                        <w:t xml:space="preserve"> than the least</w:t>
                      </w:r>
                      <w:r>
                        <w:rPr>
                          <w:rFonts w:cs="Segoe UI"/>
                        </w:rPr>
                        <w:t>-</w:t>
                      </w:r>
                      <w:r w:rsidRPr="009F6E64">
                        <w:rPr>
                          <w:rFonts w:cs="Segoe UI"/>
                        </w:rPr>
                        <w:t>cost alternative</w:t>
                      </w:r>
                      <w:r>
                        <w:rPr>
                          <w:rFonts w:cs="Segoe UI"/>
                        </w:rPr>
                        <w:t>)</w:t>
                      </w:r>
                      <w:r w:rsidRPr="009F6E64">
                        <w:rPr>
                          <w:rFonts w:cs="Segoe UI"/>
                        </w:rPr>
                        <w:t xml:space="preserve">, the PBAC can use the comparison against that medicine to form a view that the new medicine is also safer and more effective than the least costly alternative. </w:t>
                      </w:r>
                    </w:p>
                    <w:p w14:paraId="727D4C81" w14:textId="748EC952" w:rsidR="00CA6246" w:rsidRPr="005B2056" w:rsidRDefault="00CA6246" w:rsidP="00CA6246">
                      <w:pPr>
                        <w:rPr>
                          <w:rFonts w:cs="Segoe UI"/>
                        </w:rPr>
                      </w:pPr>
                    </w:p>
                  </w:txbxContent>
                </v:textbox>
                <w10:anchorlock/>
              </v:shape>
            </w:pict>
          </mc:Fallback>
        </mc:AlternateContent>
      </w:r>
    </w:p>
    <w:p w14:paraId="62BEC278" w14:textId="6EF8F5D1" w:rsidR="009315ED" w:rsidRDefault="00022462" w:rsidP="00405FD7">
      <w:r>
        <w:t>This</w:t>
      </w:r>
      <w:r w:rsidR="004D3314">
        <w:t xml:space="preserve"> requirement</w:t>
      </w:r>
      <w:r>
        <w:t xml:space="preserve"> has been interpreted as a requirement that sponsors </w:t>
      </w:r>
      <w:r w:rsidR="005F1E2C">
        <w:t>must</w:t>
      </w:r>
      <w:r>
        <w:t xml:space="preserve"> select </w:t>
      </w:r>
      <w:r w:rsidR="00B1596E">
        <w:t xml:space="preserve">the lowest cost alternative as the comparator in submissions. </w:t>
      </w:r>
      <w:r w:rsidR="00A85999">
        <w:t xml:space="preserve">This </w:t>
      </w:r>
      <w:r w:rsidR="004D3314">
        <w:t>is not accurate.</w:t>
      </w:r>
      <w:r w:rsidR="00B1596E">
        <w:t xml:space="preserve"> </w:t>
      </w:r>
      <w:r w:rsidR="00A85999" w:rsidRPr="00A85999">
        <w:t xml:space="preserve">The fundamental question in determining </w:t>
      </w:r>
      <w:r w:rsidR="001F18DA">
        <w:t xml:space="preserve">an </w:t>
      </w:r>
      <w:r w:rsidR="00A85999" w:rsidRPr="00A85999">
        <w:t xml:space="preserve">appropriate comparator </w:t>
      </w:r>
      <w:r w:rsidR="00303BF5">
        <w:t>for a submission</w:t>
      </w:r>
      <w:r w:rsidR="00A85999" w:rsidRPr="00A85999">
        <w:t xml:space="preserve"> is which therapy is most likely to be replaced </w:t>
      </w:r>
      <w:r w:rsidR="00F70B8F">
        <w:t>in clinical practice</w:t>
      </w:r>
      <w:r w:rsidR="00A85999" w:rsidRPr="00A85999">
        <w:t xml:space="preserve">. </w:t>
      </w:r>
    </w:p>
    <w:p w14:paraId="3450FFA4" w14:textId="41D1E147" w:rsidR="00022462" w:rsidRDefault="00F42A7E" w:rsidP="00405FD7">
      <w:r>
        <w:t xml:space="preserve">The impact of </w:t>
      </w:r>
      <w:r w:rsidR="00CD7C37">
        <w:t>this requirement</w:t>
      </w:r>
      <w:r w:rsidR="00F70B8F">
        <w:t xml:space="preserve"> is that a different alternative therapy </w:t>
      </w:r>
      <w:r w:rsidR="00A71C34">
        <w:t xml:space="preserve">to the </w:t>
      </w:r>
      <w:r w:rsidR="00A26FA4">
        <w:t>main comparator</w:t>
      </w:r>
      <w:r w:rsidR="00D14D51">
        <w:t xml:space="preserve"> (sometimes referred to as a ‘cost comparator’)</w:t>
      </w:r>
      <w:r w:rsidR="00A26FA4">
        <w:t xml:space="preserve"> </w:t>
      </w:r>
      <w:r w:rsidR="00F70B8F">
        <w:t>m</w:t>
      </w:r>
      <w:r w:rsidR="00F8083C">
        <w:t>ay</w:t>
      </w:r>
      <w:r w:rsidR="00F70B8F">
        <w:t xml:space="preserve"> </w:t>
      </w:r>
      <w:r w:rsidR="008470C2">
        <w:t>be required to be used</w:t>
      </w:r>
      <w:r w:rsidR="00F70B8F">
        <w:t xml:space="preserve"> </w:t>
      </w:r>
      <w:r w:rsidR="00196957">
        <w:t xml:space="preserve">to determine the appropriate </w:t>
      </w:r>
      <w:r w:rsidR="00921746">
        <w:t xml:space="preserve">price and </w:t>
      </w:r>
      <w:r w:rsidR="00196957">
        <w:t>cost</w:t>
      </w:r>
      <w:r w:rsidR="008470C2">
        <w:t>. This occurs</w:t>
      </w:r>
      <w:r w:rsidR="00D379E6">
        <w:t xml:space="preserve"> </w:t>
      </w:r>
      <w:r w:rsidR="003B2C1F">
        <w:t xml:space="preserve">where </w:t>
      </w:r>
      <w:r w:rsidR="00A85999" w:rsidRPr="00A85999">
        <w:t xml:space="preserve">the </w:t>
      </w:r>
      <w:r w:rsidR="00A935CF">
        <w:t xml:space="preserve">main comparator </w:t>
      </w:r>
      <w:r w:rsidR="00A85999" w:rsidRPr="00A85999">
        <w:t>is not priced efficiently</w:t>
      </w:r>
      <w:r w:rsidR="005620D2">
        <w:t xml:space="preserve">. </w:t>
      </w:r>
      <w:r w:rsidR="005620D2" w:rsidRPr="005620D2">
        <w:rPr>
          <w:rFonts w:cs="Segoe UI"/>
          <w:iCs/>
          <w:color w:val="000000" w:themeColor="text1"/>
        </w:rPr>
        <w:t xml:space="preserve">Australia does not have policies that encourage the use of </w:t>
      </w:r>
      <w:r w:rsidR="005620D2" w:rsidRPr="005620D2">
        <w:rPr>
          <w:rFonts w:cs="Segoe UI"/>
          <w:iCs/>
        </w:rPr>
        <w:t xml:space="preserve">established </w:t>
      </w:r>
      <w:r w:rsidR="005620D2" w:rsidRPr="005620D2">
        <w:rPr>
          <w:rFonts w:cs="Segoe UI"/>
          <w:iCs/>
          <w:color w:val="000000" w:themeColor="text1"/>
        </w:rPr>
        <w:t>medicines that remain comparatively effective and safe as more recently listed alternatives</w:t>
      </w:r>
      <w:r w:rsidR="001F18DA">
        <w:rPr>
          <w:rFonts w:cs="Segoe UI"/>
          <w:iCs/>
          <w:color w:val="000000" w:themeColor="text1"/>
        </w:rPr>
        <w:t>,</w:t>
      </w:r>
      <w:r w:rsidR="005620D2" w:rsidRPr="005620D2">
        <w:rPr>
          <w:rFonts w:cs="Segoe UI"/>
          <w:iCs/>
          <w:color w:val="000000" w:themeColor="text1"/>
        </w:rPr>
        <w:t xml:space="preserve"> </w:t>
      </w:r>
      <w:r w:rsidR="00394B99">
        <w:rPr>
          <w:rFonts w:cs="Segoe UI"/>
          <w:iCs/>
          <w:color w:val="000000" w:themeColor="text1"/>
        </w:rPr>
        <w:t>with</w:t>
      </w:r>
      <w:r w:rsidR="005620D2" w:rsidRPr="005620D2">
        <w:rPr>
          <w:rFonts w:cs="Segoe UI"/>
          <w:iCs/>
          <w:color w:val="000000" w:themeColor="text1"/>
        </w:rPr>
        <w:t xml:space="preserve"> lower prices. This results in </w:t>
      </w:r>
      <w:r w:rsidR="001F18DA">
        <w:rPr>
          <w:rFonts w:cs="Segoe UI"/>
          <w:iCs/>
          <w:color w:val="000000" w:themeColor="text1"/>
        </w:rPr>
        <w:t xml:space="preserve">erosion of the </w:t>
      </w:r>
      <w:r w:rsidR="005620D2" w:rsidRPr="005620D2">
        <w:rPr>
          <w:rFonts w:cs="Segoe UI"/>
          <w:iCs/>
          <w:color w:val="000000" w:themeColor="text1"/>
        </w:rPr>
        <w:t>market of older</w:t>
      </w:r>
      <w:r w:rsidR="000F54BD">
        <w:rPr>
          <w:rFonts w:cs="Segoe UI"/>
          <w:iCs/>
          <w:color w:val="000000" w:themeColor="text1"/>
        </w:rPr>
        <w:t xml:space="preserve"> and</w:t>
      </w:r>
      <w:r w:rsidR="005620D2" w:rsidRPr="005620D2">
        <w:rPr>
          <w:rFonts w:cs="Segoe UI"/>
          <w:iCs/>
          <w:color w:val="000000" w:themeColor="text1"/>
        </w:rPr>
        <w:t xml:space="preserve"> lower</w:t>
      </w:r>
      <w:r w:rsidR="001F18DA">
        <w:rPr>
          <w:rFonts w:cs="Segoe UI"/>
          <w:iCs/>
          <w:color w:val="000000" w:themeColor="text1"/>
        </w:rPr>
        <w:t>-</w:t>
      </w:r>
      <w:r w:rsidR="005620D2" w:rsidRPr="005620D2">
        <w:rPr>
          <w:rFonts w:cs="Segoe UI"/>
          <w:iCs/>
          <w:color w:val="000000" w:themeColor="text1"/>
        </w:rPr>
        <w:t>priced medicines.</w:t>
      </w:r>
    </w:p>
    <w:p w14:paraId="3A587D64" w14:textId="1116F5A2" w:rsidR="006046A3" w:rsidRDefault="00622190" w:rsidP="00405FD7">
      <w:r>
        <w:t>The Review</w:t>
      </w:r>
      <w:r w:rsidR="004D3314">
        <w:t xml:space="preserve"> also </w:t>
      </w:r>
      <w:r>
        <w:t xml:space="preserve">heard that </w:t>
      </w:r>
      <w:r w:rsidR="00CD7C37">
        <w:t xml:space="preserve">this requirement </w:t>
      </w:r>
      <w:r w:rsidR="00A73FF4">
        <w:t>meant that</w:t>
      </w:r>
      <w:r w:rsidR="006046A3">
        <w:t xml:space="preserve"> health technolog</w:t>
      </w:r>
      <w:r>
        <w:t xml:space="preserve">ies </w:t>
      </w:r>
      <w:r w:rsidR="006E544C">
        <w:t>had to</w:t>
      </w:r>
      <w:r w:rsidR="006046A3">
        <w:t xml:space="preserve"> be funded at the cost of inferior</w:t>
      </w:r>
      <w:r w:rsidR="009F42D4">
        <w:t>,</w:t>
      </w:r>
      <w:r w:rsidR="006046A3">
        <w:t xml:space="preserve"> or </w:t>
      </w:r>
      <w:r w:rsidR="009F42D4">
        <w:t>clinically irrelevant,</w:t>
      </w:r>
      <w:r w:rsidR="006046A3">
        <w:t xml:space="preserve"> therap</w:t>
      </w:r>
      <w:r>
        <w:t>ies</w:t>
      </w:r>
      <w:r w:rsidR="006046A3">
        <w:t xml:space="preserve">. </w:t>
      </w:r>
      <w:r w:rsidR="004D3314">
        <w:t>This is also not accurate.</w:t>
      </w:r>
      <w:r w:rsidR="006046A3">
        <w:t xml:space="preserve"> A health technology that is claimed to be non-inferior to the main comparator can cost more than other lower</w:t>
      </w:r>
      <w:r w:rsidR="001F18DA">
        <w:t>-</w:t>
      </w:r>
      <w:r w:rsidR="006046A3">
        <w:t>cost alternative therapies if the PBAC is satisfied that the lower</w:t>
      </w:r>
      <w:r w:rsidR="001F18DA">
        <w:noBreakHyphen/>
      </w:r>
      <w:r w:rsidR="006046A3">
        <w:t>cost alternative therapies are</w:t>
      </w:r>
      <w:r w:rsidR="001F18DA">
        <w:t>,</w:t>
      </w:r>
      <w:r w:rsidR="006046A3">
        <w:t xml:space="preserve"> for </w:t>
      </w:r>
      <w:r w:rsidR="00F22764">
        <w:t>compelling</w:t>
      </w:r>
      <w:r w:rsidR="006046A3">
        <w:t xml:space="preserve"> clinical reasons</w:t>
      </w:r>
      <w:r w:rsidR="001F18DA">
        <w:t>,</w:t>
      </w:r>
      <w:r w:rsidR="006046A3">
        <w:t xml:space="preserve"> no longer </w:t>
      </w:r>
      <w:r w:rsidR="00B54981">
        <w:t>ac</w:t>
      </w:r>
      <w:r w:rsidR="005C7BB8">
        <w:t>ce</w:t>
      </w:r>
      <w:r w:rsidR="006046A3">
        <w:t>pted in clinical practice</w:t>
      </w:r>
      <w:r w:rsidR="004B29C9">
        <w:t>,</w:t>
      </w:r>
      <w:r w:rsidR="006046A3">
        <w:t xml:space="preserve"> or for some patients </w:t>
      </w:r>
      <w:r w:rsidR="00394B99">
        <w:t xml:space="preserve">have </w:t>
      </w:r>
      <w:r w:rsidR="006046A3">
        <w:t xml:space="preserve">significantly inferior safety and efficacy. </w:t>
      </w:r>
    </w:p>
    <w:p w14:paraId="6FCF3918" w14:textId="46FD1936" w:rsidR="006046A3" w:rsidRPr="00BE26D0" w:rsidRDefault="006046A3" w:rsidP="00405FD7">
      <w:r>
        <w:t>This requirement has become controversial for PBS listings</w:t>
      </w:r>
      <w:r w:rsidR="007D4B22">
        <w:t>,</w:t>
      </w:r>
      <w:r>
        <w:t xml:space="preserve"> </w:t>
      </w:r>
      <w:proofErr w:type="gramStart"/>
      <w:r>
        <w:t>in particular where</w:t>
      </w:r>
      <w:proofErr w:type="gramEnd"/>
      <w:r>
        <w:t xml:space="preserve"> the supplier of the health technology expect</w:t>
      </w:r>
      <w:r w:rsidR="001F18DA">
        <w:t>s</w:t>
      </w:r>
      <w:r>
        <w:t xml:space="preserve"> that it will be funded at the price of the selected comparator and this expectation is not met. In these circumstances, suppliers may choose not to proceed with the application for funding. This can occur where: </w:t>
      </w:r>
    </w:p>
    <w:p w14:paraId="7BCE50C4" w14:textId="405E9981" w:rsidR="006046A3" w:rsidRDefault="006046A3" w:rsidP="00274AA9">
      <w:pPr>
        <w:pStyle w:val="ListBullet"/>
      </w:pPr>
      <w:r>
        <w:t>the supplier has claimed the health technology is superior to alternative therapies and the advisory committee is not satisfied the claim of superiority is supported by the clinical evidence presented in the submission</w:t>
      </w:r>
    </w:p>
    <w:p w14:paraId="34FD6391" w14:textId="595E0B8B" w:rsidR="006046A3" w:rsidRDefault="006046A3" w:rsidP="00274AA9">
      <w:pPr>
        <w:pStyle w:val="ListBullet"/>
      </w:pPr>
      <w:r>
        <w:lastRenderedPageBreak/>
        <w:t>the comparator is subject to a special pricing arrangement and its price is significantly lower than the supplier expects</w:t>
      </w:r>
    </w:p>
    <w:p w14:paraId="77E18EF5" w14:textId="164D3365" w:rsidR="006046A3" w:rsidRDefault="006046A3" w:rsidP="00274AA9">
      <w:pPr>
        <w:pStyle w:val="ListBullet"/>
      </w:pPr>
      <w:r>
        <w:t xml:space="preserve">the advisory committee considers a cheaper </w:t>
      </w:r>
      <w:r w:rsidR="00360B94">
        <w:t xml:space="preserve">therapy </w:t>
      </w:r>
      <w:r>
        <w:t xml:space="preserve">that is not the comparator chosen by the supplier is a relevant </w:t>
      </w:r>
      <w:r w:rsidR="00360B94">
        <w:t>alternative the</w:t>
      </w:r>
      <w:r w:rsidR="001F18DA">
        <w:t>r</w:t>
      </w:r>
      <w:r w:rsidR="00360B94">
        <w:t xml:space="preserve">apy </w:t>
      </w:r>
      <w:r>
        <w:t>(</w:t>
      </w:r>
      <w:proofErr w:type="gramStart"/>
      <w:r>
        <w:t>on the basis of</w:t>
      </w:r>
      <w:proofErr w:type="gramEnd"/>
      <w:r>
        <w:t xml:space="preserve"> a belief that it is also non-inferior to the health technology in the submission).</w:t>
      </w:r>
    </w:p>
    <w:p w14:paraId="233652AE" w14:textId="768665F1" w:rsidR="006046A3" w:rsidRDefault="006046A3" w:rsidP="00405FD7">
      <w:r>
        <w:t>Where there is minimal difference in health outcomes delivered by the health technology compared with alternatives that are already funded, there is little impact on access to appropriate treatment for patients. However, there may be clinical areas where patient response to treatment is heterogeneous</w:t>
      </w:r>
      <w:r w:rsidR="001F18DA">
        <w:t>.</w:t>
      </w:r>
      <w:r>
        <w:t xml:space="preserve"> </w:t>
      </w:r>
      <w:r w:rsidR="001F18DA">
        <w:t>F</w:t>
      </w:r>
      <w:r>
        <w:t>or clinical reasons</w:t>
      </w:r>
      <w:r w:rsidR="001F18DA">
        <w:t>,</w:t>
      </w:r>
      <w:r>
        <w:t xml:space="preserve"> having a range of treatment options (that might all deliver the same health outcomes at a population level but have different impacts on individual patients) is necessary for achieving overall optimal outcomes for patients. These claims need to be assessed and supported by evidence</w:t>
      </w:r>
      <w:r w:rsidR="00B26B0B">
        <w:t xml:space="preserve"> (</w:t>
      </w:r>
      <w:r w:rsidR="005B6A6B">
        <w:t xml:space="preserve">not limited to </w:t>
      </w:r>
      <w:r w:rsidR="00B64923">
        <w:t>clinical trials</w:t>
      </w:r>
      <w:r w:rsidR="00394B99">
        <w:t>,</w:t>
      </w:r>
      <w:r w:rsidR="00B64923">
        <w:t xml:space="preserve"> noting that clinical trial design requirements do not address these questions)</w:t>
      </w:r>
      <w:r>
        <w:t>. The Review also heard that in some circumstances</w:t>
      </w:r>
      <w:r w:rsidR="001F18DA">
        <w:t>,</w:t>
      </w:r>
      <w:r>
        <w:t xml:space="preserve"> sponsors may not initially choose</w:t>
      </w:r>
      <w:r w:rsidR="00394B99">
        <w:t xml:space="preserve"> to</w:t>
      </w:r>
      <w:r>
        <w:t xml:space="preserve"> present existing evidence of additional benefits through submission of a full cost</w:t>
      </w:r>
      <w:r w:rsidR="00BB34D8">
        <w:t>-</w:t>
      </w:r>
      <w:r>
        <w:t xml:space="preserve">effectiveness analysis, and instead seek funding </w:t>
      </w:r>
      <w:proofErr w:type="gramStart"/>
      <w:r>
        <w:t>on the basis of</w:t>
      </w:r>
      <w:proofErr w:type="gramEnd"/>
      <w:r>
        <w:t xml:space="preserve"> not being inferior to a comparator. </w:t>
      </w:r>
    </w:p>
    <w:p w14:paraId="7F10A0BD" w14:textId="4DEFBA4C" w:rsidR="00BA704C" w:rsidRDefault="00BA704C" w:rsidP="00405FD7">
      <w:r>
        <w:t xml:space="preserve">Several participants in the </w:t>
      </w:r>
      <w:r w:rsidR="00AE734D">
        <w:t>R</w:t>
      </w:r>
      <w:r>
        <w:t xml:space="preserve">eview expressed a view that it should be assumed that therapies with </w:t>
      </w:r>
      <w:r w:rsidR="00394B99">
        <w:t xml:space="preserve">a </w:t>
      </w:r>
      <w:r>
        <w:t xml:space="preserve">very low market share should be considered </w:t>
      </w:r>
      <w:r w:rsidR="00980936">
        <w:t>irrelevant</w:t>
      </w:r>
      <w:r w:rsidR="008D0AB8">
        <w:t xml:space="preserve"> an</w:t>
      </w:r>
      <w:r w:rsidR="002C0345">
        <w:t xml:space="preserve">d </w:t>
      </w:r>
      <w:r w:rsidR="001B48E5">
        <w:t>excluded</w:t>
      </w:r>
      <w:r>
        <w:t xml:space="preserve">. However, the Review also heard </w:t>
      </w:r>
      <w:r w:rsidRPr="002C579B" w:rsidDel="001F18DA">
        <w:rPr>
          <w:rFonts w:cs="Segoe UI"/>
          <w:color w:val="000000" w:themeColor="text1"/>
        </w:rPr>
        <w:t xml:space="preserve">that </w:t>
      </w:r>
      <w:r w:rsidRPr="002C579B">
        <w:rPr>
          <w:rFonts w:cs="Segoe UI"/>
          <w:iCs/>
          <w:color w:val="000000" w:themeColor="text1"/>
        </w:rPr>
        <w:t>in Australia the market share for drugs that are no worse than newer ones is often declining for no obvious reason, hence reliance o</w:t>
      </w:r>
      <w:r w:rsidR="00FA396E">
        <w:rPr>
          <w:rFonts w:cs="Segoe UI"/>
          <w:iCs/>
          <w:color w:val="000000" w:themeColor="text1"/>
        </w:rPr>
        <w:t>n</w:t>
      </w:r>
      <w:r w:rsidRPr="002C579B">
        <w:rPr>
          <w:rFonts w:cs="Segoe UI"/>
          <w:iCs/>
          <w:color w:val="000000" w:themeColor="text1"/>
        </w:rPr>
        <w:t xml:space="preserve"> market share arguments alone is insufficient. There must be a corresponding clinical rationale that would allow the PBAC to be properly satisfied that there is some advantage over the lower</w:t>
      </w:r>
      <w:r w:rsidR="001F18DA">
        <w:rPr>
          <w:rFonts w:cs="Segoe UI"/>
          <w:iCs/>
          <w:color w:val="000000" w:themeColor="text1"/>
        </w:rPr>
        <w:t>-</w:t>
      </w:r>
      <w:r w:rsidRPr="002C579B">
        <w:rPr>
          <w:rFonts w:cs="Segoe UI"/>
          <w:iCs/>
          <w:color w:val="000000" w:themeColor="text1"/>
        </w:rPr>
        <w:t>cost alternative.</w:t>
      </w:r>
    </w:p>
    <w:p w14:paraId="760E927B" w14:textId="4DE3FEAE" w:rsidR="006046A3" w:rsidRDefault="006046A3" w:rsidP="00405FD7">
      <w:r>
        <w:t xml:space="preserve">The PBAC </w:t>
      </w:r>
      <w:r w:rsidR="001F18DA">
        <w:t>can</w:t>
      </w:r>
      <w:r>
        <w:t xml:space="preserve"> take these factors into account when deciding if a health technology can cost more than a lower</w:t>
      </w:r>
      <w:r w:rsidR="001F18DA">
        <w:t>-</w:t>
      </w:r>
      <w:r>
        <w:t>cost alternative. However, its guidelines do not set out the types of evidence it would need to satisfy itself that a health technology claiming non-inferiority to the main comparator can cost more than a lower</w:t>
      </w:r>
      <w:r w:rsidR="001F18DA">
        <w:t>-</w:t>
      </w:r>
      <w:r>
        <w:t xml:space="preserve">cost alternative. </w:t>
      </w:r>
    </w:p>
    <w:p w14:paraId="11076662" w14:textId="6A0C4C5B" w:rsidR="003C4D46" w:rsidRPr="00754F60" w:rsidRDefault="003C4D46" w:rsidP="009561F7">
      <w:pPr>
        <w:pStyle w:val="Heading4"/>
      </w:pPr>
      <w:r>
        <w:t>U</w:t>
      </w:r>
      <w:r w:rsidRPr="00E1051C">
        <w:t xml:space="preserve">ncertainty </w:t>
      </w:r>
      <w:r w:rsidRPr="009561F7">
        <w:t>about</w:t>
      </w:r>
      <w:r>
        <w:t xml:space="preserve"> clinical </w:t>
      </w:r>
      <w:r w:rsidR="00BB34D8">
        <w:t xml:space="preserve">effectiveness </w:t>
      </w:r>
      <w:r>
        <w:t>and cost-effectiveness is one of the main reasons submissions are not accepted and methods for managing uncertainty after funding are underu</w:t>
      </w:r>
      <w:r w:rsidR="001F18DA">
        <w:t>sed</w:t>
      </w:r>
    </w:p>
    <w:p w14:paraId="63EF854E" w14:textId="74DA3CEF" w:rsidR="003C4D46" w:rsidRDefault="003C4D46" w:rsidP="00405FD7">
      <w:r>
        <w:t xml:space="preserve">Uncertainty about estimates of clinical effectiveness, cost-effectiveness or cost </w:t>
      </w:r>
      <w:r w:rsidR="001F18DA">
        <w:t>are</w:t>
      </w:r>
      <w:r>
        <w:t xml:space="preserve"> often cited as concern</w:t>
      </w:r>
      <w:r w:rsidR="001F18DA">
        <w:t>s</w:t>
      </w:r>
      <w:r>
        <w:t xml:space="preserve"> in PBAC and MSAC advice. In some circumstances, uncertainty is accepted, and funding is recommended. In other circumstances, uncertainty is not accepted, and sponsors are advised that a resubmission is required to address elements of the submission that create uncertainty.</w:t>
      </w:r>
    </w:p>
    <w:p w14:paraId="76D9FB04" w14:textId="5D5ADCF1" w:rsidR="003C4D46" w:rsidRDefault="00FA396E" w:rsidP="00405FD7">
      <w:r>
        <w:t>C</w:t>
      </w:r>
      <w:r w:rsidR="003C4D46">
        <w:t xml:space="preserve">onfidence in estimates can </w:t>
      </w:r>
      <w:r>
        <w:t xml:space="preserve">often </w:t>
      </w:r>
      <w:r w:rsidR="003C4D46">
        <w:t>be improved with changes to approaches used in a submission. This relates to the issue of resubmissions</w:t>
      </w:r>
      <w:r w:rsidR="00C36FFB">
        <w:t>,</w:t>
      </w:r>
      <w:r w:rsidR="003C4D46">
        <w:t xml:space="preserve"> in that more optimistic assumptions supporting the cost-effectiveness of higher prices are often presented in </w:t>
      </w:r>
      <w:r w:rsidR="003C4D46">
        <w:lastRenderedPageBreak/>
        <w:t xml:space="preserve">first submissions and then revised in subsequent submissions. This is further discussed below in ‘Economic evaluation </w:t>
      </w:r>
      <w:r w:rsidR="002D770D">
        <w:t xml:space="preserve">is being used </w:t>
      </w:r>
      <w:r w:rsidR="003C4D46">
        <w:t>as</w:t>
      </w:r>
      <w:r w:rsidR="002D770D">
        <w:t xml:space="preserve"> a tool for price</w:t>
      </w:r>
      <w:r w:rsidR="003C4D46">
        <w:t xml:space="preserve"> negotiation’. </w:t>
      </w:r>
    </w:p>
    <w:p w14:paraId="237FC80F" w14:textId="419BD079" w:rsidR="003C4D46" w:rsidRDefault="003C4D46" w:rsidP="00405FD7">
      <w:r>
        <w:t xml:space="preserve">In other circumstances, confidence in estimates cannot be improved due to deficiencies in the evidence base for certain technologies. This is acknowledged by HTA </w:t>
      </w:r>
      <w:r w:rsidR="00C16518">
        <w:t xml:space="preserve">advisory </w:t>
      </w:r>
      <w:r>
        <w:t xml:space="preserve">committees in their decision-making and guidelines. In these circumstances, committees will recommend approaches to manage this uncertainty after the health technology is funded. </w:t>
      </w:r>
    </w:p>
    <w:p w14:paraId="782AA7CF" w14:textId="4C1EB110" w:rsidR="003C4D46" w:rsidRDefault="003C4D46" w:rsidP="00405FD7">
      <w:r>
        <w:t xml:space="preserve">Where there is uncertainty about the extent of use of a health technology, HTA </w:t>
      </w:r>
      <w:r w:rsidR="00C16518">
        <w:t xml:space="preserve">advisory </w:t>
      </w:r>
      <w:r>
        <w:t xml:space="preserve">committees will recommend risk-sharing arrangements to manage this uncertainty. Such arrangements are frequently used for new health technologies. </w:t>
      </w:r>
    </w:p>
    <w:p w14:paraId="1774B187" w14:textId="01985A08" w:rsidR="003C4D46" w:rsidRPr="00174A8E" w:rsidRDefault="003C4D46" w:rsidP="00405FD7">
      <w:r>
        <w:t xml:space="preserve">Where there is uncertainty about the clinical </w:t>
      </w:r>
      <w:r w:rsidR="00BB34D8">
        <w:t xml:space="preserve">effectiveness </w:t>
      </w:r>
      <w:r>
        <w:t>or cost</w:t>
      </w:r>
      <w:r w:rsidR="00BB34D8">
        <w:t>-</w:t>
      </w:r>
      <w:r>
        <w:t xml:space="preserve">effectiveness of a health technology, one option for HTA </w:t>
      </w:r>
      <w:r w:rsidR="00C16518">
        <w:t xml:space="preserve">advisory </w:t>
      </w:r>
      <w:r>
        <w:t xml:space="preserve">committees is to advise </w:t>
      </w:r>
      <w:r w:rsidR="00344DCA">
        <w:t xml:space="preserve">implementing </w:t>
      </w:r>
      <w:r w:rsidRPr="005C6CDA">
        <w:t xml:space="preserve">a </w:t>
      </w:r>
      <w:r w:rsidR="007964AF" w:rsidRPr="001D5CB3">
        <w:t xml:space="preserve">managed </w:t>
      </w:r>
      <w:r w:rsidR="001F18DA">
        <w:t>e</w:t>
      </w:r>
      <w:r w:rsidR="009E4626" w:rsidRPr="001D5CB3">
        <w:t>ntry scheme</w:t>
      </w:r>
      <w:r w:rsidR="009E4626" w:rsidRPr="009610F5" w:rsidDel="001F18DA">
        <w:t xml:space="preserve"> </w:t>
      </w:r>
      <w:r w:rsidRPr="005C6CDA">
        <w:t xml:space="preserve">or other </w:t>
      </w:r>
      <w:r w:rsidR="007964AF" w:rsidRPr="005C6CDA">
        <w:t>performance</w:t>
      </w:r>
      <w:r w:rsidR="5ED84D6C" w:rsidRPr="005C6CDA">
        <w:t>-</w:t>
      </w:r>
      <w:r w:rsidR="007964AF" w:rsidRPr="005C6CDA">
        <w:t xml:space="preserve">based </w:t>
      </w:r>
      <w:r w:rsidRPr="005C6CDA">
        <w:t>arrange</w:t>
      </w:r>
      <w:r>
        <w:t xml:space="preserve">ment that allows resolution of uncertainty after funding. To date, such arrangements have been implemented infrequently and only </w:t>
      </w:r>
      <w:r w:rsidR="00344DCA">
        <w:t>in</w:t>
      </w:r>
      <w:r>
        <w:t xml:space="preserve"> special circumstances </w:t>
      </w:r>
      <w:r w:rsidR="00503B66">
        <w:t xml:space="preserve">where there is </w:t>
      </w:r>
      <w:proofErr w:type="gramStart"/>
      <w:r w:rsidR="003B1D91">
        <w:t>HUCN</w:t>
      </w:r>
      <w:proofErr w:type="gramEnd"/>
      <w:r>
        <w:t xml:space="preserve"> and </w:t>
      </w:r>
      <w:r w:rsidR="00503B66">
        <w:t xml:space="preserve">the health technology has </w:t>
      </w:r>
      <w:r w:rsidR="003B1D91">
        <w:t>HATV</w:t>
      </w:r>
      <w:r w:rsidR="00344DCA">
        <w:t xml:space="preserve"> (see</w:t>
      </w:r>
      <w:r>
        <w:t xml:space="preserve"> </w:t>
      </w:r>
      <w:r w:rsidR="008523C7">
        <w:t>C</w:t>
      </w:r>
      <w:r w:rsidR="00C87377">
        <w:t xml:space="preserve">hapter </w:t>
      </w:r>
      <w:r w:rsidR="00C46EA6">
        <w:t>4</w:t>
      </w:r>
      <w:r w:rsidR="00344DCA">
        <w:t>)</w:t>
      </w:r>
      <w:r>
        <w:t xml:space="preserve">. </w:t>
      </w:r>
    </w:p>
    <w:p w14:paraId="4F5C202E" w14:textId="53ECD194" w:rsidR="007D1B5E" w:rsidRPr="00344DCA" w:rsidRDefault="007D1B5E" w:rsidP="00405FD7">
      <w:pPr>
        <w:pStyle w:val="Heading4"/>
        <w:jc w:val="both"/>
      </w:pPr>
      <w:r w:rsidRPr="00344DCA">
        <w:t>Economic evaluations in HTA</w:t>
      </w:r>
      <w:r w:rsidR="00344DCA">
        <w:t>s</w:t>
      </w:r>
      <w:r w:rsidRPr="00344DCA">
        <w:t xml:space="preserve"> serve two competing objectives </w:t>
      </w:r>
      <w:r w:rsidR="00D06DAB" w:rsidRPr="00344DCA">
        <w:t>–</w:t>
      </w:r>
      <w:r w:rsidRPr="00344DCA">
        <w:t xml:space="preserve"> valuing and price setting</w:t>
      </w:r>
    </w:p>
    <w:p w14:paraId="11E19F9F" w14:textId="4FC3AFCC" w:rsidR="007D1B5E" w:rsidRDefault="007D1B5E" w:rsidP="00405FD7">
      <w:r w:rsidRPr="00344DCA">
        <w:t xml:space="preserve">Like many other </w:t>
      </w:r>
      <w:r w:rsidR="0077545C" w:rsidRPr="00344DCA">
        <w:t>G</w:t>
      </w:r>
      <w:r w:rsidRPr="00344DCA">
        <w:t>overnment investments, health interventions deliver a return to the individual and society that is greater than the cost of funding them. In other words, the investment delivers a net welfare gain to society. Health interventions have long been considered a worthwhile investment of public funds because they deliver a net welfare</w:t>
      </w:r>
      <w:r w:rsidR="00344DCA">
        <w:t> </w:t>
      </w:r>
      <w:r w:rsidRPr="00344DCA">
        <w:t>gain.</w:t>
      </w:r>
      <w:r>
        <w:t xml:space="preserve"> </w:t>
      </w:r>
    </w:p>
    <w:p w14:paraId="17B56045" w14:textId="6170ACDC" w:rsidR="007D1B5E" w:rsidRDefault="007D1B5E" w:rsidP="00405FD7">
      <w:r>
        <w:t xml:space="preserve">The </w:t>
      </w:r>
      <w:r w:rsidR="00F245B4">
        <w:t>p</w:t>
      </w:r>
      <w:r w:rsidR="00391CEF">
        <w:t xml:space="preserve">aper </w:t>
      </w:r>
      <w:r w:rsidR="00AB5D48">
        <w:rPr>
          <w:i/>
          <w:iCs/>
        </w:rPr>
        <w:t xml:space="preserve">HTA Methods: </w:t>
      </w:r>
      <w:r w:rsidR="000B6725">
        <w:rPr>
          <w:i/>
          <w:iCs/>
        </w:rPr>
        <w:t>Economic evaluation</w:t>
      </w:r>
      <w:r w:rsidR="006A08F9">
        <w:rPr>
          <w:rStyle w:val="FootnoteReference"/>
          <w:i/>
          <w:iCs/>
        </w:rPr>
        <w:footnoteReference w:id="191"/>
      </w:r>
      <w:r>
        <w:rPr>
          <w:i/>
        </w:rPr>
        <w:t xml:space="preserve"> </w:t>
      </w:r>
      <w:r>
        <w:t xml:space="preserve">found that the use of </w:t>
      </w:r>
      <w:r w:rsidR="0077545C" w:rsidRPr="0077545C">
        <w:t xml:space="preserve">cost-utility analysis </w:t>
      </w:r>
      <w:r w:rsidR="0077545C">
        <w:t>and</w:t>
      </w:r>
      <w:r w:rsidR="0077545C" w:rsidRPr="0077545C">
        <w:t xml:space="preserve"> cost</w:t>
      </w:r>
      <w:r w:rsidR="00BB34D8">
        <w:t>-</w:t>
      </w:r>
      <w:r w:rsidR="0077545C" w:rsidRPr="0077545C">
        <w:t>effectiveness analysis</w:t>
      </w:r>
      <w:r w:rsidR="0077545C" w:rsidRPr="0077545C" w:rsidDel="00344DCA">
        <w:t xml:space="preserve"> (</w:t>
      </w:r>
      <w:r>
        <w:t>estimat</w:t>
      </w:r>
      <w:r w:rsidR="00344DCA">
        <w:t>ing</w:t>
      </w:r>
      <w:r>
        <w:t xml:space="preserve"> value for money by reference to specific health costs and outcomes</w:t>
      </w:r>
      <w:r w:rsidR="00344DCA">
        <w:t>)</w:t>
      </w:r>
      <w:r>
        <w:t xml:space="preserve"> by HTA bodies in Australia</w:t>
      </w:r>
      <w:r w:rsidR="00344DCA">
        <w:t>,</w:t>
      </w:r>
      <w:r>
        <w:t xml:space="preserve"> and in most jurisdictions overseas, does not involve estimation of indirect and non-health benefits or the overall societal value in the base case. This is a narrower perspective than that used for cost</w:t>
      </w:r>
      <w:r w:rsidR="00FA396E">
        <w:t>–</w:t>
      </w:r>
      <w:r>
        <w:t>benefit analys</w:t>
      </w:r>
      <w:r w:rsidR="00344DCA">
        <w:t>i</w:t>
      </w:r>
      <w:r>
        <w:t>s</w:t>
      </w:r>
      <w:r w:rsidR="00344DCA">
        <w:t>,</w:t>
      </w:r>
      <w:r>
        <w:t xml:space="preserve"> which </w:t>
      </w:r>
      <w:r w:rsidR="00344DCA">
        <w:t>is</w:t>
      </w:r>
      <w:r>
        <w:t xml:space="preserve"> used to value the impacts of other government decisions (e.g. policy proposals prepared for consideration by the Australian Government). </w:t>
      </w:r>
    </w:p>
    <w:p w14:paraId="243AF1D0" w14:textId="2B00AADD" w:rsidR="007D1B5E" w:rsidRDefault="007D1B5E" w:rsidP="00405FD7">
      <w:r>
        <w:t>The narrower perspective used for economic evaluations in HTA</w:t>
      </w:r>
      <w:r w:rsidR="00344DCA">
        <w:t>s</w:t>
      </w:r>
      <w:r>
        <w:t xml:space="preserve"> in Australia and elsewhere may reflect the fact that economic evaluations in HTA</w:t>
      </w:r>
      <w:r w:rsidR="00344DCA">
        <w:t>s</w:t>
      </w:r>
      <w:r>
        <w:t xml:space="preserve"> serve dual purposes</w:t>
      </w:r>
      <w:r w:rsidR="00344DCA">
        <w:t xml:space="preserve"> –</w:t>
      </w:r>
      <w:r w:rsidDel="00344DCA">
        <w:t xml:space="preserve"> </w:t>
      </w:r>
      <w:r>
        <w:t>estimating value and determining the appropriate price to be paid.</w:t>
      </w:r>
      <w:r w:rsidR="00CB57C1">
        <w:t xml:space="preserve"> Ordinarily</w:t>
      </w:r>
      <w:r w:rsidR="00344DCA">
        <w:t>,</w:t>
      </w:r>
      <w:r w:rsidR="00CB57C1">
        <w:t xml:space="preserve"> </w:t>
      </w:r>
      <w:r w:rsidR="00843615">
        <w:t xml:space="preserve">the value </w:t>
      </w:r>
      <w:r w:rsidR="004E4900">
        <w:t>expected to be</w:t>
      </w:r>
      <w:r w:rsidR="00843615">
        <w:t xml:space="preserve"> returned from an investment </w:t>
      </w:r>
      <w:r w:rsidR="009645AD">
        <w:t xml:space="preserve">should be </w:t>
      </w:r>
      <w:r w:rsidR="004E4900">
        <w:t>greater</w:t>
      </w:r>
      <w:r w:rsidR="009645AD">
        <w:t xml:space="preserve"> than the price paid for it. </w:t>
      </w:r>
    </w:p>
    <w:p w14:paraId="045B7BA1" w14:textId="598AAC45" w:rsidR="007D1B5E" w:rsidRDefault="004E4900" w:rsidP="00405FD7">
      <w:r>
        <w:lastRenderedPageBreak/>
        <w:t>Accordingly, for most</w:t>
      </w:r>
      <w:r w:rsidR="007D1B5E">
        <w:t xml:space="preserve"> </w:t>
      </w:r>
      <w:r w:rsidR="00344DCA">
        <w:t>g</w:t>
      </w:r>
      <w:r w:rsidR="007D1B5E">
        <w:t>overnment investments, the value an investment delivers to society over its lifetime is not usually the sole determinant of the price. Prices are also determined through competitive market processes or by reference to a price reflecting both the consumer’s and purchaser’s willingness to pay</w:t>
      </w:r>
      <w:r w:rsidR="00344DCA">
        <w:t>, as well as the</w:t>
      </w:r>
      <w:r w:rsidR="007D1B5E" w:rsidDel="00344DCA">
        <w:t xml:space="preserve"> </w:t>
      </w:r>
      <w:r w:rsidR="007D1B5E">
        <w:t xml:space="preserve">cost of production. These processes help to ensure that the overall benefit from funding an investment is shared between the public (through </w:t>
      </w:r>
      <w:r w:rsidR="00763733">
        <w:t>the return on investment of</w:t>
      </w:r>
      <w:r w:rsidR="007D1B5E">
        <w:t xml:space="preserve"> net welfare gains) and the producer (</w:t>
      </w:r>
      <w:r w:rsidR="009048CA">
        <w:t xml:space="preserve">return on investment for development and </w:t>
      </w:r>
      <w:r w:rsidR="007D1B5E">
        <w:t xml:space="preserve">profits). </w:t>
      </w:r>
    </w:p>
    <w:p w14:paraId="44A27268" w14:textId="3F546E8A" w:rsidR="007D1B5E" w:rsidRDefault="007D1B5E" w:rsidP="00405FD7">
      <w:r>
        <w:t>A value-based approach to setting prices is necessary in HTA</w:t>
      </w:r>
      <w:r w:rsidR="00344DCA">
        <w:t>s</w:t>
      </w:r>
      <w:r>
        <w:t xml:space="preserve"> because HTA bodies and payer agencies do not have access to information that would enable them to calculate </w:t>
      </w:r>
      <w:r w:rsidR="00344DCA">
        <w:t xml:space="preserve">the </w:t>
      </w:r>
      <w:r>
        <w:t>cost of production</w:t>
      </w:r>
      <w:r w:rsidR="00344DCA">
        <w:t>. E</w:t>
      </w:r>
      <w:r>
        <w:t xml:space="preserve">ven if they did, they would have limited ability to obtain prices by reference to </w:t>
      </w:r>
      <w:r w:rsidR="00344DCA">
        <w:t xml:space="preserve">the </w:t>
      </w:r>
      <w:r>
        <w:t xml:space="preserve">cost of production due to the market power afforded by intellectual property protections for new health technologies. </w:t>
      </w:r>
    </w:p>
    <w:p w14:paraId="270BCBFC" w14:textId="50AD5FA7" w:rsidR="007D1B5E" w:rsidRDefault="007D1B5E" w:rsidP="00405FD7">
      <w:r>
        <w:t>As the value captured in HTA economic evaluations is the primary determina</w:t>
      </w:r>
      <w:r w:rsidR="00344DCA">
        <w:t>nt</w:t>
      </w:r>
      <w:r>
        <w:t xml:space="preserve"> of the price agreed between the supplier and the Government, adjusting economic evaluation parameters to increase the recognised value would increase the cost of health technologies and require a greater allocation of public fund</w:t>
      </w:r>
      <w:r w:rsidR="004576B7">
        <w:t>s</w:t>
      </w:r>
      <w:r>
        <w:t xml:space="preserve">. This would reduce the net welfare gain to society when public </w:t>
      </w:r>
      <w:r w:rsidR="004576B7">
        <w:t xml:space="preserve">funds </w:t>
      </w:r>
      <w:r>
        <w:t xml:space="preserve">are used </w:t>
      </w:r>
      <w:r w:rsidR="004576B7">
        <w:t>for</w:t>
      </w:r>
      <w:r>
        <w:t xml:space="preserve"> health technologies and increase producer profit. </w:t>
      </w:r>
    </w:p>
    <w:p w14:paraId="0A9D51F9" w14:textId="7577030A" w:rsidR="007D1B5E" w:rsidRPr="00712C53" w:rsidRDefault="007D1B5E" w:rsidP="00405FD7">
      <w:r>
        <w:t>If the price reflects the maximal value of the health technology to the patient and society, the welfare gain</w:t>
      </w:r>
      <w:r w:rsidR="5B842407">
        <w:t>s</w:t>
      </w:r>
      <w:r>
        <w:t xml:space="preserve"> to society from funding the health technology </w:t>
      </w:r>
      <w:r w:rsidR="009E2158">
        <w:t>are</w:t>
      </w:r>
      <w:r>
        <w:t xml:space="preserve"> lost. The relative value for money of funding health technologies would then be less</w:t>
      </w:r>
      <w:r w:rsidR="004576B7">
        <w:t>, compared to</w:t>
      </w:r>
      <w:r w:rsidDel="004576B7">
        <w:t xml:space="preserve"> </w:t>
      </w:r>
      <w:r>
        <w:t xml:space="preserve">other potential investments of public </w:t>
      </w:r>
      <w:r w:rsidR="004576B7">
        <w:t xml:space="preserve">funds </w:t>
      </w:r>
      <w:r>
        <w:t xml:space="preserve">that would deliver a return to individuals and the community that is greater than the cost of funding them. </w:t>
      </w:r>
    </w:p>
    <w:p w14:paraId="505E859D" w14:textId="52421C91" w:rsidR="007D1B5E" w:rsidRDefault="007D1B5E" w:rsidP="00405FD7">
      <w:r w:rsidRPr="00574570">
        <w:t xml:space="preserve">Entities responsible for decisions about use of public </w:t>
      </w:r>
      <w:r w:rsidR="004576B7">
        <w:t>funds</w:t>
      </w:r>
      <w:r w:rsidRPr="00574570">
        <w:t xml:space="preserve"> must abide by the principle that all expenditure should constitute a proper use and management of public resources, and the most efficient, effective and ethical way to achieve the maximum economic benefit for Australians</w:t>
      </w:r>
      <w:r>
        <w:t xml:space="preserve"> (as per Budget Process Operational Rules). Adjusting economic evaluation parameters </w:t>
      </w:r>
      <w:r w:rsidR="007B17B0">
        <w:t>to pay more</w:t>
      </w:r>
      <w:r>
        <w:t xml:space="preserve"> for health technologies would reduce the net gain and relative economic benefit they deliver compared to other potential government investments that would otherwise be foregone because of the choice to fund health technologies. </w:t>
      </w:r>
    </w:p>
    <w:p w14:paraId="2A00B0FE" w14:textId="4C22A531" w:rsidR="0025257C" w:rsidRDefault="00F86907" w:rsidP="00405FD7">
      <w:r>
        <w:t xml:space="preserve">The </w:t>
      </w:r>
      <w:r w:rsidR="00BE4C3E">
        <w:t>R</w:t>
      </w:r>
      <w:r>
        <w:t>eview heard that the welfare loss from delayed funding of health technologies should also be considered. The Review seeks to address this issue through recommendations</w:t>
      </w:r>
      <w:r w:rsidR="00033FB8">
        <w:t xml:space="preserve"> for</w:t>
      </w:r>
      <w:r>
        <w:t xml:space="preserve"> bridging funding, </w:t>
      </w:r>
      <w:r w:rsidR="00B44488">
        <w:t xml:space="preserve">faster resolution of </w:t>
      </w:r>
      <w:r w:rsidR="008F3D83">
        <w:t>price negotiations</w:t>
      </w:r>
      <w:r w:rsidR="00CE6CEC">
        <w:t>,</w:t>
      </w:r>
      <w:r w:rsidR="00925767">
        <w:t xml:space="preserve"> and increased use of </w:t>
      </w:r>
      <w:r w:rsidR="00CE6CEC">
        <w:t>MEAs</w:t>
      </w:r>
      <w:r>
        <w:t xml:space="preserve">. </w:t>
      </w:r>
      <w:r w:rsidR="00346434">
        <w:t xml:space="preserve">It does not seek to address this issue </w:t>
      </w:r>
      <w:r w:rsidR="00D63BA5">
        <w:t xml:space="preserve">through recommendations </w:t>
      </w:r>
      <w:r w:rsidR="00205C6F">
        <w:t xml:space="preserve">that </w:t>
      </w:r>
      <w:r w:rsidR="00873E50">
        <w:t xml:space="preserve">HTA </w:t>
      </w:r>
      <w:r w:rsidR="00205C6F">
        <w:t>advisory committees</w:t>
      </w:r>
      <w:r w:rsidR="004923A9">
        <w:t xml:space="preserve"> accept</w:t>
      </w:r>
      <w:r w:rsidR="009806E9">
        <w:t xml:space="preserve"> </w:t>
      </w:r>
      <w:r w:rsidR="00873E50">
        <w:t xml:space="preserve">health technologies are cost-effective at </w:t>
      </w:r>
      <w:r w:rsidR="009806E9">
        <w:t>higher prices</w:t>
      </w:r>
      <w:r w:rsidR="00873E50">
        <w:t xml:space="preserve"> than they do now</w:t>
      </w:r>
      <w:r w:rsidR="00E35E31">
        <w:t>.</w:t>
      </w:r>
    </w:p>
    <w:p w14:paraId="2DC6EE02" w14:textId="77777777" w:rsidR="007F3481" w:rsidRDefault="007F3481" w:rsidP="00405FD7"/>
    <w:p w14:paraId="6FE0BDB1" w14:textId="5A4E3761" w:rsidR="00F05C3F" w:rsidRDefault="0058632F" w:rsidP="00405FD7">
      <w:r>
        <w:lastRenderedPageBreak/>
        <w:t>Acceptance of</w:t>
      </w:r>
      <w:r w:rsidDel="00BD4997">
        <w:t xml:space="preserve"> </w:t>
      </w:r>
      <w:r w:rsidR="007F42FA">
        <w:t>higher price</w:t>
      </w:r>
      <w:r w:rsidR="00A532D9">
        <w:t>s</w:t>
      </w:r>
      <w:r w:rsidR="006C5F81">
        <w:t xml:space="preserve"> upon funding</w:t>
      </w:r>
      <w:r w:rsidR="007F42FA">
        <w:t xml:space="preserve"> of a technology</w:t>
      </w:r>
      <w:r w:rsidR="00CC7375">
        <w:t xml:space="preserve"> </w:t>
      </w:r>
      <w:r w:rsidR="006C5F81">
        <w:t>result</w:t>
      </w:r>
      <w:r w:rsidR="00CC7375">
        <w:t>s</w:t>
      </w:r>
      <w:r w:rsidR="006C5F81">
        <w:t xml:space="preserve"> in</w:t>
      </w:r>
      <w:r w:rsidR="00BD4997">
        <w:t xml:space="preserve"> paying</w:t>
      </w:r>
      <w:r w:rsidR="006C5F81">
        <w:t xml:space="preserve"> higher prices </w:t>
      </w:r>
      <w:r w:rsidR="008E477B">
        <w:t>over</w:t>
      </w:r>
      <w:r w:rsidR="00A532D9">
        <w:t xml:space="preserve"> the lifetime of the technology</w:t>
      </w:r>
      <w:r w:rsidR="00354F5F">
        <w:t xml:space="preserve">. </w:t>
      </w:r>
      <w:r w:rsidR="00F64525">
        <w:t xml:space="preserve">Further research is needed to ascertain </w:t>
      </w:r>
      <w:r w:rsidR="00E503E0">
        <w:t>to what extent</w:t>
      </w:r>
      <w:r w:rsidR="00F05C3F">
        <w:t xml:space="preserve">, and under what circumstances, Australian citizens </w:t>
      </w:r>
      <w:r w:rsidR="00352EA2">
        <w:t>would</w:t>
      </w:r>
      <w:r w:rsidR="00F05C3F">
        <w:t xml:space="preserve"> accept </w:t>
      </w:r>
      <w:r w:rsidR="005B1C92">
        <w:t xml:space="preserve">paying </w:t>
      </w:r>
      <w:r w:rsidR="00F05C3F">
        <w:t>higher prices for health technologies</w:t>
      </w:r>
      <w:r w:rsidR="007E2C1F">
        <w:t xml:space="preserve"> </w:t>
      </w:r>
      <w:r w:rsidR="00BD4997">
        <w:t>compared to</w:t>
      </w:r>
      <w:r w:rsidR="007E2C1F">
        <w:t xml:space="preserve"> now</w:t>
      </w:r>
      <w:r w:rsidR="00F05C3F">
        <w:t>. While there is a</w:t>
      </w:r>
      <w:r w:rsidR="00E82A0D">
        <w:t xml:space="preserve"> welfare loss</w:t>
      </w:r>
      <w:r w:rsidR="00F05C3F">
        <w:t xml:space="preserve"> from not funding health technologies, or not funding them until an acceptable price is offered, committing to higher </w:t>
      </w:r>
      <w:r w:rsidR="00F43A5A">
        <w:t xml:space="preserve">overall </w:t>
      </w:r>
      <w:r w:rsidR="00F05C3F">
        <w:t>costs</w:t>
      </w:r>
      <w:r w:rsidR="007E2C1F">
        <w:t xml:space="preserve"> </w:t>
      </w:r>
      <w:r w:rsidR="00F43A5A">
        <w:t>for</w:t>
      </w:r>
      <w:r w:rsidR="00F05C3F">
        <w:t xml:space="preserve"> </w:t>
      </w:r>
      <w:r w:rsidR="009B4F38">
        <w:t>the lifetime of</w:t>
      </w:r>
      <w:r w:rsidR="00F05C3F">
        <w:t xml:space="preserve"> health technologies </w:t>
      </w:r>
      <w:r w:rsidR="009B4F38">
        <w:t xml:space="preserve">would </w:t>
      </w:r>
      <w:r w:rsidR="00EC454E">
        <w:t>significantly</w:t>
      </w:r>
      <w:r w:rsidR="00F05C3F">
        <w:t xml:space="preserve"> increas</w:t>
      </w:r>
      <w:r w:rsidR="009B4F38">
        <w:t>e</w:t>
      </w:r>
      <w:r w:rsidR="00F05C3F">
        <w:t xml:space="preserve"> </w:t>
      </w:r>
      <w:r w:rsidR="00E82A0D">
        <w:t>welfare losses</w:t>
      </w:r>
      <w:r w:rsidR="00F05C3F">
        <w:t xml:space="preserve"> arising from </w:t>
      </w:r>
      <w:r w:rsidR="00B70717">
        <w:t xml:space="preserve">other </w:t>
      </w:r>
      <w:r w:rsidR="00F05C3F">
        <w:t xml:space="preserve">displaced investments that would </w:t>
      </w:r>
      <w:r w:rsidR="005B1C92">
        <w:t>also</w:t>
      </w:r>
      <w:r w:rsidR="008D7BCE">
        <w:t xml:space="preserve"> </w:t>
      </w:r>
      <w:r w:rsidR="00443C62">
        <w:t xml:space="preserve">have </w:t>
      </w:r>
      <w:r w:rsidR="00F05C3F">
        <w:t>enhance</w:t>
      </w:r>
      <w:r w:rsidR="00443C62">
        <w:t>d</w:t>
      </w:r>
      <w:r w:rsidR="00F05C3F">
        <w:t xml:space="preserve"> community welfare.</w:t>
      </w:r>
    </w:p>
    <w:p w14:paraId="5538AECD" w14:textId="455786A8" w:rsidR="007D1B5E" w:rsidRDefault="007D1B5E" w:rsidP="00405FD7">
      <w:r>
        <w:t xml:space="preserve">The listing of medicines on the PBS </w:t>
      </w:r>
      <w:r w:rsidR="009E7C01">
        <w:t>already</w:t>
      </w:r>
      <w:r w:rsidR="005F0B0C">
        <w:t xml:space="preserve"> receive</w:t>
      </w:r>
      <w:r w:rsidR="009E7C01">
        <w:t>s</w:t>
      </w:r>
      <w:r>
        <w:t xml:space="preserve"> favourable treatment under budget rules that otherwise require the cost of new expenditure proposals to be fully offset by direct savings to other parts of the budget. Over the past decade, successive </w:t>
      </w:r>
      <w:r w:rsidR="00C30C69">
        <w:t>g</w:t>
      </w:r>
      <w:r>
        <w:t>overnments have commit</w:t>
      </w:r>
      <w:r w:rsidR="00C30C69">
        <w:t>ted</w:t>
      </w:r>
      <w:r>
        <w:t xml:space="preserve"> to list on the PBS all new medicines recommended by the PBAC. This treatment is partly due to successive implementation of statutory price controls that deliver significant savings over the lifecycle of products on the PBS to enable a new medicine’s funding guarantee. This treatment is also supported by the rigorous process for evaluation and price setting used for health technologies</w:t>
      </w:r>
      <w:r w:rsidR="00C30C69">
        <w:t>. This</w:t>
      </w:r>
      <w:r>
        <w:t>, in turn, ensures a significant (although unquantified) return on investment in terms of welfare gain for society.</w:t>
      </w:r>
    </w:p>
    <w:p w14:paraId="72CB4F4C" w14:textId="68283166" w:rsidR="003C4D46" w:rsidRPr="005B322F" w:rsidRDefault="003C4D46" w:rsidP="00405FD7">
      <w:pPr>
        <w:pStyle w:val="Heading4"/>
        <w:jc w:val="both"/>
        <w:rPr>
          <w:i/>
          <w:color w:val="153A6E" w:themeColor="text2"/>
        </w:rPr>
      </w:pPr>
      <w:r w:rsidRPr="005B322F">
        <w:t xml:space="preserve">Economic evaluation </w:t>
      </w:r>
      <w:r>
        <w:t xml:space="preserve">is being used as a tool for </w:t>
      </w:r>
      <w:r w:rsidRPr="005B322F">
        <w:t>price negotiation</w:t>
      </w:r>
    </w:p>
    <w:p w14:paraId="7CAE0CD8" w14:textId="619C5411" w:rsidR="003C4D46" w:rsidRDefault="005F40F7" w:rsidP="00405FD7">
      <w:r>
        <w:t>Due to its price</w:t>
      </w:r>
      <w:r w:rsidR="00C30C69">
        <w:t>-</w:t>
      </w:r>
      <w:r>
        <w:t>setting function</w:t>
      </w:r>
      <w:r w:rsidR="003C4D46">
        <w:t xml:space="preserve">, the economic evaluation has become a proxy for negotiation of prices and other market access conditions. </w:t>
      </w:r>
    </w:p>
    <w:p w14:paraId="3C2FAC96" w14:textId="68FC05C5" w:rsidR="003C4D46" w:rsidRDefault="003C4D46" w:rsidP="00405FD7">
      <w:r>
        <w:t>Suppliers often present prices in economic evaluations for their first submission that are higher than what they will later accept in resubmissions. The cost-effectiveness of these early higher prices is often calculated using assumptions in economic models that are more optimistic than will be accepted by advisory committees.</w:t>
      </w:r>
    </w:p>
    <w:p w14:paraId="0BFCC28C" w14:textId="145C1A37" w:rsidR="003C4D46" w:rsidRDefault="00F0053B" w:rsidP="00405FD7">
      <w:r>
        <w:t>HTA a</w:t>
      </w:r>
      <w:r w:rsidR="003C4D46">
        <w:t>dvisory committee</w:t>
      </w:r>
      <w:r w:rsidR="00D47136">
        <w:t>s’</w:t>
      </w:r>
      <w:r w:rsidR="003C4D46">
        <w:t xml:space="preserve"> acceptance of assumptions can also shift through resubmissions. They have, in some instances, shown a greater willingness to accept uncertainty in subsequent resubmissions than in early submissions.</w:t>
      </w:r>
    </w:p>
    <w:p w14:paraId="7AC03658" w14:textId="2776501A" w:rsidR="003C4D46" w:rsidRDefault="003C4D46" w:rsidP="00405FD7">
      <w:r>
        <w:t xml:space="preserve">New health technologies and new indications that are ultimately accepted by </w:t>
      </w:r>
      <w:r w:rsidR="00D47136">
        <w:t xml:space="preserve">HTA </w:t>
      </w:r>
      <w:r>
        <w:t>advisory committees as offering improve</w:t>
      </w:r>
      <w:r w:rsidR="00D47136">
        <w:t>d</w:t>
      </w:r>
      <w:r>
        <w:t xml:space="preserve"> efficacy or reduc</w:t>
      </w:r>
      <w:r w:rsidR="00D47136">
        <w:t>ed</w:t>
      </w:r>
      <w:r>
        <w:t xml:space="preserve"> toxicity over all alternatives are almost never recommended for listing on the first submission.</w:t>
      </w:r>
      <w:r w:rsidR="00B50E68">
        <w:rPr>
          <w:rStyle w:val="FootnoteReference"/>
        </w:rPr>
        <w:footnoteReference w:id="192"/>
      </w:r>
      <w:r>
        <w:t xml:space="preserve"> These are the health technologies that deliver the greatest improvement to health outcomes and include those that address longstanding unmet clinical needs. They are also the innovative technologies sponsors expect </w:t>
      </w:r>
      <w:r w:rsidR="00D47136">
        <w:t>will</w:t>
      </w:r>
      <w:r w:rsidDel="00D47136">
        <w:t xml:space="preserve"> </w:t>
      </w:r>
      <w:r w:rsidR="00D47136">
        <w:t xml:space="preserve">give </w:t>
      </w:r>
      <w:r>
        <w:t>the</w:t>
      </w:r>
      <w:r w:rsidR="00D47136">
        <w:t>m the</w:t>
      </w:r>
      <w:r>
        <w:t xml:space="preserve"> highest levels of earnings, with high levels of return on investment.</w:t>
      </w:r>
    </w:p>
    <w:p w14:paraId="3AF1C4BB" w14:textId="061D9F5D" w:rsidR="003C4D46" w:rsidRDefault="003C4D46" w:rsidP="00405FD7">
      <w:r>
        <w:lastRenderedPageBreak/>
        <w:t>Under current processes, the time</w:t>
      </w:r>
      <w:r w:rsidR="004574C7">
        <w:t xml:space="preserve"> </w:t>
      </w:r>
      <w:r>
        <w:t xml:space="preserve">frame to funding remains several months longer for health technologies that are not accepted for funding the first time they are considered by an </w:t>
      </w:r>
      <w:r w:rsidR="00D47136">
        <w:t xml:space="preserve">HTA </w:t>
      </w:r>
      <w:r>
        <w:t xml:space="preserve">advisory committee. </w:t>
      </w:r>
      <w:r w:rsidR="00D47136">
        <w:t>A</w:t>
      </w:r>
      <w:r>
        <w:t>ddress</w:t>
      </w:r>
      <w:r w:rsidR="00D47136">
        <w:t>ing</w:t>
      </w:r>
      <w:r>
        <w:t xml:space="preserve"> this issue would require submissions to be acceptable and accepted the first time they are considered</w:t>
      </w:r>
      <w:r w:rsidR="00FA396E">
        <w:t>,</w:t>
      </w:r>
      <w:r>
        <w:t xml:space="preserve"> or issues to be resolved over a shorter time</w:t>
      </w:r>
      <w:r w:rsidR="004574C7">
        <w:t xml:space="preserve"> </w:t>
      </w:r>
      <w:r>
        <w:t xml:space="preserve">frame. </w:t>
      </w:r>
    </w:p>
    <w:p w14:paraId="2A1C6645" w14:textId="0897CCEE" w:rsidR="00293ED1" w:rsidRDefault="00293ED1" w:rsidP="00A318F7">
      <w:pPr>
        <w:pStyle w:val="Heading3"/>
      </w:pPr>
      <w:bookmarkStart w:id="620" w:name="_Toc164691486"/>
      <w:bookmarkStart w:id="621" w:name="_Toc164696280"/>
      <w:bookmarkStart w:id="622" w:name="_Toc164696426"/>
      <w:bookmarkStart w:id="623" w:name="_Toc164767814"/>
      <w:bookmarkStart w:id="624" w:name="_Toc165473745"/>
      <w:r>
        <w:t>Conclusion</w:t>
      </w:r>
      <w:bookmarkEnd w:id="620"/>
      <w:bookmarkEnd w:id="621"/>
      <w:bookmarkEnd w:id="622"/>
      <w:bookmarkEnd w:id="623"/>
      <w:bookmarkEnd w:id="624"/>
    </w:p>
    <w:p w14:paraId="5951BF96" w14:textId="6F4E4E47" w:rsidR="00CE28CE" w:rsidRDefault="00971427" w:rsidP="00405FD7">
      <w:r>
        <w:t>S</w:t>
      </w:r>
      <w:r w:rsidR="00CE28CE">
        <w:t xml:space="preserve">ome limitations in </w:t>
      </w:r>
      <w:r w:rsidR="00CE28CE" w:rsidRPr="008A3E37">
        <w:t xml:space="preserve">economic evaluation </w:t>
      </w:r>
      <w:r w:rsidR="00CE28CE">
        <w:t xml:space="preserve">tools </w:t>
      </w:r>
      <w:r w:rsidR="00CE28CE" w:rsidRPr="008A3E37">
        <w:t>cause estimates of cost</w:t>
      </w:r>
      <w:r>
        <w:t>-</w:t>
      </w:r>
      <w:r w:rsidR="00CE28CE" w:rsidRPr="008A3E37">
        <w:t>effectiveness to vary for reasons unrelated to price and benefits</w:t>
      </w:r>
      <w:r>
        <w:t>. But</w:t>
      </w:r>
      <w:r w:rsidR="00CE28CE">
        <w:t xml:space="preserve"> </w:t>
      </w:r>
      <w:proofErr w:type="gramStart"/>
      <w:r w:rsidR="00CE28CE">
        <w:t>it is clear that the</w:t>
      </w:r>
      <w:proofErr w:type="gramEnd"/>
      <w:r w:rsidR="00CE28CE">
        <w:t xml:space="preserve"> existing flexibility of the HTA </w:t>
      </w:r>
      <w:r w:rsidR="00C16518">
        <w:t xml:space="preserve">advisory </w:t>
      </w:r>
      <w:r w:rsidR="00CE28CE">
        <w:t xml:space="preserve">committees to interpret economic evaluations allows for appropriate recognition of value in most circumstances. </w:t>
      </w:r>
      <w:r w:rsidR="00396984">
        <w:t>However</w:t>
      </w:r>
      <w:r w:rsidR="00D47136">
        <w:t>,</w:t>
      </w:r>
      <w:r w:rsidR="00396984">
        <w:t xml:space="preserve"> </w:t>
      </w:r>
      <w:r w:rsidR="00FB6BB8">
        <w:t>the PBAC and MSAC</w:t>
      </w:r>
      <w:r w:rsidR="00396984">
        <w:t xml:space="preserve"> </w:t>
      </w:r>
      <w:r w:rsidR="00DD68B6">
        <w:t>G</w:t>
      </w:r>
      <w:r w:rsidR="00396984">
        <w:t>uidelines do</w:t>
      </w:r>
      <w:r w:rsidR="007370CB">
        <w:t xml:space="preserve"> </w:t>
      </w:r>
      <w:r w:rsidR="00D4204F">
        <w:t xml:space="preserve">not </w:t>
      </w:r>
      <w:r w:rsidR="00396984">
        <w:t xml:space="preserve">make </w:t>
      </w:r>
      <w:r w:rsidR="00067E9A">
        <w:t>it</w:t>
      </w:r>
      <w:r w:rsidR="00396984">
        <w:t xml:space="preserve"> </w:t>
      </w:r>
      <w:r w:rsidR="00D4204F">
        <w:t xml:space="preserve">clear when </w:t>
      </w:r>
      <w:r w:rsidR="00396984">
        <w:t xml:space="preserve">HTA advisory committees may consider </w:t>
      </w:r>
      <w:r w:rsidR="008B1148">
        <w:t>varying approaches, s</w:t>
      </w:r>
      <w:r w:rsidR="00DC7F5F">
        <w:t xml:space="preserve">uch as where they consider lower base case discount rates for health technologies </w:t>
      </w:r>
      <w:r w:rsidR="00D47136">
        <w:t>with</w:t>
      </w:r>
      <w:r w:rsidR="00CE28CE">
        <w:t xml:space="preserve"> upfront costs and benefits that accrue over a long period of time.</w:t>
      </w:r>
    </w:p>
    <w:p w14:paraId="25ED618F" w14:textId="2A1DF368" w:rsidR="008F4684" w:rsidRDefault="00B356A5" w:rsidP="00405FD7">
      <w:proofErr w:type="gramStart"/>
      <w:r>
        <w:t>A</w:t>
      </w:r>
      <w:r w:rsidR="008F4684">
        <w:t>s long as</w:t>
      </w:r>
      <w:proofErr w:type="gramEnd"/>
      <w:r w:rsidR="008F4684">
        <w:t xml:space="preserve"> economic evaluations in HTA</w:t>
      </w:r>
      <w:r w:rsidR="001442C5">
        <w:t>s</w:t>
      </w:r>
      <w:r w:rsidR="008F4684">
        <w:t xml:space="preserve"> have a price</w:t>
      </w:r>
      <w:r w:rsidR="00C30C69">
        <w:noBreakHyphen/>
      </w:r>
      <w:r w:rsidR="008F4684">
        <w:t>setting function, they will be used as the proxy for price negotiation</w:t>
      </w:r>
      <w:r w:rsidR="00F24B51">
        <w:t xml:space="preserve">, and there will be a tension between </w:t>
      </w:r>
      <w:r w:rsidR="001442C5">
        <w:t xml:space="preserve">recognition of </w:t>
      </w:r>
      <w:r w:rsidR="00F24B51">
        <w:t xml:space="preserve">appropriate value and </w:t>
      </w:r>
      <w:r w:rsidR="001442C5">
        <w:t xml:space="preserve">a </w:t>
      </w:r>
      <w:r w:rsidR="00F24B51">
        <w:t>fair price</w:t>
      </w:r>
      <w:r w:rsidR="008F4684">
        <w:t xml:space="preserve">. </w:t>
      </w:r>
      <w:r w:rsidR="00C714BE">
        <w:t>It is not</w:t>
      </w:r>
      <w:r w:rsidR="008F4684">
        <w:t xml:space="preserve"> realistic to expect that suppliers of health technologies could be compelled to put their best price and most conservative assumptions in their first submission, or that </w:t>
      </w:r>
      <w:r w:rsidR="001442C5">
        <w:t xml:space="preserve">HTA </w:t>
      </w:r>
      <w:r w:rsidR="008F4684">
        <w:t xml:space="preserve">advisory committees should recommend funding irrespective of how optimistic assumptions are or how cost-ineffective initial prices would be. </w:t>
      </w:r>
    </w:p>
    <w:p w14:paraId="1EC46159" w14:textId="77CEDC4F" w:rsidR="008F4684" w:rsidRDefault="00C714BE" w:rsidP="00405FD7">
      <w:r>
        <w:t>Th</w:t>
      </w:r>
      <w:r w:rsidR="00345521">
        <w:t>e</w:t>
      </w:r>
      <w:r>
        <w:t xml:space="preserve"> Review</w:t>
      </w:r>
      <w:r w:rsidR="001442C5">
        <w:t>’s</w:t>
      </w:r>
      <w:r w:rsidDel="001442C5">
        <w:t xml:space="preserve"> </w:t>
      </w:r>
      <w:r>
        <w:t xml:space="preserve">recommendations </w:t>
      </w:r>
      <w:r w:rsidR="008F4684">
        <w:t>allow</w:t>
      </w:r>
      <w:r w:rsidR="001442C5">
        <w:t xml:space="preserve"> resolution of</w:t>
      </w:r>
      <w:r w:rsidR="008F4684">
        <w:t xml:space="preserve"> issues over a shorter time</w:t>
      </w:r>
      <w:r w:rsidR="004574C7">
        <w:t xml:space="preserve"> </w:t>
      </w:r>
      <w:r w:rsidR="008F4684">
        <w:t xml:space="preserve">frame (see </w:t>
      </w:r>
      <w:r w:rsidR="00EF52F2">
        <w:t xml:space="preserve">Chapter </w:t>
      </w:r>
      <w:r w:rsidR="006D44DE">
        <w:t>4</w:t>
      </w:r>
      <w:r w:rsidR="00EF52F2">
        <w:t>)</w:t>
      </w:r>
      <w:r w:rsidR="008F4684">
        <w:t xml:space="preserve"> </w:t>
      </w:r>
      <w:r w:rsidR="00345521">
        <w:t>and</w:t>
      </w:r>
      <w:r w:rsidR="008F4684">
        <w:t xml:space="preserve"> </w:t>
      </w:r>
      <w:r w:rsidR="001442C5">
        <w:t xml:space="preserve">more effective management of </w:t>
      </w:r>
      <w:r w:rsidR="008F4684">
        <w:t xml:space="preserve">uncertainty after funding (see </w:t>
      </w:r>
      <w:r w:rsidR="00EF52F2">
        <w:t xml:space="preserve">Chapter </w:t>
      </w:r>
      <w:r w:rsidR="00911A2D">
        <w:t>5</w:t>
      </w:r>
      <w:r w:rsidR="00EF52F2">
        <w:t>)</w:t>
      </w:r>
      <w:r>
        <w:t>. Th</w:t>
      </w:r>
      <w:r w:rsidR="001442C5">
        <w:t>is is</w:t>
      </w:r>
      <w:r w:rsidR="008F4684">
        <w:t xml:space="preserve"> more feasible than options that would force the supplier or funder to accept funding conditions that they would otherwise consider unacceptable.</w:t>
      </w:r>
    </w:p>
    <w:p w14:paraId="129271DE" w14:textId="7541474E" w:rsidR="004518F5" w:rsidRDefault="005E6D99" w:rsidP="00405FD7">
      <w:r>
        <w:t>While the Review</w:t>
      </w:r>
      <w:r w:rsidDel="005B4D44">
        <w:t xml:space="preserve"> </w:t>
      </w:r>
      <w:r>
        <w:t>heard from several participants</w:t>
      </w:r>
      <w:r w:rsidR="001442C5">
        <w:t>,</w:t>
      </w:r>
      <w:r>
        <w:t xml:space="preserve"> including patients, clinicians and industry representatives</w:t>
      </w:r>
      <w:r w:rsidR="001442C5">
        <w:t>,</w:t>
      </w:r>
      <w:r>
        <w:t xml:space="preserve"> that the broader value of health technologies should be recognised in economic evaluations, </w:t>
      </w:r>
      <w:r w:rsidR="00643556">
        <w:t>further research</w:t>
      </w:r>
      <w:r>
        <w:t xml:space="preserve"> is </w:t>
      </w:r>
      <w:r w:rsidR="00643556">
        <w:t>needed to determine</w:t>
      </w:r>
      <w:r>
        <w:t xml:space="preserve"> </w:t>
      </w:r>
      <w:r w:rsidR="00FA396E">
        <w:t xml:space="preserve">the </w:t>
      </w:r>
      <w:r>
        <w:t xml:space="preserve">circumstances </w:t>
      </w:r>
      <w:r w:rsidR="00FA396E">
        <w:t xml:space="preserve">in which </w:t>
      </w:r>
      <w:r>
        <w:t xml:space="preserve">Australian citizens </w:t>
      </w:r>
      <w:r w:rsidR="00604F29">
        <w:t xml:space="preserve">should </w:t>
      </w:r>
      <w:r w:rsidR="001442C5">
        <w:t>accept</w:t>
      </w:r>
      <w:r>
        <w:t xml:space="preserve"> higher prices.</w:t>
      </w:r>
      <w:r w:rsidR="00453069">
        <w:t xml:space="preserve"> </w:t>
      </w:r>
    </w:p>
    <w:p w14:paraId="72A38020" w14:textId="6EBF51DE" w:rsidR="008B0209" w:rsidRDefault="00CE28CE" w:rsidP="00A318F7">
      <w:pPr>
        <w:pStyle w:val="Heading3"/>
      </w:pPr>
      <w:bookmarkStart w:id="625" w:name="_Toc165473746"/>
      <w:r>
        <w:t>Objectives of recommendations</w:t>
      </w:r>
      <w:bookmarkEnd w:id="625"/>
    </w:p>
    <w:p w14:paraId="39E3C3EF" w14:textId="22B93EAB" w:rsidR="00EA0C45" w:rsidRDefault="00CE28CE" w:rsidP="00405FD7">
      <w:r>
        <w:t xml:space="preserve">The Review seeks to ensure that economic evaluation methods </w:t>
      </w:r>
      <w:r w:rsidR="00D226C6">
        <w:t xml:space="preserve">do not </w:t>
      </w:r>
      <w:r>
        <w:t xml:space="preserve">cause estimates of cost-effectiveness </w:t>
      </w:r>
      <w:r w:rsidR="00A66C5A">
        <w:t xml:space="preserve">to vary </w:t>
      </w:r>
      <w:r w:rsidR="00794572">
        <w:t xml:space="preserve">inappropriately. </w:t>
      </w:r>
      <w:r w:rsidR="0083490D">
        <w:t>It also seeks</w:t>
      </w:r>
      <w:r>
        <w:t xml:space="preserve"> to </w:t>
      </w:r>
      <w:r w:rsidR="0083490D">
        <w:t>ensure that sponsors understand</w:t>
      </w:r>
      <w:r>
        <w:t xml:space="preserve"> the types of evidence required to satisfy the PBAC that health technologies claiming non-inferiority to the main comparator can cost more than other lower</w:t>
      </w:r>
      <w:r w:rsidR="00604F29">
        <w:t>-</w:t>
      </w:r>
      <w:r>
        <w:t>cost alternative therapies</w:t>
      </w:r>
      <w:r w:rsidR="00AE7654">
        <w:t xml:space="preserve">. </w:t>
      </w:r>
      <w:r w:rsidR="006B2A91">
        <w:t>To the extent that</w:t>
      </w:r>
      <w:r w:rsidR="006B2A91" w:rsidDel="00604F29">
        <w:t xml:space="preserve"> </w:t>
      </w:r>
      <w:r w:rsidR="006B2A91">
        <w:t xml:space="preserve">updates </w:t>
      </w:r>
      <w:r w:rsidR="00604F29">
        <w:t xml:space="preserve">to </w:t>
      </w:r>
      <w:r w:rsidR="00991378">
        <w:t>the PBAC and MSAC</w:t>
      </w:r>
      <w:r w:rsidR="00604F29">
        <w:t xml:space="preserve"> </w:t>
      </w:r>
      <w:r w:rsidR="00DD68B6">
        <w:t>G</w:t>
      </w:r>
      <w:r w:rsidR="00604F29">
        <w:t xml:space="preserve">uidelines </w:t>
      </w:r>
      <w:r w:rsidR="00F91113">
        <w:t xml:space="preserve">have downstream financial impacts, these will need to be costed and </w:t>
      </w:r>
      <w:r w:rsidR="00EA0C45">
        <w:t xml:space="preserve">considered in a budget context before being implemented. </w:t>
      </w:r>
      <w:r w:rsidR="008128CC">
        <w:t>The Review also seeks to</w:t>
      </w:r>
      <w:r w:rsidR="004B7DDB">
        <w:t xml:space="preserve"> ensure that </w:t>
      </w:r>
      <w:r w:rsidR="00154DCA">
        <w:t>Australia’s HTA processes are informed</w:t>
      </w:r>
      <w:r w:rsidR="005E20B4">
        <w:t xml:space="preserve"> by Australian citizens</w:t>
      </w:r>
      <w:r w:rsidR="00736022">
        <w:t>’</w:t>
      </w:r>
      <w:r w:rsidR="005E20B4">
        <w:t xml:space="preserve"> expectations for pricing of new health technologies. </w:t>
      </w:r>
    </w:p>
    <w:p w14:paraId="07DE4E2D" w14:textId="08CFE1F7" w:rsidR="00593D5A" w:rsidRDefault="00593D5A" w:rsidP="00A318F7">
      <w:pPr>
        <w:pStyle w:val="Heading3"/>
      </w:pPr>
      <w:bookmarkStart w:id="626" w:name="_Toc164691487"/>
      <w:bookmarkStart w:id="627" w:name="_Toc164696281"/>
      <w:bookmarkStart w:id="628" w:name="_Toc164696427"/>
      <w:bookmarkStart w:id="629" w:name="_Toc164767815"/>
      <w:bookmarkStart w:id="630" w:name="_Toc165473747"/>
      <w:r>
        <w:lastRenderedPageBreak/>
        <w:t>Recommendations</w:t>
      </w:r>
      <w:bookmarkEnd w:id="626"/>
      <w:bookmarkEnd w:id="627"/>
      <w:bookmarkEnd w:id="628"/>
      <w:bookmarkEnd w:id="629"/>
      <w:bookmarkEnd w:id="630"/>
    </w:p>
    <w:p w14:paraId="0339956F" w14:textId="3ED8B467" w:rsidR="00003630" w:rsidRPr="00824739" w:rsidRDefault="00003630" w:rsidP="00074B8A">
      <w:pPr>
        <w:pStyle w:val="Recommendation1"/>
      </w:pPr>
      <w:r>
        <w:t xml:space="preserve"> </w:t>
      </w:r>
      <w:bookmarkStart w:id="631" w:name="_Hlk167302547"/>
      <w:r w:rsidRPr="00824739">
        <w:t>Discount rate</w:t>
      </w:r>
      <w:bookmarkEnd w:id="631"/>
    </w:p>
    <w:p w14:paraId="53267A65" w14:textId="4BDD4CE7" w:rsidR="00003630" w:rsidRPr="00B96A81" w:rsidRDefault="00003630" w:rsidP="005F5549">
      <w:pPr>
        <w:spacing w:before="120" w:after="120"/>
        <w:rPr>
          <w:rFonts w:cs="Segoe UI"/>
        </w:rPr>
      </w:pPr>
      <w:r w:rsidRPr="00405FD7">
        <w:rPr>
          <w:rFonts w:cs="Segoe UI"/>
        </w:rPr>
        <w:t xml:space="preserve">The Review recommends </w:t>
      </w:r>
      <w:r w:rsidR="00604F29">
        <w:rPr>
          <w:rFonts w:cs="Segoe UI"/>
        </w:rPr>
        <w:t xml:space="preserve">that </w:t>
      </w:r>
      <w:r w:rsidRPr="00405FD7">
        <w:rPr>
          <w:rFonts w:cs="Segoe UI"/>
        </w:rPr>
        <w:t>the Australian Government</w:t>
      </w:r>
      <w:r w:rsidRPr="00B96A81">
        <w:rPr>
          <w:rFonts w:cs="Segoe UI"/>
        </w:rPr>
        <w:t>:</w:t>
      </w:r>
    </w:p>
    <w:p w14:paraId="063261F1" w14:textId="71AD87D6" w:rsidR="00003630" w:rsidRPr="00824739" w:rsidRDefault="00604F29" w:rsidP="00281153">
      <w:pPr>
        <w:pStyle w:val="ListNumber"/>
        <w:numPr>
          <w:ilvl w:val="0"/>
          <w:numId w:val="105"/>
        </w:numPr>
      </w:pPr>
      <w:r>
        <w:t>s</w:t>
      </w:r>
      <w:r w:rsidR="00003630">
        <w:t xml:space="preserve">upport </w:t>
      </w:r>
      <w:r w:rsidR="00FA396E">
        <w:t xml:space="preserve">a </w:t>
      </w:r>
      <w:r w:rsidR="00003630">
        <w:t>reduction of the</w:t>
      </w:r>
      <w:r w:rsidR="00003630" w:rsidRPr="00824739">
        <w:t xml:space="preserve"> base case discount rate to no lower than 3.5</w:t>
      </w:r>
      <w:r w:rsidR="0083317E">
        <w:t>%</w:t>
      </w:r>
      <w:r w:rsidR="004217A5" w:rsidDel="0083317E">
        <w:t xml:space="preserve"> </w:t>
      </w:r>
      <w:r w:rsidR="00003630">
        <w:t>for</w:t>
      </w:r>
      <w:r w:rsidR="00003630" w:rsidRPr="00824739">
        <w:t xml:space="preserve"> health technologies </w:t>
      </w:r>
      <w:r>
        <w:t>with</w:t>
      </w:r>
      <w:r w:rsidR="00003630" w:rsidRPr="00824739">
        <w:t xml:space="preserve"> upfront costs and benefits that are claimed to accrue over a long period (such as gene therapies and some vaccines</w:t>
      </w:r>
      <w:r w:rsidR="00003630" w:rsidRPr="005C7BB8">
        <w:t>)</w:t>
      </w:r>
      <w:r w:rsidR="00453069">
        <w:t xml:space="preserve"> </w:t>
      </w:r>
    </w:p>
    <w:p w14:paraId="55E41E96" w14:textId="40231721" w:rsidR="00003630" w:rsidRPr="00824739" w:rsidRDefault="00604F29" w:rsidP="00281153">
      <w:pPr>
        <w:pStyle w:val="ListNumber"/>
        <w:numPr>
          <w:ilvl w:val="0"/>
          <w:numId w:val="105"/>
        </w:numPr>
      </w:pPr>
      <w:r>
        <w:t>d</w:t>
      </w:r>
      <w:r w:rsidR="00003630" w:rsidRPr="00824739">
        <w:t>etermine</w:t>
      </w:r>
      <w:r w:rsidR="00003630">
        <w:t xml:space="preserve"> t</w:t>
      </w:r>
      <w:r w:rsidR="00003630" w:rsidRPr="00824739">
        <w:t xml:space="preserve">he </w:t>
      </w:r>
      <w:r w:rsidR="00003630">
        <w:t>base case discount</w:t>
      </w:r>
      <w:r w:rsidR="00003630" w:rsidRPr="00824739">
        <w:t xml:space="preserve"> </w:t>
      </w:r>
      <w:r w:rsidR="00003630">
        <w:t xml:space="preserve">rate for those health technologies </w:t>
      </w:r>
      <w:r w:rsidR="00003630" w:rsidRPr="00824739">
        <w:t xml:space="preserve">as part of </w:t>
      </w:r>
      <w:r w:rsidR="00003630">
        <w:t>its</w:t>
      </w:r>
      <w:r w:rsidR="00003630" w:rsidRPr="00824739">
        <w:t xml:space="preserve"> consideration of </w:t>
      </w:r>
      <w:r>
        <w:t xml:space="preserve">the </w:t>
      </w:r>
      <w:r w:rsidR="00003630" w:rsidRPr="00824739">
        <w:t xml:space="preserve">financial </w:t>
      </w:r>
      <w:r w:rsidR="00003630" w:rsidRPr="005C7BB8">
        <w:t>impacts</w:t>
      </w:r>
      <w:r w:rsidR="00003630" w:rsidRPr="00824739">
        <w:t xml:space="preserve"> of implementing </w:t>
      </w:r>
      <w:r w:rsidR="00D756C1">
        <w:t>the</w:t>
      </w:r>
      <w:r w:rsidR="00D756C1" w:rsidRPr="00824739">
        <w:t xml:space="preserve"> </w:t>
      </w:r>
      <w:r w:rsidR="00003630" w:rsidRPr="00824739">
        <w:t>Review</w:t>
      </w:r>
      <w:r w:rsidR="00E75822">
        <w:t>’s</w:t>
      </w:r>
      <w:r w:rsidR="00003630" w:rsidRPr="00824739">
        <w:t xml:space="preserve"> recommendations</w:t>
      </w:r>
      <w:r w:rsidR="00003630" w:rsidRPr="00824739" w:rsidDel="00604F29">
        <w:t>.</w:t>
      </w:r>
    </w:p>
    <w:p w14:paraId="2B7637A3" w14:textId="01504490" w:rsidR="00003630" w:rsidRDefault="00003630" w:rsidP="00A318F7">
      <w:pPr>
        <w:pStyle w:val="ListNumber"/>
        <w:numPr>
          <w:ilvl w:val="0"/>
          <w:numId w:val="0"/>
        </w:numPr>
        <w:ind w:left="720"/>
      </w:pPr>
      <w:r>
        <w:t>Note</w:t>
      </w:r>
      <w:r w:rsidR="00604F29">
        <w:t>:</w:t>
      </w:r>
      <w:r w:rsidRPr="00824739">
        <w:t xml:space="preserve"> reducing the discount rate will result in greater attribution of value to future </w:t>
      </w:r>
      <w:bookmarkStart w:id="632" w:name="_Int_rAZRk0sG"/>
      <w:proofErr w:type="gramStart"/>
      <w:r w:rsidRPr="00824739">
        <w:t xml:space="preserve">benefits, </w:t>
      </w:r>
      <w:r>
        <w:t>and</w:t>
      </w:r>
      <w:bookmarkEnd w:id="632"/>
      <w:proofErr w:type="gramEnd"/>
      <w:r>
        <w:t xml:space="preserve"> may increase </w:t>
      </w:r>
      <w:r w:rsidR="00604F29">
        <w:t xml:space="preserve">the </w:t>
      </w:r>
      <w:r>
        <w:t>need for</w:t>
      </w:r>
      <w:r w:rsidRPr="00824739">
        <w:t xml:space="preserve"> performance-based mechanisms that </w:t>
      </w:r>
      <w:r w:rsidR="00A72F2E">
        <w:t>satisfy</w:t>
      </w:r>
      <w:r w:rsidR="00A72F2E" w:rsidRPr="00824739">
        <w:t xml:space="preserve"> </w:t>
      </w:r>
      <w:r w:rsidRPr="00824739">
        <w:t xml:space="preserve">the </w:t>
      </w:r>
      <w:r w:rsidR="00D756C1" w:rsidRPr="00D756C1">
        <w:t>HTA</w:t>
      </w:r>
      <w:r w:rsidR="00D756C1" w:rsidRPr="00D756C1" w:rsidDel="00D756C1">
        <w:t xml:space="preserve"> </w:t>
      </w:r>
      <w:r w:rsidR="00C16518">
        <w:t xml:space="preserve">advisory </w:t>
      </w:r>
      <w:r w:rsidRPr="00824739">
        <w:t>committee that uncertainty about future benefits, long</w:t>
      </w:r>
      <w:r w:rsidR="00A72F2E">
        <w:noBreakHyphen/>
      </w:r>
      <w:r w:rsidRPr="00824739">
        <w:t>term safety, estimates of cost-effectiveness</w:t>
      </w:r>
      <w:r w:rsidRPr="005C7BB8">
        <w:t>,</w:t>
      </w:r>
      <w:r w:rsidRPr="00824739">
        <w:t xml:space="preserve"> and overall cost, will be effectively managed for the period that benefits are claimed.</w:t>
      </w:r>
    </w:p>
    <w:p w14:paraId="1856A76C" w14:textId="7F62F737" w:rsidR="00EE4BF6" w:rsidRPr="00824739" w:rsidRDefault="008F6D51" w:rsidP="00A8633C">
      <w:pPr>
        <w:spacing w:after="120"/>
        <w:rPr>
          <w:rFonts w:cs="Segoe UI"/>
        </w:rPr>
      </w:pPr>
      <w:r w:rsidRPr="008F6D51">
        <w:t xml:space="preserve">Comment by </w:t>
      </w:r>
      <w:r w:rsidR="0078017D" w:rsidDel="008A62A3">
        <w:t xml:space="preserve">Ms </w:t>
      </w:r>
      <w:r w:rsidRPr="008F6D51">
        <w:t xml:space="preserve">Elizabeth de Somer, </w:t>
      </w:r>
      <w:r w:rsidRPr="008F6D51" w:rsidDel="00604F29">
        <w:t>M</w:t>
      </w:r>
      <w:r w:rsidRPr="008F6D51">
        <w:t>ember</w:t>
      </w:r>
      <w:r w:rsidRPr="008F6D51" w:rsidDel="00604F29">
        <w:t xml:space="preserve"> Nominated by Medicines Australia</w:t>
      </w:r>
      <w:r w:rsidR="009D71CE">
        <w:t>:</w:t>
      </w:r>
      <w:r w:rsidR="00604F29">
        <w:t xml:space="preserve"> ‘</w:t>
      </w:r>
      <w:r w:rsidR="009D71CE">
        <w:t>T</w:t>
      </w:r>
      <w:r w:rsidRPr="008F6D51">
        <w:t>he industry recognises the movement in the discount rate in the recommendation and maintains that the base case discount rate should be reduced to 3.5% for all health technologies and 1.5% for those medicines where the benefits accrue over a longer</w:t>
      </w:r>
      <w:r w:rsidR="00604F29">
        <w:t> </w:t>
      </w:r>
      <w:r w:rsidRPr="008F6D51">
        <w:t>time.</w:t>
      </w:r>
      <w:r w:rsidR="00604F29">
        <w:t>’</w:t>
      </w:r>
    </w:p>
    <w:p w14:paraId="71412534" w14:textId="22FD44C4" w:rsidR="00003630" w:rsidRPr="00824739" w:rsidRDefault="00003630" w:rsidP="00074B8A">
      <w:pPr>
        <w:pStyle w:val="Recommendation1"/>
      </w:pPr>
      <w:bookmarkStart w:id="633" w:name="_Hlk167302561"/>
      <w:r w:rsidRPr="00824739">
        <w:t xml:space="preserve">Comparator </w:t>
      </w:r>
      <w:r w:rsidR="00F659F0">
        <w:t>s</w:t>
      </w:r>
      <w:r w:rsidRPr="00824739">
        <w:t>election</w:t>
      </w:r>
    </w:p>
    <w:bookmarkEnd w:id="633"/>
    <w:p w14:paraId="2662800A" w14:textId="44EE56AF" w:rsidR="00003630" w:rsidRPr="00FE3745" w:rsidRDefault="00003630" w:rsidP="005F5549">
      <w:pPr>
        <w:spacing w:before="120" w:after="120"/>
        <w:rPr>
          <w:rFonts w:eastAsia="Times New Roman" w:cs="Segoe UI"/>
        </w:rPr>
      </w:pPr>
      <w:r w:rsidRPr="00454B4D">
        <w:rPr>
          <w:rFonts w:cs="Segoe UI"/>
        </w:rPr>
        <w:t xml:space="preserve">The Review recommends </w:t>
      </w:r>
      <w:r w:rsidR="00604F29" w:rsidRPr="00454B4D">
        <w:rPr>
          <w:rFonts w:cs="Segoe UI"/>
        </w:rPr>
        <w:t xml:space="preserve">that </w:t>
      </w:r>
      <w:r w:rsidRPr="00454B4D">
        <w:rPr>
          <w:rFonts w:cs="Segoe UI"/>
        </w:rPr>
        <w:t>the Australian Government</w:t>
      </w:r>
      <w:r w:rsidR="005C7BB8" w:rsidRPr="00454B4D">
        <w:rPr>
          <w:rFonts w:eastAsia="Times New Roman" w:cs="Segoe UI"/>
          <w:bCs/>
        </w:rPr>
        <w:t xml:space="preserve"> s</w:t>
      </w:r>
      <w:r w:rsidRPr="00454B4D">
        <w:rPr>
          <w:rFonts w:eastAsia="Times New Roman" w:cs="Segoe UI"/>
          <w:bCs/>
        </w:rPr>
        <w:t>upport</w:t>
      </w:r>
      <w:r w:rsidRPr="00454B4D">
        <w:rPr>
          <w:rFonts w:eastAsia="Times New Roman" w:cs="Segoe UI"/>
        </w:rPr>
        <w:t xml:space="preserve"> updates to the </w:t>
      </w:r>
      <w:r w:rsidR="004303BE" w:rsidRPr="00454B4D">
        <w:rPr>
          <w:rFonts w:eastAsia="Times New Roman" w:cs="Segoe UI"/>
        </w:rPr>
        <w:t>Pharmaceutical Benefits Advisory Committee (PBAC)</w:t>
      </w:r>
      <w:r w:rsidR="004303BE" w:rsidRPr="00454B4D" w:rsidDel="004303BE">
        <w:rPr>
          <w:rFonts w:eastAsia="Times New Roman" w:cs="Segoe UI"/>
        </w:rPr>
        <w:t xml:space="preserve"> </w:t>
      </w:r>
      <w:r w:rsidRPr="00454B4D">
        <w:rPr>
          <w:rFonts w:eastAsia="Times New Roman" w:cs="Segoe UI"/>
        </w:rPr>
        <w:t xml:space="preserve">Guidelines to clarify what alternative therapy should be selected as the main comparator in submissions for health technologies </w:t>
      </w:r>
      <w:r w:rsidR="00962799" w:rsidRPr="00454B4D">
        <w:rPr>
          <w:rFonts w:eastAsia="Times New Roman" w:cs="Segoe UI"/>
        </w:rPr>
        <w:t>with</w:t>
      </w:r>
      <w:r w:rsidRPr="00454B4D">
        <w:rPr>
          <w:rFonts w:eastAsia="Times New Roman" w:cs="Segoe UI"/>
        </w:rPr>
        <w:t xml:space="preserve"> multiple alternative therapies.</w:t>
      </w:r>
      <w:r w:rsidR="00453069">
        <w:rPr>
          <w:rFonts w:eastAsia="Times New Roman" w:cs="Segoe UI"/>
          <w:color w:val="000000"/>
        </w:rPr>
        <w:t xml:space="preserve"> </w:t>
      </w:r>
    </w:p>
    <w:p w14:paraId="2BD6B7C1" w14:textId="4029DF7B" w:rsidR="00003630" w:rsidRPr="00824739" w:rsidRDefault="00003630" w:rsidP="00D468A4">
      <w:pPr>
        <w:spacing w:before="120" w:after="0"/>
        <w:rPr>
          <w:rFonts w:eastAsia="Times New Roman" w:cs="Segoe UI"/>
        </w:rPr>
      </w:pPr>
      <w:r w:rsidRPr="00824739">
        <w:rPr>
          <w:rFonts w:eastAsia="Times New Roman" w:cs="Segoe UI"/>
        </w:rPr>
        <w:t>For health technologies that sponsors claim are non-inferior to the selected comparator, updates should make clear that they can cost more than other lower</w:t>
      </w:r>
      <w:r w:rsidR="00962799">
        <w:rPr>
          <w:rFonts w:eastAsia="Times New Roman" w:cs="Segoe UI"/>
        </w:rPr>
        <w:t>-</w:t>
      </w:r>
      <w:r w:rsidRPr="00824739">
        <w:rPr>
          <w:rFonts w:eastAsia="Times New Roman" w:cs="Segoe UI"/>
        </w:rPr>
        <w:t xml:space="preserve">cost alternatives </w:t>
      </w:r>
      <w:r w:rsidR="0042078E">
        <w:rPr>
          <w:rFonts w:eastAsia="Times New Roman" w:cs="Segoe UI"/>
        </w:rPr>
        <w:t>if</w:t>
      </w:r>
      <w:r w:rsidR="0042078E" w:rsidRPr="00824739">
        <w:rPr>
          <w:rFonts w:eastAsia="Times New Roman" w:cs="Segoe UI"/>
        </w:rPr>
        <w:t xml:space="preserve"> </w:t>
      </w:r>
      <w:r w:rsidRPr="00824739">
        <w:rPr>
          <w:rFonts w:eastAsia="Times New Roman" w:cs="Segoe UI"/>
        </w:rPr>
        <w:t>the PBAC is satisfied that those lower</w:t>
      </w:r>
      <w:r w:rsidR="00962799">
        <w:rPr>
          <w:rFonts w:eastAsia="Times New Roman" w:cs="Segoe UI"/>
        </w:rPr>
        <w:t>-</w:t>
      </w:r>
      <w:r w:rsidRPr="00824739">
        <w:rPr>
          <w:rFonts w:eastAsia="Times New Roman" w:cs="Segoe UI"/>
        </w:rPr>
        <w:t>cost alternatives:</w:t>
      </w:r>
    </w:p>
    <w:p w14:paraId="675442D3" w14:textId="77777777" w:rsidR="00003630" w:rsidRPr="00824739" w:rsidRDefault="00003630" w:rsidP="00D468A4">
      <w:pPr>
        <w:pStyle w:val="ListParagraph"/>
        <w:numPr>
          <w:ilvl w:val="0"/>
          <w:numId w:val="45"/>
        </w:numPr>
        <w:spacing w:after="0"/>
        <w:contextualSpacing w:val="0"/>
        <w:rPr>
          <w:rFonts w:eastAsia="Times New Roman" w:cs="Segoe UI"/>
          <w:color w:val="000000"/>
        </w:rPr>
      </w:pPr>
      <w:r w:rsidRPr="00824739">
        <w:rPr>
          <w:rFonts w:eastAsia="Times New Roman" w:cs="Segoe UI"/>
        </w:rPr>
        <w:t xml:space="preserve">are for compelling clinical reasons, no longer accepted in clinical practice as alternative therapies, or </w:t>
      </w:r>
    </w:p>
    <w:p w14:paraId="26947F15" w14:textId="77777777" w:rsidR="00003630" w:rsidRPr="009510AF" w:rsidRDefault="00003630" w:rsidP="00D468A4">
      <w:pPr>
        <w:pStyle w:val="ListParagraph"/>
        <w:numPr>
          <w:ilvl w:val="0"/>
          <w:numId w:val="45"/>
        </w:numPr>
        <w:spacing w:after="0"/>
        <w:contextualSpacing w:val="0"/>
        <w:rPr>
          <w:rFonts w:eastAsia="Times New Roman" w:cs="Segoe UI"/>
          <w:color w:val="000000"/>
        </w:rPr>
      </w:pPr>
      <w:r w:rsidRPr="009510AF">
        <w:rPr>
          <w:rFonts w:cs="Segoe UI"/>
        </w:rPr>
        <w:t>have, for some patients, significantly inferior safety or efficacy.</w:t>
      </w:r>
    </w:p>
    <w:p w14:paraId="76CE2F4F" w14:textId="77777777" w:rsidR="00003630" w:rsidRPr="00824739" w:rsidRDefault="00003630" w:rsidP="00D468A4">
      <w:pPr>
        <w:spacing w:before="120" w:after="0"/>
        <w:rPr>
          <w:rFonts w:eastAsia="Times New Roman" w:cs="Segoe UI"/>
        </w:rPr>
      </w:pPr>
      <w:r w:rsidRPr="00824739">
        <w:rPr>
          <w:rFonts w:eastAsia="Times New Roman" w:cs="Segoe UI"/>
        </w:rPr>
        <w:t>Updates should provide guidance on the types of evidence the PBAC requires to satisfy itself of these conclusions. Th</w:t>
      </w:r>
      <w:r>
        <w:rPr>
          <w:rFonts w:eastAsia="Times New Roman" w:cs="Segoe UI"/>
        </w:rPr>
        <w:t>is</w:t>
      </w:r>
      <w:r w:rsidRPr="00824739">
        <w:rPr>
          <w:rFonts w:eastAsia="Times New Roman" w:cs="Segoe UI"/>
        </w:rPr>
        <w:t xml:space="preserve"> could include: </w:t>
      </w:r>
    </w:p>
    <w:p w14:paraId="7920F56F" w14:textId="1F0176C3" w:rsidR="00003630" w:rsidRPr="00824739" w:rsidRDefault="00003630" w:rsidP="00D468A4">
      <w:pPr>
        <w:pStyle w:val="ListParagraph"/>
        <w:numPr>
          <w:ilvl w:val="0"/>
          <w:numId w:val="49"/>
        </w:numPr>
        <w:spacing w:after="120"/>
        <w:rPr>
          <w:rFonts w:eastAsia="Times New Roman" w:cs="Segoe UI"/>
          <w:color w:val="000000"/>
        </w:rPr>
      </w:pPr>
      <w:r w:rsidRPr="00824739">
        <w:rPr>
          <w:rFonts w:eastAsia="Times New Roman" w:cs="Segoe UI"/>
        </w:rPr>
        <w:t>evidence from studies that the health technology provides clinical or other benefits that would significantly improve health outcomes for at least some patients compared with lower</w:t>
      </w:r>
      <w:r w:rsidR="0042078E">
        <w:rPr>
          <w:rFonts w:eastAsia="Times New Roman" w:cs="Segoe UI"/>
        </w:rPr>
        <w:t>-</w:t>
      </w:r>
      <w:r w:rsidRPr="00824739">
        <w:rPr>
          <w:rFonts w:eastAsia="Times New Roman" w:cs="Segoe UI"/>
        </w:rPr>
        <w:t xml:space="preserve">cost alternatives </w:t>
      </w:r>
    </w:p>
    <w:p w14:paraId="00748A21" w14:textId="7B34DD40" w:rsidR="00003630" w:rsidRPr="00824739" w:rsidRDefault="00003630" w:rsidP="00281153">
      <w:pPr>
        <w:pStyle w:val="ListParagraph"/>
        <w:numPr>
          <w:ilvl w:val="0"/>
          <w:numId w:val="49"/>
        </w:numPr>
        <w:spacing w:before="120" w:after="120"/>
        <w:rPr>
          <w:rFonts w:eastAsia="Times New Roman" w:cs="Segoe UI"/>
          <w:color w:val="000000"/>
        </w:rPr>
      </w:pPr>
      <w:r w:rsidRPr="00824739">
        <w:rPr>
          <w:rFonts w:eastAsia="Times New Roman" w:cs="Segoe UI"/>
        </w:rPr>
        <w:t xml:space="preserve">whether the health technology has a different mechanism of action, or other differences, </w:t>
      </w:r>
      <w:r w:rsidR="007A4DB3">
        <w:rPr>
          <w:rFonts w:eastAsia="Times New Roman" w:cs="Segoe UI"/>
        </w:rPr>
        <w:t xml:space="preserve">compared </w:t>
      </w:r>
      <w:r w:rsidRPr="00824739">
        <w:rPr>
          <w:rFonts w:eastAsia="Times New Roman" w:cs="Segoe UI"/>
        </w:rPr>
        <w:t xml:space="preserve">to all existing alternatives and there is evidence that significant improvements to health outcomes would be achieved by </w:t>
      </w:r>
      <w:r w:rsidR="007A4DB3">
        <w:rPr>
          <w:rFonts w:eastAsia="Times New Roman" w:cs="Segoe UI"/>
        </w:rPr>
        <w:t>giving</w:t>
      </w:r>
      <w:r w:rsidRPr="00824739">
        <w:rPr>
          <w:rFonts w:eastAsia="Times New Roman" w:cs="Segoe UI"/>
        </w:rPr>
        <w:t xml:space="preserve"> </w:t>
      </w:r>
      <w:r w:rsidRPr="00824739">
        <w:rPr>
          <w:rFonts w:eastAsia="Times New Roman" w:cs="Segoe UI"/>
        </w:rPr>
        <w:lastRenderedPageBreak/>
        <w:t>patients and clinicians the choice of multiple different alternative therapies (enabl</w:t>
      </w:r>
      <w:r w:rsidR="007A4DB3">
        <w:rPr>
          <w:rFonts w:eastAsia="Times New Roman" w:cs="Segoe UI"/>
        </w:rPr>
        <w:t>ing</w:t>
      </w:r>
      <w:r w:rsidRPr="00824739">
        <w:rPr>
          <w:rFonts w:eastAsia="Times New Roman" w:cs="Segoe UI"/>
        </w:rPr>
        <w:t xml:space="preserve"> switching in the event of treatment resistance, failure or intolerance)</w:t>
      </w:r>
    </w:p>
    <w:p w14:paraId="11E3CF8F" w14:textId="018E793A" w:rsidR="00003630" w:rsidRPr="009510AF" w:rsidRDefault="007A4DB3" w:rsidP="00281153">
      <w:pPr>
        <w:pStyle w:val="ListParagraph"/>
        <w:numPr>
          <w:ilvl w:val="0"/>
          <w:numId w:val="49"/>
        </w:numPr>
        <w:spacing w:before="120" w:after="120"/>
        <w:rPr>
          <w:rFonts w:eastAsia="Times New Roman" w:cs="Segoe UI"/>
          <w:color w:val="000000"/>
        </w:rPr>
      </w:pPr>
      <w:r>
        <w:rPr>
          <w:rFonts w:eastAsia="Times New Roman" w:cs="Segoe UI"/>
          <w:color w:val="000000"/>
        </w:rPr>
        <w:t xml:space="preserve">the </w:t>
      </w:r>
      <w:r w:rsidR="00003630" w:rsidRPr="00836AEA">
        <w:rPr>
          <w:rFonts w:eastAsia="Times New Roman" w:cs="Segoe UI"/>
          <w:color w:val="000000"/>
        </w:rPr>
        <w:t>extent of use of the lower</w:t>
      </w:r>
      <w:r>
        <w:rPr>
          <w:rFonts w:eastAsia="Times New Roman" w:cs="Segoe UI"/>
          <w:color w:val="000000"/>
        </w:rPr>
        <w:t>-</w:t>
      </w:r>
      <w:r w:rsidR="00003630" w:rsidRPr="00836AEA">
        <w:rPr>
          <w:rFonts w:eastAsia="Times New Roman" w:cs="Segoe UI"/>
          <w:color w:val="000000"/>
        </w:rPr>
        <w:t>cost alternative in contemporary clinical practice</w:t>
      </w:r>
      <w:r>
        <w:rPr>
          <w:rFonts w:eastAsia="Times New Roman" w:cs="Segoe UI"/>
          <w:color w:val="000000"/>
        </w:rPr>
        <w:t>,</w:t>
      </w:r>
      <w:r w:rsidR="00003630" w:rsidRPr="00836AEA">
        <w:rPr>
          <w:rFonts w:eastAsia="Times New Roman" w:cs="Segoe UI"/>
          <w:color w:val="000000"/>
        </w:rPr>
        <w:t xml:space="preserve"> supported by clinical rationale for lower use.</w:t>
      </w:r>
      <w:r w:rsidR="00003630" w:rsidRPr="00824739">
        <w:rPr>
          <w:rFonts w:eastAsia="Times New Roman" w:cs="Segoe UI"/>
        </w:rPr>
        <w:t xml:space="preserve"> </w:t>
      </w:r>
    </w:p>
    <w:p w14:paraId="5EF9DAFD" w14:textId="2C536921" w:rsidR="00003630" w:rsidRDefault="007A4DB3" w:rsidP="00C5393B">
      <w:pPr>
        <w:spacing w:before="120" w:after="120"/>
        <w:rPr>
          <w:rFonts w:eastAsia="Times New Roman" w:cs="Segoe UI"/>
        </w:rPr>
      </w:pPr>
      <w:r>
        <w:rPr>
          <w:rFonts w:eastAsia="Times New Roman" w:cs="Segoe UI"/>
        </w:rPr>
        <w:t>Before</w:t>
      </w:r>
      <w:r w:rsidR="00003630" w:rsidRPr="00DE5A7C">
        <w:rPr>
          <w:rFonts w:eastAsia="Times New Roman" w:cs="Segoe UI"/>
        </w:rPr>
        <w:t xml:space="preserve"> updating its </w:t>
      </w:r>
      <w:r w:rsidR="000A7B7B">
        <w:rPr>
          <w:rFonts w:eastAsia="Times New Roman" w:cs="Segoe UI"/>
        </w:rPr>
        <w:t>G</w:t>
      </w:r>
      <w:r w:rsidR="00003630" w:rsidRPr="00DE5A7C">
        <w:rPr>
          <w:rFonts w:eastAsia="Times New Roman" w:cs="Segoe UI"/>
        </w:rPr>
        <w:t xml:space="preserve">uidelines, the PBAC should seek input from patients, clinicians and industry to identify </w:t>
      </w:r>
      <w:r w:rsidR="00FA396E">
        <w:rPr>
          <w:rFonts w:eastAsia="Times New Roman" w:cs="Segoe UI"/>
        </w:rPr>
        <w:t xml:space="preserve">the </w:t>
      </w:r>
      <w:r w:rsidR="00003630" w:rsidRPr="00DE5A7C">
        <w:rPr>
          <w:rFonts w:eastAsia="Times New Roman" w:cs="Segoe UI"/>
        </w:rPr>
        <w:t xml:space="preserve">types of evidence that sponsors should be instructed may be relevant to the PBAC’s consideration. The PBAC should consider the appropriateness of any suggestions before incorporating them into its </w:t>
      </w:r>
      <w:r w:rsidR="000A7B7B">
        <w:rPr>
          <w:rFonts w:eastAsia="Times New Roman" w:cs="Segoe UI"/>
        </w:rPr>
        <w:t>G</w:t>
      </w:r>
      <w:r w:rsidR="00003630" w:rsidRPr="00DE5A7C">
        <w:rPr>
          <w:rFonts w:eastAsia="Times New Roman" w:cs="Segoe UI"/>
        </w:rPr>
        <w:t xml:space="preserve">uidelines. </w:t>
      </w:r>
    </w:p>
    <w:p w14:paraId="710093FB" w14:textId="16F4E00C" w:rsidR="005160E7" w:rsidRPr="009D71CE" w:rsidRDefault="005160E7" w:rsidP="005160E7">
      <w:pPr>
        <w:spacing w:after="120"/>
      </w:pPr>
      <w:r w:rsidRPr="00775233">
        <w:rPr>
          <w:rFonts w:eastAsia="Times New Roman" w:cs="Segoe UI"/>
        </w:rPr>
        <w:t xml:space="preserve">Comment by </w:t>
      </w:r>
      <w:r w:rsidRPr="00775233">
        <w:t>Elizabeth de Somer, Member Nominated by Medicines Australia</w:t>
      </w:r>
      <w:r w:rsidR="00A40557" w:rsidRPr="00775233">
        <w:t xml:space="preserve">. </w:t>
      </w:r>
      <w:r w:rsidR="0069488F">
        <w:t>‘</w:t>
      </w:r>
      <w:r w:rsidRPr="00775233" w:rsidDel="006C070A">
        <w:t>T</w:t>
      </w:r>
      <w:r w:rsidRPr="00775233">
        <w:t xml:space="preserve">he industry recognises the importance of the updated PBAC </w:t>
      </w:r>
      <w:r w:rsidR="000A7B7B">
        <w:t>G</w:t>
      </w:r>
      <w:r w:rsidRPr="00775233">
        <w:t>uidelines that provide clarity to the PBAC and maintains this would be strengthened with an alternative recommendation:</w:t>
      </w:r>
    </w:p>
    <w:p w14:paraId="3E39F853" w14:textId="1B3E007C" w:rsidR="005160E7" w:rsidRPr="00775233" w:rsidRDefault="005160E7" w:rsidP="005160E7">
      <w:pPr>
        <w:spacing w:after="120"/>
      </w:pPr>
      <w:r w:rsidRPr="00775233">
        <w:t>The National Health Act includes an additional clause to clarify that, in subsections 101(3A) and (3B), in having regard to the alternative therapy or therapies for the relevant patient population and any sub-populations, the Committee must consider the therapy or therapies most likely to be replaced in clinical practice.</w:t>
      </w:r>
      <w:r w:rsidR="006C070A">
        <w:t>’</w:t>
      </w:r>
      <w:r w:rsidRPr="00775233">
        <w:t xml:space="preserve"> </w:t>
      </w:r>
    </w:p>
    <w:p w14:paraId="1E02B1BA" w14:textId="09A13141" w:rsidR="00003630" w:rsidRPr="00824739" w:rsidRDefault="00003630" w:rsidP="00074B8A">
      <w:pPr>
        <w:pStyle w:val="Recommendation1"/>
      </w:pPr>
      <w:bookmarkStart w:id="634" w:name="_Hlk167302571"/>
      <w:r w:rsidRPr="00824739">
        <w:t>Cost-</w:t>
      </w:r>
      <w:proofErr w:type="spellStart"/>
      <w:r w:rsidRPr="00824739">
        <w:t>minimisation</w:t>
      </w:r>
      <w:proofErr w:type="spellEnd"/>
      <w:r>
        <w:t xml:space="preserve"> submissions</w:t>
      </w:r>
    </w:p>
    <w:bookmarkEnd w:id="634"/>
    <w:p w14:paraId="1D19DEFF" w14:textId="12B2EDF3" w:rsidR="00003630" w:rsidRPr="00824739" w:rsidRDefault="00003630" w:rsidP="005F5549">
      <w:pPr>
        <w:spacing w:before="120" w:after="120"/>
        <w:rPr>
          <w:rFonts w:cs="Segoe UI"/>
        </w:rPr>
      </w:pPr>
      <w:r w:rsidRPr="00405FD7">
        <w:rPr>
          <w:rFonts w:cs="Segoe UI"/>
        </w:rPr>
        <w:t xml:space="preserve">The Review recommends </w:t>
      </w:r>
      <w:r w:rsidR="00781389">
        <w:rPr>
          <w:rFonts w:cs="Segoe UI"/>
        </w:rPr>
        <w:t xml:space="preserve">that </w:t>
      </w:r>
      <w:r w:rsidRPr="00405FD7">
        <w:rPr>
          <w:rFonts w:cs="Segoe UI"/>
        </w:rPr>
        <w:t>the Australian Government</w:t>
      </w:r>
      <w:r w:rsidR="00A01D65" w:rsidRPr="00A01D65">
        <w:rPr>
          <w:rFonts w:cs="Segoe UI"/>
          <w:bCs/>
        </w:rPr>
        <w:t xml:space="preserve"> i</w:t>
      </w:r>
      <w:r w:rsidRPr="00A01D65">
        <w:rPr>
          <w:rFonts w:cs="Segoe UI"/>
          <w:bCs/>
        </w:rPr>
        <w:t>nvestigate</w:t>
      </w:r>
      <w:r w:rsidRPr="00824739">
        <w:rPr>
          <w:rFonts w:cs="Segoe UI"/>
        </w:rPr>
        <w:t xml:space="preserve"> mechanisms to differentiate cost-minimisation submissions based on their proportiona</w:t>
      </w:r>
      <w:r w:rsidR="00FC3A1A">
        <w:rPr>
          <w:rFonts w:cs="Segoe UI"/>
        </w:rPr>
        <w:t>te</w:t>
      </w:r>
      <w:r w:rsidRPr="00824739">
        <w:rPr>
          <w:rFonts w:cs="Segoe UI"/>
        </w:rPr>
        <w:t xml:space="preserve"> benefit and relative cost</w:t>
      </w:r>
      <w:r w:rsidRPr="00202230">
        <w:rPr>
          <w:rFonts w:cs="Segoe UI"/>
        </w:rPr>
        <w:t xml:space="preserve"> </w:t>
      </w:r>
      <w:r>
        <w:rPr>
          <w:rFonts w:cs="Segoe UI"/>
        </w:rPr>
        <w:t>i</w:t>
      </w:r>
      <w:r w:rsidRPr="00824739">
        <w:rPr>
          <w:rFonts w:cs="Segoe UI"/>
        </w:rPr>
        <w:t xml:space="preserve">n line with other options in the Review to calibrate the methods and level of appraisal to the level of risk and clinical need </w:t>
      </w:r>
      <w:r w:rsidR="00781389">
        <w:rPr>
          <w:rFonts w:cs="Segoe UI"/>
        </w:rPr>
        <w:t>and</w:t>
      </w:r>
      <w:r w:rsidRPr="00824739">
        <w:rPr>
          <w:rFonts w:cs="Segoe UI"/>
        </w:rPr>
        <w:t>/</w:t>
      </w:r>
      <w:r w:rsidR="00781389">
        <w:rPr>
          <w:rFonts w:cs="Segoe UI"/>
        </w:rPr>
        <w:t>or</w:t>
      </w:r>
      <w:r w:rsidRPr="00824739">
        <w:rPr>
          <w:rFonts w:cs="Segoe UI"/>
        </w:rPr>
        <w:t xml:space="preserve"> benefit of submissions.</w:t>
      </w:r>
    </w:p>
    <w:p w14:paraId="048C980F" w14:textId="525D7E02" w:rsidR="00003630" w:rsidRPr="006A57E5" w:rsidRDefault="00003630" w:rsidP="00074B8A">
      <w:pPr>
        <w:pStyle w:val="Recommendation1"/>
      </w:pPr>
      <w:bookmarkStart w:id="635" w:name="_Hlk167302579"/>
      <w:r w:rsidRPr="006A57E5">
        <w:t xml:space="preserve">Valuing </w:t>
      </w:r>
      <w:r w:rsidR="008066E1">
        <w:t>and pricing</w:t>
      </w:r>
    </w:p>
    <w:bookmarkEnd w:id="635"/>
    <w:p w14:paraId="6E61F50D" w14:textId="4C042A4C" w:rsidR="00003630" w:rsidRPr="00FE400C" w:rsidRDefault="00003630" w:rsidP="00D468A4">
      <w:pPr>
        <w:spacing w:before="120"/>
        <w:rPr>
          <w:rFonts w:eastAsia="Times New Roman" w:cs="Segoe UI"/>
          <w:lang w:eastAsia="en-AU"/>
        </w:rPr>
      </w:pPr>
      <w:r w:rsidRPr="00405FD7">
        <w:rPr>
          <w:rFonts w:cs="Segoe UI"/>
        </w:rPr>
        <w:t xml:space="preserve">The Review recommends </w:t>
      </w:r>
      <w:r w:rsidR="00781389">
        <w:rPr>
          <w:rFonts w:cs="Segoe UI"/>
        </w:rPr>
        <w:t xml:space="preserve">that </w:t>
      </w:r>
      <w:r w:rsidRPr="00405FD7">
        <w:rPr>
          <w:rFonts w:cs="Segoe UI"/>
        </w:rPr>
        <w:t>the Australian Government</w:t>
      </w:r>
      <w:r w:rsidR="00A01D65">
        <w:rPr>
          <w:rFonts w:eastAsia="Times New Roman" w:cs="Segoe UI"/>
          <w:lang w:eastAsia="en-AU"/>
        </w:rPr>
        <w:t xml:space="preserve"> c</w:t>
      </w:r>
      <w:r w:rsidRPr="00FE400C">
        <w:rPr>
          <w:rFonts w:eastAsia="Times New Roman" w:cs="Segoe UI"/>
          <w:lang w:eastAsia="en-AU"/>
        </w:rPr>
        <w:t xml:space="preserve">onduct </w:t>
      </w:r>
      <w:r>
        <w:rPr>
          <w:rFonts w:eastAsia="Times New Roman" w:cs="Segoe UI"/>
          <w:lang w:eastAsia="en-AU"/>
        </w:rPr>
        <w:t>research</w:t>
      </w:r>
      <w:r w:rsidRPr="00FE400C">
        <w:rPr>
          <w:rFonts w:eastAsia="Times New Roman" w:cs="Segoe UI"/>
          <w:lang w:eastAsia="en-AU"/>
        </w:rPr>
        <w:t xml:space="preserve"> to understand </w:t>
      </w:r>
      <w:proofErr w:type="gramStart"/>
      <w:r w:rsidRPr="00FE400C">
        <w:rPr>
          <w:rFonts w:eastAsia="Times New Roman" w:cs="Segoe UI"/>
          <w:lang w:eastAsia="en-AU"/>
        </w:rPr>
        <w:t>if and whe</w:t>
      </w:r>
      <w:r w:rsidR="00FA396E">
        <w:rPr>
          <w:rFonts w:eastAsia="Times New Roman" w:cs="Segoe UI"/>
          <w:lang w:eastAsia="en-AU"/>
        </w:rPr>
        <w:t>n</w:t>
      </w:r>
      <w:proofErr w:type="gramEnd"/>
      <w:r w:rsidRPr="00FE400C">
        <w:rPr>
          <w:rFonts w:eastAsia="Times New Roman" w:cs="Segoe UI"/>
          <w:lang w:eastAsia="en-AU"/>
        </w:rPr>
        <w:t xml:space="preserve"> it may be reasonable for </w:t>
      </w:r>
      <w:r w:rsidR="002A2548" w:rsidRPr="002A2548">
        <w:rPr>
          <w:rFonts w:eastAsia="Times New Roman" w:cs="Segoe UI"/>
          <w:lang w:eastAsia="en-AU"/>
        </w:rPr>
        <w:t>HTA</w:t>
      </w:r>
      <w:r w:rsidR="002A2548" w:rsidRPr="002A2548" w:rsidDel="002A2548">
        <w:rPr>
          <w:rFonts w:eastAsia="Times New Roman" w:cs="Segoe UI"/>
          <w:lang w:eastAsia="en-AU"/>
        </w:rPr>
        <w:t xml:space="preserve"> </w:t>
      </w:r>
      <w:r w:rsidR="00C16518">
        <w:rPr>
          <w:rFonts w:eastAsia="Times New Roman" w:cs="Segoe UI"/>
          <w:lang w:eastAsia="en-AU"/>
        </w:rPr>
        <w:t xml:space="preserve">advisory </w:t>
      </w:r>
      <w:r w:rsidRPr="00FE400C">
        <w:rPr>
          <w:rFonts w:eastAsia="Times New Roman" w:cs="Segoe UI"/>
          <w:lang w:eastAsia="en-AU"/>
        </w:rPr>
        <w:t xml:space="preserve">committees to accept higher prices for health technologies </w:t>
      </w:r>
      <w:r>
        <w:rPr>
          <w:rFonts w:eastAsia="Times New Roman" w:cs="Segoe UI"/>
          <w:lang w:eastAsia="en-AU"/>
        </w:rPr>
        <w:t>than are currently accepted</w:t>
      </w:r>
      <w:r w:rsidR="00781389">
        <w:rPr>
          <w:rFonts w:eastAsia="Times New Roman" w:cs="Segoe UI"/>
          <w:lang w:eastAsia="en-AU"/>
        </w:rPr>
        <w:t>. This</w:t>
      </w:r>
      <w:r w:rsidRPr="00FE400C">
        <w:rPr>
          <w:rFonts w:eastAsia="Times New Roman" w:cs="Segoe UI"/>
          <w:lang w:eastAsia="en-AU"/>
        </w:rPr>
        <w:t xml:space="preserve"> includ</w:t>
      </w:r>
      <w:r w:rsidR="00781389">
        <w:rPr>
          <w:rFonts w:eastAsia="Times New Roman" w:cs="Segoe UI"/>
          <w:lang w:eastAsia="en-AU"/>
        </w:rPr>
        <w:t>es</w:t>
      </w:r>
      <w:r w:rsidRPr="00FE400C">
        <w:rPr>
          <w:rFonts w:eastAsia="Times New Roman" w:cs="Segoe UI"/>
          <w:lang w:eastAsia="en-AU"/>
        </w:rPr>
        <w:t xml:space="preserve">: </w:t>
      </w:r>
    </w:p>
    <w:p w14:paraId="3F02E9A9" w14:textId="77777777" w:rsidR="00003630" w:rsidRPr="00FE400C" w:rsidRDefault="00003630" w:rsidP="00D468A4">
      <w:pPr>
        <w:pStyle w:val="ListParagraph"/>
        <w:numPr>
          <w:ilvl w:val="0"/>
          <w:numId w:val="46"/>
        </w:numPr>
        <w:spacing w:after="120"/>
        <w:rPr>
          <w:rFonts w:eastAsia="Times New Roman" w:cs="Segoe UI"/>
          <w:lang w:eastAsia="en-AU"/>
        </w:rPr>
      </w:pPr>
      <w:r w:rsidRPr="00FE400C">
        <w:rPr>
          <w:rFonts w:eastAsia="Times New Roman" w:cs="Segoe UI"/>
          <w:lang w:eastAsia="en-AU"/>
        </w:rPr>
        <w:t>in what circumstances</w:t>
      </w:r>
    </w:p>
    <w:p w14:paraId="6DCACEA2" w14:textId="77777777" w:rsidR="00003630" w:rsidRPr="00FE400C" w:rsidRDefault="00003630" w:rsidP="00D468A4">
      <w:pPr>
        <w:pStyle w:val="ListParagraph"/>
        <w:numPr>
          <w:ilvl w:val="0"/>
          <w:numId w:val="46"/>
        </w:numPr>
        <w:spacing w:after="120"/>
        <w:rPr>
          <w:rFonts w:eastAsia="Times New Roman" w:cs="Segoe UI"/>
          <w:lang w:eastAsia="en-AU"/>
        </w:rPr>
      </w:pPr>
      <w:r w:rsidRPr="00FE400C">
        <w:rPr>
          <w:rFonts w:eastAsia="Times New Roman" w:cs="Segoe UI"/>
          <w:lang w:eastAsia="en-AU"/>
        </w:rPr>
        <w:t>for what benefit</w:t>
      </w:r>
    </w:p>
    <w:p w14:paraId="18661FAE" w14:textId="23111FFE" w:rsidR="00003630" w:rsidRPr="00FE400C" w:rsidRDefault="00003630" w:rsidP="00D468A4">
      <w:pPr>
        <w:pStyle w:val="ListParagraph"/>
        <w:numPr>
          <w:ilvl w:val="0"/>
          <w:numId w:val="46"/>
        </w:numPr>
        <w:spacing w:after="120"/>
        <w:rPr>
          <w:rFonts w:eastAsia="Times New Roman" w:cs="Segoe UI"/>
          <w:lang w:eastAsia="en-AU"/>
        </w:rPr>
      </w:pPr>
      <w:r w:rsidRPr="00FE400C">
        <w:rPr>
          <w:rFonts w:eastAsia="Times New Roman" w:cs="Segoe UI"/>
          <w:lang w:eastAsia="en-AU"/>
        </w:rPr>
        <w:t>how much greater cost would be reasonable to secure th</w:t>
      </w:r>
      <w:r w:rsidR="00C62705">
        <w:rPr>
          <w:rFonts w:eastAsia="Times New Roman" w:cs="Segoe UI"/>
          <w:lang w:eastAsia="en-AU"/>
        </w:rPr>
        <w:t>e</w:t>
      </w:r>
      <w:r w:rsidRPr="00FE400C">
        <w:rPr>
          <w:rFonts w:eastAsia="Times New Roman" w:cs="Segoe UI"/>
          <w:lang w:eastAsia="en-AU"/>
        </w:rPr>
        <w:t xml:space="preserve"> benefit</w:t>
      </w:r>
    </w:p>
    <w:p w14:paraId="20DA0F62" w14:textId="12335B2D" w:rsidR="00003630" w:rsidRPr="00FE400C" w:rsidRDefault="00C62705" w:rsidP="00D468A4">
      <w:pPr>
        <w:pStyle w:val="ListParagraph"/>
        <w:numPr>
          <w:ilvl w:val="0"/>
          <w:numId w:val="46"/>
        </w:numPr>
        <w:spacing w:after="120"/>
        <w:rPr>
          <w:rFonts w:eastAsia="Times New Roman" w:cs="Segoe UI"/>
          <w:lang w:eastAsia="en-AU"/>
        </w:rPr>
      </w:pPr>
      <w:r>
        <w:rPr>
          <w:rFonts w:eastAsia="Times New Roman" w:cs="Segoe UI"/>
          <w:lang w:eastAsia="en-AU"/>
        </w:rPr>
        <w:t xml:space="preserve">the level of </w:t>
      </w:r>
      <w:r w:rsidR="00003630" w:rsidRPr="00FE400C">
        <w:rPr>
          <w:rFonts w:eastAsia="Times New Roman" w:cs="Segoe UI"/>
          <w:lang w:eastAsia="en-AU"/>
        </w:rPr>
        <w:t>confiden</w:t>
      </w:r>
      <w:r>
        <w:rPr>
          <w:rFonts w:eastAsia="Times New Roman" w:cs="Segoe UI"/>
          <w:lang w:eastAsia="en-AU"/>
        </w:rPr>
        <w:t>ce</w:t>
      </w:r>
      <w:r w:rsidR="00003630" w:rsidRPr="00FE400C">
        <w:rPr>
          <w:rFonts w:eastAsia="Times New Roman" w:cs="Segoe UI"/>
          <w:lang w:eastAsia="en-AU"/>
        </w:rPr>
        <w:t xml:space="preserve"> need</w:t>
      </w:r>
      <w:r>
        <w:rPr>
          <w:rFonts w:eastAsia="Times New Roman" w:cs="Segoe UI"/>
          <w:lang w:eastAsia="en-AU"/>
        </w:rPr>
        <w:t>ed</w:t>
      </w:r>
      <w:r w:rsidR="00003630" w:rsidRPr="00FE400C">
        <w:rPr>
          <w:rFonts w:eastAsia="Times New Roman" w:cs="Segoe UI"/>
          <w:lang w:eastAsia="en-AU"/>
        </w:rPr>
        <w:t xml:space="preserve"> that </w:t>
      </w:r>
      <w:r>
        <w:rPr>
          <w:rFonts w:eastAsia="Times New Roman" w:cs="Segoe UI"/>
          <w:lang w:eastAsia="en-AU"/>
        </w:rPr>
        <w:t xml:space="preserve">the benefit would </w:t>
      </w:r>
      <w:r w:rsidR="00003630" w:rsidRPr="00FE400C">
        <w:rPr>
          <w:rFonts w:eastAsia="Times New Roman" w:cs="Segoe UI"/>
          <w:lang w:eastAsia="en-AU"/>
        </w:rPr>
        <w:t>be secur</w:t>
      </w:r>
      <w:r>
        <w:rPr>
          <w:rFonts w:eastAsia="Times New Roman" w:cs="Segoe UI"/>
          <w:lang w:eastAsia="en-AU"/>
        </w:rPr>
        <w:t>ed</w:t>
      </w:r>
    </w:p>
    <w:p w14:paraId="688CECC7" w14:textId="2852F42B" w:rsidR="00003630" w:rsidRPr="00FE400C" w:rsidRDefault="00003630" w:rsidP="00D468A4">
      <w:pPr>
        <w:pStyle w:val="ListParagraph"/>
        <w:numPr>
          <w:ilvl w:val="0"/>
          <w:numId w:val="46"/>
        </w:numPr>
        <w:spacing w:after="120"/>
        <w:rPr>
          <w:rFonts w:eastAsia="Times New Roman" w:cs="Segoe UI"/>
          <w:lang w:eastAsia="en-AU"/>
        </w:rPr>
      </w:pPr>
      <w:r w:rsidRPr="00FE400C">
        <w:rPr>
          <w:rFonts w:eastAsia="Times New Roman" w:cs="Segoe UI"/>
          <w:lang w:eastAsia="en-AU"/>
        </w:rPr>
        <w:t xml:space="preserve">measures </w:t>
      </w:r>
      <w:r w:rsidR="00C62705">
        <w:rPr>
          <w:rFonts w:eastAsia="Times New Roman" w:cs="Segoe UI"/>
          <w:lang w:eastAsia="en-AU"/>
        </w:rPr>
        <w:t xml:space="preserve">that </w:t>
      </w:r>
      <w:r w:rsidRPr="00FE400C">
        <w:rPr>
          <w:rFonts w:eastAsia="Times New Roman" w:cs="Segoe UI"/>
          <w:lang w:eastAsia="en-AU"/>
        </w:rPr>
        <w:t xml:space="preserve">would be appropriate to offset the higher costs over a product’s lifecycle. </w:t>
      </w:r>
    </w:p>
    <w:p w14:paraId="016487C2" w14:textId="7EDC1410" w:rsidR="00003630" w:rsidRPr="00FE400C" w:rsidRDefault="00003630" w:rsidP="00640F4C">
      <w:pPr>
        <w:spacing w:before="120" w:after="120"/>
        <w:rPr>
          <w:rFonts w:eastAsia="Times New Roman" w:cs="Segoe UI"/>
          <w:lang w:eastAsia="en-AU"/>
        </w:rPr>
      </w:pPr>
      <w:r w:rsidRPr="00FE400C">
        <w:rPr>
          <w:rFonts w:eastAsia="Times New Roman" w:cs="Segoe UI"/>
          <w:lang w:eastAsia="en-AU"/>
        </w:rPr>
        <w:t>To ensure the sentiment captured through workshops</w:t>
      </w:r>
      <w:r w:rsidR="00C62705">
        <w:rPr>
          <w:rFonts w:eastAsia="Times New Roman" w:cs="Segoe UI"/>
          <w:lang w:eastAsia="en-AU"/>
        </w:rPr>
        <w:t xml:space="preserve"> and</w:t>
      </w:r>
      <w:r w:rsidR="00C62705" w:rsidRPr="00FE400C">
        <w:rPr>
          <w:rFonts w:eastAsia="Times New Roman" w:cs="Segoe UI"/>
          <w:lang w:eastAsia="en-AU"/>
        </w:rPr>
        <w:t xml:space="preserve"> consultation</w:t>
      </w:r>
      <w:r w:rsidR="00C62705">
        <w:rPr>
          <w:rFonts w:eastAsia="Times New Roman" w:cs="Segoe UI"/>
          <w:lang w:eastAsia="en-AU"/>
        </w:rPr>
        <w:t>s</w:t>
      </w:r>
      <w:r w:rsidRPr="00FE400C">
        <w:rPr>
          <w:rFonts w:eastAsia="Times New Roman" w:cs="Segoe UI"/>
          <w:lang w:eastAsia="en-AU"/>
        </w:rPr>
        <w:t xml:space="preserve"> </w:t>
      </w:r>
      <w:r w:rsidR="00C62705">
        <w:rPr>
          <w:rFonts w:eastAsia="Times New Roman" w:cs="Segoe UI"/>
          <w:lang w:eastAsia="en-AU"/>
        </w:rPr>
        <w:t>is</w:t>
      </w:r>
      <w:r w:rsidRPr="00FE400C">
        <w:rPr>
          <w:rFonts w:eastAsia="Times New Roman" w:cs="Segoe UI"/>
          <w:lang w:eastAsia="en-AU"/>
        </w:rPr>
        <w:t xml:space="preserve"> representative of the Australian population, </w:t>
      </w:r>
      <w:r w:rsidR="00C62705">
        <w:rPr>
          <w:rFonts w:eastAsia="Times New Roman" w:cs="Segoe UI"/>
          <w:lang w:eastAsia="en-AU"/>
        </w:rPr>
        <w:t>they</w:t>
      </w:r>
      <w:r w:rsidRPr="00FE400C">
        <w:rPr>
          <w:rFonts w:eastAsia="Times New Roman" w:cs="Segoe UI"/>
          <w:lang w:eastAsia="en-AU"/>
        </w:rPr>
        <w:t xml:space="preserve"> should include a population representative sample (including representati</w:t>
      </w:r>
      <w:r w:rsidR="00C62705">
        <w:rPr>
          <w:rFonts w:eastAsia="Times New Roman" w:cs="Segoe UI"/>
          <w:lang w:eastAsia="en-AU"/>
        </w:rPr>
        <w:t>ves</w:t>
      </w:r>
      <w:r w:rsidRPr="00FE400C">
        <w:rPr>
          <w:rFonts w:eastAsia="Times New Roman" w:cs="Segoe UI"/>
          <w:lang w:eastAsia="en-AU"/>
        </w:rPr>
        <w:t xml:space="preserve"> of key stakeholder groups) and ensure measurement is free from selection bias. </w:t>
      </w:r>
    </w:p>
    <w:p w14:paraId="08B8BB74" w14:textId="577BC7BD" w:rsidR="00003630" w:rsidRDefault="00003630" w:rsidP="00640F4C">
      <w:r w:rsidRPr="00B61FDC">
        <w:rPr>
          <w:iCs/>
        </w:rPr>
        <w:t xml:space="preserve">Note: workshops could also be assisted through </w:t>
      </w:r>
      <w:r w:rsidR="00C62705">
        <w:rPr>
          <w:iCs/>
        </w:rPr>
        <w:t xml:space="preserve">the </w:t>
      </w:r>
      <w:r w:rsidRPr="00B61FDC">
        <w:rPr>
          <w:iCs/>
        </w:rPr>
        <w:t>use of the explicit qualitative value framework proposed above (see</w:t>
      </w:r>
      <w:r w:rsidR="0039107F">
        <w:t xml:space="preserve"> ‘Recommendation 26: Developing an e</w:t>
      </w:r>
      <w:r w:rsidR="0039107F" w:rsidRPr="00D01298">
        <w:t xml:space="preserve">xplicit </w:t>
      </w:r>
      <w:r w:rsidR="0039107F">
        <w:t>qualitative v</w:t>
      </w:r>
      <w:r w:rsidR="0039107F" w:rsidRPr="00D01298">
        <w:t xml:space="preserve">alues </w:t>
      </w:r>
      <w:r w:rsidR="0039107F">
        <w:t>f</w:t>
      </w:r>
      <w:r w:rsidR="0039107F" w:rsidRPr="00D01298">
        <w:t>ramework</w:t>
      </w:r>
      <w:r w:rsidR="0039107F">
        <w:t>’</w:t>
      </w:r>
      <w:proofErr w:type="gramStart"/>
      <w:r w:rsidR="0039107F" w:rsidRPr="00D01298">
        <w:t>)</w:t>
      </w:r>
      <w:r w:rsidR="009202E9">
        <w:rPr>
          <w:iCs/>
        </w:rPr>
        <w:t xml:space="preserve"> </w:t>
      </w:r>
      <w:r w:rsidRPr="7F7FE023">
        <w:rPr>
          <w:rFonts w:eastAsia="Times New Roman"/>
          <w:lang w:eastAsia="en-AU"/>
        </w:rPr>
        <w:t>)</w:t>
      </w:r>
      <w:proofErr w:type="gramEnd"/>
      <w:r w:rsidRPr="7F7FE023">
        <w:rPr>
          <w:rFonts w:eastAsia="Times New Roman"/>
          <w:lang w:eastAsia="en-AU"/>
        </w:rPr>
        <w:t>.</w:t>
      </w:r>
    </w:p>
    <w:p w14:paraId="1C6CE10A" w14:textId="01C022B6" w:rsidR="00DF7C77" w:rsidRDefault="00D06DAB" w:rsidP="00F51C08">
      <w:pPr>
        <w:pStyle w:val="Heading2"/>
      </w:pPr>
      <w:bookmarkStart w:id="636" w:name="_Toc164685854"/>
      <w:bookmarkStart w:id="637" w:name="_Toc164691488"/>
      <w:bookmarkStart w:id="638" w:name="_Toc164696282"/>
      <w:bookmarkStart w:id="639" w:name="_Toc164696428"/>
      <w:bookmarkStart w:id="640" w:name="_Toc164767816"/>
      <w:bookmarkStart w:id="641" w:name="_Toc165473748"/>
      <w:bookmarkStart w:id="642" w:name="_Toc171935898"/>
      <w:r>
        <w:lastRenderedPageBreak/>
        <w:t>Chapter 8.</w:t>
      </w:r>
      <w:r w:rsidR="001E69AC">
        <w:t>5</w:t>
      </w:r>
      <w:r w:rsidR="002F2DFF">
        <w:t xml:space="preserve">: </w:t>
      </w:r>
      <w:r w:rsidR="00DF7C77">
        <w:t>Environmental considerations</w:t>
      </w:r>
      <w:bookmarkEnd w:id="636"/>
      <w:bookmarkEnd w:id="637"/>
      <w:bookmarkEnd w:id="638"/>
      <w:bookmarkEnd w:id="639"/>
      <w:bookmarkEnd w:id="640"/>
      <w:bookmarkEnd w:id="641"/>
      <w:bookmarkEnd w:id="642"/>
    </w:p>
    <w:p w14:paraId="21DCA650" w14:textId="4545D88C" w:rsidR="00AF6942" w:rsidRDefault="00B1572B" w:rsidP="00A318F7">
      <w:pPr>
        <w:pStyle w:val="Heading3"/>
      </w:pPr>
      <w:r>
        <w:t>Introduction and context</w:t>
      </w:r>
    </w:p>
    <w:p w14:paraId="468DC973" w14:textId="4F1981B0" w:rsidR="004836B5" w:rsidRDefault="00612614" w:rsidP="00405FD7">
      <w:r w:rsidRPr="008910C3">
        <w:t>Globally, health</w:t>
      </w:r>
      <w:r w:rsidR="002D33A5">
        <w:t xml:space="preserve"> </w:t>
      </w:r>
      <w:r w:rsidRPr="008910C3">
        <w:t>care</w:t>
      </w:r>
      <w:r w:rsidRPr="008910C3" w:rsidDel="00C95BD6">
        <w:t xml:space="preserve"> </w:t>
      </w:r>
      <w:r w:rsidRPr="008910C3">
        <w:t>contributes 5% of all greenhouse gas emissions</w:t>
      </w:r>
      <w:r w:rsidR="00FA396E">
        <w:t>,</w:t>
      </w:r>
      <w:r w:rsidRPr="008910C3">
        <w:t xml:space="preserve"> and decarbonisation is urgently needed. In Australia and other high-income countries, manufacturers of health technology products are making commitments to decarbonise their production processes as part of national efforts to achieve net zero emissions. Cochlear Ltd and Sonic Healthcare have both committed to achieving net zero direct and indirect emissions by 2050</w:t>
      </w:r>
      <w:r w:rsidR="00952020">
        <w:t>. I</w:t>
      </w:r>
      <w:r w:rsidRPr="00CD050D">
        <w:t xml:space="preserve">n </w:t>
      </w:r>
      <w:r w:rsidRPr="008910C3">
        <w:t>relation to Scope 1</w:t>
      </w:r>
      <w:r w:rsidRPr="00A318F7">
        <w:rPr>
          <w:rStyle w:val="FootnoteReference"/>
        </w:rPr>
        <w:footnoteReference w:id="193"/>
      </w:r>
      <w:r w:rsidRPr="00524183">
        <w:rPr>
          <w:rFonts w:ascii="Calibri" w:eastAsia="Calibri" w:hAnsi="Calibri" w:cs="Calibri"/>
          <w:sz w:val="22"/>
          <w:szCs w:val="22"/>
          <w:lang w:val="en-GB"/>
        </w:rPr>
        <w:t xml:space="preserve"> </w:t>
      </w:r>
      <w:r w:rsidRPr="008910C3">
        <w:t xml:space="preserve">and </w:t>
      </w:r>
      <w:r w:rsidR="00952020">
        <w:t xml:space="preserve">Scope </w:t>
      </w:r>
      <w:r w:rsidRPr="008910C3">
        <w:t>2</w:t>
      </w:r>
      <w:r w:rsidRPr="00A318F7">
        <w:rPr>
          <w:rStyle w:val="FootnoteReference"/>
        </w:rPr>
        <w:footnoteReference w:id="194"/>
      </w:r>
      <w:r w:rsidRPr="00A318F7">
        <w:rPr>
          <w:rStyle w:val="FootnoteReference"/>
        </w:rPr>
        <w:t xml:space="preserve"> </w:t>
      </w:r>
      <w:r w:rsidRPr="008910C3">
        <w:t>emissions</w:t>
      </w:r>
      <w:r>
        <w:t>,</w:t>
      </w:r>
      <w:r w:rsidRPr="008910C3">
        <w:t xml:space="preserve"> Cochlear has committed to net zero by 2030 and Sonic Healthcare has committed to a 43% reduction against 2005 levels by 2030. </w:t>
      </w:r>
    </w:p>
    <w:p w14:paraId="42903E67" w14:textId="755F30C2" w:rsidR="00612614" w:rsidRPr="00F311AA" w:rsidRDefault="00612614" w:rsidP="00405FD7">
      <w:r w:rsidRPr="008910C3">
        <w:t xml:space="preserve">These commitments reflect </w:t>
      </w:r>
      <w:r w:rsidRPr="00CD050D">
        <w:t xml:space="preserve">the </w:t>
      </w:r>
      <w:r w:rsidRPr="008910C3">
        <w:t xml:space="preserve">expectations of shareholders and capital markets that health technology manufacturers contribute responsibly to global efforts to mitigate the threats to people and </w:t>
      </w:r>
      <w:r>
        <w:t xml:space="preserve">the </w:t>
      </w:r>
      <w:r w:rsidRPr="008910C3">
        <w:t>planet posed by climate change. As part of these efforts to decarbonise health technology manufacturing, efforts are underway to not only measure greenhouse gas emissions at a company level, but to also measure the emissions associated with individual health technology products. This is best done via ‘process-based lifecycle assessment’</w:t>
      </w:r>
      <w:r w:rsidR="00BB3842">
        <w:t>. This</w:t>
      </w:r>
      <w:r w:rsidRPr="008910C3">
        <w:t xml:space="preserve"> maps environmental impacts associated with each stage of </w:t>
      </w:r>
      <w:r w:rsidR="00BB3842">
        <w:t>a</w:t>
      </w:r>
      <w:r w:rsidRPr="008910C3">
        <w:t xml:space="preserve"> product’s lifecycle, </w:t>
      </w:r>
      <w:r>
        <w:t>including</w:t>
      </w:r>
      <w:r w:rsidRPr="008910C3">
        <w:t xml:space="preserve"> raw material extraction, manufacturing and assembly</w:t>
      </w:r>
      <w:r w:rsidR="00FA396E">
        <w:t>,</w:t>
      </w:r>
      <w:r w:rsidDel="00FA396E">
        <w:t xml:space="preserve"> </w:t>
      </w:r>
      <w:r w:rsidRPr="008910C3">
        <w:t>use</w:t>
      </w:r>
      <w:r w:rsidR="00FA396E">
        <w:t>,</w:t>
      </w:r>
      <w:r w:rsidRPr="008910C3">
        <w:t xml:space="preserve"> and end of life (‘cradle to grave’). Environmentally </w:t>
      </w:r>
      <w:r w:rsidR="00BB3842">
        <w:t>e</w:t>
      </w:r>
      <w:r w:rsidRPr="008910C3">
        <w:t xml:space="preserve">xtended </w:t>
      </w:r>
      <w:r w:rsidR="00BB3842">
        <w:t>i</w:t>
      </w:r>
      <w:r w:rsidRPr="008910C3">
        <w:t>nput</w:t>
      </w:r>
      <w:r w:rsidR="00BB3842">
        <w:t>-o</w:t>
      </w:r>
      <w:r w:rsidRPr="008910C3">
        <w:t>utput analysis</w:t>
      </w:r>
      <w:r>
        <w:t>, an alternative method</w:t>
      </w:r>
      <w:r w:rsidRPr="008910C3">
        <w:t xml:space="preserve"> </w:t>
      </w:r>
      <w:r w:rsidR="00BB3842">
        <w:t>that</w:t>
      </w:r>
      <w:r w:rsidRPr="008910C3">
        <w:t xml:space="preserve"> uses only financial data to estimate footprints, is not appropriate for this purpose. </w:t>
      </w:r>
    </w:p>
    <w:p w14:paraId="7CDB5DB7" w14:textId="5FDE6621" w:rsidR="003C4883" w:rsidRPr="00F311AA" w:rsidRDefault="009E351A" w:rsidP="00405FD7">
      <w:r>
        <w:t xml:space="preserve">The Department </w:t>
      </w:r>
      <w:r w:rsidR="0045758E">
        <w:t>launched</w:t>
      </w:r>
      <w:r w:rsidDel="00BB3842">
        <w:t xml:space="preserve"> </w:t>
      </w:r>
      <w:r w:rsidR="00BB3842">
        <w:t xml:space="preserve">its </w:t>
      </w:r>
      <w:r w:rsidR="00A05809" w:rsidRPr="00A05809">
        <w:t>National Health and Climate Strategy</w:t>
      </w:r>
      <w:r w:rsidR="00BB3842">
        <w:t>, Australia’s first such strategy,</w:t>
      </w:r>
      <w:r>
        <w:t xml:space="preserve"> in December 2023</w:t>
      </w:r>
      <w:r w:rsidR="009B21AB">
        <w:t>.</w:t>
      </w:r>
      <w:bookmarkStart w:id="643" w:name="_Ref166782765"/>
      <w:r w:rsidR="0059623D">
        <w:rPr>
          <w:rStyle w:val="FootnoteReference"/>
        </w:rPr>
        <w:footnoteReference w:id="195"/>
      </w:r>
      <w:bookmarkEnd w:id="643"/>
      <w:r>
        <w:t xml:space="preserve"> </w:t>
      </w:r>
      <w:r w:rsidR="00BB3842">
        <w:t>It</w:t>
      </w:r>
      <w:r w:rsidRPr="00F61528">
        <w:t xml:space="preserve"> outlines priorities for the next 5 years to address the health and wellbeing impacts of climate change. It sets out actions </w:t>
      </w:r>
      <w:r w:rsidR="00BB3842">
        <w:t>that</w:t>
      </w:r>
      <w:r w:rsidRPr="00F61528">
        <w:t xml:space="preserve"> will build healthy, climate-resilient communities, and a sustainable, resilient, high-quality, net zero health system.</w:t>
      </w:r>
      <w:r w:rsidR="00677F34">
        <w:t xml:space="preserve"> There was broad stakeholder support for </w:t>
      </w:r>
      <w:r w:rsidR="00BB3842">
        <w:t>including the</w:t>
      </w:r>
      <w:r w:rsidR="00677F34">
        <w:t xml:space="preserve"> environmental impacts assessment</w:t>
      </w:r>
      <w:r w:rsidR="005C5507">
        <w:t>s</w:t>
      </w:r>
      <w:r w:rsidR="00677F34">
        <w:t xml:space="preserve"> being considered in HTA processes. </w:t>
      </w:r>
    </w:p>
    <w:p w14:paraId="30BD6CAB" w14:textId="15AF6CFC" w:rsidR="00AF6942" w:rsidRDefault="00B1572B" w:rsidP="00A318F7">
      <w:pPr>
        <w:pStyle w:val="Heading3"/>
      </w:pPr>
      <w:r>
        <w:t>Findings</w:t>
      </w:r>
    </w:p>
    <w:p w14:paraId="4BF1A102" w14:textId="0898B767" w:rsidR="70A77A10" w:rsidRDefault="13AB8400" w:rsidP="00405FD7">
      <w:pPr>
        <w:rPr>
          <w:rFonts w:eastAsia="Segoe UI" w:cs="Segoe UI"/>
        </w:rPr>
      </w:pPr>
      <w:r>
        <w:t>Through Consultation 2</w:t>
      </w:r>
      <w:r w:rsidR="00BB3842">
        <w:t>, including</w:t>
      </w:r>
      <w:r w:rsidDel="00BB3842">
        <w:t xml:space="preserve"> </w:t>
      </w:r>
      <w:r>
        <w:t>its face-to-face meetings, the Reference Committee heard evidence that</w:t>
      </w:r>
      <w:r w:rsidR="6CF9B887">
        <w:t xml:space="preserve"> </w:t>
      </w:r>
      <w:r w:rsidR="6CF9B887" w:rsidRPr="7F339FC8">
        <w:rPr>
          <w:rFonts w:eastAsia="Segoe UI" w:cs="Segoe UI"/>
          <w:color w:val="000000" w:themeColor="text1"/>
        </w:rPr>
        <w:t>the majority (60%) of healthcare greenhouse gas emissions were associated with providing clinical care, and therefore driven by clinical decision-</w:t>
      </w:r>
      <w:r w:rsidR="6CF9B887" w:rsidRPr="7F339FC8">
        <w:rPr>
          <w:rFonts w:eastAsia="Segoe UI" w:cs="Segoe UI"/>
          <w:color w:val="000000" w:themeColor="text1"/>
        </w:rPr>
        <w:lastRenderedPageBreak/>
        <w:t>making.</w:t>
      </w:r>
      <w:r w:rsidR="75F5640F" w:rsidRPr="3786153A">
        <w:rPr>
          <w:rFonts w:eastAsia="Segoe UI" w:cs="Segoe UI"/>
          <w:color w:val="000000" w:themeColor="text1"/>
        </w:rPr>
        <w:t xml:space="preserve"> Th</w:t>
      </w:r>
      <w:r w:rsidR="00BB3842">
        <w:rPr>
          <w:rFonts w:eastAsia="Segoe UI" w:cs="Segoe UI"/>
          <w:color w:val="000000" w:themeColor="text1"/>
        </w:rPr>
        <w:t>is</w:t>
      </w:r>
      <w:r w:rsidR="75F5640F" w:rsidRPr="3786153A" w:rsidDel="00BB3842">
        <w:rPr>
          <w:rFonts w:eastAsia="Segoe UI" w:cs="Segoe UI"/>
          <w:color w:val="000000" w:themeColor="text1"/>
        </w:rPr>
        <w:t xml:space="preserve"> </w:t>
      </w:r>
      <w:r w:rsidR="00BB3842">
        <w:rPr>
          <w:rFonts w:eastAsia="Segoe UI" w:cs="Segoe UI"/>
          <w:color w:val="000000" w:themeColor="text1"/>
        </w:rPr>
        <w:t>is</w:t>
      </w:r>
      <w:r w:rsidR="75F5640F" w:rsidRPr="3786153A">
        <w:rPr>
          <w:rFonts w:eastAsia="Segoe UI" w:cs="Segoe UI"/>
          <w:color w:val="000000" w:themeColor="text1"/>
        </w:rPr>
        <w:t xml:space="preserve"> consistent with stakeholder feedback in the</w:t>
      </w:r>
      <w:r w:rsidR="75F5640F">
        <w:t xml:space="preserve"> </w:t>
      </w:r>
      <w:r w:rsidR="009B21AB" w:rsidRPr="00B61FDC">
        <w:rPr>
          <w:i/>
          <w:iCs/>
        </w:rPr>
        <w:t>National Health and Climate Strategy</w:t>
      </w:r>
      <w:r w:rsidR="75F5640F" w:rsidRPr="3786153A">
        <w:rPr>
          <w:rFonts w:eastAsia="Segoe UI" w:cs="Segoe UI"/>
          <w:color w:val="000000" w:themeColor="text1"/>
        </w:rPr>
        <w:t xml:space="preserve"> stakeholder consultation</w:t>
      </w:r>
      <w:r w:rsidR="00BB3842">
        <w:rPr>
          <w:rFonts w:eastAsia="Segoe UI" w:cs="Segoe UI"/>
          <w:color w:val="000000" w:themeColor="text1"/>
        </w:rPr>
        <w:t>.</w:t>
      </w:r>
      <w:r w:rsidR="00AF1DC5">
        <w:rPr>
          <w:rStyle w:val="FootnoteReference"/>
          <w:rFonts w:eastAsia="Segoe UI" w:cs="Segoe UI"/>
          <w:color w:val="000000" w:themeColor="text1"/>
        </w:rPr>
        <w:footnoteReference w:id="196"/>
      </w:r>
    </w:p>
    <w:p w14:paraId="5AB561A9" w14:textId="47633801" w:rsidR="0D951191" w:rsidRDefault="0D951191" w:rsidP="00405FD7">
      <w:pPr>
        <w:rPr>
          <w:rFonts w:cs="Segoe UI"/>
        </w:rPr>
      </w:pPr>
      <w:r>
        <w:rPr>
          <w:noProof/>
        </w:rPr>
        <mc:AlternateContent>
          <mc:Choice Requires="wps">
            <w:drawing>
              <wp:inline distT="0" distB="0" distL="0" distR="0" wp14:anchorId="6F3C4F85" wp14:editId="195835AA">
                <wp:extent cx="5915770" cy="3232087"/>
                <wp:effectExtent l="0" t="0" r="8890" b="6985"/>
                <wp:docPr id="1215236832" name="Rectangle: Diagonal Corners Rounded 12152368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5915770" cy="3232087"/>
                        </a:xfrm>
                        <a:prstGeom prst="round2DiagRect">
                          <a:avLst/>
                        </a:prstGeom>
                        <a:solidFill>
                          <a:schemeClr val="bg1">
                            <a:lumMod val="95000"/>
                          </a:schemeClr>
                        </a:solidFill>
                        <a:ln w="9525">
                          <a:noFill/>
                          <a:miter/>
                        </a:ln>
                      </wps:spPr>
                      <wps:txbx>
                        <w:txbxContent>
                          <w:p w14:paraId="0DE318F2" w14:textId="77777777" w:rsidR="006D398E" w:rsidRPr="00BA3CA7" w:rsidRDefault="006D398E" w:rsidP="00121E46">
                            <w:pPr>
                              <w:spacing w:line="256" w:lineRule="auto"/>
                              <w:ind w:right="14"/>
                              <w:rPr>
                                <w:rFonts w:cs="Segoe UI"/>
                                <w:b/>
                                <w:color w:val="005A68"/>
                                <w:lang w:val="en-US"/>
                              </w:rPr>
                            </w:pPr>
                            <w:r w:rsidRPr="00BA3CA7">
                              <w:rPr>
                                <w:rFonts w:cs="Segoe UI"/>
                                <w:b/>
                                <w:color w:val="005A68"/>
                                <w:lang w:val="en-US"/>
                              </w:rPr>
                              <w:t>What we heard:</w:t>
                            </w:r>
                          </w:p>
                          <w:p w14:paraId="5C40B828" w14:textId="03ED29ED" w:rsidR="00121E46" w:rsidRDefault="00430B12" w:rsidP="000C5623">
                            <w:pPr>
                              <w:spacing w:line="256" w:lineRule="auto"/>
                              <w:ind w:left="283" w:right="14"/>
                              <w:rPr>
                                <w:rFonts w:cs="Segoe UI"/>
                                <w:bCs/>
                                <w:iCs/>
                                <w:color w:val="005A68"/>
                                <w:lang w:val="en-US"/>
                              </w:rPr>
                            </w:pPr>
                            <w:r w:rsidRPr="000C5623">
                              <w:rPr>
                                <w:rFonts w:cs="Segoe UI"/>
                                <w:bCs/>
                                <w:iCs/>
                                <w:color w:val="005A68"/>
                                <w:lang w:val="en-US"/>
                              </w:rPr>
                              <w:t>‘</w:t>
                            </w:r>
                            <w:r w:rsidR="00121E46" w:rsidRPr="000C5623">
                              <w:rPr>
                                <w:rFonts w:cs="Segoe UI"/>
                                <w:bCs/>
                                <w:iCs/>
                                <w:color w:val="005A68"/>
                                <w:lang w:val="en-US"/>
                              </w:rPr>
                              <w:t>Healthcare in Australia has a very large carbon and waste footprint</w:t>
                            </w:r>
                            <w:r w:rsidR="00BB3842">
                              <w:rPr>
                                <w:rFonts w:cs="Segoe UI"/>
                                <w:bCs/>
                                <w:iCs/>
                                <w:color w:val="005A68"/>
                                <w:lang w:val="en-US"/>
                              </w:rPr>
                              <w:t xml:space="preserve"> </w:t>
                            </w:r>
                            <w:r w:rsidR="00121E46" w:rsidRPr="000C5623">
                              <w:rPr>
                                <w:rFonts w:cs="Segoe UI"/>
                                <w:bCs/>
                                <w:iCs/>
                                <w:color w:val="005A68"/>
                                <w:lang w:val="en-US"/>
                              </w:rPr>
                              <w:t>... We need change at pace and scale if we are to meet national targets for containing carbon emissions. This is an essential development described in this section.</w:t>
                            </w:r>
                            <w:r w:rsidRPr="000C5623">
                              <w:rPr>
                                <w:rFonts w:cs="Segoe UI"/>
                                <w:bCs/>
                                <w:iCs/>
                                <w:color w:val="005A68"/>
                                <w:lang w:val="en-US"/>
                              </w:rPr>
                              <w:t>’</w:t>
                            </w:r>
                            <w:r>
                              <w:rPr>
                                <w:rFonts w:cs="Segoe UI"/>
                                <w:bCs/>
                                <w:iCs/>
                                <w:color w:val="005A68"/>
                                <w:lang w:val="en-US"/>
                              </w:rPr>
                              <w:t xml:space="preserve"> </w:t>
                            </w:r>
                          </w:p>
                          <w:p w14:paraId="014DD7CC" w14:textId="3B9A1978" w:rsidR="00955FC1" w:rsidRPr="000C5623" w:rsidRDefault="00955FC1" w:rsidP="00A318F7">
                            <w:pPr>
                              <w:spacing w:line="256" w:lineRule="auto"/>
                              <w:ind w:left="283" w:right="14"/>
                              <w:jc w:val="right"/>
                              <w:rPr>
                                <w:rFonts w:cs="Segoe UI"/>
                                <w:bCs/>
                                <w:iCs/>
                                <w:color w:val="005A68"/>
                                <w:lang w:val="en-US"/>
                              </w:rPr>
                            </w:pPr>
                            <w:r>
                              <w:rPr>
                                <w:rFonts w:cs="Segoe UI"/>
                                <w:b/>
                                <w:color w:val="005A68"/>
                                <w:lang w:val="en-US"/>
                              </w:rPr>
                              <w:t>Consultation 2 submission: Professor Lynne Madden</w:t>
                            </w:r>
                          </w:p>
                          <w:p w14:paraId="7FC7520D" w14:textId="69A989C9" w:rsidR="001E69AC" w:rsidRPr="000C5623" w:rsidRDefault="00430B12" w:rsidP="000C5623">
                            <w:pPr>
                              <w:spacing w:line="256" w:lineRule="auto"/>
                              <w:ind w:left="283" w:right="14"/>
                              <w:rPr>
                                <w:rFonts w:cs="Segoe UI"/>
                                <w:bCs/>
                                <w:iCs/>
                                <w:color w:val="005A68"/>
                                <w:lang w:val="en-US"/>
                              </w:rPr>
                            </w:pPr>
                            <w:r>
                              <w:rPr>
                                <w:rFonts w:cs="Segoe UI"/>
                                <w:bCs/>
                                <w:iCs/>
                                <w:color w:val="005A68"/>
                                <w:lang w:val="en-US"/>
                              </w:rPr>
                              <w:t>‘</w:t>
                            </w:r>
                            <w:r w:rsidR="00121E46" w:rsidRPr="000C5623">
                              <w:rPr>
                                <w:rFonts w:cs="Segoe UI"/>
                                <w:bCs/>
                                <w:iCs/>
                                <w:color w:val="005A68"/>
                                <w:lang w:val="en-US"/>
                              </w:rPr>
                              <w:t>Given the particularly harmful impact that the effects of climate change have on the health of people with asthma and the significant contribution of health technologies to climate change, appropriately resourced, planned and co</w:t>
                            </w:r>
                            <w:r w:rsidR="00BB3842">
                              <w:rPr>
                                <w:rFonts w:cs="Segoe UI"/>
                                <w:bCs/>
                                <w:iCs/>
                                <w:color w:val="005A68"/>
                                <w:lang w:val="en-US"/>
                              </w:rPr>
                              <w:noBreakHyphen/>
                            </w:r>
                            <w:r w:rsidR="00121E46" w:rsidRPr="000C5623">
                              <w:rPr>
                                <w:rFonts w:cs="Segoe UI"/>
                                <w:bCs/>
                                <w:iCs/>
                                <w:color w:val="005A68"/>
                                <w:lang w:val="en-US"/>
                              </w:rPr>
                              <w:t>designed environmental impact reporting could be very positive on consumers.</w:t>
                            </w:r>
                            <w:r>
                              <w:rPr>
                                <w:rFonts w:cs="Segoe UI"/>
                                <w:bCs/>
                                <w:iCs/>
                                <w:color w:val="005A68"/>
                                <w:lang w:val="en-US"/>
                              </w:rPr>
                              <w:t>’</w:t>
                            </w:r>
                            <w:r w:rsidR="00121E46" w:rsidRPr="000C5623">
                              <w:rPr>
                                <w:rFonts w:cs="Segoe UI"/>
                                <w:bCs/>
                                <w:iCs/>
                                <w:color w:val="005A68"/>
                                <w:lang w:val="en-US"/>
                              </w:rPr>
                              <w:t xml:space="preserve"> </w:t>
                            </w:r>
                          </w:p>
                          <w:p w14:paraId="658006AB" w14:textId="2817CA39" w:rsidR="006D398E" w:rsidRPr="00405FD7" w:rsidRDefault="00B512A0" w:rsidP="001E69AC">
                            <w:pPr>
                              <w:spacing w:line="256" w:lineRule="auto"/>
                              <w:ind w:right="14"/>
                              <w:jc w:val="right"/>
                              <w:rPr>
                                <w:rFonts w:cs="Segoe UI"/>
                                <w:b/>
                                <w:i/>
                                <w:color w:val="005A68"/>
                                <w:lang w:val="en-US"/>
                              </w:rPr>
                            </w:pPr>
                            <w:bookmarkStart w:id="644" w:name="_Hlk171598526"/>
                            <w:r>
                              <w:rPr>
                                <w:rFonts w:cs="Segoe UI"/>
                                <w:b/>
                                <w:color w:val="005A68"/>
                                <w:lang w:val="en-US"/>
                              </w:rPr>
                              <w:t xml:space="preserve">Consultation 2 submission: </w:t>
                            </w:r>
                            <w:bookmarkEnd w:id="644"/>
                            <w:r w:rsidR="00955FC1">
                              <w:rPr>
                                <w:rFonts w:cs="Segoe UI"/>
                                <w:b/>
                                <w:color w:val="005A68"/>
                                <w:lang w:val="en-US"/>
                              </w:rPr>
                              <w:t>Asthma Australia</w:t>
                            </w:r>
                          </w:p>
                        </w:txbxContent>
                      </wps:txbx>
                      <wps:bodyPr wrap="square" lIns="91440" tIns="45720" rIns="91440" bIns="45720" anchor="t">
                        <a:noAutofit/>
                      </wps:bodyPr>
                    </wps:wsp>
                  </a:graphicData>
                </a:graphic>
              </wp:inline>
            </w:drawing>
          </mc:Choice>
          <mc:Fallback>
            <w:pict>
              <v:shape w14:anchorId="6F3C4F85" id="Rectangle: Diagonal Corners Rounded 1215236832" o:spid="_x0000_s1048" style="width:465.8pt;height:254.5pt;visibility:visible;mso-wrap-style:square;mso-left-percent:-10001;mso-top-percent:-10001;mso-position-horizontal:absolute;mso-position-horizontal-relative:char;mso-position-vertical:absolute;mso-position-vertical-relative:line;mso-left-percent:-10001;mso-top-percent:-10001;v-text-anchor:top" coordsize="5915770,323208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" adj="-11796480,,5400" path="m538692,l5915770,r,l5915770,2693395v,297511,-241181,538692,-538692,538692l,3232087r,l,538692c,241181,241181,,538692,xe" fillcolor="#f2f2f2 [3052]" stroked="f">
                <v:stroke joinstyle="miter"/>
                <v:formulas/>
                <v:path arrowok="t" o:connecttype="custom" o:connectlocs="538692,0;5915770,0;5915770,0;5915770,2693395;5377078,3232087;0,3232087;0,3232087;0,538692;538692,0" o:connectangles="0,0,0,0,0,0,0,0,0" textboxrect="0,0,5915770,3232087"/>
                <v:textbox>
                  <w:txbxContent>
                    <w:p w14:paraId="0DE318F2" w14:textId="77777777" w:rsidR="006D398E" w:rsidRPr="00BA3CA7" w:rsidRDefault="006D398E" w:rsidP="00121E46">
                      <w:pPr>
                        <w:spacing w:line="256" w:lineRule="auto"/>
                        <w:ind w:right="14"/>
                        <w:rPr>
                          <w:rFonts w:cs="Segoe UI"/>
                          <w:b/>
                          <w:color w:val="005A68"/>
                          <w:lang w:val="en-US"/>
                        </w:rPr>
                      </w:pPr>
                      <w:r w:rsidRPr="00BA3CA7">
                        <w:rPr>
                          <w:rFonts w:cs="Segoe UI"/>
                          <w:b/>
                          <w:color w:val="005A68"/>
                          <w:lang w:val="en-US"/>
                        </w:rPr>
                        <w:t>What we heard:</w:t>
                      </w:r>
                    </w:p>
                    <w:p w14:paraId="5C40B828" w14:textId="03ED29ED" w:rsidR="00121E46" w:rsidRDefault="00430B12" w:rsidP="000C5623">
                      <w:pPr>
                        <w:spacing w:line="256" w:lineRule="auto"/>
                        <w:ind w:left="283" w:right="14"/>
                        <w:rPr>
                          <w:rFonts w:cs="Segoe UI"/>
                          <w:bCs/>
                          <w:iCs/>
                          <w:color w:val="005A68"/>
                          <w:lang w:val="en-US"/>
                        </w:rPr>
                      </w:pPr>
                      <w:r w:rsidRPr="000C5623">
                        <w:rPr>
                          <w:rFonts w:cs="Segoe UI"/>
                          <w:bCs/>
                          <w:iCs/>
                          <w:color w:val="005A68"/>
                          <w:lang w:val="en-US"/>
                        </w:rPr>
                        <w:t>‘</w:t>
                      </w:r>
                      <w:r w:rsidR="00121E46" w:rsidRPr="000C5623">
                        <w:rPr>
                          <w:rFonts w:cs="Segoe UI"/>
                          <w:bCs/>
                          <w:iCs/>
                          <w:color w:val="005A68"/>
                          <w:lang w:val="en-US"/>
                        </w:rPr>
                        <w:t>Healthcare in Australia has a very large carbon and waste footprint</w:t>
                      </w:r>
                      <w:r w:rsidR="00BB3842">
                        <w:rPr>
                          <w:rFonts w:cs="Segoe UI"/>
                          <w:bCs/>
                          <w:iCs/>
                          <w:color w:val="005A68"/>
                          <w:lang w:val="en-US"/>
                        </w:rPr>
                        <w:t xml:space="preserve"> </w:t>
                      </w:r>
                      <w:r w:rsidR="00121E46" w:rsidRPr="000C5623">
                        <w:rPr>
                          <w:rFonts w:cs="Segoe UI"/>
                          <w:bCs/>
                          <w:iCs/>
                          <w:color w:val="005A68"/>
                          <w:lang w:val="en-US"/>
                        </w:rPr>
                        <w:t>... We need change at pace and scale if we are to meet national targets for containing carbon emissions. This is an essential development described in this section.</w:t>
                      </w:r>
                      <w:r w:rsidRPr="000C5623">
                        <w:rPr>
                          <w:rFonts w:cs="Segoe UI"/>
                          <w:bCs/>
                          <w:iCs/>
                          <w:color w:val="005A68"/>
                          <w:lang w:val="en-US"/>
                        </w:rPr>
                        <w:t>’</w:t>
                      </w:r>
                      <w:r>
                        <w:rPr>
                          <w:rFonts w:cs="Segoe UI"/>
                          <w:bCs/>
                          <w:iCs/>
                          <w:color w:val="005A68"/>
                          <w:lang w:val="en-US"/>
                        </w:rPr>
                        <w:t xml:space="preserve"> </w:t>
                      </w:r>
                    </w:p>
                    <w:p w14:paraId="014DD7CC" w14:textId="3B9A1978" w:rsidR="00955FC1" w:rsidRPr="000C5623" w:rsidRDefault="00955FC1" w:rsidP="00A318F7">
                      <w:pPr>
                        <w:spacing w:line="256" w:lineRule="auto"/>
                        <w:ind w:left="283" w:right="14"/>
                        <w:jc w:val="right"/>
                        <w:rPr>
                          <w:rFonts w:cs="Segoe UI"/>
                          <w:bCs/>
                          <w:iCs/>
                          <w:color w:val="005A68"/>
                          <w:lang w:val="en-US"/>
                        </w:rPr>
                      </w:pPr>
                      <w:r>
                        <w:rPr>
                          <w:rFonts w:cs="Segoe UI"/>
                          <w:b/>
                          <w:color w:val="005A68"/>
                          <w:lang w:val="en-US"/>
                        </w:rPr>
                        <w:t>Consultation 2 submission: Professor Lynne Madden</w:t>
                      </w:r>
                    </w:p>
                    <w:p w14:paraId="7FC7520D" w14:textId="69A989C9" w:rsidR="001E69AC" w:rsidRPr="000C5623" w:rsidRDefault="00430B12" w:rsidP="000C5623">
                      <w:pPr>
                        <w:spacing w:line="256" w:lineRule="auto"/>
                        <w:ind w:left="283" w:right="14"/>
                        <w:rPr>
                          <w:rFonts w:cs="Segoe UI"/>
                          <w:bCs/>
                          <w:iCs/>
                          <w:color w:val="005A68"/>
                          <w:lang w:val="en-US"/>
                        </w:rPr>
                      </w:pPr>
                      <w:r>
                        <w:rPr>
                          <w:rFonts w:cs="Segoe UI"/>
                          <w:bCs/>
                          <w:iCs/>
                          <w:color w:val="005A68"/>
                          <w:lang w:val="en-US"/>
                        </w:rPr>
                        <w:t>‘</w:t>
                      </w:r>
                      <w:r w:rsidR="00121E46" w:rsidRPr="000C5623">
                        <w:rPr>
                          <w:rFonts w:cs="Segoe UI"/>
                          <w:bCs/>
                          <w:iCs/>
                          <w:color w:val="005A68"/>
                          <w:lang w:val="en-US"/>
                        </w:rPr>
                        <w:t>Given the particularly harmful impact that the effects of climate change have on the health of people with asthma and the significant contribution of health technologies to climate change, appropriately resourced, planned and co</w:t>
                      </w:r>
                      <w:r w:rsidR="00BB3842">
                        <w:rPr>
                          <w:rFonts w:cs="Segoe UI"/>
                          <w:bCs/>
                          <w:iCs/>
                          <w:color w:val="005A68"/>
                          <w:lang w:val="en-US"/>
                        </w:rPr>
                        <w:noBreakHyphen/>
                      </w:r>
                      <w:r w:rsidR="00121E46" w:rsidRPr="000C5623">
                        <w:rPr>
                          <w:rFonts w:cs="Segoe UI"/>
                          <w:bCs/>
                          <w:iCs/>
                          <w:color w:val="005A68"/>
                          <w:lang w:val="en-US"/>
                        </w:rPr>
                        <w:t>designed environmental impact reporting could be very positive on consumers.</w:t>
                      </w:r>
                      <w:r>
                        <w:rPr>
                          <w:rFonts w:cs="Segoe UI"/>
                          <w:bCs/>
                          <w:iCs/>
                          <w:color w:val="005A68"/>
                          <w:lang w:val="en-US"/>
                        </w:rPr>
                        <w:t>’</w:t>
                      </w:r>
                      <w:r w:rsidR="00121E46" w:rsidRPr="000C5623">
                        <w:rPr>
                          <w:rFonts w:cs="Segoe UI"/>
                          <w:bCs/>
                          <w:iCs/>
                          <w:color w:val="005A68"/>
                          <w:lang w:val="en-US"/>
                        </w:rPr>
                        <w:t xml:space="preserve"> </w:t>
                      </w:r>
                    </w:p>
                    <w:p w14:paraId="658006AB" w14:textId="2817CA39" w:rsidR="006D398E" w:rsidRPr="00405FD7" w:rsidRDefault="00B512A0" w:rsidP="001E69AC">
                      <w:pPr>
                        <w:spacing w:line="256" w:lineRule="auto"/>
                        <w:ind w:right="14"/>
                        <w:jc w:val="right"/>
                        <w:rPr>
                          <w:rFonts w:cs="Segoe UI"/>
                          <w:b/>
                          <w:i/>
                          <w:color w:val="005A68"/>
                          <w:lang w:val="en-US"/>
                        </w:rPr>
                      </w:pPr>
                      <w:bookmarkStart w:id="649" w:name="_Hlk171598526"/>
                      <w:r>
                        <w:rPr>
                          <w:rFonts w:cs="Segoe UI"/>
                          <w:b/>
                          <w:color w:val="005A68"/>
                          <w:lang w:val="en-US"/>
                        </w:rPr>
                        <w:t xml:space="preserve">Consultation 2 submission: </w:t>
                      </w:r>
                      <w:bookmarkEnd w:id="649"/>
                      <w:r w:rsidR="00955FC1">
                        <w:rPr>
                          <w:rFonts w:cs="Segoe UI"/>
                          <w:b/>
                          <w:color w:val="005A68"/>
                          <w:lang w:val="en-US"/>
                        </w:rPr>
                        <w:t>Asthma Australia</w:t>
                      </w:r>
                    </w:p>
                  </w:txbxContent>
                </v:textbox>
                <w10:anchorlock/>
              </v:shape>
            </w:pict>
          </mc:Fallback>
        </mc:AlternateContent>
      </w:r>
    </w:p>
    <w:p w14:paraId="42878BD7" w14:textId="77777777" w:rsidR="00562D90" w:rsidRPr="003C5AA8" w:rsidRDefault="00562D90" w:rsidP="00405FD7">
      <w:pPr>
        <w:pStyle w:val="Heading4"/>
        <w:jc w:val="both"/>
      </w:pPr>
      <w:r>
        <w:t xml:space="preserve">Benefits of reporting greenhouse gas emissions associated with health technology products </w:t>
      </w:r>
    </w:p>
    <w:p w14:paraId="650C97C3" w14:textId="463FBDAD" w:rsidR="00562D90" w:rsidRDefault="00BB3842" w:rsidP="00405FD7">
      <w:r>
        <w:t>M</w:t>
      </w:r>
      <w:r w:rsidR="00562D90">
        <w:t>easuring and publicly reporting the greenhouse gas emissions associated with health technology products</w:t>
      </w:r>
      <w:r>
        <w:t xml:space="preserve"> has two key benefits</w:t>
      </w:r>
      <w:r w:rsidR="00562D90">
        <w:t xml:space="preserve">. </w:t>
      </w:r>
    </w:p>
    <w:p w14:paraId="2F26F9D2" w14:textId="1F74F7FC" w:rsidR="00562D90" w:rsidRDefault="00562D90" w:rsidP="00405FD7">
      <w:r>
        <w:t>The first benefit is that reporting emissions embodied in health technology products can support low</w:t>
      </w:r>
      <w:r w:rsidR="004567F0">
        <w:t>-</w:t>
      </w:r>
      <w:r>
        <w:t xml:space="preserve">carbon choices in clinical decision-making. While clinicians should always prescribe the most clinically beneficial option, in many scenarios a range of competing products are recognised to be broadly clinically equivalent for most patients. In such cases, knowledge of embodied emissions could enable clinicians to prescribe (and patients to ask for) the most environmentally friendly option. An example includes the choice of respiratory </w:t>
      </w:r>
      <w:r w:rsidRPr="0088105B">
        <w:t xml:space="preserve">inhaler </w:t>
      </w:r>
      <w:r>
        <w:t>to treat asthma and other respiratory conditions (see</w:t>
      </w:r>
      <w:r w:rsidRPr="00B44EEF">
        <w:t xml:space="preserve"> </w:t>
      </w:r>
      <w:r w:rsidR="004567F0">
        <w:t>‘</w:t>
      </w:r>
      <w:r w:rsidRPr="00B61FDC">
        <w:t xml:space="preserve">Table </w:t>
      </w:r>
      <w:r w:rsidR="004567F0" w:rsidRPr="00B61FDC">
        <w:t>4</w:t>
      </w:r>
      <w:r w:rsidRPr="00B61FDC">
        <w:t>. Carbon Footprint of Common Inhalers Used for Asthma Management</w:t>
      </w:r>
      <w:r w:rsidR="004567F0">
        <w:t>’</w:t>
      </w:r>
      <w:r>
        <w:t>)</w:t>
      </w:r>
      <w:r w:rsidR="00BE10EF">
        <w:t>.</w:t>
      </w:r>
      <w:r>
        <w:rPr>
          <w:rStyle w:val="FootnoteReference"/>
        </w:rPr>
        <w:footnoteReference w:id="197"/>
      </w:r>
    </w:p>
    <w:p w14:paraId="054AA8F0" w14:textId="290FC4E4" w:rsidR="00562D90" w:rsidRDefault="00562D90" w:rsidP="00405FD7">
      <w:r>
        <w:t xml:space="preserve">The second benefit is that this information can be used to inform </w:t>
      </w:r>
      <w:r w:rsidR="00265977">
        <w:t>HTA</w:t>
      </w:r>
      <w:r w:rsidR="004567F0">
        <w:t xml:space="preserve"> </w:t>
      </w:r>
      <w:r>
        <w:t xml:space="preserve">approval and reimbursement decisions. In cases where a new technology has largely equivalent health benefits and costs to existing technologies, but a significantly larger emissions footprint, this could create a case for declining a reimbursement application. In cases where a new technology has equivalent health benefits and higher costs than existing treatments but a much lower emissions footprint, this could create a case for approval </w:t>
      </w:r>
      <w:r>
        <w:lastRenderedPageBreak/>
        <w:t>when such a decision might not otherwise have been warranted. A paper by McAlister et al.</w:t>
      </w:r>
      <w:r>
        <w:rPr>
          <w:rStyle w:val="FootnoteReference"/>
        </w:rPr>
        <w:footnoteReference w:id="198"/>
      </w:r>
      <w:r>
        <w:t xml:space="preserve"> considers how environmental impacts might be considered in these ways. While their ideas are only indicative, they highlight the potential value in considering incremental emissions alongside incremental health benefits and costs to support reimbursement of cost-effective, low-carbon technologies.</w:t>
      </w:r>
    </w:p>
    <w:p w14:paraId="14307F48" w14:textId="0D5FE9A2" w:rsidR="00683AED" w:rsidRPr="00683AED" w:rsidRDefault="00C768EB" w:rsidP="00405FD7">
      <w:pPr>
        <w:pStyle w:val="Caption"/>
        <w:rPr>
          <w:lang w:eastAsia="en-AU"/>
        </w:rPr>
      </w:pPr>
      <w:bookmarkStart w:id="645" w:name="_Toc171948110"/>
      <w:r w:rsidRPr="00B44EEF">
        <w:rPr>
          <w:lang w:eastAsia="en-AU"/>
        </w:rPr>
        <w:t xml:space="preserve">Table </w:t>
      </w:r>
      <w:r w:rsidR="004567F0">
        <w:rPr>
          <w:lang w:eastAsia="en-AU"/>
        </w:rPr>
        <w:t>4</w:t>
      </w:r>
      <w:r>
        <w:fldChar w:fldCharType="begin" w:fldLock="1"/>
      </w:r>
      <w:r>
        <w:instrText>SEQ Table \* ARABIC</w:instrText>
      </w:r>
      <w:r w:rsidR="00847484">
        <w:fldChar w:fldCharType="separate"/>
      </w:r>
      <w:r>
        <w:fldChar w:fldCharType="end"/>
      </w:r>
      <w:r>
        <w:t xml:space="preserve">: </w:t>
      </w:r>
      <w:r w:rsidRPr="00B44EEF">
        <w:rPr>
          <w:lang w:eastAsia="en-AU"/>
        </w:rPr>
        <w:t xml:space="preserve">Carbon </w:t>
      </w:r>
      <w:r w:rsidR="00BB3842">
        <w:rPr>
          <w:lang w:eastAsia="en-AU"/>
        </w:rPr>
        <w:t>f</w:t>
      </w:r>
      <w:r w:rsidRPr="00B44EEF">
        <w:rPr>
          <w:lang w:eastAsia="en-AU"/>
        </w:rPr>
        <w:t xml:space="preserve">ootprint of </w:t>
      </w:r>
      <w:r w:rsidR="00BB3842">
        <w:rPr>
          <w:lang w:eastAsia="en-AU"/>
        </w:rPr>
        <w:t>c</w:t>
      </w:r>
      <w:r w:rsidRPr="00B44EEF">
        <w:rPr>
          <w:lang w:eastAsia="en-AU"/>
        </w:rPr>
        <w:t xml:space="preserve">ommon </w:t>
      </w:r>
      <w:r w:rsidR="00BB3842">
        <w:rPr>
          <w:lang w:eastAsia="en-AU"/>
        </w:rPr>
        <w:t>i</w:t>
      </w:r>
      <w:r w:rsidRPr="00B44EEF">
        <w:rPr>
          <w:lang w:eastAsia="en-AU"/>
        </w:rPr>
        <w:t xml:space="preserve">nhalers </w:t>
      </w:r>
      <w:r w:rsidR="00BB3842">
        <w:rPr>
          <w:lang w:eastAsia="en-AU"/>
        </w:rPr>
        <w:t>u</w:t>
      </w:r>
      <w:r w:rsidRPr="00B44EEF">
        <w:rPr>
          <w:lang w:eastAsia="en-AU"/>
        </w:rPr>
        <w:t xml:space="preserve">sed </w:t>
      </w:r>
      <w:r w:rsidR="00BB3842">
        <w:rPr>
          <w:lang w:eastAsia="en-AU"/>
        </w:rPr>
        <w:t>to manage a</w:t>
      </w:r>
      <w:r w:rsidRPr="00B44EEF">
        <w:rPr>
          <w:lang w:eastAsia="en-AU"/>
        </w:rPr>
        <w:t>sthma</w:t>
      </w:r>
      <w:r w:rsidR="00683AED" w:rsidRPr="00B44EEF">
        <w:rPr>
          <w:lang w:eastAsia="en-AU"/>
        </w:rPr>
        <w:t>*</w:t>
      </w:r>
      <w:bookmarkEnd w:id="645"/>
    </w:p>
    <w:tbl>
      <w:tblPr>
        <w:tblStyle w:val="ListTable7Colorful-Accent4"/>
        <w:tblW w:w="8884" w:type="dxa"/>
        <w:tblLook w:val="04A0" w:firstRow="1" w:lastRow="0" w:firstColumn="1" w:lastColumn="0" w:noHBand="0" w:noVBand="1"/>
      </w:tblPr>
      <w:tblGrid>
        <w:gridCol w:w="1480"/>
        <w:gridCol w:w="1480"/>
        <w:gridCol w:w="1480"/>
        <w:gridCol w:w="1480"/>
        <w:gridCol w:w="1480"/>
        <w:gridCol w:w="1484"/>
      </w:tblGrid>
      <w:tr w:rsidR="00562D90" w:rsidRPr="00B44EEF" w14:paraId="5394F7DA" w14:textId="77777777" w:rsidTr="00BB53C9">
        <w:trPr>
          <w:cnfStyle w:val="100000000000" w:firstRow="1" w:lastRow="0" w:firstColumn="0" w:lastColumn="0" w:oddVBand="0" w:evenVBand="0" w:oddHBand="0" w:evenHBand="0" w:firstRowFirstColumn="0" w:firstRowLastColumn="0" w:lastRowFirstColumn="0" w:lastRowLastColumn="0"/>
          <w:trHeight w:val="511"/>
        </w:trPr>
        <w:tc>
          <w:tcPr>
            <w:cnfStyle w:val="001000000100" w:firstRow="0" w:lastRow="0" w:firstColumn="1" w:lastColumn="0" w:oddVBand="0" w:evenVBand="0" w:oddHBand="0" w:evenHBand="0" w:firstRowFirstColumn="1" w:firstRowLastColumn="0" w:lastRowFirstColumn="0" w:lastRowLastColumn="0"/>
            <w:tcW w:w="1480" w:type="dxa"/>
            <w:hideMark/>
          </w:tcPr>
          <w:p w14:paraId="5745A587" w14:textId="3F08160E" w:rsidR="00562D90" w:rsidRPr="00B44EEF" w:rsidRDefault="00562D90" w:rsidP="00405FD7">
            <w:pPr>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 xml:space="preserve">Inhaler </w:t>
            </w:r>
            <w:r w:rsidR="009A106F">
              <w:rPr>
                <w:rFonts w:ascii="Arial" w:eastAsia="Times New Roman" w:hAnsi="Arial" w:cs="Arial"/>
                <w:b/>
                <w:color w:val="1A1A1A"/>
                <w:sz w:val="16"/>
                <w:szCs w:val="16"/>
                <w:lang w:eastAsia="en-AU"/>
              </w:rPr>
              <w:t>t</w:t>
            </w:r>
            <w:r w:rsidRPr="00B44EEF">
              <w:rPr>
                <w:rFonts w:ascii="Arial" w:eastAsia="Times New Roman" w:hAnsi="Arial" w:cs="Arial"/>
                <w:b/>
                <w:color w:val="1A1A1A"/>
                <w:sz w:val="16"/>
                <w:szCs w:val="16"/>
                <w:lang w:eastAsia="en-AU"/>
              </w:rPr>
              <w:t>ype</w:t>
            </w:r>
          </w:p>
        </w:tc>
        <w:tc>
          <w:tcPr>
            <w:tcW w:w="1480" w:type="dxa"/>
            <w:hideMark/>
          </w:tcPr>
          <w:p w14:paraId="25EC1DF0" w14:textId="2415FA0B" w:rsidR="00562D90" w:rsidRPr="00B44EEF" w:rsidRDefault="00562D90" w:rsidP="00405FD7">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 xml:space="preserve">Clinical </w:t>
            </w:r>
            <w:r w:rsidR="009A106F">
              <w:rPr>
                <w:rFonts w:ascii="Arial" w:eastAsia="Times New Roman" w:hAnsi="Arial" w:cs="Arial"/>
                <w:b/>
                <w:color w:val="1A1A1A"/>
                <w:sz w:val="16"/>
                <w:szCs w:val="16"/>
                <w:lang w:eastAsia="en-AU"/>
              </w:rPr>
              <w:t>u</w:t>
            </w:r>
            <w:r w:rsidRPr="00B44EEF">
              <w:rPr>
                <w:rFonts w:ascii="Arial" w:eastAsia="Times New Roman" w:hAnsi="Arial" w:cs="Arial"/>
                <w:b/>
                <w:color w:val="1A1A1A"/>
                <w:sz w:val="16"/>
                <w:szCs w:val="16"/>
                <w:lang w:eastAsia="en-AU"/>
              </w:rPr>
              <w:t>se</w:t>
            </w:r>
          </w:p>
        </w:tc>
        <w:tc>
          <w:tcPr>
            <w:tcW w:w="1480" w:type="dxa"/>
            <w:hideMark/>
          </w:tcPr>
          <w:p w14:paraId="6E453742" w14:textId="3989F7D6" w:rsidR="00562D90" w:rsidRPr="00B44EEF" w:rsidRDefault="00562D90" w:rsidP="00405FD7">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 xml:space="preserve">Drug </w:t>
            </w:r>
            <w:r w:rsidR="009A106F">
              <w:rPr>
                <w:rFonts w:ascii="Arial" w:eastAsia="Times New Roman" w:hAnsi="Arial" w:cs="Arial"/>
                <w:b/>
                <w:color w:val="1A1A1A"/>
                <w:sz w:val="16"/>
                <w:szCs w:val="16"/>
                <w:lang w:eastAsia="en-AU"/>
              </w:rPr>
              <w:t>c</w:t>
            </w:r>
            <w:r w:rsidRPr="00B44EEF">
              <w:rPr>
                <w:rFonts w:ascii="Arial" w:eastAsia="Times New Roman" w:hAnsi="Arial" w:cs="Arial"/>
                <w:b/>
                <w:color w:val="1A1A1A"/>
                <w:sz w:val="16"/>
                <w:szCs w:val="16"/>
                <w:lang w:eastAsia="en-AU"/>
              </w:rPr>
              <w:t>lass</w:t>
            </w:r>
          </w:p>
        </w:tc>
        <w:tc>
          <w:tcPr>
            <w:tcW w:w="1480" w:type="dxa"/>
            <w:hideMark/>
          </w:tcPr>
          <w:p w14:paraId="7065CC38" w14:textId="77777777" w:rsidR="00562D90" w:rsidRPr="00B44EEF" w:rsidRDefault="00562D90" w:rsidP="00405FD7">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Propellant</w:t>
            </w:r>
          </w:p>
        </w:tc>
        <w:tc>
          <w:tcPr>
            <w:tcW w:w="1480" w:type="dxa"/>
            <w:hideMark/>
          </w:tcPr>
          <w:p w14:paraId="0C587A41" w14:textId="77777777" w:rsidR="00562D90" w:rsidRPr="00B44EEF" w:rsidRDefault="00562D90" w:rsidP="00405FD7">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Example</w:t>
            </w:r>
          </w:p>
        </w:tc>
        <w:tc>
          <w:tcPr>
            <w:tcW w:w="1484" w:type="dxa"/>
            <w:hideMark/>
          </w:tcPr>
          <w:p w14:paraId="3956D778" w14:textId="603C7C2E" w:rsidR="00562D90" w:rsidRPr="00B44EEF" w:rsidRDefault="00562D90" w:rsidP="0004550E">
            <w:pPr>
              <w:jc w:val="left"/>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color w:val="1A1A1A"/>
                <w:sz w:val="16"/>
                <w:szCs w:val="16"/>
                <w:lang w:eastAsia="en-AU"/>
              </w:rPr>
            </w:pPr>
            <w:r w:rsidRPr="00B44EEF">
              <w:rPr>
                <w:rFonts w:ascii="Arial" w:eastAsia="Times New Roman" w:hAnsi="Arial" w:cs="Arial"/>
                <w:b/>
                <w:color w:val="1A1A1A"/>
                <w:sz w:val="16"/>
                <w:szCs w:val="16"/>
                <w:lang w:eastAsia="en-AU"/>
              </w:rPr>
              <w:t>Kilogram of CO</w:t>
            </w:r>
            <w:r w:rsidRPr="00B44EEF">
              <w:rPr>
                <w:rFonts w:ascii="Inherit" w:eastAsia="Times New Roman" w:hAnsi="Inherit" w:cs="Arial"/>
                <w:b/>
                <w:color w:val="1A1A1A"/>
                <w:sz w:val="12"/>
                <w:szCs w:val="12"/>
                <w:lang w:eastAsia="en-AU"/>
              </w:rPr>
              <w:t>2</w:t>
            </w:r>
            <w:r w:rsidRPr="00B44EEF">
              <w:rPr>
                <w:rFonts w:ascii="Arial" w:eastAsia="Times New Roman" w:hAnsi="Arial" w:cs="Arial"/>
                <w:b/>
                <w:color w:val="1A1A1A"/>
                <w:sz w:val="16"/>
                <w:szCs w:val="16"/>
                <w:lang w:eastAsia="en-AU"/>
              </w:rPr>
              <w:t xml:space="preserve">e per </w:t>
            </w:r>
            <w:r w:rsidR="009A106F">
              <w:rPr>
                <w:rFonts w:ascii="Arial" w:eastAsia="Times New Roman" w:hAnsi="Arial" w:cs="Arial"/>
                <w:b/>
                <w:color w:val="1A1A1A"/>
                <w:sz w:val="16"/>
                <w:szCs w:val="16"/>
                <w:lang w:eastAsia="en-AU"/>
              </w:rPr>
              <w:t>i</w:t>
            </w:r>
            <w:r w:rsidRPr="00B44EEF">
              <w:rPr>
                <w:rFonts w:ascii="Arial" w:eastAsia="Times New Roman" w:hAnsi="Arial" w:cs="Arial"/>
                <w:b/>
                <w:color w:val="1A1A1A"/>
                <w:sz w:val="16"/>
                <w:szCs w:val="16"/>
                <w:lang w:eastAsia="en-AU"/>
              </w:rPr>
              <w:t>nhaler</w:t>
            </w:r>
          </w:p>
        </w:tc>
      </w:tr>
      <w:tr w:rsidR="00562D90" w:rsidRPr="00B44EEF" w14:paraId="0D76DAAF" w14:textId="77777777" w:rsidTr="00BB53C9">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480" w:type="dxa"/>
            <w:hideMark/>
          </w:tcPr>
          <w:p w14:paraId="14F53732" w14:textId="346679DC" w:rsidR="00562D90" w:rsidRPr="00B44EEF" w:rsidRDefault="00562D90" w:rsidP="00405FD7">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Pressuri</w:t>
            </w:r>
            <w:r w:rsidR="009A106F">
              <w:rPr>
                <w:rFonts w:ascii="Arial" w:eastAsia="Times New Roman" w:hAnsi="Arial" w:cs="Arial"/>
                <w:color w:val="4D4D4D"/>
                <w:sz w:val="16"/>
                <w:szCs w:val="16"/>
                <w:lang w:eastAsia="en-AU"/>
              </w:rPr>
              <w:t>s</w:t>
            </w:r>
            <w:r w:rsidRPr="00B44EEF">
              <w:rPr>
                <w:rFonts w:ascii="Arial" w:eastAsia="Times New Roman" w:hAnsi="Arial" w:cs="Arial"/>
                <w:color w:val="4D4D4D"/>
                <w:sz w:val="16"/>
                <w:szCs w:val="16"/>
                <w:lang w:eastAsia="en-AU"/>
              </w:rPr>
              <w:t>ed MDI</w:t>
            </w:r>
          </w:p>
        </w:tc>
        <w:tc>
          <w:tcPr>
            <w:tcW w:w="1480" w:type="dxa"/>
            <w:hideMark/>
          </w:tcPr>
          <w:p w14:paraId="1E533A34"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Reliever</w:t>
            </w:r>
          </w:p>
        </w:tc>
        <w:tc>
          <w:tcPr>
            <w:tcW w:w="1480" w:type="dxa"/>
            <w:hideMark/>
          </w:tcPr>
          <w:p w14:paraId="79ECA9D7"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Large-volume SABA</w:t>
            </w:r>
          </w:p>
        </w:tc>
        <w:tc>
          <w:tcPr>
            <w:tcW w:w="1480" w:type="dxa"/>
            <w:hideMark/>
          </w:tcPr>
          <w:p w14:paraId="073C8BDA"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HFA134a</w:t>
            </w:r>
          </w:p>
        </w:tc>
        <w:tc>
          <w:tcPr>
            <w:tcW w:w="1480" w:type="dxa"/>
            <w:hideMark/>
          </w:tcPr>
          <w:p w14:paraId="38CDEFA8"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 xml:space="preserve">Ventolin </w:t>
            </w:r>
            <w:bookmarkStart w:id="646" w:name="_Int_hTlVjWUW"/>
            <w:proofErr w:type="spellStart"/>
            <w:r w:rsidRPr="00B44EEF">
              <w:rPr>
                <w:rFonts w:ascii="Arial" w:eastAsia="Times New Roman" w:hAnsi="Arial" w:cs="Arial"/>
                <w:color w:val="4D4D4D"/>
                <w:sz w:val="16"/>
                <w:szCs w:val="16"/>
                <w:lang w:eastAsia="en-AU"/>
              </w:rPr>
              <w:t>Evohaler</w:t>
            </w:r>
            <w:bookmarkEnd w:id="646"/>
            <w:proofErr w:type="spellEnd"/>
            <w:r w:rsidRPr="00B44EEF">
              <w:rPr>
                <w:rFonts w:ascii="Arial" w:eastAsia="Times New Roman" w:hAnsi="Arial" w:cs="Arial"/>
                <w:color w:val="4D4D4D"/>
                <w:sz w:val="16"/>
                <w:szCs w:val="16"/>
                <w:lang w:eastAsia="en-AU"/>
              </w:rPr>
              <w:t xml:space="preserve"> (salbutamol)</w:t>
            </w:r>
          </w:p>
        </w:tc>
        <w:tc>
          <w:tcPr>
            <w:tcW w:w="1484" w:type="dxa"/>
            <w:hideMark/>
          </w:tcPr>
          <w:p w14:paraId="4F6FC21E"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25,260</w:t>
            </w:r>
          </w:p>
        </w:tc>
      </w:tr>
      <w:tr w:rsidR="00562D90" w:rsidRPr="00B44EEF" w14:paraId="57B563C2" w14:textId="77777777" w:rsidTr="00BB53C9">
        <w:trPr>
          <w:trHeight w:val="401"/>
        </w:trPr>
        <w:tc>
          <w:tcPr>
            <w:cnfStyle w:val="001000000000" w:firstRow="0" w:lastRow="0" w:firstColumn="1" w:lastColumn="0" w:oddVBand="0" w:evenVBand="0" w:oddHBand="0" w:evenHBand="0" w:firstRowFirstColumn="0" w:firstRowLastColumn="0" w:lastRowFirstColumn="0" w:lastRowLastColumn="0"/>
            <w:tcW w:w="1480" w:type="dxa"/>
            <w:hideMark/>
          </w:tcPr>
          <w:p w14:paraId="23B020A0" w14:textId="5A5DC915" w:rsidR="00562D90" w:rsidRPr="00B44EEF" w:rsidRDefault="00562D90" w:rsidP="00B61FDC">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Pressuri</w:t>
            </w:r>
            <w:r w:rsidR="009A106F">
              <w:rPr>
                <w:rFonts w:ascii="Arial" w:eastAsia="Times New Roman" w:hAnsi="Arial" w:cs="Arial"/>
                <w:color w:val="4D4D4D"/>
                <w:sz w:val="16"/>
                <w:szCs w:val="16"/>
                <w:lang w:eastAsia="en-AU"/>
              </w:rPr>
              <w:t>s</w:t>
            </w:r>
            <w:r w:rsidRPr="00B44EEF">
              <w:rPr>
                <w:rFonts w:ascii="Arial" w:eastAsia="Times New Roman" w:hAnsi="Arial" w:cs="Arial"/>
                <w:color w:val="4D4D4D"/>
                <w:sz w:val="16"/>
                <w:szCs w:val="16"/>
                <w:lang w:eastAsia="en-AU"/>
              </w:rPr>
              <w:t>ed MDI</w:t>
            </w:r>
          </w:p>
        </w:tc>
        <w:tc>
          <w:tcPr>
            <w:tcW w:w="1480" w:type="dxa"/>
            <w:hideMark/>
          </w:tcPr>
          <w:p w14:paraId="36E064AE"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Reliever</w:t>
            </w:r>
          </w:p>
        </w:tc>
        <w:tc>
          <w:tcPr>
            <w:tcW w:w="1480" w:type="dxa"/>
            <w:hideMark/>
          </w:tcPr>
          <w:p w14:paraId="598336C9"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Small-volume SABA</w:t>
            </w:r>
          </w:p>
        </w:tc>
        <w:tc>
          <w:tcPr>
            <w:tcW w:w="1480" w:type="dxa"/>
            <w:hideMark/>
          </w:tcPr>
          <w:p w14:paraId="19D9931D"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HFA134a</w:t>
            </w:r>
          </w:p>
        </w:tc>
        <w:tc>
          <w:tcPr>
            <w:tcW w:w="1480" w:type="dxa"/>
            <w:hideMark/>
          </w:tcPr>
          <w:p w14:paraId="4AED8E0F"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proofErr w:type="spellStart"/>
            <w:r w:rsidRPr="00B44EEF">
              <w:rPr>
                <w:rFonts w:ascii="Arial" w:eastAsia="Times New Roman" w:hAnsi="Arial" w:cs="Arial"/>
                <w:color w:val="4D4D4D"/>
                <w:sz w:val="16"/>
                <w:szCs w:val="16"/>
                <w:lang w:eastAsia="en-AU"/>
              </w:rPr>
              <w:t>Salamol</w:t>
            </w:r>
            <w:proofErr w:type="spellEnd"/>
            <w:r w:rsidRPr="00B44EEF">
              <w:rPr>
                <w:rFonts w:ascii="Arial" w:eastAsia="Times New Roman" w:hAnsi="Arial" w:cs="Arial"/>
                <w:color w:val="4D4D4D"/>
                <w:sz w:val="16"/>
                <w:szCs w:val="16"/>
                <w:lang w:eastAsia="en-AU"/>
              </w:rPr>
              <w:t xml:space="preserve"> (salbutamol)</w:t>
            </w:r>
          </w:p>
        </w:tc>
        <w:tc>
          <w:tcPr>
            <w:tcW w:w="1484" w:type="dxa"/>
            <w:hideMark/>
          </w:tcPr>
          <w:p w14:paraId="166FBD14" w14:textId="44B5345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9</w:t>
            </w:r>
            <w:r w:rsidR="009A106F">
              <w:rPr>
                <w:rFonts w:ascii="Arial" w:eastAsia="Times New Roman" w:hAnsi="Arial" w:cs="Arial"/>
                <w:color w:val="4D4D4D"/>
                <w:sz w:val="16"/>
                <w:szCs w:val="16"/>
                <w:lang w:eastAsia="en-AU"/>
              </w:rPr>
              <w:t>,</w:t>
            </w:r>
            <w:r w:rsidRPr="00B44EEF">
              <w:rPr>
                <w:rFonts w:ascii="Arial" w:eastAsia="Times New Roman" w:hAnsi="Arial" w:cs="Arial"/>
                <w:color w:val="4D4D4D"/>
                <w:sz w:val="16"/>
                <w:szCs w:val="16"/>
                <w:lang w:eastAsia="en-AU"/>
              </w:rPr>
              <w:t>870</w:t>
            </w:r>
          </w:p>
        </w:tc>
      </w:tr>
      <w:tr w:rsidR="00562D90" w:rsidRPr="00B44EEF" w14:paraId="2FAD9CC4" w14:textId="77777777" w:rsidTr="00BB53C9">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480" w:type="dxa"/>
            <w:hideMark/>
          </w:tcPr>
          <w:p w14:paraId="64C0EBDB" w14:textId="77777777" w:rsidR="00562D90" w:rsidRPr="00B44EEF" w:rsidRDefault="00562D90" w:rsidP="00B61FDC">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Dry-powder inhaler</w:t>
            </w:r>
          </w:p>
        </w:tc>
        <w:tc>
          <w:tcPr>
            <w:tcW w:w="1480" w:type="dxa"/>
            <w:hideMark/>
          </w:tcPr>
          <w:p w14:paraId="58251D5A"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Reliever</w:t>
            </w:r>
          </w:p>
        </w:tc>
        <w:tc>
          <w:tcPr>
            <w:tcW w:w="1480" w:type="dxa"/>
            <w:hideMark/>
          </w:tcPr>
          <w:p w14:paraId="22E3FC02"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SABA</w:t>
            </w:r>
          </w:p>
        </w:tc>
        <w:tc>
          <w:tcPr>
            <w:tcW w:w="1480" w:type="dxa"/>
            <w:hideMark/>
          </w:tcPr>
          <w:p w14:paraId="1F47AB4D"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None</w:t>
            </w:r>
          </w:p>
        </w:tc>
        <w:tc>
          <w:tcPr>
            <w:tcW w:w="1480" w:type="dxa"/>
            <w:hideMark/>
          </w:tcPr>
          <w:p w14:paraId="1B8362E5"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bookmarkStart w:id="647" w:name="_Int_UhMAJ79w"/>
            <w:proofErr w:type="spellStart"/>
            <w:r w:rsidRPr="00B44EEF">
              <w:rPr>
                <w:rFonts w:ascii="Arial" w:eastAsia="Times New Roman" w:hAnsi="Arial" w:cs="Arial"/>
                <w:color w:val="4D4D4D"/>
                <w:sz w:val="16"/>
                <w:szCs w:val="16"/>
                <w:lang w:eastAsia="en-AU"/>
              </w:rPr>
              <w:t>Bricanyl</w:t>
            </w:r>
            <w:bookmarkEnd w:id="647"/>
            <w:proofErr w:type="spellEnd"/>
            <w:r w:rsidRPr="00B44EEF">
              <w:rPr>
                <w:rFonts w:ascii="Arial" w:eastAsia="Times New Roman" w:hAnsi="Arial" w:cs="Arial"/>
                <w:color w:val="4D4D4D"/>
                <w:sz w:val="16"/>
                <w:szCs w:val="16"/>
                <w:lang w:eastAsia="en-AU"/>
              </w:rPr>
              <w:t xml:space="preserve"> (terbutaline)</w:t>
            </w:r>
          </w:p>
        </w:tc>
        <w:tc>
          <w:tcPr>
            <w:tcW w:w="1484" w:type="dxa"/>
            <w:hideMark/>
          </w:tcPr>
          <w:p w14:paraId="1A75AE54"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1</w:t>
            </w:r>
          </w:p>
        </w:tc>
      </w:tr>
      <w:tr w:rsidR="00562D90" w:rsidRPr="00B44EEF" w14:paraId="122E71B8" w14:textId="77777777" w:rsidTr="00BB53C9">
        <w:trPr>
          <w:trHeight w:val="601"/>
        </w:trPr>
        <w:tc>
          <w:tcPr>
            <w:cnfStyle w:val="001000000000" w:firstRow="0" w:lastRow="0" w:firstColumn="1" w:lastColumn="0" w:oddVBand="0" w:evenVBand="0" w:oddHBand="0" w:evenHBand="0" w:firstRowFirstColumn="0" w:firstRowLastColumn="0" w:lastRowFirstColumn="0" w:lastRowLastColumn="0"/>
            <w:tcW w:w="1480" w:type="dxa"/>
            <w:hideMark/>
          </w:tcPr>
          <w:p w14:paraId="3263D349" w14:textId="5AF81480" w:rsidR="00562D90" w:rsidRPr="00B44EEF" w:rsidRDefault="00562D90" w:rsidP="00405FD7">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Pressuri</w:t>
            </w:r>
            <w:r w:rsidR="009A106F">
              <w:rPr>
                <w:rFonts w:ascii="Arial" w:eastAsia="Times New Roman" w:hAnsi="Arial" w:cs="Arial"/>
                <w:color w:val="4D4D4D"/>
                <w:sz w:val="16"/>
                <w:szCs w:val="16"/>
                <w:lang w:eastAsia="en-AU"/>
              </w:rPr>
              <w:t>s</w:t>
            </w:r>
            <w:r w:rsidRPr="00B44EEF">
              <w:rPr>
                <w:rFonts w:ascii="Arial" w:eastAsia="Times New Roman" w:hAnsi="Arial" w:cs="Arial"/>
                <w:color w:val="4D4D4D"/>
                <w:sz w:val="16"/>
                <w:szCs w:val="16"/>
                <w:lang w:eastAsia="en-AU"/>
              </w:rPr>
              <w:t>ed MDI</w:t>
            </w:r>
          </w:p>
        </w:tc>
        <w:tc>
          <w:tcPr>
            <w:tcW w:w="1480" w:type="dxa"/>
            <w:hideMark/>
          </w:tcPr>
          <w:p w14:paraId="3AAD6752"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Preventer</w:t>
            </w:r>
          </w:p>
        </w:tc>
        <w:tc>
          <w:tcPr>
            <w:tcW w:w="1480" w:type="dxa"/>
            <w:hideMark/>
          </w:tcPr>
          <w:p w14:paraId="2961796D"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ICS–LABA</w:t>
            </w:r>
          </w:p>
        </w:tc>
        <w:tc>
          <w:tcPr>
            <w:tcW w:w="1480" w:type="dxa"/>
            <w:hideMark/>
          </w:tcPr>
          <w:p w14:paraId="1B7C0CC3"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HFA227ea</w:t>
            </w:r>
          </w:p>
        </w:tc>
        <w:tc>
          <w:tcPr>
            <w:tcW w:w="1480" w:type="dxa"/>
            <w:hideMark/>
          </w:tcPr>
          <w:p w14:paraId="0102573B"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bookmarkStart w:id="648" w:name="_Int_FHJDRkRR"/>
            <w:r w:rsidRPr="00B44EEF">
              <w:rPr>
                <w:rFonts w:ascii="Arial" w:eastAsia="Times New Roman" w:hAnsi="Arial" w:cs="Arial"/>
                <w:color w:val="4D4D4D"/>
                <w:sz w:val="16"/>
                <w:szCs w:val="16"/>
                <w:lang w:eastAsia="en-AU"/>
              </w:rPr>
              <w:t>Flutiform</w:t>
            </w:r>
            <w:bookmarkEnd w:id="648"/>
            <w:r w:rsidRPr="00B44EEF">
              <w:rPr>
                <w:rFonts w:ascii="Arial" w:eastAsia="Times New Roman" w:hAnsi="Arial" w:cs="Arial"/>
                <w:color w:val="4D4D4D"/>
                <w:sz w:val="16"/>
                <w:szCs w:val="16"/>
                <w:lang w:eastAsia="en-AU"/>
              </w:rPr>
              <w:t xml:space="preserve"> (fluticasone–salmeterol)</w:t>
            </w:r>
          </w:p>
        </w:tc>
        <w:tc>
          <w:tcPr>
            <w:tcW w:w="1484" w:type="dxa"/>
            <w:hideMark/>
          </w:tcPr>
          <w:p w14:paraId="51D9235C"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36,500</w:t>
            </w:r>
          </w:p>
        </w:tc>
      </w:tr>
      <w:tr w:rsidR="00562D90" w:rsidRPr="00B44EEF" w14:paraId="57A98677" w14:textId="77777777" w:rsidTr="00BB53C9">
        <w:trPr>
          <w:cnfStyle w:val="000000100000" w:firstRow="0" w:lastRow="0" w:firstColumn="0" w:lastColumn="0" w:oddVBand="0" w:evenVBand="0" w:oddHBand="1" w:evenHBand="0" w:firstRowFirstColumn="0" w:firstRowLastColumn="0" w:lastRowFirstColumn="0" w:lastRowLastColumn="0"/>
          <w:trHeight w:val="601"/>
        </w:trPr>
        <w:tc>
          <w:tcPr>
            <w:cnfStyle w:val="001000000000" w:firstRow="0" w:lastRow="0" w:firstColumn="1" w:lastColumn="0" w:oddVBand="0" w:evenVBand="0" w:oddHBand="0" w:evenHBand="0" w:firstRowFirstColumn="0" w:firstRowLastColumn="0" w:lastRowFirstColumn="0" w:lastRowLastColumn="0"/>
            <w:tcW w:w="1480" w:type="dxa"/>
            <w:hideMark/>
          </w:tcPr>
          <w:p w14:paraId="1ACD5100" w14:textId="7A376596" w:rsidR="00562D90" w:rsidRPr="00B44EEF" w:rsidRDefault="00562D90" w:rsidP="00B61FDC">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Pressuri</w:t>
            </w:r>
            <w:r w:rsidR="009A106F">
              <w:rPr>
                <w:rFonts w:ascii="Arial" w:eastAsia="Times New Roman" w:hAnsi="Arial" w:cs="Arial"/>
                <w:color w:val="4D4D4D"/>
                <w:sz w:val="16"/>
                <w:szCs w:val="16"/>
                <w:lang w:eastAsia="en-AU"/>
              </w:rPr>
              <w:t>s</w:t>
            </w:r>
            <w:r w:rsidRPr="00B44EEF">
              <w:rPr>
                <w:rFonts w:ascii="Arial" w:eastAsia="Times New Roman" w:hAnsi="Arial" w:cs="Arial"/>
                <w:color w:val="4D4D4D"/>
                <w:sz w:val="16"/>
                <w:szCs w:val="16"/>
                <w:lang w:eastAsia="en-AU"/>
              </w:rPr>
              <w:t>ed MDI</w:t>
            </w:r>
          </w:p>
        </w:tc>
        <w:tc>
          <w:tcPr>
            <w:tcW w:w="1480" w:type="dxa"/>
            <w:hideMark/>
          </w:tcPr>
          <w:p w14:paraId="51A92678"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Preventer</w:t>
            </w:r>
          </w:p>
        </w:tc>
        <w:tc>
          <w:tcPr>
            <w:tcW w:w="1480" w:type="dxa"/>
            <w:hideMark/>
          </w:tcPr>
          <w:p w14:paraId="6135AFA5"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ICS–LABA</w:t>
            </w:r>
          </w:p>
        </w:tc>
        <w:tc>
          <w:tcPr>
            <w:tcW w:w="1480" w:type="dxa"/>
            <w:hideMark/>
          </w:tcPr>
          <w:p w14:paraId="63A035EA"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HFA134a</w:t>
            </w:r>
          </w:p>
        </w:tc>
        <w:tc>
          <w:tcPr>
            <w:tcW w:w="1480" w:type="dxa"/>
            <w:hideMark/>
          </w:tcPr>
          <w:p w14:paraId="14413E35"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bookmarkStart w:id="649" w:name="_Int_vFvaqqX3"/>
            <w:proofErr w:type="spellStart"/>
            <w:r w:rsidRPr="00B44EEF">
              <w:rPr>
                <w:rFonts w:ascii="Arial" w:eastAsia="Times New Roman" w:hAnsi="Arial" w:cs="Arial"/>
                <w:color w:val="4D4D4D"/>
                <w:sz w:val="16"/>
                <w:szCs w:val="16"/>
                <w:lang w:eastAsia="en-AU"/>
              </w:rPr>
              <w:t>Fostair</w:t>
            </w:r>
            <w:bookmarkEnd w:id="649"/>
            <w:proofErr w:type="spellEnd"/>
            <w:r w:rsidRPr="00B44EEF">
              <w:rPr>
                <w:rFonts w:ascii="Arial" w:eastAsia="Times New Roman" w:hAnsi="Arial" w:cs="Arial"/>
                <w:color w:val="4D4D4D"/>
                <w:sz w:val="16"/>
                <w:szCs w:val="16"/>
                <w:lang w:eastAsia="en-AU"/>
              </w:rPr>
              <w:t xml:space="preserve"> (fluticasone–salmeterol)</w:t>
            </w:r>
          </w:p>
        </w:tc>
        <w:tc>
          <w:tcPr>
            <w:tcW w:w="1484" w:type="dxa"/>
            <w:hideMark/>
          </w:tcPr>
          <w:p w14:paraId="25FC35D2" w14:textId="77777777" w:rsidR="00562D90" w:rsidRPr="00B44EEF" w:rsidRDefault="00562D90" w:rsidP="00405FD7">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19,650</w:t>
            </w:r>
          </w:p>
        </w:tc>
      </w:tr>
      <w:tr w:rsidR="00562D90" w:rsidRPr="00B44EEF" w14:paraId="2EB39650" w14:textId="77777777" w:rsidTr="00BB53C9">
        <w:trPr>
          <w:trHeight w:val="611"/>
        </w:trPr>
        <w:tc>
          <w:tcPr>
            <w:cnfStyle w:val="001000000000" w:firstRow="0" w:lastRow="0" w:firstColumn="1" w:lastColumn="0" w:oddVBand="0" w:evenVBand="0" w:oddHBand="0" w:evenHBand="0" w:firstRowFirstColumn="0" w:firstRowLastColumn="0" w:lastRowFirstColumn="0" w:lastRowLastColumn="0"/>
            <w:tcW w:w="1480" w:type="dxa"/>
            <w:hideMark/>
          </w:tcPr>
          <w:p w14:paraId="1D986085" w14:textId="77777777" w:rsidR="00562D90" w:rsidRPr="00B44EEF" w:rsidRDefault="00562D90" w:rsidP="00B61FDC">
            <w:pPr>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Dry-powder inhaler</w:t>
            </w:r>
          </w:p>
        </w:tc>
        <w:tc>
          <w:tcPr>
            <w:tcW w:w="1480" w:type="dxa"/>
            <w:hideMark/>
          </w:tcPr>
          <w:p w14:paraId="79BB8742"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Preventer</w:t>
            </w:r>
          </w:p>
        </w:tc>
        <w:tc>
          <w:tcPr>
            <w:tcW w:w="1480" w:type="dxa"/>
            <w:hideMark/>
          </w:tcPr>
          <w:p w14:paraId="2A40F0FB"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ICS–LABA</w:t>
            </w:r>
          </w:p>
        </w:tc>
        <w:tc>
          <w:tcPr>
            <w:tcW w:w="1480" w:type="dxa"/>
            <w:hideMark/>
          </w:tcPr>
          <w:p w14:paraId="1869865B"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None</w:t>
            </w:r>
          </w:p>
        </w:tc>
        <w:tc>
          <w:tcPr>
            <w:tcW w:w="1480" w:type="dxa"/>
            <w:hideMark/>
          </w:tcPr>
          <w:p w14:paraId="23541B3D"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 xml:space="preserve">Advair </w:t>
            </w:r>
            <w:bookmarkStart w:id="650" w:name="_Int_70yFk8VD"/>
            <w:proofErr w:type="spellStart"/>
            <w:r w:rsidRPr="00B44EEF">
              <w:rPr>
                <w:rFonts w:ascii="Arial" w:eastAsia="Times New Roman" w:hAnsi="Arial" w:cs="Arial"/>
                <w:color w:val="4D4D4D"/>
                <w:sz w:val="16"/>
                <w:szCs w:val="16"/>
                <w:lang w:eastAsia="en-AU"/>
              </w:rPr>
              <w:t>Diskus</w:t>
            </w:r>
            <w:bookmarkEnd w:id="650"/>
            <w:proofErr w:type="spellEnd"/>
            <w:r w:rsidRPr="00B44EEF">
              <w:rPr>
                <w:rFonts w:ascii="Arial" w:eastAsia="Times New Roman" w:hAnsi="Arial" w:cs="Arial"/>
                <w:color w:val="4D4D4D"/>
                <w:sz w:val="16"/>
                <w:szCs w:val="16"/>
                <w:lang w:eastAsia="en-AU"/>
              </w:rPr>
              <w:t xml:space="preserve"> (fluticasone–salmeterol)</w:t>
            </w:r>
          </w:p>
        </w:tc>
        <w:tc>
          <w:tcPr>
            <w:tcW w:w="1484" w:type="dxa"/>
            <w:hideMark/>
          </w:tcPr>
          <w:p w14:paraId="6CA5C641" w14:textId="77777777" w:rsidR="00562D90" w:rsidRPr="00B44EEF" w:rsidRDefault="00562D90" w:rsidP="00405FD7">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4D4D4D"/>
                <w:sz w:val="16"/>
                <w:szCs w:val="16"/>
                <w:lang w:eastAsia="en-AU"/>
              </w:rPr>
            </w:pPr>
            <w:r w:rsidRPr="00B44EEF">
              <w:rPr>
                <w:rFonts w:ascii="Arial" w:eastAsia="Times New Roman" w:hAnsi="Arial" w:cs="Arial"/>
                <w:color w:val="4D4D4D"/>
                <w:sz w:val="16"/>
                <w:szCs w:val="16"/>
                <w:lang w:eastAsia="en-AU"/>
              </w:rPr>
              <w:t>1</w:t>
            </w:r>
          </w:p>
        </w:tc>
      </w:tr>
    </w:tbl>
    <w:p w14:paraId="6582033D" w14:textId="71361D68" w:rsidR="001A5C35" w:rsidRPr="00790166" w:rsidRDefault="001A5C35" w:rsidP="00405FD7">
      <w:pPr>
        <w:pStyle w:val="Caption"/>
      </w:pPr>
      <w:r w:rsidRPr="00790166">
        <w:t xml:space="preserve">* Data </w:t>
      </w:r>
      <w:r w:rsidR="009A106F">
        <w:t>is</w:t>
      </w:r>
      <w:r w:rsidRPr="00790166">
        <w:t xml:space="preserve"> based on the study by Wilkinson et al. CO2e denotes carbon-dioxide equivalent (a measure of global-warming potential), HFA134a hydrofluoroalkane 1,1,1,2-tetrafluoroethane, HFA227ea hydrofluoroalkane 1,1,1,2,3,3,3-heptafluoropropane, ICS inhaled glucocorticoid, LABA, long-acting β2-agonist, MDI metered-dose inhaler, and SABA short-acting β2-agonist.</w:t>
      </w:r>
    </w:p>
    <w:p w14:paraId="0A4A3355" w14:textId="77777777" w:rsidR="00562D90" w:rsidRDefault="00562D90" w:rsidP="00405FD7">
      <w:pPr>
        <w:pStyle w:val="Heading4"/>
        <w:jc w:val="both"/>
      </w:pPr>
      <w:r>
        <w:t>Importance of international alignment</w:t>
      </w:r>
    </w:p>
    <w:p w14:paraId="5B9FE79E" w14:textId="39022D66" w:rsidR="00562D90" w:rsidRDefault="00562D90" w:rsidP="00405FD7">
      <w:r>
        <w:t xml:space="preserve">Efforts to measure greenhouse gas emissions associated with individual health technology products are aligned with emissions reduction commitments by health technology manufacturers in Australia and internationally. However, it is crucial that these efforts are undertaken in a robust manner that also minimises regulatory burden. To achieve this, international standards for </w:t>
      </w:r>
      <w:r w:rsidR="004567F0">
        <w:t xml:space="preserve">calculating the </w:t>
      </w:r>
      <w:r>
        <w:t xml:space="preserve">carbon footprint of health technology products are needed so that manufacturers can undertake a lifecycle assessment for each product </w:t>
      </w:r>
      <w:r w:rsidR="004567F0">
        <w:t xml:space="preserve">just once, </w:t>
      </w:r>
      <w:r>
        <w:t>using an agreed methodology</w:t>
      </w:r>
      <w:r w:rsidR="004567F0">
        <w:t xml:space="preserve"> that</w:t>
      </w:r>
      <w:r>
        <w:t xml:space="preserve"> is recognised by </w:t>
      </w:r>
      <w:r w:rsidR="00312A90">
        <w:t>HTA</w:t>
      </w:r>
      <w:r>
        <w:t xml:space="preserve"> bodies around the world.</w:t>
      </w:r>
      <w:r w:rsidRPr="008E7CC7">
        <w:t xml:space="preserve"> </w:t>
      </w:r>
      <w:r>
        <w:t xml:space="preserve">Existing standards for </w:t>
      </w:r>
      <w:r w:rsidR="008757AD">
        <w:t xml:space="preserve">lifecycle </w:t>
      </w:r>
      <w:r w:rsidR="008757AD" w:rsidRPr="00987959">
        <w:t xml:space="preserve">assessment </w:t>
      </w:r>
      <w:r w:rsidRPr="00987959">
        <w:t>studies are not specific to health</w:t>
      </w:r>
      <w:r w:rsidR="002D33A5">
        <w:t xml:space="preserve"> </w:t>
      </w:r>
      <w:r w:rsidRPr="00987959">
        <w:t>care (ISO 14040, ISO 14044 and ISO 14067).</w:t>
      </w:r>
    </w:p>
    <w:p w14:paraId="20858AE4" w14:textId="5D012FAD" w:rsidR="00562D90" w:rsidRPr="00EA5120" w:rsidRDefault="00562D90" w:rsidP="00405FD7">
      <w:r>
        <w:t xml:space="preserve">In the UK, NICE is working with the British Standards Institution and industry to develop new international standards for </w:t>
      </w:r>
      <w:r w:rsidR="0032483B">
        <w:t xml:space="preserve">calculating the </w:t>
      </w:r>
      <w:r>
        <w:t>carbon footprint</w:t>
      </w:r>
      <w:r w:rsidR="0032483B">
        <w:t xml:space="preserve">s </w:t>
      </w:r>
      <w:r>
        <w:t>of pharmaceuticals</w:t>
      </w:r>
      <w:r w:rsidR="0032483B">
        <w:t>. It</w:t>
      </w:r>
      <w:r>
        <w:t xml:space="preserve"> has committed to developing an approach for considering environmental impacts as part of approval decisions by 2023–</w:t>
      </w:r>
      <w:r w:rsidR="00AB24DF">
        <w:t>20</w:t>
      </w:r>
      <w:r>
        <w:t>24.</w:t>
      </w:r>
      <w:r>
        <w:rPr>
          <w:rStyle w:val="FootnoteReference"/>
        </w:rPr>
        <w:footnoteReference w:id="199"/>
      </w:r>
      <w:r>
        <w:t xml:space="preserve"> </w:t>
      </w:r>
      <w:r w:rsidR="00AB24DF">
        <w:t xml:space="preserve">The </w:t>
      </w:r>
      <w:r>
        <w:t>Canad</w:t>
      </w:r>
      <w:r w:rsidR="00AB24DF">
        <w:t xml:space="preserve">ian Agency for </w:t>
      </w:r>
      <w:r>
        <w:t>Drug</w:t>
      </w:r>
      <w:r w:rsidR="00AB24DF">
        <w:t>s &amp;</w:t>
      </w:r>
      <w:r>
        <w:t xml:space="preserve"> and </w:t>
      </w:r>
      <w:r w:rsidR="00AB24DF">
        <w:t xml:space="preserve">Technologies in </w:t>
      </w:r>
      <w:r>
        <w:t>Health</w:t>
      </w:r>
      <w:r w:rsidDel="00AB24DF">
        <w:t xml:space="preserve"> </w:t>
      </w:r>
      <w:r w:rsidR="003A7D94">
        <w:t xml:space="preserve">(CADTH) </w:t>
      </w:r>
      <w:r>
        <w:t xml:space="preserve">has </w:t>
      </w:r>
      <w:r w:rsidRPr="003229BF">
        <w:t>committed to adapt</w:t>
      </w:r>
      <w:r w:rsidR="00AB24DF">
        <w:t>ing</w:t>
      </w:r>
      <w:r w:rsidRPr="003229BF">
        <w:t xml:space="preserve"> methodologies and </w:t>
      </w:r>
      <w:r w:rsidRPr="003229BF">
        <w:lastRenderedPageBreak/>
        <w:t>analys</w:t>
      </w:r>
      <w:r w:rsidR="00990A01">
        <w:t>i</w:t>
      </w:r>
      <w:r w:rsidRPr="003229BF">
        <w:t xml:space="preserve">s to assess </w:t>
      </w:r>
      <w:r>
        <w:t>the environmental footprint of technologies as part of its 2022–2025 strategic plan.</w:t>
      </w:r>
      <w:r>
        <w:rPr>
          <w:rStyle w:val="FootnoteReference"/>
        </w:rPr>
        <w:footnoteReference w:id="200"/>
      </w:r>
    </w:p>
    <w:p w14:paraId="3E2E1549" w14:textId="3033A742" w:rsidR="00562D90" w:rsidRDefault="00562D90" w:rsidP="00405FD7">
      <w:r>
        <w:t>Australia has an opportunity</w:t>
      </w:r>
      <w:r w:rsidR="003C242E">
        <w:t>,</w:t>
      </w:r>
      <w:r>
        <w:t xml:space="preserve"> including through the </w:t>
      </w:r>
      <w:r w:rsidR="009A3A48">
        <w:t>i</w:t>
      </w:r>
      <w:r>
        <w:t xml:space="preserve">nternational </w:t>
      </w:r>
      <w:r w:rsidRPr="00CD050D">
        <w:t xml:space="preserve">HTA </w:t>
      </w:r>
      <w:r w:rsidR="009A3A48">
        <w:t>c</w:t>
      </w:r>
      <w:r>
        <w:t>ollaboration</w:t>
      </w:r>
      <w:r w:rsidR="003C242E">
        <w:t>,</w:t>
      </w:r>
      <w:r w:rsidR="00453069">
        <w:t xml:space="preserve"> </w:t>
      </w:r>
      <w:r>
        <w:t>to shape the international regulatory environment by contributing to these efforts</w:t>
      </w:r>
      <w:r w:rsidR="00946570">
        <w:t>. I</w:t>
      </w:r>
      <w:r>
        <w:t xml:space="preserve">n </w:t>
      </w:r>
      <w:r w:rsidR="00946570">
        <w:t xml:space="preserve">doing </w:t>
      </w:r>
      <w:r>
        <w:t>so</w:t>
      </w:r>
      <w:r w:rsidR="00946570">
        <w:t>, it</w:t>
      </w:r>
      <w:r>
        <w:t xml:space="preserve"> ensure</w:t>
      </w:r>
      <w:r w:rsidR="00FA396E">
        <w:t>s</w:t>
      </w:r>
      <w:r>
        <w:t xml:space="preserve"> that environmental impacts are incorporated into </w:t>
      </w:r>
      <w:r w:rsidR="00DE5314">
        <w:t>HTA</w:t>
      </w:r>
      <w:r>
        <w:t xml:space="preserve"> processes in an efficient and burden-minimising way. Failure to seize this opportunity creates a risk that Australia will have international standards imposed </w:t>
      </w:r>
      <w:r w:rsidR="00E16E74">
        <w:t xml:space="preserve">without </w:t>
      </w:r>
      <w:r w:rsidR="00946570">
        <w:t xml:space="preserve">being </w:t>
      </w:r>
      <w:r w:rsidR="009E255B">
        <w:t>involve</w:t>
      </w:r>
      <w:r w:rsidR="00946570">
        <w:t>d</w:t>
      </w:r>
      <w:r w:rsidR="009E255B">
        <w:t xml:space="preserve"> in their</w:t>
      </w:r>
      <w:r w:rsidR="00540D5B">
        <w:t> </w:t>
      </w:r>
      <w:r>
        <w:t>creati</w:t>
      </w:r>
      <w:r w:rsidR="009E255B">
        <w:t>o</w:t>
      </w:r>
      <w:r>
        <w:t>n.</w:t>
      </w:r>
    </w:p>
    <w:p w14:paraId="3CD5D92B" w14:textId="4BF7FDE8" w:rsidR="00AF6942" w:rsidRDefault="00AF6942" w:rsidP="00A318F7">
      <w:pPr>
        <w:pStyle w:val="Heading3"/>
      </w:pPr>
      <w:bookmarkStart w:id="651" w:name="_Toc164691491"/>
      <w:bookmarkStart w:id="652" w:name="_Toc164696285"/>
      <w:bookmarkStart w:id="653" w:name="_Toc164696431"/>
      <w:bookmarkStart w:id="654" w:name="_Toc164767819"/>
      <w:bookmarkStart w:id="655" w:name="_Toc165473751"/>
      <w:r>
        <w:t>Conclusion</w:t>
      </w:r>
      <w:bookmarkEnd w:id="651"/>
      <w:bookmarkEnd w:id="652"/>
      <w:bookmarkEnd w:id="653"/>
      <w:bookmarkEnd w:id="654"/>
      <w:bookmarkEnd w:id="655"/>
    </w:p>
    <w:p w14:paraId="069C4510" w14:textId="48A4569C" w:rsidR="00433D1A" w:rsidRDefault="00433D1A" w:rsidP="00405FD7">
      <w:r>
        <w:t>Australia should actively involve itself in efforts to establish new international standards for assessing the environmental impacts of health technology products</w:t>
      </w:r>
      <w:r w:rsidR="00540D5B">
        <w:t>. It should also</w:t>
      </w:r>
      <w:r>
        <w:t xml:space="preserve"> consider requiring manufacturers to measure and publicly report emissions of products</w:t>
      </w:r>
      <w:r w:rsidR="00540D5B">
        <w:t>. T</w:t>
      </w:r>
      <w:r>
        <w:t xml:space="preserve">his information </w:t>
      </w:r>
      <w:r w:rsidR="00540D5B">
        <w:t>should be</w:t>
      </w:r>
      <w:r>
        <w:t xml:space="preserve"> incorporated into approval and reimbursement decisions</w:t>
      </w:r>
      <w:r w:rsidR="00540D5B">
        <w:t>, aligning</w:t>
      </w:r>
      <w:r w:rsidDel="00540D5B">
        <w:t xml:space="preserve"> </w:t>
      </w:r>
      <w:r>
        <w:t>with international best practice and developments in comparable countries.</w:t>
      </w:r>
    </w:p>
    <w:p w14:paraId="6F21E4B7" w14:textId="6CA7DE80" w:rsidR="188AA2AA" w:rsidRDefault="188AA2AA" w:rsidP="00A318F7">
      <w:pPr>
        <w:pStyle w:val="Heading3"/>
      </w:pPr>
      <w:bookmarkStart w:id="656" w:name="_Toc165473752"/>
      <w:r>
        <w:t>Objectives of recommendations</w:t>
      </w:r>
      <w:bookmarkEnd w:id="656"/>
    </w:p>
    <w:p w14:paraId="57662B62" w14:textId="11BD1FBE" w:rsidR="188AA2AA" w:rsidRDefault="2193F598" w:rsidP="00405FD7">
      <w:pPr>
        <w:rPr>
          <w:rFonts w:eastAsia="Segoe UI" w:cs="Segoe UI"/>
          <w:color w:val="000000" w:themeColor="text1"/>
        </w:rPr>
      </w:pPr>
      <w:r w:rsidRPr="76D08B1D">
        <w:rPr>
          <w:rFonts w:eastAsia="Segoe UI" w:cs="Segoe UI"/>
          <w:color w:val="000000" w:themeColor="text1"/>
        </w:rPr>
        <w:t>The Review sets out new arrangements that</w:t>
      </w:r>
      <w:r w:rsidR="44A57CA0" w:rsidRPr="4AD1AEB7">
        <w:rPr>
          <w:rFonts w:eastAsia="Segoe UI" w:cs="Segoe UI"/>
          <w:color w:val="000000" w:themeColor="text1"/>
        </w:rPr>
        <w:t xml:space="preserve"> recognise the substantial research and consultation conducted during the development of </w:t>
      </w:r>
      <w:r w:rsidR="44A57CA0" w:rsidRPr="00591D27">
        <w:rPr>
          <w:rFonts w:eastAsia="Segoe UI" w:cs="Segoe UI"/>
          <w:color w:val="000000" w:themeColor="text1"/>
        </w:rPr>
        <w:t xml:space="preserve">the </w:t>
      </w:r>
      <w:r w:rsidR="44A57CA0" w:rsidRPr="00B61FDC">
        <w:rPr>
          <w:rFonts w:eastAsia="Segoe UI" w:cs="Segoe UI"/>
          <w:i/>
          <w:iCs/>
          <w:color w:val="000000" w:themeColor="text1"/>
        </w:rPr>
        <w:t>National Health and Climate Strategy</w:t>
      </w:r>
      <w:r w:rsidR="00686C37">
        <w:rPr>
          <w:rStyle w:val="FootnoteReference"/>
        </w:rPr>
        <w:footnoteReference w:id="201"/>
      </w:r>
      <w:r w:rsidR="44A57CA0" w:rsidRPr="00591D27">
        <w:rPr>
          <w:rFonts w:eastAsia="Segoe UI" w:cs="Segoe UI"/>
          <w:color w:val="000000" w:themeColor="text1"/>
        </w:rPr>
        <w:t xml:space="preserve"> and align with its </w:t>
      </w:r>
      <w:r w:rsidR="00540D5B">
        <w:rPr>
          <w:rFonts w:eastAsia="Segoe UI" w:cs="Segoe UI"/>
          <w:color w:val="000000" w:themeColor="text1"/>
        </w:rPr>
        <w:t>four</w:t>
      </w:r>
      <w:r w:rsidR="44A57CA0" w:rsidRPr="00591D27">
        <w:rPr>
          <w:rFonts w:eastAsia="Segoe UI" w:cs="Segoe UI"/>
          <w:color w:val="000000" w:themeColor="text1"/>
        </w:rPr>
        <w:t xml:space="preserve"> core objectives:</w:t>
      </w:r>
    </w:p>
    <w:p w14:paraId="2BD49745" w14:textId="351D0DCD" w:rsidR="188AA2AA" w:rsidRDefault="44A57CA0" w:rsidP="00281153">
      <w:pPr>
        <w:pStyle w:val="ListBullet"/>
        <w:numPr>
          <w:ilvl w:val="0"/>
          <w:numId w:val="83"/>
        </w:numPr>
      </w:pPr>
      <w:r w:rsidRPr="4AD1AEB7">
        <w:rPr>
          <w:b/>
        </w:rPr>
        <w:t>Health system resilience:</w:t>
      </w:r>
      <w:r w:rsidRPr="4AD1AEB7">
        <w:t> build a climate-resilient health system and enhance its capacity to protect health and wellbeing from the impacts of climate change</w:t>
      </w:r>
    </w:p>
    <w:p w14:paraId="7B965E78" w14:textId="46F35C6C" w:rsidR="188AA2AA" w:rsidRDefault="44A57CA0" w:rsidP="00281153">
      <w:pPr>
        <w:pStyle w:val="ListBullet"/>
        <w:numPr>
          <w:ilvl w:val="0"/>
          <w:numId w:val="83"/>
        </w:numPr>
      </w:pPr>
      <w:r w:rsidRPr="4AD1AEB7">
        <w:rPr>
          <w:b/>
        </w:rPr>
        <w:t>Health system decarbonisation:</w:t>
      </w:r>
      <w:r w:rsidRPr="4AD1AEB7">
        <w:t> build a sustainable, high</w:t>
      </w:r>
      <w:r w:rsidR="00540D5B">
        <w:t>-</w:t>
      </w:r>
      <w:r w:rsidRPr="4AD1AEB7">
        <w:t>quality, net zero health system</w:t>
      </w:r>
    </w:p>
    <w:p w14:paraId="151A51D4" w14:textId="639B6B06" w:rsidR="188AA2AA" w:rsidRDefault="44A57CA0" w:rsidP="00281153">
      <w:pPr>
        <w:pStyle w:val="ListBullet"/>
        <w:numPr>
          <w:ilvl w:val="0"/>
          <w:numId w:val="83"/>
        </w:numPr>
      </w:pPr>
      <w:r w:rsidRPr="4AD1AEB7">
        <w:rPr>
          <w:b/>
        </w:rPr>
        <w:t>International collaboration:</w:t>
      </w:r>
      <w:r w:rsidRPr="4AD1AEB7">
        <w:t> collaborate internationally to build sustainable, climate-resilient health systems and communities</w:t>
      </w:r>
    </w:p>
    <w:p w14:paraId="50733BD2" w14:textId="476646CE" w:rsidR="188AA2AA" w:rsidRDefault="44A57CA0" w:rsidP="00281153">
      <w:pPr>
        <w:pStyle w:val="ListBullet"/>
        <w:numPr>
          <w:ilvl w:val="0"/>
          <w:numId w:val="83"/>
        </w:numPr>
      </w:pPr>
      <w:r w:rsidRPr="6C614FCF">
        <w:rPr>
          <w:b/>
        </w:rPr>
        <w:t>Health in all policies: </w:t>
      </w:r>
      <w:r w:rsidRPr="6C614FCF">
        <w:t xml:space="preserve">support healthy, climate-resilient and sustainable communities through whole-of-government action </w:t>
      </w:r>
      <w:r w:rsidR="00540D5B">
        <w:t>that</w:t>
      </w:r>
      <w:r w:rsidR="00540D5B" w:rsidRPr="6C614FCF">
        <w:t xml:space="preserve"> </w:t>
      </w:r>
      <w:r w:rsidRPr="6C614FCF">
        <w:t>recognises the relationship between health and climate outcomes.</w:t>
      </w:r>
    </w:p>
    <w:p w14:paraId="7669D036" w14:textId="18278DDE" w:rsidR="00593D5A" w:rsidRDefault="00AF6942" w:rsidP="00A318F7">
      <w:pPr>
        <w:pStyle w:val="Heading3"/>
      </w:pPr>
      <w:bookmarkStart w:id="657" w:name="_Toc164691492"/>
      <w:bookmarkStart w:id="658" w:name="_Toc164696286"/>
      <w:bookmarkStart w:id="659" w:name="_Toc164696432"/>
      <w:bookmarkStart w:id="660" w:name="_Toc164767820"/>
      <w:bookmarkStart w:id="661" w:name="_Toc165473753"/>
      <w:r>
        <w:t>Recommendations</w:t>
      </w:r>
      <w:bookmarkEnd w:id="657"/>
      <w:bookmarkEnd w:id="658"/>
      <w:bookmarkEnd w:id="659"/>
      <w:bookmarkEnd w:id="660"/>
      <w:bookmarkEnd w:id="661"/>
      <w:r w:rsidR="00593D5A">
        <w:t xml:space="preserve"> </w:t>
      </w:r>
    </w:p>
    <w:p w14:paraId="6D92BEE9" w14:textId="7B466DC8" w:rsidR="00E97740" w:rsidRPr="002E7C03" w:rsidRDefault="00E97740" w:rsidP="00074B8A">
      <w:pPr>
        <w:pStyle w:val="Recommendation1"/>
      </w:pPr>
      <w:bookmarkStart w:id="662" w:name="_Hlk167302595"/>
      <w:r>
        <w:t>Environmental impact reporting</w:t>
      </w:r>
    </w:p>
    <w:bookmarkEnd w:id="662"/>
    <w:p w14:paraId="36676241" w14:textId="44988C30" w:rsidR="00E97740" w:rsidRPr="002E7C03" w:rsidRDefault="00E97740" w:rsidP="005F5549">
      <w:pPr>
        <w:spacing w:before="120" w:after="120"/>
        <w:rPr>
          <w:rFonts w:cs="Segoe UI"/>
        </w:rPr>
      </w:pPr>
      <w:r w:rsidRPr="00405FD7">
        <w:rPr>
          <w:rFonts w:cs="Segoe UI"/>
        </w:rPr>
        <w:t xml:space="preserve">The Review recommends </w:t>
      </w:r>
      <w:r w:rsidR="00DA3DB3">
        <w:rPr>
          <w:rFonts w:cs="Segoe UI"/>
        </w:rPr>
        <w:t xml:space="preserve">that </w:t>
      </w:r>
      <w:r w:rsidRPr="00405FD7">
        <w:rPr>
          <w:rFonts w:cs="Segoe UI"/>
        </w:rPr>
        <w:t>the Australian Government</w:t>
      </w:r>
      <w:r w:rsidR="00DA3DB3">
        <w:rPr>
          <w:rFonts w:cs="Segoe UI"/>
        </w:rPr>
        <w:t>,</w:t>
      </w:r>
      <w:r w:rsidR="003D0CA3">
        <w:rPr>
          <w:rFonts w:cs="Segoe UI"/>
        </w:rPr>
        <w:t xml:space="preserve"> i</w:t>
      </w:r>
      <w:r w:rsidRPr="25A0F8CE">
        <w:rPr>
          <w:rFonts w:cs="Segoe UI"/>
        </w:rPr>
        <w:t xml:space="preserve">n line with the </w:t>
      </w:r>
      <w:r w:rsidRPr="00BD34D3">
        <w:rPr>
          <w:rFonts w:cs="Segoe UI"/>
          <w:i/>
        </w:rPr>
        <w:t>National Health and Climate Strategy</w:t>
      </w:r>
      <w:r w:rsidR="00DA3DB3">
        <w:rPr>
          <w:rFonts w:cs="Segoe UI"/>
          <w:iCs/>
        </w:rPr>
        <w:t xml:space="preserve">, </w:t>
      </w:r>
      <w:r w:rsidRPr="25A0F8CE">
        <w:rPr>
          <w:rFonts w:cs="Segoe UI"/>
        </w:rPr>
        <w:t>investigate the following options in consultation with industry and other stakeholders:</w:t>
      </w:r>
    </w:p>
    <w:p w14:paraId="37313786" w14:textId="42196E69" w:rsidR="00E97740" w:rsidRPr="002E7C03" w:rsidRDefault="00DA3DB3" w:rsidP="00281153">
      <w:pPr>
        <w:pStyle w:val="ListParagraph"/>
        <w:numPr>
          <w:ilvl w:val="0"/>
          <w:numId w:val="47"/>
        </w:numPr>
        <w:spacing w:before="120" w:after="120"/>
        <w:rPr>
          <w:rFonts w:cs="Segoe UI"/>
        </w:rPr>
      </w:pPr>
      <w:bookmarkStart w:id="663" w:name="_Ref164783141"/>
      <w:r>
        <w:rPr>
          <w:rFonts w:cs="Segoe UI"/>
        </w:rPr>
        <w:lastRenderedPageBreak/>
        <w:t>r</w:t>
      </w:r>
      <w:r w:rsidR="00E97740" w:rsidRPr="25A0F8CE">
        <w:rPr>
          <w:rFonts w:cs="Segoe UI"/>
        </w:rPr>
        <w:t xml:space="preserve">eporting of environmental impacts, starting with embodied greenhouse gas emissions, </w:t>
      </w:r>
      <w:r>
        <w:rPr>
          <w:rFonts w:cs="Segoe UI"/>
        </w:rPr>
        <w:t>during</w:t>
      </w:r>
      <w:r w:rsidR="00E97740" w:rsidRPr="25A0F8CE">
        <w:rPr>
          <w:rFonts w:cs="Segoe UI"/>
        </w:rPr>
        <w:t xml:space="preserve"> the assessment of cost-effectiveness by Australian HTA</w:t>
      </w:r>
      <w:r w:rsidR="002A2548" w:rsidRPr="002A2548" w:rsidDel="002A2548">
        <w:rPr>
          <w:rFonts w:cs="Segoe UI"/>
        </w:rPr>
        <w:t xml:space="preserve"> </w:t>
      </w:r>
      <w:r w:rsidR="00E97740" w:rsidRPr="25A0F8CE">
        <w:rPr>
          <w:rFonts w:cs="Segoe UI"/>
        </w:rPr>
        <w:t>bodies</w:t>
      </w:r>
      <w:bookmarkEnd w:id="663"/>
    </w:p>
    <w:p w14:paraId="762BD656" w14:textId="59D1150E" w:rsidR="00E97740" w:rsidRPr="002E7C03" w:rsidRDefault="00DA3DB3" w:rsidP="00281153">
      <w:pPr>
        <w:pStyle w:val="ListParagraph"/>
        <w:numPr>
          <w:ilvl w:val="0"/>
          <w:numId w:val="47"/>
        </w:numPr>
        <w:spacing w:before="120" w:after="120"/>
        <w:rPr>
          <w:rFonts w:cs="Segoe UI"/>
        </w:rPr>
      </w:pPr>
      <w:r>
        <w:rPr>
          <w:rFonts w:cs="Segoe UI"/>
        </w:rPr>
        <w:t>p</w:t>
      </w:r>
      <w:r w:rsidR="00E97740" w:rsidRPr="25A0F8CE">
        <w:rPr>
          <w:rFonts w:cs="Segoe UI"/>
        </w:rPr>
        <w:t xml:space="preserve">otential </w:t>
      </w:r>
      <w:r>
        <w:rPr>
          <w:rFonts w:cs="Segoe UI"/>
        </w:rPr>
        <w:t>to</w:t>
      </w:r>
      <w:r w:rsidR="00E97740" w:rsidRPr="25A0F8CE">
        <w:rPr>
          <w:rFonts w:cs="Segoe UI"/>
        </w:rPr>
        <w:t xml:space="preserve"> use </w:t>
      </w:r>
      <w:r>
        <w:rPr>
          <w:rFonts w:cs="Segoe UI"/>
        </w:rPr>
        <w:t>this</w:t>
      </w:r>
      <w:r w:rsidR="00E97740" w:rsidRPr="25A0F8CE">
        <w:rPr>
          <w:rFonts w:cs="Segoe UI"/>
        </w:rPr>
        <w:t xml:space="preserve"> data in approval and reimbursement decisions</w:t>
      </w:r>
    </w:p>
    <w:p w14:paraId="0ACA8619" w14:textId="45219C9E" w:rsidR="00E97740" w:rsidRPr="002E7C03" w:rsidRDefault="00DA3DB3" w:rsidP="00281153">
      <w:pPr>
        <w:pStyle w:val="ListParagraph"/>
        <w:numPr>
          <w:ilvl w:val="0"/>
          <w:numId w:val="47"/>
        </w:numPr>
        <w:spacing w:before="120" w:after="120"/>
        <w:rPr>
          <w:rFonts w:cs="Segoe UI"/>
        </w:rPr>
      </w:pPr>
      <w:r>
        <w:rPr>
          <w:rFonts w:cs="Segoe UI"/>
        </w:rPr>
        <w:t>p</w:t>
      </w:r>
      <w:r w:rsidR="00E97740" w:rsidRPr="25A0F8CE">
        <w:rPr>
          <w:rFonts w:cs="Segoe UI"/>
        </w:rPr>
        <w:t>otential for public reporting of th</w:t>
      </w:r>
      <w:r>
        <w:rPr>
          <w:rFonts w:cs="Segoe UI"/>
        </w:rPr>
        <w:t>is</w:t>
      </w:r>
      <w:r w:rsidR="00E97740" w:rsidRPr="25A0F8CE">
        <w:rPr>
          <w:rFonts w:cs="Segoe UI"/>
        </w:rPr>
        <w:t xml:space="preserve"> data, to inform clinical decision-making</w:t>
      </w:r>
    </w:p>
    <w:p w14:paraId="16873371" w14:textId="3FF5510C" w:rsidR="00E97740" w:rsidRPr="002E7C03" w:rsidRDefault="00C44592" w:rsidP="00281153">
      <w:pPr>
        <w:pStyle w:val="ListParagraph"/>
        <w:numPr>
          <w:ilvl w:val="0"/>
          <w:numId w:val="47"/>
        </w:numPr>
        <w:spacing w:before="120" w:after="120"/>
        <w:rPr>
          <w:rFonts w:cs="Segoe UI"/>
        </w:rPr>
      </w:pPr>
      <w:r>
        <w:rPr>
          <w:rFonts w:cs="Segoe UI"/>
        </w:rPr>
        <w:t xml:space="preserve">the </w:t>
      </w:r>
      <w:r w:rsidR="00DA3DB3">
        <w:rPr>
          <w:rFonts w:cs="Segoe UI"/>
        </w:rPr>
        <w:t>d</w:t>
      </w:r>
      <w:r w:rsidR="00E97740" w:rsidRPr="25A0F8CE">
        <w:rPr>
          <w:rFonts w:cs="Segoe UI"/>
        </w:rPr>
        <w:t>evelopment of guidance documents and examples to facilitate environmental impacts reporting</w:t>
      </w:r>
    </w:p>
    <w:p w14:paraId="5BCD3F08" w14:textId="1E3EFBA0" w:rsidR="00E97740" w:rsidRPr="002E7C03" w:rsidRDefault="00DA3DB3" w:rsidP="00281153">
      <w:pPr>
        <w:pStyle w:val="ListParagraph"/>
        <w:numPr>
          <w:ilvl w:val="0"/>
          <w:numId w:val="47"/>
        </w:numPr>
        <w:spacing w:before="120" w:after="120"/>
        <w:rPr>
          <w:rFonts w:cs="Segoe UI"/>
        </w:rPr>
      </w:pPr>
      <w:r>
        <w:rPr>
          <w:rFonts w:cs="Segoe UI"/>
        </w:rPr>
        <w:t>a</w:t>
      </w:r>
      <w:r w:rsidR="00E97740" w:rsidRPr="25A0F8CE">
        <w:rPr>
          <w:rFonts w:cs="Segoe UI"/>
        </w:rPr>
        <w:t>lignment with international best practice in comparable jurisdictions</w:t>
      </w:r>
    </w:p>
    <w:p w14:paraId="6BF7EC99" w14:textId="2EF7E5D2" w:rsidR="00E97740" w:rsidRPr="002E7C03" w:rsidRDefault="00DA3DB3" w:rsidP="00281153">
      <w:pPr>
        <w:pStyle w:val="ListParagraph"/>
        <w:numPr>
          <w:ilvl w:val="0"/>
          <w:numId w:val="47"/>
        </w:numPr>
        <w:spacing w:before="120" w:after="120"/>
        <w:rPr>
          <w:rFonts w:cs="Segoe UI"/>
        </w:rPr>
      </w:pPr>
      <w:r>
        <w:rPr>
          <w:rFonts w:cs="Segoe UI"/>
        </w:rPr>
        <w:t>t</w:t>
      </w:r>
      <w:r w:rsidR="00E97740" w:rsidRPr="25A0F8CE">
        <w:rPr>
          <w:rFonts w:cs="Segoe UI"/>
        </w:rPr>
        <w:t xml:space="preserve">he role of international standards for </w:t>
      </w:r>
      <w:r>
        <w:rPr>
          <w:rFonts w:cs="Segoe UI"/>
        </w:rPr>
        <w:t xml:space="preserve">calculating the </w:t>
      </w:r>
      <w:r w:rsidR="00E97740" w:rsidRPr="25A0F8CE">
        <w:rPr>
          <w:rFonts w:cs="Segoe UI"/>
        </w:rPr>
        <w:t>carbon footprint of health technology products.</w:t>
      </w:r>
    </w:p>
    <w:p w14:paraId="2BD1C411" w14:textId="77777777" w:rsidR="002A5680" w:rsidRDefault="002A5680">
      <w:pPr>
        <w:rPr>
          <w:rFonts w:eastAsia="Times New Roman" w:cs="Segoe UI"/>
          <w:bCs/>
          <w:color w:val="094868"/>
          <w:kern w:val="28"/>
          <w:sz w:val="44"/>
          <w:szCs w:val="36"/>
        </w:rPr>
      </w:pPr>
      <w:r>
        <w:br w:type="page"/>
      </w:r>
    </w:p>
    <w:p w14:paraId="2D50CD33" w14:textId="000D9122" w:rsidR="00C66191" w:rsidRDefault="00024F44" w:rsidP="00AD3C9E">
      <w:pPr>
        <w:pStyle w:val="Heading1"/>
      </w:pPr>
      <w:bookmarkStart w:id="664" w:name="_Toc164685855"/>
      <w:bookmarkStart w:id="665" w:name="_Toc164691493"/>
      <w:bookmarkStart w:id="666" w:name="_Toc164696287"/>
      <w:bookmarkStart w:id="667" w:name="_Toc164696433"/>
      <w:bookmarkStart w:id="668" w:name="_Toc164767821"/>
      <w:bookmarkStart w:id="669" w:name="_Ref164870595"/>
      <w:bookmarkStart w:id="670" w:name="_Toc165473754"/>
      <w:bookmarkStart w:id="671" w:name="_Toc171935899"/>
      <w:r>
        <w:lastRenderedPageBreak/>
        <w:t xml:space="preserve">Chapter </w:t>
      </w:r>
      <w:r w:rsidR="00872D38">
        <w:t>9</w:t>
      </w:r>
      <w:r>
        <w:t xml:space="preserve">: </w:t>
      </w:r>
      <w:r w:rsidR="00984F0E">
        <w:t xml:space="preserve">Supporting </w:t>
      </w:r>
      <w:r w:rsidR="00A72F2E">
        <w:t>a</w:t>
      </w:r>
      <w:r w:rsidR="002665C1" w:rsidRPr="002665C1">
        <w:t xml:space="preserve">rchitecture for </w:t>
      </w:r>
      <w:bookmarkEnd w:id="664"/>
      <w:bookmarkEnd w:id="665"/>
      <w:bookmarkEnd w:id="666"/>
      <w:bookmarkEnd w:id="667"/>
      <w:bookmarkEnd w:id="668"/>
      <w:bookmarkEnd w:id="669"/>
      <w:bookmarkEnd w:id="670"/>
      <w:r w:rsidR="00A72F2E">
        <w:t>HTAs</w:t>
      </w:r>
      <w:bookmarkEnd w:id="671"/>
      <w:r w:rsidR="002665C1" w:rsidRPr="002665C1" w:rsidDel="002665C1">
        <w:t xml:space="preserve"> </w:t>
      </w:r>
    </w:p>
    <w:p w14:paraId="5E81513E" w14:textId="519BECED" w:rsidR="00E23E39" w:rsidRPr="00D20132" w:rsidRDefault="00E23E39" w:rsidP="002B25F3">
      <w:pPr>
        <w:pStyle w:val="Heading2"/>
      </w:pPr>
      <w:bookmarkStart w:id="672" w:name="_Toc164767822"/>
      <w:bookmarkStart w:id="673" w:name="_Toc165473755"/>
      <w:bookmarkStart w:id="674" w:name="_Toc171935900"/>
      <w:r w:rsidRPr="00D20132">
        <w:t>Introduction</w:t>
      </w:r>
      <w:bookmarkEnd w:id="672"/>
      <w:bookmarkEnd w:id="673"/>
      <w:bookmarkEnd w:id="674"/>
    </w:p>
    <w:p w14:paraId="3927704D" w14:textId="06E6C532" w:rsidR="00E23E39" w:rsidRPr="00D20132" w:rsidRDefault="00E23E39" w:rsidP="00405FD7">
      <w:pPr>
        <w:rPr>
          <w:rFonts w:cs="Segoe UI"/>
        </w:rPr>
      </w:pPr>
      <w:r w:rsidRPr="005344A1">
        <w:rPr>
          <w:rFonts w:cs="Segoe UI"/>
        </w:rPr>
        <w:t>HTA</w:t>
      </w:r>
      <w:r w:rsidR="001B7CFF">
        <w:rPr>
          <w:rFonts w:cs="Segoe UI"/>
        </w:rPr>
        <w:t>s</w:t>
      </w:r>
      <w:r w:rsidRPr="005344A1">
        <w:rPr>
          <w:rFonts w:cs="Segoe UI"/>
        </w:rPr>
        <w:t xml:space="preserve"> in Australia ha</w:t>
      </w:r>
      <w:r w:rsidR="001B7CFF">
        <w:rPr>
          <w:rFonts w:cs="Segoe UI"/>
        </w:rPr>
        <w:t>ve</w:t>
      </w:r>
      <w:r w:rsidRPr="005344A1">
        <w:rPr>
          <w:rFonts w:cs="Segoe UI"/>
        </w:rPr>
        <w:t xml:space="preserve"> traditionally been reactive;</w:t>
      </w:r>
      <w:r w:rsidRPr="00D20132">
        <w:rPr>
          <w:rFonts w:cs="Segoe UI"/>
        </w:rPr>
        <w:t xml:space="preserve"> individual submissions are put forward (at </w:t>
      </w:r>
      <w:r w:rsidR="001B7CFF">
        <w:rPr>
          <w:rFonts w:cs="Segoe UI"/>
        </w:rPr>
        <w:t>the</w:t>
      </w:r>
      <w:r w:rsidRPr="00D20132">
        <w:rPr>
          <w:rFonts w:cs="Segoe UI"/>
        </w:rPr>
        <w:t xml:space="preserve"> time of a sponsor’s choosing) for marketing authorisation and/or </w:t>
      </w:r>
      <w:r>
        <w:rPr>
          <w:rFonts w:cs="Segoe UI"/>
        </w:rPr>
        <w:t>public subsidy</w:t>
      </w:r>
      <w:r w:rsidRPr="00D20132">
        <w:rPr>
          <w:rFonts w:cs="Segoe UI"/>
        </w:rPr>
        <w:t xml:space="preserve">. This approach </w:t>
      </w:r>
      <w:r w:rsidR="001B075E">
        <w:rPr>
          <w:rFonts w:cs="Segoe UI"/>
        </w:rPr>
        <w:t>w</w:t>
      </w:r>
      <w:r w:rsidRPr="00D20132">
        <w:rPr>
          <w:rFonts w:cs="Segoe UI"/>
        </w:rPr>
        <w:t xml:space="preserve">as considered an effective and appropriate way of making recommendations to </w:t>
      </w:r>
      <w:r w:rsidR="001B7CFF">
        <w:rPr>
          <w:rFonts w:cs="Segoe UI"/>
        </w:rPr>
        <w:t xml:space="preserve">the </w:t>
      </w:r>
      <w:r w:rsidRPr="00D20132">
        <w:rPr>
          <w:rFonts w:cs="Segoe UI"/>
        </w:rPr>
        <w:t>Government for the introduction of individual health technologies into health</w:t>
      </w:r>
      <w:r w:rsidR="002D33A5">
        <w:rPr>
          <w:rFonts w:cs="Segoe UI"/>
        </w:rPr>
        <w:t xml:space="preserve"> </w:t>
      </w:r>
      <w:r w:rsidRPr="00D20132">
        <w:rPr>
          <w:rFonts w:cs="Segoe UI"/>
        </w:rPr>
        <w:t xml:space="preserve">care in an era of slower technological development. </w:t>
      </w:r>
    </w:p>
    <w:p w14:paraId="390C11A4" w14:textId="77F08C97" w:rsidR="00E23E39" w:rsidRPr="005344A1" w:rsidRDefault="00E23E39" w:rsidP="00405FD7">
      <w:pPr>
        <w:rPr>
          <w:rFonts w:cs="Segoe UI"/>
        </w:rPr>
      </w:pPr>
      <w:r w:rsidRPr="00D20132">
        <w:rPr>
          <w:rFonts w:cs="Segoe UI"/>
        </w:rPr>
        <w:t>However, new health technologies are now being developed and introduced into clinical practice at an increasing pace and cost</w:t>
      </w:r>
      <w:r w:rsidR="001B075E">
        <w:rPr>
          <w:rFonts w:cs="Segoe UI"/>
        </w:rPr>
        <w:t>. A</w:t>
      </w:r>
      <w:r w:rsidRPr="00D20132">
        <w:rPr>
          <w:rFonts w:cs="Segoe UI"/>
        </w:rPr>
        <w:t xml:space="preserve">nd overall patient and clinician expectations for access to new health technologies (including for precision therapies that address clinical indications that previously had </w:t>
      </w:r>
      <w:r w:rsidR="001B075E">
        <w:rPr>
          <w:rFonts w:cs="Segoe UI"/>
        </w:rPr>
        <w:t xml:space="preserve">no </w:t>
      </w:r>
      <w:r w:rsidRPr="00D20132">
        <w:rPr>
          <w:rFonts w:cs="Segoe UI"/>
        </w:rPr>
        <w:t xml:space="preserve">treatments) </w:t>
      </w:r>
      <w:r>
        <w:rPr>
          <w:rFonts w:cs="Segoe UI"/>
        </w:rPr>
        <w:t>are</w:t>
      </w:r>
      <w:r w:rsidRPr="00D20132">
        <w:rPr>
          <w:rFonts w:cs="Segoe UI"/>
        </w:rPr>
        <w:t xml:space="preserve"> ever increasing. </w:t>
      </w:r>
      <w:r w:rsidRPr="005344A1">
        <w:rPr>
          <w:rFonts w:cs="Segoe UI"/>
        </w:rPr>
        <w:t xml:space="preserve">As a result, the HTA </w:t>
      </w:r>
      <w:r w:rsidR="001B075E">
        <w:rPr>
          <w:rFonts w:cs="Segoe UI"/>
        </w:rPr>
        <w:t>system</w:t>
      </w:r>
      <w:r w:rsidRPr="005344A1">
        <w:rPr>
          <w:rFonts w:cs="Segoe UI"/>
        </w:rPr>
        <w:t xml:space="preserve"> is coming under pressure from time, resourcing and complexity perspectives, due to the need to:</w:t>
      </w:r>
    </w:p>
    <w:p w14:paraId="1F0D87FD" w14:textId="624E7FC1" w:rsidR="00E23E39" w:rsidRPr="005344A1" w:rsidRDefault="00E23E39" w:rsidP="00274AA9">
      <w:pPr>
        <w:pStyle w:val="ListBullet"/>
      </w:pPr>
      <w:r w:rsidRPr="005344A1">
        <w:t xml:space="preserve">evaluate an increasing volume of health technologies at speed </w:t>
      </w:r>
    </w:p>
    <w:p w14:paraId="6526AC5B" w14:textId="7887F58A" w:rsidR="00E23E39" w:rsidRPr="005344A1" w:rsidRDefault="00E23E39" w:rsidP="00274AA9">
      <w:pPr>
        <w:pStyle w:val="ListBullet"/>
      </w:pPr>
      <w:r w:rsidRPr="005344A1">
        <w:t xml:space="preserve">rely on smaller and/or less traditional evidence bases to support and make recommendations and decisions </w:t>
      </w:r>
    </w:p>
    <w:p w14:paraId="17AF08C9" w14:textId="12E39497" w:rsidR="00E23E39" w:rsidRPr="00D20132" w:rsidRDefault="00E23E39" w:rsidP="00274AA9">
      <w:pPr>
        <w:pStyle w:val="ListBullet"/>
      </w:pPr>
      <w:r w:rsidRPr="005344A1">
        <w:t>consider and implement recommendations arising from HTA process</w:t>
      </w:r>
      <w:r w:rsidR="0019548A">
        <w:t>es</w:t>
      </w:r>
      <w:r w:rsidRPr="005344A1">
        <w:t xml:space="preserve"> in the context of an evolving and limited resource healthcare environment</w:t>
      </w:r>
      <w:r w:rsidRPr="00D20132">
        <w:t xml:space="preserve">. </w:t>
      </w:r>
    </w:p>
    <w:p w14:paraId="30F0C5D0" w14:textId="204C5E38" w:rsidR="00E23E39" w:rsidRPr="00D20132" w:rsidRDefault="00E23E39" w:rsidP="00405FD7">
      <w:pPr>
        <w:rPr>
          <w:rFonts w:cs="Segoe UI"/>
          <w:strike/>
        </w:rPr>
      </w:pPr>
      <w:r w:rsidRPr="00D20132">
        <w:rPr>
          <w:rFonts w:cs="Segoe UI"/>
        </w:rPr>
        <w:t xml:space="preserve">These </w:t>
      </w:r>
      <w:r>
        <w:rPr>
          <w:rFonts w:cs="Segoe UI"/>
        </w:rPr>
        <w:t>pressures</w:t>
      </w:r>
      <w:r w:rsidRPr="00D20132">
        <w:rPr>
          <w:rFonts w:cs="Segoe UI"/>
        </w:rPr>
        <w:t xml:space="preserve"> mean that for the HTA programs to support the objectives of universal health</w:t>
      </w:r>
      <w:r w:rsidR="002D33A5">
        <w:rPr>
          <w:rFonts w:cs="Segoe UI"/>
        </w:rPr>
        <w:t xml:space="preserve"> </w:t>
      </w:r>
      <w:r w:rsidRPr="00D20132">
        <w:rPr>
          <w:rFonts w:cs="Segoe UI"/>
        </w:rPr>
        <w:t xml:space="preserve">care as set out in the key pillars of the </w:t>
      </w:r>
      <w:r w:rsidR="006E0405">
        <w:rPr>
          <w:rFonts w:cs="Segoe UI"/>
        </w:rPr>
        <w:t>NMP</w:t>
      </w:r>
      <w:r w:rsidRPr="00D20132">
        <w:rPr>
          <w:rFonts w:cs="Segoe UI"/>
        </w:rPr>
        <w:t>,</w:t>
      </w:r>
      <w:r w:rsidR="0019548A">
        <w:rPr>
          <w:rStyle w:val="FootnoteReference"/>
          <w:rFonts w:cs="Segoe UI"/>
        </w:rPr>
        <w:footnoteReference w:id="202"/>
      </w:r>
      <w:r w:rsidRPr="00D20132">
        <w:rPr>
          <w:rFonts w:cs="Segoe UI"/>
        </w:rPr>
        <w:t xml:space="preserve"> a </w:t>
      </w:r>
      <w:r w:rsidR="00134D15">
        <w:rPr>
          <w:rFonts w:cs="Segoe UI"/>
        </w:rPr>
        <w:t xml:space="preserve">more </w:t>
      </w:r>
      <w:r w:rsidR="002D3BB5">
        <w:rPr>
          <w:rFonts w:cs="Segoe UI"/>
        </w:rPr>
        <w:t xml:space="preserve">proactive and contemporary </w:t>
      </w:r>
      <w:r w:rsidRPr="00D20132">
        <w:rPr>
          <w:rFonts w:cs="Segoe UI"/>
        </w:rPr>
        <w:t xml:space="preserve">approach </w:t>
      </w:r>
      <w:r w:rsidR="00134D15">
        <w:rPr>
          <w:rFonts w:cs="Segoe UI"/>
        </w:rPr>
        <w:t>to</w:t>
      </w:r>
      <w:r w:rsidR="00A93938">
        <w:rPr>
          <w:rFonts w:cs="Segoe UI"/>
        </w:rPr>
        <w:t xml:space="preserve"> </w:t>
      </w:r>
      <w:r w:rsidR="002D3BB5">
        <w:rPr>
          <w:rFonts w:cs="Segoe UI"/>
        </w:rPr>
        <w:t xml:space="preserve">HTA </w:t>
      </w:r>
      <w:r w:rsidR="00544D13">
        <w:rPr>
          <w:rFonts w:cs="Segoe UI"/>
        </w:rPr>
        <w:t xml:space="preserve">processes </w:t>
      </w:r>
      <w:r w:rsidRPr="00D20132">
        <w:rPr>
          <w:rFonts w:cs="Segoe UI"/>
        </w:rPr>
        <w:t>(as set out in the recommendations from previous chapters)</w:t>
      </w:r>
      <w:r w:rsidR="00544D13">
        <w:rPr>
          <w:rFonts w:cs="Segoe UI"/>
        </w:rPr>
        <w:t xml:space="preserve"> is required. However, </w:t>
      </w:r>
      <w:r w:rsidR="00544D13" w:rsidRPr="005344A1">
        <w:rPr>
          <w:rFonts w:cs="Segoe UI"/>
        </w:rPr>
        <w:t xml:space="preserve">for </w:t>
      </w:r>
      <w:r w:rsidR="00D61710" w:rsidRPr="005344A1">
        <w:rPr>
          <w:rFonts w:cs="Segoe UI"/>
        </w:rPr>
        <w:t xml:space="preserve">modern </w:t>
      </w:r>
      <w:r w:rsidR="00176070" w:rsidRPr="005344A1">
        <w:rPr>
          <w:rFonts w:cs="Segoe UI"/>
        </w:rPr>
        <w:t xml:space="preserve">HTA arrangements </w:t>
      </w:r>
      <w:r w:rsidR="00544D13" w:rsidRPr="005344A1">
        <w:rPr>
          <w:rFonts w:cs="Segoe UI"/>
        </w:rPr>
        <w:t>to be efficient and effective</w:t>
      </w:r>
      <w:r w:rsidR="00176070" w:rsidRPr="005344A1">
        <w:rPr>
          <w:rFonts w:cs="Segoe UI"/>
        </w:rPr>
        <w:t xml:space="preserve"> in supporting patient access to health technologies</w:t>
      </w:r>
      <w:r w:rsidR="00544D13" w:rsidRPr="005344A1">
        <w:rPr>
          <w:rFonts w:cs="Segoe UI"/>
        </w:rPr>
        <w:t xml:space="preserve">, proper design and resourcing of the </w:t>
      </w:r>
      <w:r w:rsidRPr="005344A1">
        <w:rPr>
          <w:rFonts w:cs="Segoe UI"/>
        </w:rPr>
        <w:t xml:space="preserve">surrounding program, policy and stakeholder engagement </w:t>
      </w:r>
      <w:r w:rsidR="2C240BEA" w:rsidRPr="3AD3178A">
        <w:rPr>
          <w:rFonts w:cs="Segoe UI"/>
        </w:rPr>
        <w:t>and communications</w:t>
      </w:r>
      <w:r w:rsidRPr="6E4F2680">
        <w:rPr>
          <w:rFonts w:cs="Segoe UI"/>
        </w:rPr>
        <w:t xml:space="preserve"> </w:t>
      </w:r>
      <w:r w:rsidRPr="005344A1">
        <w:rPr>
          <w:rFonts w:cs="Segoe UI"/>
        </w:rPr>
        <w:t xml:space="preserve">architecture that supports the HTA </w:t>
      </w:r>
      <w:r w:rsidR="0019548A">
        <w:rPr>
          <w:rFonts w:cs="Segoe UI"/>
        </w:rPr>
        <w:t>system</w:t>
      </w:r>
      <w:r w:rsidR="002D3BB5" w:rsidRPr="005344A1">
        <w:rPr>
          <w:rFonts w:cs="Segoe UI"/>
        </w:rPr>
        <w:t xml:space="preserve"> is </w:t>
      </w:r>
      <w:r w:rsidR="00544D13" w:rsidRPr="005344A1">
        <w:rPr>
          <w:rFonts w:cs="Segoe UI"/>
        </w:rPr>
        <w:t>essential</w:t>
      </w:r>
      <w:r w:rsidRPr="00D20132">
        <w:rPr>
          <w:rFonts w:cs="Segoe UI"/>
        </w:rPr>
        <w:t xml:space="preserve">. </w:t>
      </w:r>
    </w:p>
    <w:p w14:paraId="1FE17848" w14:textId="2CC74CF5" w:rsidR="00E23E39" w:rsidRPr="00D20132" w:rsidRDefault="00E23E39" w:rsidP="00B61FDC">
      <w:pPr>
        <w:keepNext/>
        <w:rPr>
          <w:rFonts w:cs="Segoe UI"/>
        </w:rPr>
      </w:pPr>
      <w:r w:rsidRPr="00D20132">
        <w:rPr>
          <w:rFonts w:cs="Segoe UI"/>
        </w:rPr>
        <w:t>This chapter</w:t>
      </w:r>
      <w:r w:rsidRPr="00D20132" w:rsidDel="00C3345B">
        <w:rPr>
          <w:rFonts w:cs="Segoe UI"/>
        </w:rPr>
        <w:t xml:space="preserve"> </w:t>
      </w:r>
      <w:r w:rsidRPr="00D20132">
        <w:rPr>
          <w:rFonts w:cs="Segoe UI"/>
        </w:rPr>
        <w:t>cover</w:t>
      </w:r>
      <w:r w:rsidR="00C3345B">
        <w:rPr>
          <w:rFonts w:cs="Segoe UI"/>
        </w:rPr>
        <w:t>s</w:t>
      </w:r>
      <w:r w:rsidRPr="00D20132">
        <w:rPr>
          <w:rFonts w:cs="Segoe UI"/>
        </w:rPr>
        <w:t xml:space="preserve"> the Review’s analysis, findings and recommendations on how a more proactive examination </w:t>
      </w:r>
      <w:r w:rsidR="00285CCB">
        <w:rPr>
          <w:rFonts w:cs="Segoe UI"/>
        </w:rPr>
        <w:t xml:space="preserve">of, </w:t>
      </w:r>
      <w:r w:rsidRPr="00D20132">
        <w:rPr>
          <w:rFonts w:cs="Segoe UI"/>
        </w:rPr>
        <w:t>and adjustment to</w:t>
      </w:r>
      <w:r w:rsidR="00285CCB">
        <w:rPr>
          <w:rFonts w:cs="Segoe UI"/>
        </w:rPr>
        <w:t>,</w:t>
      </w:r>
      <w:r w:rsidRPr="00D20132">
        <w:rPr>
          <w:rFonts w:cs="Segoe UI"/>
        </w:rPr>
        <w:t xml:space="preserve"> a range of HTA-adjacent arrangements can support the responsiveness, agility and quality of the HTA process itself. These include:</w:t>
      </w:r>
    </w:p>
    <w:p w14:paraId="27D03315" w14:textId="41331A9E" w:rsidR="00E23E39" w:rsidRPr="00D20132" w:rsidRDefault="00E23E39" w:rsidP="00281153">
      <w:pPr>
        <w:pStyle w:val="ListBullet"/>
        <w:numPr>
          <w:ilvl w:val="0"/>
          <w:numId w:val="84"/>
        </w:numPr>
      </w:pPr>
      <w:r w:rsidRPr="00D20132">
        <w:t xml:space="preserve">formalising approaches to proactively identify health technologies for areas of </w:t>
      </w:r>
      <w:r w:rsidR="0019548A">
        <w:t>HUCN</w:t>
      </w:r>
      <w:r w:rsidRPr="00D20132">
        <w:t xml:space="preserve"> and elicit HTA submissions (Chapter </w:t>
      </w:r>
      <w:r w:rsidR="00285CCB">
        <w:t>9</w:t>
      </w:r>
      <w:r w:rsidRPr="00D20132">
        <w:t>.1)</w:t>
      </w:r>
    </w:p>
    <w:p w14:paraId="794466B2" w14:textId="6090F065" w:rsidR="00E23E39" w:rsidRPr="00D20132" w:rsidRDefault="00E23E39" w:rsidP="00281153">
      <w:pPr>
        <w:pStyle w:val="ListBullet"/>
        <w:numPr>
          <w:ilvl w:val="0"/>
          <w:numId w:val="84"/>
        </w:numPr>
      </w:pPr>
      <w:r w:rsidRPr="00D20132">
        <w:lastRenderedPageBreak/>
        <w:t>improving the way the Australian health system identifies, monitors and plans for new health technologies in development via horizon scanning (Chapter </w:t>
      </w:r>
      <w:r w:rsidR="00285CCB">
        <w:t>9</w:t>
      </w:r>
      <w:r w:rsidRPr="00D20132">
        <w:t>.2)</w:t>
      </w:r>
    </w:p>
    <w:p w14:paraId="5024B219" w14:textId="7A588D2E" w:rsidR="00E23E39" w:rsidRPr="00D20132" w:rsidRDefault="00E23E39" w:rsidP="00281153">
      <w:pPr>
        <w:pStyle w:val="ListBullet"/>
        <w:numPr>
          <w:ilvl w:val="0"/>
          <w:numId w:val="84"/>
        </w:numPr>
      </w:pPr>
      <w:r w:rsidRPr="00D20132">
        <w:t>embedding arrangements to support regular HTA process</w:t>
      </w:r>
      <w:r w:rsidR="00D7137D">
        <w:t>es</w:t>
      </w:r>
      <w:r w:rsidRPr="00D20132">
        <w:t xml:space="preserve">, methods and policy review so these keep pace with changes in HTA and health technology development (Chapter </w:t>
      </w:r>
      <w:r w:rsidR="00285CCB">
        <w:t>9</w:t>
      </w:r>
      <w:r w:rsidRPr="00D20132">
        <w:t>.</w:t>
      </w:r>
      <w:r>
        <w:t>3</w:t>
      </w:r>
      <w:r w:rsidRPr="00D20132">
        <w:t>)</w:t>
      </w:r>
    </w:p>
    <w:p w14:paraId="2AD1579A" w14:textId="33633A18" w:rsidR="00E23E39" w:rsidRPr="00D20132" w:rsidRDefault="00E23E39" w:rsidP="00281153">
      <w:pPr>
        <w:pStyle w:val="ListBullet"/>
        <w:numPr>
          <w:ilvl w:val="0"/>
          <w:numId w:val="84"/>
        </w:numPr>
      </w:pPr>
      <w:r w:rsidRPr="00D20132">
        <w:t xml:space="preserve">integrating processes that support the development and application of HTA capacity and capability to meet increased demands (Chapter </w:t>
      </w:r>
      <w:r w:rsidR="00285CCB">
        <w:t>9</w:t>
      </w:r>
      <w:r w:rsidRPr="00D20132">
        <w:t>.</w:t>
      </w:r>
      <w:r>
        <w:t>4</w:t>
      </w:r>
      <w:r w:rsidRPr="00D20132">
        <w:t xml:space="preserve">). </w:t>
      </w:r>
    </w:p>
    <w:p w14:paraId="59405285" w14:textId="00B877AD" w:rsidR="00E23E39" w:rsidRPr="0019054D" w:rsidRDefault="006C370B" w:rsidP="001B0FDE">
      <w:pPr>
        <w:pStyle w:val="Heading2"/>
      </w:pPr>
      <w:bookmarkStart w:id="675" w:name="_Toc164767823"/>
      <w:bookmarkStart w:id="676" w:name="_Toc165473756"/>
      <w:bookmarkStart w:id="677" w:name="_Toc171935901"/>
      <w:r>
        <w:t xml:space="preserve">Chapter </w:t>
      </w:r>
      <w:r w:rsidR="006941D2">
        <w:t>9</w:t>
      </w:r>
      <w:r w:rsidR="00E23E39" w:rsidRPr="0019054D">
        <w:t>.1</w:t>
      </w:r>
      <w:r>
        <w:t>:</w:t>
      </w:r>
      <w:r w:rsidR="00E23E39" w:rsidRPr="0019054D">
        <w:t xml:space="preserve"> Proactively addressing areas of unmet clinical need</w:t>
      </w:r>
      <w:bookmarkEnd w:id="675"/>
      <w:bookmarkEnd w:id="676"/>
      <w:bookmarkEnd w:id="677"/>
      <w:r w:rsidR="00E23E39" w:rsidRPr="0019054D">
        <w:t xml:space="preserve"> </w:t>
      </w:r>
    </w:p>
    <w:p w14:paraId="7A134BBF" w14:textId="05552621" w:rsidR="001C061E" w:rsidRPr="00621C17" w:rsidRDefault="00B1572B" w:rsidP="00A318F7">
      <w:pPr>
        <w:pStyle w:val="Heading3"/>
      </w:pPr>
      <w:r>
        <w:t>Introduction and context</w:t>
      </w:r>
    </w:p>
    <w:p w14:paraId="60011736" w14:textId="050D0C59" w:rsidR="00E23E39" w:rsidRDefault="00E23E39" w:rsidP="00405FD7">
      <w:pPr>
        <w:rPr>
          <w:rFonts w:cs="Segoe UI"/>
        </w:rPr>
      </w:pPr>
      <w:r w:rsidRPr="005344A1">
        <w:rPr>
          <w:rFonts w:cs="Segoe UI"/>
        </w:rPr>
        <w:t>HTA processes in Australia depend on sponsors developing and lodging submissions to regulatory and/or reimbursement agencies. This means the HTA agenda is primarily set by the sponsors. This in turn can result in areas of unmet need.</w:t>
      </w:r>
      <w:r>
        <w:rPr>
          <w:rFonts w:cs="Segoe UI"/>
        </w:rPr>
        <w:t xml:space="preserve"> </w:t>
      </w:r>
    </w:p>
    <w:p w14:paraId="24E45BBE" w14:textId="609F6F06" w:rsidR="00E23E39" w:rsidRPr="00D20132" w:rsidRDefault="00E23E39" w:rsidP="00405FD7">
      <w:pPr>
        <w:rPr>
          <w:rFonts w:cs="Segoe UI"/>
        </w:rPr>
      </w:pPr>
      <w:r>
        <w:rPr>
          <w:rFonts w:cs="Segoe UI"/>
        </w:rPr>
        <w:t>S</w:t>
      </w:r>
      <w:r w:rsidRPr="00D20132">
        <w:rPr>
          <w:rFonts w:cs="Segoe UI"/>
        </w:rPr>
        <w:t>takeholders have historically focused on addressing the need for improved access to health technologies for some Australian patients in under-represented or under-discussed clinical areas by:</w:t>
      </w:r>
    </w:p>
    <w:p w14:paraId="67A05BCB" w14:textId="2FD5FC2E" w:rsidR="00E23E39" w:rsidRPr="00D20132" w:rsidRDefault="00F77E86" w:rsidP="00274AA9">
      <w:pPr>
        <w:pStyle w:val="ListBullet"/>
      </w:pPr>
      <w:r>
        <w:t xml:space="preserve">gathering </w:t>
      </w:r>
      <w:r w:rsidR="00E23E39" w:rsidRPr="00D20132">
        <w:t>direct inputs into the HTA process itself (such as consumer and/or clinician submissions during public consultation</w:t>
      </w:r>
      <w:r w:rsidR="00E23E39">
        <w:t>)</w:t>
      </w:r>
    </w:p>
    <w:p w14:paraId="0DEE5770" w14:textId="5D143014" w:rsidR="00E23E39" w:rsidRPr="00D20132" w:rsidRDefault="00E23E39" w:rsidP="00274AA9">
      <w:pPr>
        <w:pStyle w:val="ListBullet"/>
      </w:pPr>
      <w:r w:rsidRPr="00D20132">
        <w:t xml:space="preserve">making specific </w:t>
      </w:r>
      <w:r w:rsidRPr="00B61FDC">
        <w:rPr>
          <w:iCs/>
        </w:rPr>
        <w:t>ad hoc</w:t>
      </w:r>
      <w:r w:rsidRPr="00A318F7">
        <w:t xml:space="preserve"> </w:t>
      </w:r>
      <w:r w:rsidRPr="00D20132">
        <w:t xml:space="preserve">representations to HTA </w:t>
      </w:r>
      <w:r w:rsidR="00C16518">
        <w:t xml:space="preserve">advisory </w:t>
      </w:r>
      <w:r>
        <w:t>c</w:t>
      </w:r>
      <w:r w:rsidRPr="00D20132">
        <w:t xml:space="preserve">ommittees, </w:t>
      </w:r>
      <w:r w:rsidR="00203A87">
        <w:t>g</w:t>
      </w:r>
      <w:r w:rsidRPr="00D20132">
        <w:t xml:space="preserve">overnment </w:t>
      </w:r>
      <w:r w:rsidR="00203A87">
        <w:t>m</w:t>
      </w:r>
      <w:r w:rsidRPr="00D20132">
        <w:t>inisters or Commonwealth officers to support consideration of facilitated ‘</w:t>
      </w:r>
      <w:r w:rsidRPr="6CC68A72">
        <w:t>workarounds’</w:t>
      </w:r>
      <w:r w:rsidRPr="00D20132">
        <w:t xml:space="preserve"> and/or direct sponsorship of individual health technologies for subsidy and supply. </w:t>
      </w:r>
      <w:r>
        <w:t xml:space="preserve">This has been </w:t>
      </w:r>
      <w:proofErr w:type="gramStart"/>
      <w:r>
        <w:t>most commonly observed</w:t>
      </w:r>
      <w:proofErr w:type="gramEnd"/>
      <w:r>
        <w:t xml:space="preserve"> in areas relating to First Nations health and paediatric health technologies. </w:t>
      </w:r>
    </w:p>
    <w:p w14:paraId="0B9D0B41" w14:textId="730351B5" w:rsidR="00E23E39" w:rsidRPr="00496DDB" w:rsidRDefault="00E23E39" w:rsidP="00405FD7">
      <w:pPr>
        <w:rPr>
          <w:rFonts w:cs="Segoe UI"/>
        </w:rPr>
      </w:pPr>
      <w:r>
        <w:rPr>
          <w:rFonts w:cs="Segoe UI"/>
        </w:rPr>
        <w:t>This is a shortcoming of the current processes and results in inequities. To address this</w:t>
      </w:r>
      <w:r w:rsidR="006E02BF">
        <w:rPr>
          <w:rFonts w:cs="Segoe UI"/>
        </w:rPr>
        <w:t>,</w:t>
      </w:r>
      <w:r>
        <w:rPr>
          <w:rFonts w:cs="Segoe UI"/>
        </w:rPr>
        <w:t xml:space="preserve"> </w:t>
      </w:r>
      <w:r w:rsidRPr="00B61FDC">
        <w:rPr>
          <w:rFonts w:cs="Segoe UI"/>
        </w:rPr>
        <w:t>the Review considered</w:t>
      </w:r>
      <w:r>
        <w:rPr>
          <w:rFonts w:cs="Segoe UI"/>
        </w:rPr>
        <w:t xml:space="preserve"> </w:t>
      </w:r>
      <w:r w:rsidRPr="00D20132">
        <w:rPr>
          <w:rFonts w:cs="Segoe UI"/>
        </w:rPr>
        <w:t xml:space="preserve">whether policies, programs and processes </w:t>
      </w:r>
      <w:r w:rsidRPr="00496DDB">
        <w:rPr>
          <w:rFonts w:cs="Segoe UI"/>
        </w:rPr>
        <w:t>outside</w:t>
      </w:r>
      <w:r w:rsidR="00203A87">
        <w:rPr>
          <w:rFonts w:cs="Segoe UI"/>
        </w:rPr>
        <w:t>,</w:t>
      </w:r>
      <w:r w:rsidRPr="00496DDB">
        <w:rPr>
          <w:rFonts w:cs="Segoe UI"/>
        </w:rPr>
        <w:t xml:space="preserve"> but adjacent to and/or supportive of the HTA evaluation process</w:t>
      </w:r>
      <w:r w:rsidR="00203A87">
        <w:rPr>
          <w:rFonts w:cs="Segoe UI"/>
        </w:rPr>
        <w:t>,</w:t>
      </w:r>
      <w:r w:rsidRPr="00496DDB">
        <w:rPr>
          <w:rFonts w:cs="Segoe UI"/>
        </w:rPr>
        <w:t xml:space="preserve"> </w:t>
      </w:r>
      <w:r w:rsidRPr="00D20132">
        <w:rPr>
          <w:rFonts w:cs="Segoe UI"/>
        </w:rPr>
        <w:t xml:space="preserve">could be </w:t>
      </w:r>
      <w:r w:rsidRPr="00496DDB">
        <w:rPr>
          <w:rFonts w:cs="Segoe UI"/>
        </w:rPr>
        <w:t xml:space="preserve">created </w:t>
      </w:r>
      <w:r w:rsidRPr="00D20132">
        <w:rPr>
          <w:rFonts w:cs="Segoe UI"/>
        </w:rPr>
        <w:t xml:space="preserve">or </w:t>
      </w:r>
      <w:r w:rsidRPr="00496DDB">
        <w:rPr>
          <w:rFonts w:cs="Segoe UI"/>
        </w:rPr>
        <w:t>improved so</w:t>
      </w:r>
      <w:r w:rsidR="00203A87">
        <w:rPr>
          <w:rFonts w:cs="Segoe UI"/>
        </w:rPr>
        <w:t> </w:t>
      </w:r>
      <w:r w:rsidRPr="00496DDB">
        <w:rPr>
          <w:rFonts w:cs="Segoe UI"/>
        </w:rPr>
        <w:t>they:</w:t>
      </w:r>
    </w:p>
    <w:p w14:paraId="22C56C7F" w14:textId="3FEEB2FB" w:rsidR="00E23E39" w:rsidRPr="00D20132" w:rsidRDefault="00E23E39" w:rsidP="00281153">
      <w:pPr>
        <w:pStyle w:val="ListBullet"/>
        <w:numPr>
          <w:ilvl w:val="0"/>
          <w:numId w:val="85"/>
        </w:numPr>
      </w:pPr>
      <w:r w:rsidRPr="00D20132">
        <w:t>improve how health equity is considered and practically addressed</w:t>
      </w:r>
      <w:r w:rsidR="00F77E86">
        <w:t xml:space="preserve"> by introducing</w:t>
      </w:r>
      <w:r w:rsidRPr="00D20132" w:rsidDel="00F77E86">
        <w:t xml:space="preserve"> </w:t>
      </w:r>
      <w:r w:rsidRPr="00D20132">
        <w:t xml:space="preserve">high </w:t>
      </w:r>
      <w:r w:rsidR="005C5507">
        <w:t>added</w:t>
      </w:r>
      <w:r w:rsidRPr="00D20132">
        <w:t xml:space="preserve"> therapeutic value technologies in areas with </w:t>
      </w:r>
      <w:r w:rsidR="00203A87" w:rsidRPr="00A8633C">
        <w:t>HUCN</w:t>
      </w:r>
      <w:r w:rsidRPr="00D20132">
        <w:t xml:space="preserve"> </w:t>
      </w:r>
    </w:p>
    <w:p w14:paraId="0ADFFA3D" w14:textId="43552931" w:rsidR="00E23E39" w:rsidRPr="00D20132" w:rsidRDefault="00E23E39" w:rsidP="00281153">
      <w:pPr>
        <w:pStyle w:val="ListBullet"/>
        <w:numPr>
          <w:ilvl w:val="0"/>
          <w:numId w:val="85"/>
        </w:numPr>
      </w:pPr>
      <w:r w:rsidRPr="00D20132">
        <w:t xml:space="preserve">improve the quality of HTA and health policy advice </w:t>
      </w:r>
      <w:r w:rsidR="00833EA3">
        <w:t>for</w:t>
      </w:r>
      <w:r w:rsidRPr="00D20132">
        <w:t xml:space="preserve"> specific health technologies and health equity priority areas</w:t>
      </w:r>
    </w:p>
    <w:p w14:paraId="4D8FAF2E" w14:textId="77777777" w:rsidR="00E23E39" w:rsidRDefault="00E23E39" w:rsidP="00281153">
      <w:pPr>
        <w:pStyle w:val="ListBullet"/>
        <w:numPr>
          <w:ilvl w:val="0"/>
          <w:numId w:val="85"/>
        </w:numPr>
      </w:pPr>
      <w:r>
        <w:t>s</w:t>
      </w:r>
      <w:r w:rsidRPr="00D20132">
        <w:t xml:space="preserve">upport improved and more expansive stakeholder engagement and co-design arrangements, including health literacy efforts. </w:t>
      </w:r>
    </w:p>
    <w:p w14:paraId="314EC942" w14:textId="32561EDD" w:rsidR="00C8074C" w:rsidRPr="006C370B" w:rsidRDefault="00C451BD" w:rsidP="00405FD7">
      <w:r>
        <w:rPr>
          <w:noProof/>
        </w:rPr>
        <w:lastRenderedPageBreak/>
        <mc:AlternateContent>
          <mc:Choice Requires="wps">
            <w:drawing>
              <wp:inline distT="0" distB="0" distL="0" distR="0" wp14:anchorId="2D4F61AB" wp14:editId="0A21EC67">
                <wp:extent cx="5695950" cy="1404620"/>
                <wp:effectExtent l="0" t="0" r="19050" b="16510"/>
                <wp:docPr id="674" name="Text Box 6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1404620"/>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461FC6A2" w14:textId="6EFD4BB9" w:rsidR="00C451BD" w:rsidRDefault="00C451BD" w:rsidP="00C451BD">
                            <w:pPr>
                              <w:pStyle w:val="Call-outbox"/>
                            </w:pPr>
                            <w:r>
                              <w:t xml:space="preserve">Why </w:t>
                            </w:r>
                            <w:r>
                              <w:t>this matters</w:t>
                            </w:r>
                          </w:p>
                          <w:p w14:paraId="6A588C16" w14:textId="4AEACBF8" w:rsidR="00C451BD" w:rsidRPr="00C451BD" w:rsidRDefault="00C451BD">
                            <w:pPr>
                              <w:rPr>
                                <w:rFonts w:cs="Segoe UI"/>
                              </w:rPr>
                            </w:pPr>
                            <w:r w:rsidRPr="004C5FDC">
                              <w:rPr>
                                <w:rFonts w:cs="Segoe UI"/>
                              </w:rPr>
                              <w:t xml:space="preserve">A more forward-looking approach to identifying areas of </w:t>
                            </w:r>
                            <w:r w:rsidR="0052593F">
                              <w:rPr>
                                <w:rFonts w:cs="Segoe UI"/>
                              </w:rPr>
                              <w:t>HUCN</w:t>
                            </w:r>
                            <w:r w:rsidRPr="004C5FDC">
                              <w:rPr>
                                <w:rFonts w:cs="Segoe UI"/>
                              </w:rPr>
                              <w:t xml:space="preserve"> improve</w:t>
                            </w:r>
                            <w:r>
                              <w:rPr>
                                <w:rFonts w:cs="Segoe UI"/>
                              </w:rPr>
                              <w:t>s</w:t>
                            </w:r>
                            <w:r w:rsidRPr="004C5FDC" w:rsidDel="00F77E86">
                              <w:rPr>
                                <w:rFonts w:cs="Segoe UI"/>
                              </w:rPr>
                              <w:t xml:space="preserve"> the </w:t>
                            </w:r>
                            <w:r w:rsidRPr="004C5FDC">
                              <w:rPr>
                                <w:rFonts w:cs="Segoe UI"/>
                              </w:rPr>
                              <w:t>Australian Government</w:t>
                            </w:r>
                            <w:r w:rsidR="00F77E86">
                              <w:rPr>
                                <w:rFonts w:cs="Segoe UI"/>
                              </w:rPr>
                              <w:t xml:space="preserve">’s </w:t>
                            </w:r>
                            <w:r w:rsidR="00F77E86" w:rsidRPr="004C5FDC">
                              <w:rPr>
                                <w:rFonts w:cs="Segoe UI"/>
                              </w:rPr>
                              <w:t>ability</w:t>
                            </w:r>
                            <w:r w:rsidRPr="004C5FDC">
                              <w:rPr>
                                <w:rFonts w:cs="Segoe UI"/>
                              </w:rPr>
                              <w:t xml:space="preserve"> to engage earlier with stakeholders to identify and support the provision of subsidised health technologies for under-served populations, and address objectives of improving health equity.</w:t>
                            </w:r>
                          </w:p>
                        </w:txbxContent>
                      </wps:txbx>
                      <wps:bodyPr rot="0" vert="horz" wrap="square" lIns="91440" tIns="45720" rIns="91440" bIns="45720" anchor="t" anchorCtr="0">
                        <a:spAutoFit/>
                      </wps:bodyPr>
                    </wps:wsp>
                  </a:graphicData>
                </a:graphic>
              </wp:inline>
            </w:drawing>
          </mc:Choice>
          <mc:Fallback>
            <w:pict>
              <v:roundrect w14:anchorId="2D4F61AB" id="Text Box 674" o:spid="_x0000_s1049" style="width:448.5pt;height:110.6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" fillcolor="white [3201]" strokecolor="#acc02a [3208]" strokeweight="1pt">
                <v:stroke joinstyle="miter"/>
                <v:textbox style="mso-fit-shape-to-text:t">
                  <w:txbxContent>
                    <w:p w14:paraId="461FC6A2" w14:textId="6EFD4BB9" w:rsidR="00C451BD" w:rsidRDefault="00C451BD" w:rsidP="00C451BD">
                      <w:pPr>
                        <w:pStyle w:val="Call-outbox"/>
                      </w:pPr>
                      <w:r>
                        <w:t>Why this matters</w:t>
                      </w:r>
                    </w:p>
                    <w:p w14:paraId="6A588C16" w14:textId="4AEACBF8" w:rsidR="00C451BD" w:rsidRPr="00C451BD" w:rsidRDefault="00C451BD">
                      <w:pPr>
                        <w:rPr>
                          <w:rFonts w:cs="Segoe UI"/>
                        </w:rPr>
                      </w:pPr>
                      <w:r w:rsidRPr="004C5FDC">
                        <w:rPr>
                          <w:rFonts w:cs="Segoe UI"/>
                        </w:rPr>
                        <w:t xml:space="preserve">A more forward-looking approach to identifying areas of </w:t>
                      </w:r>
                      <w:r w:rsidR="0052593F">
                        <w:rPr>
                          <w:rFonts w:cs="Segoe UI"/>
                        </w:rPr>
                        <w:t>HUCN</w:t>
                      </w:r>
                      <w:r w:rsidRPr="004C5FDC">
                        <w:rPr>
                          <w:rFonts w:cs="Segoe UI"/>
                        </w:rPr>
                        <w:t xml:space="preserve"> improve</w:t>
                      </w:r>
                      <w:r>
                        <w:rPr>
                          <w:rFonts w:cs="Segoe UI"/>
                        </w:rPr>
                        <w:t>s</w:t>
                      </w:r>
                      <w:r w:rsidRPr="004C5FDC" w:rsidDel="00F77E86">
                        <w:rPr>
                          <w:rFonts w:cs="Segoe UI"/>
                        </w:rPr>
                        <w:t xml:space="preserve"> the </w:t>
                      </w:r>
                      <w:r w:rsidRPr="004C5FDC">
                        <w:rPr>
                          <w:rFonts w:cs="Segoe UI"/>
                        </w:rPr>
                        <w:t>Australian Government</w:t>
                      </w:r>
                      <w:r w:rsidR="00F77E86">
                        <w:rPr>
                          <w:rFonts w:cs="Segoe UI"/>
                        </w:rPr>
                        <w:t xml:space="preserve">’s </w:t>
                      </w:r>
                      <w:r w:rsidR="00F77E86" w:rsidRPr="004C5FDC">
                        <w:rPr>
                          <w:rFonts w:cs="Segoe UI"/>
                        </w:rPr>
                        <w:t>ability</w:t>
                      </w:r>
                      <w:r w:rsidRPr="004C5FDC">
                        <w:rPr>
                          <w:rFonts w:cs="Segoe UI"/>
                        </w:rPr>
                        <w:t xml:space="preserve"> to engage earlier with stakeholders to identify and support the provision of subsidised health technologies for under-served populations, and address objectives of improving health equity.</w:t>
                      </w:r>
                    </w:p>
                  </w:txbxContent>
                </v:textbox>
                <w10:anchorlock/>
              </v:roundrect>
            </w:pict>
          </mc:Fallback>
        </mc:AlternateContent>
      </w:r>
    </w:p>
    <w:p w14:paraId="494ECBCD" w14:textId="19C4BD2D" w:rsidR="00E23E39" w:rsidRPr="0019054D" w:rsidRDefault="00B1572B" w:rsidP="00A318F7">
      <w:pPr>
        <w:pStyle w:val="Heading3"/>
      </w:pPr>
      <w:r>
        <w:t>Findings</w:t>
      </w:r>
    </w:p>
    <w:p w14:paraId="6EED4851" w14:textId="351A06C2" w:rsidR="00E23E39" w:rsidRPr="00F86FDE" w:rsidRDefault="00E23E39" w:rsidP="00405FD7">
      <w:pPr>
        <w:rPr>
          <w:rFonts w:cs="Segoe UI"/>
        </w:rPr>
      </w:pPr>
      <w:r w:rsidRPr="00D20132">
        <w:rPr>
          <w:rFonts w:cs="Segoe UI"/>
        </w:rPr>
        <w:t xml:space="preserve">In stakeholder consultations, the Review received consistent feedback that </w:t>
      </w:r>
      <w:r w:rsidRPr="00F86FDE">
        <w:rPr>
          <w:rFonts w:cs="Segoe UI"/>
        </w:rPr>
        <w:t xml:space="preserve">Australia should adopt a more proactive approach to identifying therapies that address </w:t>
      </w:r>
      <w:r w:rsidR="00F77E86">
        <w:rPr>
          <w:rFonts w:cs="Segoe UI"/>
        </w:rPr>
        <w:t>HUCN</w:t>
      </w:r>
      <w:r w:rsidRPr="00F86FDE">
        <w:rPr>
          <w:rFonts w:cs="Segoe UI"/>
        </w:rPr>
        <w:t xml:space="preserve">, in a manner that ensures proper stakeholder participation in the overall process. </w:t>
      </w:r>
    </w:p>
    <w:p w14:paraId="1FFC4B41" w14:textId="5F5961D1" w:rsidR="00E23E39" w:rsidRPr="00D20132" w:rsidRDefault="00E23E39" w:rsidP="00405FD7">
      <w:pPr>
        <w:rPr>
          <w:rFonts w:cs="Segoe UI"/>
        </w:rPr>
      </w:pPr>
      <w:r w:rsidRPr="00D20132">
        <w:rPr>
          <w:rFonts w:cs="Segoe UI"/>
        </w:rPr>
        <w:t>Case examples of comparable approaches include programs in Canada (via</w:t>
      </w:r>
      <w:r w:rsidR="00453069">
        <w:rPr>
          <w:rFonts w:cs="Segoe UI"/>
        </w:rPr>
        <w:t xml:space="preserve"> </w:t>
      </w:r>
      <w:r w:rsidRPr="00D20132">
        <w:rPr>
          <w:rFonts w:cs="Segoe UI"/>
        </w:rPr>
        <w:t xml:space="preserve">CADTH) and the UK (via </w:t>
      </w:r>
      <w:r w:rsidR="0059561C">
        <w:rPr>
          <w:rFonts w:cs="Segoe UI"/>
        </w:rPr>
        <w:t xml:space="preserve">the </w:t>
      </w:r>
      <w:r w:rsidRPr="00730F97">
        <w:rPr>
          <w:rFonts w:cs="Segoe UI"/>
        </w:rPr>
        <w:t xml:space="preserve">UK </w:t>
      </w:r>
      <w:r w:rsidR="005E5144" w:rsidRPr="00730F97">
        <w:rPr>
          <w:rFonts w:cs="Segoe UI"/>
        </w:rPr>
        <w:t>National Health Service</w:t>
      </w:r>
      <w:r w:rsidRPr="00730F97">
        <w:rPr>
          <w:rFonts w:cs="Segoe UI"/>
        </w:rPr>
        <w:t xml:space="preserve">, </w:t>
      </w:r>
      <w:r w:rsidR="00F77E86">
        <w:rPr>
          <w:rFonts w:cs="Segoe UI"/>
        </w:rPr>
        <w:t>the</w:t>
      </w:r>
      <w:r w:rsidRPr="00D20132">
        <w:rPr>
          <w:rFonts w:cs="Segoe UI"/>
        </w:rPr>
        <w:t xml:space="preserve"> </w:t>
      </w:r>
      <w:r w:rsidR="005E5144" w:rsidRPr="0073146B">
        <w:rPr>
          <w:rFonts w:eastAsia="Times New Roman" w:cs="Segoe UI"/>
          <w:color w:val="000000"/>
          <w:lang w:eastAsia="en-AU"/>
        </w:rPr>
        <w:t>National Institute for Health and Care Research Innovation Observatory</w:t>
      </w:r>
      <w:r w:rsidR="005E5144">
        <w:rPr>
          <w:rFonts w:eastAsia="Times New Roman" w:cs="Segoe UI"/>
          <w:color w:val="000000"/>
          <w:lang w:eastAsia="en-AU"/>
        </w:rPr>
        <w:t xml:space="preserve"> </w:t>
      </w:r>
      <w:r w:rsidR="008D7249">
        <w:rPr>
          <w:rFonts w:eastAsia="Times New Roman" w:cs="Segoe UI"/>
          <w:color w:val="000000"/>
          <w:lang w:eastAsia="en-AU"/>
        </w:rPr>
        <w:t>(</w:t>
      </w:r>
      <w:r w:rsidRPr="00D20132">
        <w:rPr>
          <w:rFonts w:cs="Segoe UI"/>
        </w:rPr>
        <w:t>NIHRIO)</w:t>
      </w:r>
      <w:r w:rsidR="00784337">
        <w:rPr>
          <w:rFonts w:cs="Segoe UI"/>
        </w:rPr>
        <w:t xml:space="preserve"> and </w:t>
      </w:r>
      <w:r w:rsidR="00784337" w:rsidRPr="00730F97">
        <w:rPr>
          <w:rFonts w:cs="Segoe UI"/>
        </w:rPr>
        <w:t>NICE</w:t>
      </w:r>
      <w:r w:rsidR="008D7249">
        <w:rPr>
          <w:rFonts w:cs="Segoe UI"/>
        </w:rPr>
        <w:t>)</w:t>
      </w:r>
      <w:r w:rsidR="00784337">
        <w:rPr>
          <w:rFonts w:cs="Segoe UI"/>
        </w:rPr>
        <w:t>. These</w:t>
      </w:r>
      <w:r w:rsidRPr="00D20132" w:rsidDel="00784337">
        <w:rPr>
          <w:rFonts w:cs="Segoe UI"/>
        </w:rPr>
        <w:t xml:space="preserve"> </w:t>
      </w:r>
      <w:r w:rsidRPr="00D20132">
        <w:rPr>
          <w:rFonts w:cs="Segoe UI"/>
        </w:rPr>
        <w:t>use a mix of horizon scanning, PICO scoping and other proactive stakeholder engagement activities to support engagement on matters of health equity and implications that may arise from the possible introduction of new health technologies into routine health</w:t>
      </w:r>
      <w:r w:rsidR="00784337">
        <w:rPr>
          <w:rFonts w:cs="Segoe UI"/>
        </w:rPr>
        <w:t> </w:t>
      </w:r>
      <w:r w:rsidRPr="00D20132">
        <w:rPr>
          <w:rFonts w:cs="Segoe UI"/>
        </w:rPr>
        <w:t>care.</w:t>
      </w:r>
    </w:p>
    <w:p w14:paraId="08F30004" w14:textId="3D568D6A" w:rsidR="00E23E39" w:rsidRDefault="006D398E" w:rsidP="00405FD7">
      <w:pPr>
        <w:rPr>
          <w:rFonts w:cs="Segoe UI"/>
        </w:rPr>
      </w:pPr>
      <w:r>
        <w:rPr>
          <w:noProof/>
        </w:rPr>
        <mc:AlternateContent>
          <mc:Choice Requires="wps">
            <w:drawing>
              <wp:inline distT="0" distB="0" distL="0" distR="0" wp14:anchorId="6AEB7B60" wp14:editId="40036B51">
                <wp:extent cx="5876014" cy="3267986"/>
                <wp:effectExtent l="0" t="0" r="0" b="8890"/>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014" cy="3267986"/>
                        </a:xfrm>
                        <a:prstGeom prst="round2DiagRect">
                          <a:avLst/>
                        </a:prstGeom>
                        <a:solidFill>
                          <a:schemeClr val="bg1">
                            <a:lumMod val="95000"/>
                          </a:schemeClr>
                        </a:solidFill>
                        <a:ln w="9525">
                          <a:noFill/>
                          <a:miter lim="800000"/>
                          <a:headEnd/>
                          <a:tailEnd/>
                        </a:ln>
                      </wps:spPr>
                      <wps:txbx>
                        <w:txbxContent>
                          <w:p w14:paraId="0F7D892A" w14:textId="77777777" w:rsidR="006D398E" w:rsidRPr="00BA3CA7" w:rsidRDefault="006D398E" w:rsidP="006D398E">
                            <w:pPr>
                              <w:ind w:right="19"/>
                              <w:rPr>
                                <w:b/>
                                <w:color w:val="005A68" w:themeColor="accent6" w:themeShade="80"/>
                              </w:rPr>
                            </w:pPr>
                            <w:r w:rsidRPr="00BA3CA7">
                              <w:rPr>
                                <w:b/>
                                <w:color w:val="005A68" w:themeColor="accent6" w:themeShade="80"/>
                              </w:rPr>
                              <w:t>What we heard:</w:t>
                            </w:r>
                          </w:p>
                          <w:p w14:paraId="50AEB25F" w14:textId="77777777" w:rsidR="00FB4F09"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 xml:space="preserve">Develop a national strategy that is informed by disease burden and unmet </w:t>
                            </w:r>
                            <w:r w:rsidR="006D398E" w:rsidRPr="000C5623">
                              <w:rPr>
                                <w:color w:val="005A68" w:themeColor="accent6" w:themeShade="80"/>
                              </w:rPr>
                              <w:t>need, and is integrated with strategies for funding innovative medicines</w:t>
                            </w:r>
                            <w:r w:rsidR="00784337">
                              <w:rPr>
                                <w:color w:val="005A68" w:themeColor="accent6" w:themeShade="80"/>
                              </w:rPr>
                              <w:t xml:space="preserve"> </w:t>
                            </w:r>
                            <w:r w:rsidR="006D398E" w:rsidRPr="000C5623">
                              <w:rPr>
                                <w:color w:val="005A68" w:themeColor="accent6" w:themeShade="80"/>
                              </w:rPr>
                              <w:t>...</w:t>
                            </w:r>
                            <w:r w:rsidR="002A6DE6" w:rsidRPr="000C5623">
                              <w:rPr>
                                <w:color w:val="005A68" w:themeColor="accent6" w:themeShade="80"/>
                              </w:rPr>
                              <w:t xml:space="preserve"> </w:t>
                            </w:r>
                            <w:r w:rsidR="006D398E" w:rsidRPr="000C5623">
                              <w:rPr>
                                <w:color w:val="005A68" w:themeColor="accent6" w:themeShade="80"/>
                              </w:rPr>
                              <w:t>Importantly, this should not neglect rare diseases and unmet need.</w:t>
                            </w:r>
                            <w:r>
                              <w:rPr>
                                <w:color w:val="005A68" w:themeColor="accent6" w:themeShade="80"/>
                              </w:rPr>
                              <w:t>’</w:t>
                            </w:r>
                            <w:r w:rsidR="006D398E" w:rsidRPr="000C5623">
                              <w:rPr>
                                <w:color w:val="005A68" w:themeColor="accent6" w:themeShade="80"/>
                              </w:rPr>
                              <w:t xml:space="preserve"> </w:t>
                            </w:r>
                          </w:p>
                          <w:p w14:paraId="518CF410" w14:textId="177B825B" w:rsidR="006D398E" w:rsidRPr="000C5623" w:rsidRDefault="00FB4F09" w:rsidP="00A318F7">
                            <w:pPr>
                              <w:ind w:left="283" w:right="19"/>
                              <w:jc w:val="right"/>
                              <w:rPr>
                                <w:color w:val="005A68" w:themeColor="accent6" w:themeShade="80"/>
                              </w:rPr>
                            </w:pPr>
                            <w:r w:rsidRPr="00A318F7">
                              <w:rPr>
                                <w:b/>
                                <w:bCs/>
                                <w:color w:val="005A68" w:themeColor="accent6" w:themeShade="80"/>
                              </w:rPr>
                              <w:t>Consultation 1 submission: Biointelect</w:t>
                            </w:r>
                          </w:p>
                          <w:p w14:paraId="277BECB8" w14:textId="7844A330" w:rsidR="006D398E" w:rsidRPr="000C5623"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There is a lack of horizon scanning and pre-emptive planning of new and emerging technologies. Submissions are reactive, from the local sponsor, and are not able to be driven proactively by patient or healthcare needs.</w:t>
                            </w:r>
                            <w:r>
                              <w:rPr>
                                <w:color w:val="005A68" w:themeColor="accent6" w:themeShade="80"/>
                              </w:rPr>
                              <w:t>’</w:t>
                            </w:r>
                            <w:r w:rsidR="006D398E" w:rsidRPr="000C5623">
                              <w:rPr>
                                <w:color w:val="005A68" w:themeColor="accent6" w:themeShade="80"/>
                              </w:rPr>
                              <w:t xml:space="preserve"> </w:t>
                            </w:r>
                          </w:p>
                          <w:p w14:paraId="58351FB1" w14:textId="7C35693C" w:rsidR="006D398E" w:rsidRPr="00BA3CA7" w:rsidRDefault="006D398E" w:rsidP="005D1D2F">
                            <w:pPr>
                              <w:ind w:left="3178" w:right="19"/>
                              <w:jc w:val="right"/>
                              <w:rPr>
                                <w:b/>
                              </w:rPr>
                            </w:pPr>
                            <w:r w:rsidRPr="00BA3CA7">
                              <w:rPr>
                                <w:b/>
                                <w:color w:val="005A68" w:themeColor="accent6" w:themeShade="80"/>
                              </w:rPr>
                              <w:t>Consultation 1</w:t>
                            </w:r>
                            <w:r w:rsidR="00E71E71">
                              <w:rPr>
                                <w:b/>
                                <w:color w:val="005A68" w:themeColor="accent6" w:themeShade="80"/>
                              </w:rPr>
                              <w:t xml:space="preserve"> submission: South Australian Department for Health and Wellbeing</w:t>
                            </w:r>
                          </w:p>
                        </w:txbxContent>
                      </wps:txbx>
                      <wps:bodyPr rot="0" vert="horz" wrap="square" lIns="91440" tIns="45720" rIns="91440" bIns="45720" anchor="t" anchorCtr="0">
                        <a:noAutofit/>
                      </wps:bodyPr>
                    </wps:wsp>
                  </a:graphicData>
                </a:graphic>
              </wp:inline>
            </w:drawing>
          </mc:Choice>
          <mc:Fallback>
            <w:pict>
              <v:shape w14:anchorId="6AEB7B60" id="Text Box 41" o:spid="_x0000_s1050" style="width:462.7pt;height:257.3pt;visibility:visible;mso-wrap-style:square;mso-left-percent:-10001;mso-top-percent:-10001;mso-position-horizontal:absolute;mso-position-horizontal-relative:char;mso-position-vertical:absolute;mso-position-vertical-relative:line;mso-left-percent:-10001;mso-top-percent:-10001;v-text-anchor:top" coordsize="5876014,326798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" adj="-11796480,,5400" path="m544675,l5876014,r,l5876014,2723311v,300816,-243859,544675,-544675,544675l,3267986r,l,544675c,243859,243859,,544675,xe" fillcolor="#f2f2f2 [3052]" stroked="f">
                <v:stroke joinstyle="miter"/>
                <v:formulas/>
                <v:path arrowok="t" o:connecttype="custom" o:connectlocs="544675,0;5876014,0;5876014,0;5876014,2723311;5331339,3267986;0,3267986;0,3267986;0,544675;544675,0" o:connectangles="0,0,0,0,0,0,0,0,0" textboxrect="0,0,5876014,3267986"/>
                <v:textbox>
                  <w:txbxContent>
                    <w:p w14:paraId="0F7D892A" w14:textId="77777777" w:rsidR="006D398E" w:rsidRPr="00BA3CA7" w:rsidRDefault="006D398E" w:rsidP="006D398E">
                      <w:pPr>
                        <w:ind w:right="19"/>
                        <w:rPr>
                          <w:b/>
                          <w:color w:val="005A68" w:themeColor="accent6" w:themeShade="80"/>
                        </w:rPr>
                      </w:pPr>
                      <w:r w:rsidRPr="00BA3CA7">
                        <w:rPr>
                          <w:b/>
                          <w:color w:val="005A68" w:themeColor="accent6" w:themeShade="80"/>
                        </w:rPr>
                        <w:t>What we heard:</w:t>
                      </w:r>
                    </w:p>
                    <w:p w14:paraId="50AEB25F" w14:textId="77777777" w:rsidR="00FB4F09"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Develop a national strategy that is informed by disease burden and unmet need, and is integrated with strategies for funding innovative medicines</w:t>
                      </w:r>
                      <w:r w:rsidR="00784337">
                        <w:rPr>
                          <w:color w:val="005A68" w:themeColor="accent6" w:themeShade="80"/>
                        </w:rPr>
                        <w:t xml:space="preserve"> </w:t>
                      </w:r>
                      <w:r w:rsidR="006D398E" w:rsidRPr="000C5623">
                        <w:rPr>
                          <w:color w:val="005A68" w:themeColor="accent6" w:themeShade="80"/>
                        </w:rPr>
                        <w:t>...</w:t>
                      </w:r>
                      <w:r w:rsidR="002A6DE6" w:rsidRPr="000C5623">
                        <w:rPr>
                          <w:color w:val="005A68" w:themeColor="accent6" w:themeShade="80"/>
                        </w:rPr>
                        <w:t xml:space="preserve"> </w:t>
                      </w:r>
                      <w:r w:rsidR="006D398E" w:rsidRPr="000C5623">
                        <w:rPr>
                          <w:color w:val="005A68" w:themeColor="accent6" w:themeShade="80"/>
                        </w:rPr>
                        <w:t>Importantly, this should not neglect rare diseases and unmet need.</w:t>
                      </w:r>
                      <w:r>
                        <w:rPr>
                          <w:color w:val="005A68" w:themeColor="accent6" w:themeShade="80"/>
                        </w:rPr>
                        <w:t>’</w:t>
                      </w:r>
                      <w:r w:rsidR="006D398E" w:rsidRPr="000C5623">
                        <w:rPr>
                          <w:color w:val="005A68" w:themeColor="accent6" w:themeShade="80"/>
                        </w:rPr>
                        <w:t xml:space="preserve"> </w:t>
                      </w:r>
                    </w:p>
                    <w:p w14:paraId="518CF410" w14:textId="177B825B" w:rsidR="006D398E" w:rsidRPr="000C5623" w:rsidRDefault="00FB4F09" w:rsidP="00A318F7">
                      <w:pPr>
                        <w:ind w:left="283" w:right="19"/>
                        <w:jc w:val="right"/>
                        <w:rPr>
                          <w:color w:val="005A68" w:themeColor="accent6" w:themeShade="80"/>
                        </w:rPr>
                      </w:pPr>
                      <w:r w:rsidRPr="00A318F7">
                        <w:rPr>
                          <w:b/>
                          <w:bCs/>
                          <w:color w:val="005A68" w:themeColor="accent6" w:themeShade="80"/>
                        </w:rPr>
                        <w:t>Consultation 1 submission: Biointelect</w:t>
                      </w:r>
                    </w:p>
                    <w:p w14:paraId="277BECB8" w14:textId="7844A330" w:rsidR="006D398E" w:rsidRPr="000C5623"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There is a lack of horizon scanning and pre-emptive planning of new and emerging technologies. Submissions are reactive, from the local sponsor, and are not able to be driven proactively by patient or healthcare needs.</w:t>
                      </w:r>
                      <w:r>
                        <w:rPr>
                          <w:color w:val="005A68" w:themeColor="accent6" w:themeShade="80"/>
                        </w:rPr>
                        <w:t>’</w:t>
                      </w:r>
                      <w:r w:rsidR="006D398E" w:rsidRPr="000C5623">
                        <w:rPr>
                          <w:color w:val="005A68" w:themeColor="accent6" w:themeShade="80"/>
                        </w:rPr>
                        <w:t xml:space="preserve"> </w:t>
                      </w:r>
                    </w:p>
                    <w:p w14:paraId="58351FB1" w14:textId="7C35693C" w:rsidR="006D398E" w:rsidRPr="00BA3CA7" w:rsidRDefault="006D398E" w:rsidP="005D1D2F">
                      <w:pPr>
                        <w:ind w:left="3178" w:right="19"/>
                        <w:jc w:val="right"/>
                        <w:rPr>
                          <w:b/>
                        </w:rPr>
                      </w:pPr>
                      <w:r w:rsidRPr="00BA3CA7">
                        <w:rPr>
                          <w:b/>
                          <w:color w:val="005A68" w:themeColor="accent6" w:themeShade="80"/>
                        </w:rPr>
                        <w:t>Consultation 1</w:t>
                      </w:r>
                      <w:r w:rsidR="00E71E71">
                        <w:rPr>
                          <w:b/>
                          <w:color w:val="005A68" w:themeColor="accent6" w:themeShade="80"/>
                        </w:rPr>
                        <w:t xml:space="preserve"> submission: South Australian Department for Health and Wellbeing</w:t>
                      </w:r>
                    </w:p>
                  </w:txbxContent>
                </v:textbox>
                <w10:anchorlock/>
              </v:shape>
            </w:pict>
          </mc:Fallback>
        </mc:AlternateContent>
      </w:r>
    </w:p>
    <w:p w14:paraId="6D54474F" w14:textId="41EBF2AB" w:rsidR="00E23E39" w:rsidRPr="00D20132" w:rsidRDefault="00E23E39" w:rsidP="00405FD7">
      <w:pPr>
        <w:rPr>
          <w:rFonts w:cs="Segoe UI"/>
        </w:rPr>
      </w:pPr>
      <w:r w:rsidRPr="00F86FDE">
        <w:rPr>
          <w:rFonts w:cs="Segoe UI"/>
        </w:rPr>
        <w:t>The Review consulted on a suite of ideas</w:t>
      </w:r>
      <w:r w:rsidRPr="00F86FDE">
        <w:rPr>
          <w:rStyle w:val="FootnoteReference"/>
          <w:rFonts w:cs="Segoe UI"/>
        </w:rPr>
        <w:footnoteReference w:id="203"/>
      </w:r>
      <w:r w:rsidRPr="00F86FDE">
        <w:rPr>
          <w:rFonts w:cs="Segoe UI"/>
        </w:rPr>
        <w:t xml:space="preserve"> supporting the development of a priority list of </w:t>
      </w:r>
      <w:r w:rsidR="00F77E86">
        <w:rPr>
          <w:rFonts w:cs="Segoe UI"/>
        </w:rPr>
        <w:t>HUCN</w:t>
      </w:r>
      <w:r w:rsidRPr="00F86FDE">
        <w:rPr>
          <w:rFonts w:cs="Segoe UI"/>
        </w:rPr>
        <w:t xml:space="preserve"> areas</w:t>
      </w:r>
      <w:r w:rsidRPr="00D20132">
        <w:rPr>
          <w:rFonts w:cs="Segoe UI"/>
        </w:rPr>
        <w:t xml:space="preserve"> </w:t>
      </w:r>
      <w:r w:rsidR="00784337">
        <w:rPr>
          <w:rFonts w:cs="Segoe UI"/>
        </w:rPr>
        <w:t>that</w:t>
      </w:r>
      <w:r w:rsidR="00784337" w:rsidRPr="00D20132">
        <w:rPr>
          <w:rFonts w:cs="Segoe UI"/>
        </w:rPr>
        <w:t xml:space="preserve"> </w:t>
      </w:r>
      <w:r w:rsidRPr="00D20132">
        <w:rPr>
          <w:rFonts w:cs="Segoe UI"/>
        </w:rPr>
        <w:t xml:space="preserve">would be used to inform horizon scanning, preliminary assessment and prioritisation </w:t>
      </w:r>
      <w:r w:rsidR="00784337">
        <w:rPr>
          <w:rFonts w:cs="Segoe UI"/>
        </w:rPr>
        <w:t xml:space="preserve">of </w:t>
      </w:r>
      <w:r w:rsidRPr="00D20132">
        <w:rPr>
          <w:rFonts w:cs="Segoe UI"/>
        </w:rPr>
        <w:t>dialogue with stakeholders</w:t>
      </w:r>
      <w:r w:rsidR="00784337">
        <w:rPr>
          <w:rFonts w:cs="Segoe UI"/>
        </w:rPr>
        <w:t>. This</w:t>
      </w:r>
      <w:r w:rsidRPr="00D20132">
        <w:rPr>
          <w:rFonts w:cs="Segoe UI"/>
        </w:rPr>
        <w:t xml:space="preserve"> </w:t>
      </w:r>
      <w:r w:rsidR="00C16874">
        <w:rPr>
          <w:rFonts w:cs="Segoe UI"/>
        </w:rPr>
        <w:t>would inform</w:t>
      </w:r>
      <w:r w:rsidRPr="00D20132">
        <w:rPr>
          <w:rFonts w:cs="Segoe UI"/>
        </w:rPr>
        <w:t xml:space="preserve"> explicit </w:t>
      </w:r>
      <w:r w:rsidRPr="00D20132">
        <w:rPr>
          <w:rFonts w:cs="Segoe UI"/>
        </w:rPr>
        <w:lastRenderedPageBreak/>
        <w:t xml:space="preserve">invitations to sponsors to bring health technologies </w:t>
      </w:r>
      <w:r>
        <w:rPr>
          <w:rFonts w:cs="Segoe UI"/>
        </w:rPr>
        <w:t>addressing</w:t>
      </w:r>
      <w:r w:rsidRPr="00D20132">
        <w:rPr>
          <w:rFonts w:cs="Segoe UI"/>
        </w:rPr>
        <w:t xml:space="preserve"> </w:t>
      </w:r>
      <w:r w:rsidR="00F77E86">
        <w:rPr>
          <w:rFonts w:cs="Segoe UI"/>
        </w:rPr>
        <w:t>HUCN</w:t>
      </w:r>
      <w:r w:rsidRPr="00D20132">
        <w:rPr>
          <w:rFonts w:cs="Segoe UI"/>
        </w:rPr>
        <w:t xml:space="preserve"> forward for regulatory and reimbursement consideration. </w:t>
      </w:r>
    </w:p>
    <w:p w14:paraId="43F0B2DD" w14:textId="77777777" w:rsidR="00E23E39" w:rsidRPr="00F86FDE" w:rsidRDefault="00E23E39" w:rsidP="00405FD7">
      <w:pPr>
        <w:rPr>
          <w:rFonts w:cs="Segoe UI"/>
        </w:rPr>
      </w:pPr>
      <w:r w:rsidRPr="00D20132">
        <w:rPr>
          <w:rFonts w:cs="Segoe UI"/>
        </w:rPr>
        <w:t xml:space="preserve">While stakeholder support was strong for the proposed ideas, </w:t>
      </w:r>
      <w:r w:rsidRPr="00F86FDE">
        <w:rPr>
          <w:rFonts w:cs="Segoe UI"/>
        </w:rPr>
        <w:t>stakeholders raised important observations and criticisms that informed further Review deliberation:</w:t>
      </w:r>
    </w:p>
    <w:p w14:paraId="26C1A405" w14:textId="2F15882A" w:rsidR="00E23E39" w:rsidRPr="00F86FDE" w:rsidRDefault="006C4BE1" w:rsidP="00281153">
      <w:pPr>
        <w:pStyle w:val="ListBullet"/>
        <w:numPr>
          <w:ilvl w:val="0"/>
          <w:numId w:val="86"/>
        </w:numPr>
      </w:pPr>
      <w:r>
        <w:t xml:space="preserve">Care would be needed when developing and using the priority </w:t>
      </w:r>
      <w:r w:rsidR="00E23E39" w:rsidRPr="00F86FDE" w:rsidDel="006C4BE1">
        <w:t>list</w:t>
      </w:r>
      <w:r w:rsidR="00E23E39" w:rsidRPr="00F86FDE">
        <w:t>, to ensure no loss of health equity</w:t>
      </w:r>
      <w:r w:rsidR="00E23E39" w:rsidRPr="00F86FDE">
        <w:rPr>
          <w:b/>
        </w:rPr>
        <w:t xml:space="preserve"> </w:t>
      </w:r>
      <w:r w:rsidR="00E23E39" w:rsidRPr="00F86FDE">
        <w:t>(due to displacement and/or deprioritisation of treatments for areas of non-</w:t>
      </w:r>
      <w:r w:rsidR="00F77E86">
        <w:t>HUCN</w:t>
      </w:r>
      <w:r w:rsidR="00E23E39" w:rsidRPr="00F86FDE">
        <w:t>)</w:t>
      </w:r>
      <w:r>
        <w:t>.</w:t>
      </w:r>
      <w:r w:rsidR="00E23E39" w:rsidRPr="00F86FDE">
        <w:rPr>
          <w:rStyle w:val="FootnoteReference"/>
        </w:rPr>
        <w:footnoteReference w:id="204"/>
      </w:r>
    </w:p>
    <w:p w14:paraId="6DBE0CE9" w14:textId="2B2C8E04" w:rsidR="00E23E39" w:rsidRPr="00F86FDE" w:rsidRDefault="006C4BE1" w:rsidP="00281153">
      <w:pPr>
        <w:pStyle w:val="ListBullet"/>
        <w:numPr>
          <w:ilvl w:val="0"/>
          <w:numId w:val="86"/>
        </w:numPr>
      </w:pPr>
      <w:r>
        <w:t>Developing and maintaining the priority list would need to be done i</w:t>
      </w:r>
      <w:r w:rsidR="00E23E39" w:rsidRPr="00F86FDE">
        <w:t>n partnership with all key stakeholders</w:t>
      </w:r>
      <w:r>
        <w:t>.</w:t>
      </w:r>
      <w:r w:rsidR="00E23E39" w:rsidRPr="00F86FDE">
        <w:rPr>
          <w:rStyle w:val="FootnoteReference"/>
        </w:rPr>
        <w:footnoteReference w:id="205"/>
      </w:r>
    </w:p>
    <w:p w14:paraId="2F023038" w14:textId="68158CB8" w:rsidR="00E23E39" w:rsidRPr="00D20132" w:rsidRDefault="00E23E39" w:rsidP="00281153">
      <w:pPr>
        <w:pStyle w:val="ListBullet"/>
        <w:numPr>
          <w:ilvl w:val="0"/>
          <w:numId w:val="86"/>
        </w:numPr>
      </w:pPr>
      <w:r w:rsidRPr="00D20132">
        <w:t>Clarity and flexibility a</w:t>
      </w:r>
      <w:r w:rsidR="0073444D">
        <w:t xml:space="preserve">bout </w:t>
      </w:r>
      <w:r w:rsidRPr="00D20132">
        <w:t xml:space="preserve">the mechanisms and criteria supporting proactive assessment and sponsor invitations would be required, </w:t>
      </w:r>
      <w:r w:rsidR="006C4BE1">
        <w:t>to give</w:t>
      </w:r>
      <w:r w:rsidRPr="00D20132">
        <w:t xml:space="preserve"> stakeholders sufficient opportunit</w:t>
      </w:r>
      <w:r w:rsidR="006C4BE1">
        <w:t>ies</w:t>
      </w:r>
      <w:r w:rsidRPr="00D20132">
        <w:t xml:space="preserve"> to consider all necessary factors and implications associated with sponsoring a</w:t>
      </w:r>
      <w:r w:rsidR="00AE43EE">
        <w:t>n</w:t>
      </w:r>
      <w:r w:rsidRPr="00D20132">
        <w:t xml:space="preserve"> HTA submission in a </w:t>
      </w:r>
      <w:r w:rsidR="00F77E86">
        <w:t>HUCN</w:t>
      </w:r>
      <w:r w:rsidRPr="00D20132">
        <w:t xml:space="preserve"> area</w:t>
      </w:r>
      <w:r w:rsidR="006C4BE1">
        <w:t>.</w:t>
      </w:r>
      <w:r w:rsidRPr="00D20132">
        <w:rPr>
          <w:rStyle w:val="FootnoteReference"/>
        </w:rPr>
        <w:footnoteReference w:id="206"/>
      </w:r>
    </w:p>
    <w:p w14:paraId="0200ABA4" w14:textId="2648FB37" w:rsidR="00E23E39" w:rsidRPr="0019054D" w:rsidRDefault="00E23E39" w:rsidP="00A318F7">
      <w:pPr>
        <w:pStyle w:val="Heading3"/>
      </w:pPr>
      <w:bookmarkStart w:id="678" w:name="_Toc164691499"/>
      <w:bookmarkStart w:id="679" w:name="_Toc164696292"/>
      <w:bookmarkStart w:id="680" w:name="_Toc164696438"/>
      <w:bookmarkStart w:id="681" w:name="_Toc164767826"/>
      <w:bookmarkStart w:id="682" w:name="_Toc165473759"/>
      <w:r w:rsidRPr="0019054D">
        <w:t>Conclusion</w:t>
      </w:r>
      <w:bookmarkEnd w:id="678"/>
      <w:bookmarkEnd w:id="679"/>
      <w:bookmarkEnd w:id="680"/>
      <w:bookmarkEnd w:id="681"/>
      <w:bookmarkEnd w:id="682"/>
    </w:p>
    <w:p w14:paraId="6EC55724" w14:textId="17D92A8D" w:rsidR="00E23E39" w:rsidRPr="00F86FDE" w:rsidRDefault="00E23E39" w:rsidP="00405FD7">
      <w:pPr>
        <w:rPr>
          <w:rFonts w:cs="Segoe UI"/>
        </w:rPr>
      </w:pPr>
      <w:r w:rsidRPr="00F86FDE">
        <w:rPr>
          <w:rFonts w:cs="Segoe UI"/>
        </w:rPr>
        <w:t>Australia</w:t>
      </w:r>
      <w:r w:rsidR="0073444D">
        <w:rPr>
          <w:rFonts w:cs="Segoe UI"/>
        </w:rPr>
        <w:t>’s</w:t>
      </w:r>
      <w:r w:rsidRPr="00F86FDE">
        <w:rPr>
          <w:rFonts w:cs="Segoe UI"/>
        </w:rPr>
        <w:t xml:space="preserve"> </w:t>
      </w:r>
      <w:r w:rsidR="0073444D">
        <w:rPr>
          <w:rFonts w:cs="Segoe UI"/>
        </w:rPr>
        <w:t xml:space="preserve">health system </w:t>
      </w:r>
      <w:r w:rsidRPr="00F86FDE">
        <w:rPr>
          <w:rFonts w:cs="Segoe UI"/>
        </w:rPr>
        <w:t xml:space="preserve">will not </w:t>
      </w:r>
      <w:r w:rsidR="00A20C61">
        <w:rPr>
          <w:rFonts w:cs="Segoe UI"/>
        </w:rPr>
        <w:t xml:space="preserve">be </w:t>
      </w:r>
      <w:r w:rsidR="0073444D">
        <w:rPr>
          <w:rFonts w:cs="Segoe UI"/>
        </w:rPr>
        <w:t xml:space="preserve">able to fully and </w:t>
      </w:r>
      <w:r w:rsidRPr="00F86FDE">
        <w:rPr>
          <w:rFonts w:cs="Segoe UI"/>
        </w:rPr>
        <w:t>effectively</w:t>
      </w:r>
      <w:r w:rsidRPr="00D20132">
        <w:rPr>
          <w:rFonts w:cs="Segoe UI"/>
        </w:rPr>
        <w:t xml:space="preserve"> </w:t>
      </w:r>
      <w:r w:rsidR="008A2905">
        <w:rPr>
          <w:rFonts w:cs="Segoe UI"/>
        </w:rPr>
        <w:t>meet</w:t>
      </w:r>
      <w:r w:rsidRPr="00D20132" w:rsidDel="0073444D">
        <w:rPr>
          <w:rFonts w:cs="Segoe UI"/>
        </w:rPr>
        <w:t xml:space="preserve"> </w:t>
      </w:r>
      <w:r w:rsidRPr="00D20132">
        <w:rPr>
          <w:rFonts w:cs="Segoe UI"/>
        </w:rPr>
        <w:t xml:space="preserve">the </w:t>
      </w:r>
      <w:r w:rsidR="006E0405">
        <w:rPr>
          <w:rFonts w:cs="Segoe UI"/>
        </w:rPr>
        <w:t>NMP</w:t>
      </w:r>
      <w:r w:rsidRPr="00D20132">
        <w:rPr>
          <w:rFonts w:cs="Segoe UI"/>
        </w:rPr>
        <w:t>’s</w:t>
      </w:r>
      <w:r w:rsidR="0073444D">
        <w:rPr>
          <w:rStyle w:val="FootnoteReference"/>
          <w:rFonts w:cs="Segoe UI"/>
        </w:rPr>
        <w:footnoteReference w:id="207"/>
      </w:r>
      <w:r w:rsidRPr="00D20132">
        <w:rPr>
          <w:rFonts w:cs="Segoe UI"/>
        </w:rPr>
        <w:t xml:space="preserve"> objectives </w:t>
      </w:r>
      <w:r w:rsidR="0073444D">
        <w:rPr>
          <w:rFonts w:cs="Segoe UI"/>
        </w:rPr>
        <w:t>of</w:t>
      </w:r>
      <w:r w:rsidRPr="00D20132">
        <w:rPr>
          <w:rFonts w:cs="Segoe UI"/>
        </w:rPr>
        <w:t xml:space="preserve"> ensur</w:t>
      </w:r>
      <w:r w:rsidR="0073444D">
        <w:rPr>
          <w:rFonts w:cs="Segoe UI"/>
        </w:rPr>
        <w:t>ing</w:t>
      </w:r>
      <w:r w:rsidRPr="00D20132">
        <w:rPr>
          <w:rFonts w:cs="Segoe UI"/>
        </w:rPr>
        <w:t xml:space="preserve"> that all </w:t>
      </w:r>
      <w:r w:rsidR="0073444D">
        <w:rPr>
          <w:rFonts w:cs="Segoe UI"/>
        </w:rPr>
        <w:t>citizens</w:t>
      </w:r>
      <w:r w:rsidRPr="00D20132" w:rsidDel="0073444D">
        <w:rPr>
          <w:rFonts w:cs="Segoe UI"/>
        </w:rPr>
        <w:t xml:space="preserve"> </w:t>
      </w:r>
      <w:r w:rsidRPr="00D20132">
        <w:rPr>
          <w:rFonts w:cs="Segoe UI"/>
        </w:rPr>
        <w:t>have equitable access to safe, effective and high-quality medicines, culturally appropriate medicines-related services and medicines-related information</w:t>
      </w:r>
      <w:r>
        <w:rPr>
          <w:rFonts w:cs="Segoe UI"/>
        </w:rPr>
        <w:t xml:space="preserve">, </w:t>
      </w:r>
      <w:proofErr w:type="gramStart"/>
      <w:r w:rsidRPr="00F86FDE">
        <w:rPr>
          <w:rFonts w:cs="Segoe UI"/>
        </w:rPr>
        <w:t>as long as</w:t>
      </w:r>
      <w:proofErr w:type="gramEnd"/>
      <w:r w:rsidRPr="00F86FDE">
        <w:rPr>
          <w:rFonts w:cs="Segoe UI"/>
        </w:rPr>
        <w:t xml:space="preserve"> </w:t>
      </w:r>
      <w:r w:rsidR="0073444D">
        <w:rPr>
          <w:rFonts w:cs="Segoe UI"/>
        </w:rPr>
        <w:t>gaps</w:t>
      </w:r>
      <w:r w:rsidR="0073444D" w:rsidRPr="00F86FDE">
        <w:rPr>
          <w:rFonts w:cs="Segoe UI"/>
        </w:rPr>
        <w:t xml:space="preserve"> </w:t>
      </w:r>
      <w:r w:rsidRPr="00F86FDE">
        <w:rPr>
          <w:rFonts w:cs="Segoe UI"/>
        </w:rPr>
        <w:t>remain</w:t>
      </w:r>
      <w:r w:rsidRPr="00F86FDE" w:rsidDel="0073444D">
        <w:rPr>
          <w:rFonts w:cs="Segoe UI"/>
        </w:rPr>
        <w:t xml:space="preserve"> </w:t>
      </w:r>
      <w:r w:rsidRPr="00F86FDE">
        <w:rPr>
          <w:rFonts w:cs="Segoe UI"/>
        </w:rPr>
        <w:t>in the way the health system:</w:t>
      </w:r>
    </w:p>
    <w:p w14:paraId="23ACF27F" w14:textId="1DC46A67" w:rsidR="00E23E39" w:rsidRPr="00F86FDE" w:rsidRDefault="00E23E39" w:rsidP="00281153">
      <w:pPr>
        <w:pStyle w:val="ListBullet"/>
        <w:numPr>
          <w:ilvl w:val="0"/>
          <w:numId w:val="87"/>
        </w:numPr>
      </w:pPr>
      <w:r w:rsidRPr="00F86FDE">
        <w:t xml:space="preserve">proactively identifies </w:t>
      </w:r>
      <w:r w:rsidR="0073444D">
        <w:t xml:space="preserve">areas of </w:t>
      </w:r>
      <w:r w:rsidRPr="00F86FDE">
        <w:t xml:space="preserve">unmet clinical needs </w:t>
      </w:r>
    </w:p>
    <w:p w14:paraId="3CDFCAA1" w14:textId="3FBEA5B9" w:rsidR="00E23E39" w:rsidRPr="00F86FDE" w:rsidRDefault="00E23E39" w:rsidP="00281153">
      <w:pPr>
        <w:pStyle w:val="ListBullet"/>
        <w:numPr>
          <w:ilvl w:val="0"/>
          <w:numId w:val="87"/>
        </w:numPr>
      </w:pPr>
      <w:r w:rsidRPr="00F86FDE">
        <w:t>examines and discusses with stakeholders the need for, and supporting activities necessary to encourage, the evaluation and provisioning of potential therapies that may address those clinical needs.</w:t>
      </w:r>
    </w:p>
    <w:p w14:paraId="706D49D1" w14:textId="1332B90D" w:rsidR="00E23E39" w:rsidRPr="00543755" w:rsidRDefault="00E23E39" w:rsidP="00363F9A">
      <w:pPr>
        <w:rPr>
          <w:rFonts w:cs="Segoe UI"/>
        </w:rPr>
      </w:pPr>
      <w:r w:rsidRPr="00543755">
        <w:rPr>
          <w:rFonts w:cs="Segoe UI"/>
        </w:rPr>
        <w:t>The process of designing and developing criteria for identif</w:t>
      </w:r>
      <w:r w:rsidR="006E02BF">
        <w:rPr>
          <w:rFonts w:cs="Segoe UI"/>
        </w:rPr>
        <w:t>ying</w:t>
      </w:r>
      <w:r w:rsidRPr="00543755">
        <w:rPr>
          <w:rFonts w:cs="Segoe UI"/>
        </w:rPr>
        <w:t xml:space="preserve"> therapeutic areas of </w:t>
      </w:r>
      <w:r w:rsidR="00F77E86">
        <w:rPr>
          <w:rFonts w:cs="Segoe UI"/>
        </w:rPr>
        <w:t>HUCN</w:t>
      </w:r>
      <w:r w:rsidRPr="00543755">
        <w:rPr>
          <w:rFonts w:cs="Segoe UI"/>
        </w:rPr>
        <w:t xml:space="preserve"> is important to support:</w:t>
      </w:r>
    </w:p>
    <w:p w14:paraId="2BB5D422" w14:textId="37939B58" w:rsidR="00E23E39" w:rsidRPr="0068092A" w:rsidRDefault="006E02BF" w:rsidP="00281153">
      <w:pPr>
        <w:pStyle w:val="ListBullet"/>
        <w:numPr>
          <w:ilvl w:val="0"/>
          <w:numId w:val="87"/>
        </w:numPr>
      </w:pPr>
      <w:r>
        <w:t>i</w:t>
      </w:r>
      <w:r w:rsidR="00E23E39" w:rsidRPr="0068092A">
        <w:t xml:space="preserve">mproved (and earlier) </w:t>
      </w:r>
      <w:r w:rsidR="00E23E39" w:rsidRPr="00F86FDE">
        <w:t>stakeholder engagement and participation</w:t>
      </w:r>
      <w:r w:rsidR="00E23E39" w:rsidRPr="00D20132">
        <w:t xml:space="preserve">, including information sharing </w:t>
      </w:r>
      <w:r w:rsidR="00E23E39" w:rsidRPr="0068092A">
        <w:t>between stakeholder parties</w:t>
      </w:r>
    </w:p>
    <w:p w14:paraId="7997E3E8" w14:textId="1BF1F414" w:rsidR="00E23E39" w:rsidRPr="00C17FCB" w:rsidRDefault="006E02BF" w:rsidP="00281153">
      <w:pPr>
        <w:pStyle w:val="ListBullet"/>
        <w:numPr>
          <w:ilvl w:val="0"/>
          <w:numId w:val="87"/>
        </w:numPr>
      </w:pPr>
      <w:r>
        <w:t>i</w:t>
      </w:r>
      <w:r w:rsidR="00E23E39" w:rsidRPr="0068092A">
        <w:t xml:space="preserve">mprovements in </w:t>
      </w:r>
      <w:r w:rsidR="00E23E39" w:rsidRPr="00F86FDE">
        <w:t>stakeholder literacy</w:t>
      </w:r>
      <w:r w:rsidR="00E23E39" w:rsidRPr="0068092A">
        <w:t xml:space="preserve"> </w:t>
      </w:r>
      <w:r w:rsidR="00E23E39" w:rsidRPr="00D20132">
        <w:t>in re</w:t>
      </w:r>
      <w:r w:rsidR="00833EA3">
        <w:t xml:space="preserve">lation to </w:t>
      </w:r>
      <w:r w:rsidR="00E23E39" w:rsidRPr="0068092A">
        <w:t>health technologies, clinical indications</w:t>
      </w:r>
      <w:r w:rsidR="00E23E39" w:rsidRPr="00D20132">
        <w:t xml:space="preserve"> and </w:t>
      </w:r>
      <w:r w:rsidR="00E23E39" w:rsidRPr="0068092A">
        <w:t>health equity</w:t>
      </w:r>
      <w:r w:rsidR="0073444D">
        <w:t>–</w:t>
      </w:r>
      <w:r w:rsidR="00E23E39" w:rsidRPr="00D20132">
        <w:t xml:space="preserve">related policies and strategies (including, </w:t>
      </w:r>
      <w:r w:rsidR="0073444D">
        <w:t>for instance</w:t>
      </w:r>
      <w:r w:rsidR="00E23E39" w:rsidRPr="00675B0B">
        <w:t>, the National A</w:t>
      </w:r>
      <w:r w:rsidR="0073444D">
        <w:t xml:space="preserve">ntimicrobial Resistance </w:t>
      </w:r>
      <w:r w:rsidR="00675B0B" w:rsidRPr="00675B0B">
        <w:t>S</w:t>
      </w:r>
      <w:r w:rsidR="00E23E39" w:rsidRPr="00675B0B">
        <w:t>trategy</w:t>
      </w:r>
      <w:r w:rsidR="0073444D">
        <w:rPr>
          <w:rStyle w:val="FootnoteReference"/>
        </w:rPr>
        <w:footnoteReference w:id="208"/>
      </w:r>
      <w:r w:rsidR="00E23E39" w:rsidRPr="00675B0B">
        <w:t xml:space="preserve"> and</w:t>
      </w:r>
      <w:r w:rsidR="00E23E39" w:rsidRPr="00D20132">
        <w:t xml:space="preserve"> the </w:t>
      </w:r>
      <w:r w:rsidR="00E23E39" w:rsidRPr="00C17FCB">
        <w:t>National Strategic Action Plan for Rare Diseases</w:t>
      </w:r>
      <w:r w:rsidR="00E03B2C" w:rsidRPr="00C17FCB">
        <w:rPr>
          <w:rStyle w:val="FootnoteReference"/>
        </w:rPr>
        <w:footnoteReference w:id="209"/>
      </w:r>
      <w:r w:rsidR="00E23E39" w:rsidRPr="00C17FCB">
        <w:t>)</w:t>
      </w:r>
    </w:p>
    <w:p w14:paraId="530F2707" w14:textId="2C2D5A44" w:rsidR="00E23E39" w:rsidRPr="00850454" w:rsidRDefault="0073444D" w:rsidP="00281153">
      <w:pPr>
        <w:pStyle w:val="ListBullet"/>
        <w:numPr>
          <w:ilvl w:val="0"/>
          <w:numId w:val="87"/>
        </w:numPr>
      </w:pPr>
      <w:r>
        <w:t>i</w:t>
      </w:r>
      <w:r w:rsidR="00E23E39" w:rsidRPr="00F86FDE">
        <w:t>nformed planning and design of HTA submissions and their introduction into the Australian healthcare context</w:t>
      </w:r>
      <w:r w:rsidR="00E23E39" w:rsidRPr="00D20132">
        <w:t xml:space="preserve"> </w:t>
      </w:r>
      <w:r w:rsidR="00E23E39" w:rsidRPr="00850454">
        <w:t xml:space="preserve">(including </w:t>
      </w:r>
      <w:r w:rsidR="00E23E39" w:rsidRPr="00D20132">
        <w:t>informing a range of HTA process-</w:t>
      </w:r>
      <w:r w:rsidR="00E23E39" w:rsidRPr="00D20132">
        <w:lastRenderedPageBreak/>
        <w:t xml:space="preserve">related supporting activities </w:t>
      </w:r>
      <w:r>
        <w:t>such as</w:t>
      </w:r>
      <w:r w:rsidRPr="00D20132">
        <w:t xml:space="preserve"> </w:t>
      </w:r>
      <w:r w:rsidR="00E23E39" w:rsidRPr="00850454">
        <w:t>pre-submission dialogue</w:t>
      </w:r>
      <w:r>
        <w:t xml:space="preserve"> and</w:t>
      </w:r>
      <w:r w:rsidR="00E23E39" w:rsidRPr="00850454">
        <w:t xml:space="preserve"> early PICO scoping)</w:t>
      </w:r>
      <w:r w:rsidR="00E23E39" w:rsidRPr="00D20132">
        <w:t>, especially</w:t>
      </w:r>
      <w:r w:rsidR="00E23E39" w:rsidRPr="00850454">
        <w:t xml:space="preserve"> for health areas </w:t>
      </w:r>
      <w:r>
        <w:t>that</w:t>
      </w:r>
      <w:r w:rsidR="00E23E39" w:rsidRPr="00850454">
        <w:t xml:space="preserve"> may not have historically attracted the same attention as more high-profile clinical areas</w:t>
      </w:r>
      <w:r w:rsidR="00E23E39">
        <w:t xml:space="preserve"> like oncology or cardiovascular diseases</w:t>
      </w:r>
      <w:r w:rsidR="00B14713">
        <w:t xml:space="preserve"> </w:t>
      </w:r>
      <w:r w:rsidR="00B14713" w:rsidDel="0073444D">
        <w:t>(e.g. paediatric indication extensions)</w:t>
      </w:r>
    </w:p>
    <w:p w14:paraId="0759192E" w14:textId="2B275EEB" w:rsidR="00E23E39" w:rsidRPr="00850454" w:rsidRDefault="0073444D" w:rsidP="00281153">
      <w:pPr>
        <w:pStyle w:val="ListBullet"/>
        <w:numPr>
          <w:ilvl w:val="0"/>
          <w:numId w:val="87"/>
        </w:numPr>
      </w:pPr>
      <w:r>
        <w:t>p</w:t>
      </w:r>
      <w:r w:rsidR="00E23E39" w:rsidRPr="00F86FDE">
        <w:t>ublic signalling in areas w</w:t>
      </w:r>
      <w:r>
        <w:t>ith</w:t>
      </w:r>
      <w:r w:rsidR="00E23E39" w:rsidRPr="00F86FDE">
        <w:t xml:space="preserve"> strong interest in improv</w:t>
      </w:r>
      <w:r w:rsidR="003A24C0">
        <w:t>ing</w:t>
      </w:r>
      <w:r w:rsidR="00E23E39" w:rsidRPr="00F86FDE">
        <w:t xml:space="preserve"> knowledge about, and availability of, specific health technologies</w:t>
      </w:r>
      <w:r w:rsidR="00E23E39" w:rsidRPr="00D20132">
        <w:t xml:space="preserve"> </w:t>
      </w:r>
      <w:r w:rsidR="00E23E39" w:rsidRPr="00850454">
        <w:t>(</w:t>
      </w:r>
      <w:r w:rsidR="00E23E39">
        <w:t>e.g. products to address antimicrobial resistance, paediatric indications and First Nations health needs</w:t>
      </w:r>
      <w:r w:rsidR="00E23E39" w:rsidRPr="00850454">
        <w:t xml:space="preserve">), as part of improving </w:t>
      </w:r>
      <w:r w:rsidR="00E23E39" w:rsidRPr="00D20132">
        <w:t xml:space="preserve">overall subsidised </w:t>
      </w:r>
      <w:r w:rsidR="00E23E39" w:rsidRPr="00850454">
        <w:t>access</w:t>
      </w:r>
      <w:r w:rsidR="00E23E39" w:rsidRPr="00D20132">
        <w:t xml:space="preserve"> to treatments in areas of </w:t>
      </w:r>
      <w:r w:rsidR="00F77E86">
        <w:t>HUCN</w:t>
      </w:r>
      <w:r w:rsidR="00E23E39" w:rsidRPr="00D20132">
        <w:t xml:space="preserve">. </w:t>
      </w:r>
    </w:p>
    <w:p w14:paraId="0027A0D4" w14:textId="2D861C29" w:rsidR="00E23E39" w:rsidRDefault="00E23E39" w:rsidP="00405FD7">
      <w:pPr>
        <w:rPr>
          <w:rFonts w:cs="Segoe UI"/>
        </w:rPr>
      </w:pPr>
      <w:r w:rsidRPr="00F86FDE">
        <w:rPr>
          <w:rFonts w:cs="Segoe UI"/>
        </w:rPr>
        <w:t xml:space="preserve">While </w:t>
      </w:r>
      <w:r w:rsidR="003A24C0">
        <w:rPr>
          <w:rFonts w:cs="Segoe UI"/>
        </w:rPr>
        <w:t>it is important to identify</w:t>
      </w:r>
      <w:r w:rsidRPr="00F86FDE">
        <w:rPr>
          <w:rFonts w:cs="Segoe UI"/>
        </w:rPr>
        <w:t xml:space="preserve"> therapeutic areas of </w:t>
      </w:r>
      <w:r w:rsidR="00F77E86">
        <w:rPr>
          <w:rFonts w:cs="Segoe UI"/>
        </w:rPr>
        <w:t>HUCN</w:t>
      </w:r>
      <w:r w:rsidRPr="00F86FDE">
        <w:rPr>
          <w:rFonts w:cs="Segoe UI"/>
        </w:rPr>
        <w:t xml:space="preserve">, </w:t>
      </w:r>
      <w:r w:rsidR="003A24C0">
        <w:rPr>
          <w:rFonts w:cs="Segoe UI"/>
        </w:rPr>
        <w:t xml:space="preserve">it is essential to </w:t>
      </w:r>
      <w:r w:rsidRPr="00F86FDE">
        <w:rPr>
          <w:rFonts w:cs="Segoe UI"/>
        </w:rPr>
        <w:t>translat</w:t>
      </w:r>
      <w:r w:rsidR="003A24C0">
        <w:rPr>
          <w:rFonts w:cs="Segoe UI"/>
        </w:rPr>
        <w:t>e</w:t>
      </w:r>
      <w:r w:rsidRPr="00F86FDE">
        <w:rPr>
          <w:rFonts w:cs="Segoe UI"/>
        </w:rPr>
        <w:t xml:space="preserve"> outputs into specific arrangements and activities that support the introduction of health technologies into Australia.</w:t>
      </w:r>
      <w:r w:rsidRPr="00D20132">
        <w:rPr>
          <w:rFonts w:cs="Segoe UI"/>
        </w:rPr>
        <w:t xml:space="preserve"> In particular, the recommendations associated with proactive invitation</w:t>
      </w:r>
      <w:r w:rsidR="003A24C0">
        <w:rPr>
          <w:rFonts w:cs="Segoe UI"/>
        </w:rPr>
        <w:t>s for</w:t>
      </w:r>
      <w:r w:rsidRPr="00D20132" w:rsidDel="003A24C0">
        <w:rPr>
          <w:rFonts w:cs="Segoe UI"/>
        </w:rPr>
        <w:t xml:space="preserve"> </w:t>
      </w:r>
      <w:r w:rsidRPr="00D20132">
        <w:rPr>
          <w:rFonts w:cs="Segoe UI"/>
        </w:rPr>
        <w:t xml:space="preserve">HTA submissions are designed to give practical effect to the upstream prioritisation, research and consultation activities in a way that improves health equity and </w:t>
      </w:r>
      <w:r w:rsidR="003A24C0">
        <w:rPr>
          <w:rFonts w:cs="Segoe UI"/>
        </w:rPr>
        <w:t>helps</w:t>
      </w:r>
      <w:r>
        <w:rPr>
          <w:rFonts w:cs="Segoe UI"/>
        </w:rPr>
        <w:t xml:space="preserve"> </w:t>
      </w:r>
      <w:r w:rsidRPr="00D20132">
        <w:rPr>
          <w:rFonts w:cs="Segoe UI"/>
        </w:rPr>
        <w:t xml:space="preserve">address the treatment needs of patients in areas of </w:t>
      </w:r>
      <w:r w:rsidR="00F77E86">
        <w:rPr>
          <w:rFonts w:cs="Segoe UI"/>
        </w:rPr>
        <w:t>HUCN</w:t>
      </w:r>
      <w:r w:rsidRPr="00D20132">
        <w:rPr>
          <w:rFonts w:cs="Segoe UI"/>
        </w:rPr>
        <w:t xml:space="preserve">. </w:t>
      </w:r>
    </w:p>
    <w:p w14:paraId="0B519174" w14:textId="77777777" w:rsidR="00E23E39" w:rsidRDefault="00E23E39" w:rsidP="00A318F7">
      <w:pPr>
        <w:pStyle w:val="Heading3"/>
      </w:pPr>
      <w:bookmarkStart w:id="683" w:name="_Toc164691500"/>
      <w:bookmarkStart w:id="684" w:name="_Toc164696293"/>
      <w:bookmarkStart w:id="685" w:name="_Toc164696439"/>
      <w:bookmarkStart w:id="686" w:name="_Toc164767827"/>
      <w:bookmarkStart w:id="687" w:name="_Toc165473760"/>
      <w:r w:rsidRPr="00AB7AA8">
        <w:t>Objectives of recommendations</w:t>
      </w:r>
      <w:bookmarkEnd w:id="683"/>
      <w:bookmarkEnd w:id="684"/>
      <w:bookmarkEnd w:id="685"/>
      <w:bookmarkEnd w:id="686"/>
      <w:bookmarkEnd w:id="687"/>
      <w:r w:rsidRPr="00AB7AA8">
        <w:t xml:space="preserve"> </w:t>
      </w:r>
    </w:p>
    <w:p w14:paraId="34A17A76" w14:textId="0CF31382" w:rsidR="00E23E39" w:rsidRPr="00081C10" w:rsidRDefault="00E23E39" w:rsidP="00405FD7">
      <w:pPr>
        <w:rPr>
          <w:rFonts w:cs="Segoe UI"/>
        </w:rPr>
      </w:pPr>
      <w:r w:rsidRPr="00081C10">
        <w:rPr>
          <w:rFonts w:cs="Segoe UI"/>
        </w:rPr>
        <w:t>The Review</w:t>
      </w:r>
      <w:r w:rsidR="00E75822">
        <w:rPr>
          <w:rFonts w:cs="Segoe UI"/>
        </w:rPr>
        <w:t>’s</w:t>
      </w:r>
      <w:r w:rsidRPr="00081C10">
        <w:rPr>
          <w:rFonts w:cs="Segoe UI"/>
        </w:rPr>
        <w:t xml:space="preserve"> recommendations set out new arrangements that focus on identifying, screening and inviting the submission of health technologies for public subsidy that address </w:t>
      </w:r>
      <w:r w:rsidR="00F77E86">
        <w:rPr>
          <w:rFonts w:cs="Segoe UI"/>
        </w:rPr>
        <w:t>HUCN</w:t>
      </w:r>
      <w:r w:rsidRPr="00081C10">
        <w:rPr>
          <w:rFonts w:cs="Segoe UI"/>
        </w:rPr>
        <w:t xml:space="preserve"> and health inequities.</w:t>
      </w:r>
    </w:p>
    <w:p w14:paraId="31E3BE29" w14:textId="20933212" w:rsidR="00E23E39" w:rsidRPr="00D20132" w:rsidRDefault="00E23E39" w:rsidP="00A318F7">
      <w:pPr>
        <w:pStyle w:val="Heading3"/>
      </w:pPr>
      <w:bookmarkStart w:id="688" w:name="_Toc164691501"/>
      <w:bookmarkStart w:id="689" w:name="_Toc164767828"/>
      <w:bookmarkStart w:id="690" w:name="_Toc165473761"/>
      <w:bookmarkStart w:id="691" w:name="_Toc164696294"/>
      <w:bookmarkStart w:id="692" w:name="_Toc164696440"/>
      <w:r w:rsidRPr="00D20132">
        <w:t>Recommendations</w:t>
      </w:r>
      <w:bookmarkEnd w:id="688"/>
      <w:bookmarkEnd w:id="689"/>
      <w:bookmarkEnd w:id="690"/>
      <w:r w:rsidRPr="00D20132">
        <w:t xml:space="preserve"> </w:t>
      </w:r>
      <w:bookmarkEnd w:id="691"/>
      <w:bookmarkEnd w:id="692"/>
    </w:p>
    <w:p w14:paraId="0902F4B4" w14:textId="6440280F" w:rsidR="00E23E39" w:rsidRPr="00D20132" w:rsidRDefault="00E23E39" w:rsidP="00074B8A">
      <w:pPr>
        <w:pStyle w:val="Recommendation1"/>
      </w:pPr>
      <w:bookmarkStart w:id="693" w:name="_Ref166783377"/>
      <w:bookmarkStart w:id="694" w:name="_Hlk167302615"/>
      <w:r w:rsidRPr="00D20132">
        <w:t xml:space="preserve">Identifying therapeutic areas of </w:t>
      </w:r>
      <w:r w:rsidR="007D6E91">
        <w:t>high unmet clinical need</w:t>
      </w:r>
      <w:bookmarkEnd w:id="693"/>
    </w:p>
    <w:bookmarkEnd w:id="694"/>
    <w:p w14:paraId="51724DA5" w14:textId="76F0135E" w:rsidR="00E23E39" w:rsidRPr="00D20132" w:rsidRDefault="00E23E39" w:rsidP="005F5549">
      <w:pPr>
        <w:rPr>
          <w:rFonts w:cs="Segoe UI"/>
        </w:rPr>
      </w:pPr>
      <w:r w:rsidRPr="00405FD7">
        <w:rPr>
          <w:rFonts w:cs="Segoe UI"/>
        </w:rPr>
        <w:t xml:space="preserve">The Review recommends </w:t>
      </w:r>
      <w:r w:rsidR="003A24C0">
        <w:rPr>
          <w:rFonts w:cs="Segoe UI"/>
        </w:rPr>
        <w:t xml:space="preserve">that </w:t>
      </w:r>
      <w:r w:rsidRPr="00405FD7">
        <w:rPr>
          <w:rFonts w:cs="Segoe UI"/>
        </w:rPr>
        <w:t>the Australian Government</w:t>
      </w:r>
      <w:r w:rsidRPr="00D20132">
        <w:rPr>
          <w:rFonts w:cs="Segoe UI"/>
        </w:rPr>
        <w:t>:</w:t>
      </w:r>
    </w:p>
    <w:p w14:paraId="29198BE2" w14:textId="26B66439" w:rsidR="00E23E39" w:rsidRPr="00D20132" w:rsidRDefault="003A24C0" w:rsidP="00281153">
      <w:pPr>
        <w:pStyle w:val="ListParagraph"/>
        <w:numPr>
          <w:ilvl w:val="0"/>
          <w:numId w:val="27"/>
        </w:numPr>
        <w:rPr>
          <w:rFonts w:cs="Segoe UI"/>
        </w:rPr>
      </w:pPr>
      <w:r>
        <w:rPr>
          <w:rFonts w:cs="Segoe UI"/>
        </w:rPr>
        <w:t>d</w:t>
      </w:r>
      <w:r w:rsidR="00E23E39" w:rsidRPr="00D20132">
        <w:rPr>
          <w:rFonts w:cs="Segoe UI"/>
        </w:rPr>
        <w:t xml:space="preserve">evelop criteria for ongoing identification of therapeutic areas of </w:t>
      </w:r>
      <w:r w:rsidR="00E23E39">
        <w:rPr>
          <w:rFonts w:cs="Segoe UI"/>
        </w:rPr>
        <w:t>high unmet clinical need</w:t>
      </w:r>
      <w:r w:rsidR="00E23E39" w:rsidRPr="00D20132">
        <w:rPr>
          <w:rFonts w:cs="Segoe UI"/>
        </w:rPr>
        <w:t xml:space="preserve"> </w:t>
      </w:r>
      <w:r w:rsidR="00142120">
        <w:rPr>
          <w:rFonts w:cs="Segoe UI"/>
        </w:rPr>
        <w:t xml:space="preserve">(HUCN) </w:t>
      </w:r>
      <w:r w:rsidR="00E23E39" w:rsidRPr="00D20132">
        <w:rPr>
          <w:rFonts w:cs="Segoe UI"/>
        </w:rPr>
        <w:t xml:space="preserve">in partnership </w:t>
      </w:r>
      <w:r>
        <w:rPr>
          <w:rFonts w:cs="Segoe UI"/>
        </w:rPr>
        <w:t>with</w:t>
      </w:r>
      <w:r w:rsidRPr="00D20132">
        <w:rPr>
          <w:rFonts w:cs="Segoe UI"/>
        </w:rPr>
        <w:t xml:space="preserve"> </w:t>
      </w:r>
      <w:r w:rsidR="00E23E39" w:rsidRPr="00D20132">
        <w:rPr>
          <w:rFonts w:cs="Segoe UI"/>
        </w:rPr>
        <w:t xml:space="preserve">clinicians, industry, patients and </w:t>
      </w:r>
      <w:proofErr w:type="gramStart"/>
      <w:r w:rsidR="00E23E39" w:rsidRPr="00D20132">
        <w:rPr>
          <w:rFonts w:cs="Segoe UI"/>
        </w:rPr>
        <w:t>patient</w:t>
      </w:r>
      <w:proofErr w:type="gramEnd"/>
      <w:r>
        <w:rPr>
          <w:rFonts w:cs="Segoe UI"/>
        </w:rPr>
        <w:t xml:space="preserve"> and</w:t>
      </w:r>
      <w:r w:rsidR="00E23E39" w:rsidRPr="00D20132">
        <w:rPr>
          <w:rFonts w:cs="Segoe UI"/>
        </w:rPr>
        <w:t>/</w:t>
      </w:r>
      <w:r>
        <w:rPr>
          <w:rFonts w:cs="Segoe UI"/>
        </w:rPr>
        <w:t xml:space="preserve">or </w:t>
      </w:r>
      <w:r w:rsidR="00E23E39" w:rsidRPr="00D20132">
        <w:rPr>
          <w:rFonts w:cs="Segoe UI"/>
        </w:rPr>
        <w:t>community organisations</w:t>
      </w:r>
      <w:r>
        <w:rPr>
          <w:rFonts w:cs="Segoe UI"/>
        </w:rPr>
        <w:t xml:space="preserve"> to</w:t>
      </w:r>
      <w:r w:rsidR="00E23E39" w:rsidRPr="00D20132">
        <w:rPr>
          <w:rFonts w:cs="Segoe UI"/>
        </w:rPr>
        <w:t>:</w:t>
      </w:r>
    </w:p>
    <w:p w14:paraId="541827E1" w14:textId="4682D325" w:rsidR="00E23E39" w:rsidRPr="00D20132" w:rsidRDefault="00E23E39" w:rsidP="00281153">
      <w:pPr>
        <w:pStyle w:val="ListParagraph"/>
        <w:numPr>
          <w:ilvl w:val="1"/>
          <w:numId w:val="27"/>
        </w:numPr>
        <w:rPr>
          <w:rFonts w:cs="Segoe UI"/>
        </w:rPr>
      </w:pPr>
      <w:r w:rsidRPr="00D20132">
        <w:rPr>
          <w:rFonts w:cs="Segoe UI"/>
        </w:rPr>
        <w:t>inform further stakeholder dialogue, horizon scanning and related proactive pre-HTA activities that improve health literacy and health equity</w:t>
      </w:r>
    </w:p>
    <w:p w14:paraId="3DBEC738" w14:textId="17342C60" w:rsidR="00E23E39" w:rsidRPr="00D20132" w:rsidRDefault="00E23E39" w:rsidP="00281153">
      <w:pPr>
        <w:pStyle w:val="ListParagraph"/>
        <w:numPr>
          <w:ilvl w:val="1"/>
          <w:numId w:val="27"/>
        </w:numPr>
        <w:rPr>
          <w:rFonts w:cs="Segoe UI"/>
        </w:rPr>
      </w:pPr>
      <w:r w:rsidRPr="00D20132">
        <w:rPr>
          <w:rFonts w:cs="Segoe UI"/>
        </w:rPr>
        <w:t>provid</w:t>
      </w:r>
      <w:r w:rsidR="003A24C0">
        <w:rPr>
          <w:rFonts w:cs="Segoe UI"/>
        </w:rPr>
        <w:t>e</w:t>
      </w:r>
      <w:r w:rsidRPr="00D20132">
        <w:rPr>
          <w:rFonts w:cs="Segoe UI"/>
        </w:rPr>
        <w:t xml:space="preserve"> a mechanism to publicly signal the need for, and </w:t>
      </w:r>
      <w:r w:rsidR="00FA396E">
        <w:rPr>
          <w:rFonts w:cs="Segoe UI"/>
        </w:rPr>
        <w:t xml:space="preserve">gauge </w:t>
      </w:r>
      <w:r w:rsidRPr="00D20132">
        <w:rPr>
          <w:rFonts w:cs="Segoe UI"/>
        </w:rPr>
        <w:t>interest in, making available and subsidising certain health technologies t</w:t>
      </w:r>
      <w:r w:rsidR="003A24C0">
        <w:rPr>
          <w:rFonts w:cs="Segoe UI"/>
        </w:rPr>
        <w:t>hat</w:t>
      </w:r>
      <w:r w:rsidRPr="00D20132">
        <w:rPr>
          <w:rFonts w:cs="Segoe UI"/>
        </w:rPr>
        <w:t xml:space="preserve"> address specific therapeutic needs in the Australian healthcare context (such as First Nations and paediatric health), but are not available due to limited commercial and operational interest from sponsors</w:t>
      </w:r>
    </w:p>
    <w:p w14:paraId="5AED7912" w14:textId="479720D0" w:rsidR="00E23E39" w:rsidRPr="00D20132" w:rsidRDefault="003A24C0" w:rsidP="00281153">
      <w:pPr>
        <w:pStyle w:val="ListParagraph"/>
        <w:numPr>
          <w:ilvl w:val="0"/>
          <w:numId w:val="27"/>
        </w:numPr>
        <w:rPr>
          <w:rFonts w:cs="Segoe UI"/>
        </w:rPr>
      </w:pPr>
      <w:r>
        <w:rPr>
          <w:rFonts w:cs="Segoe UI"/>
        </w:rPr>
        <w:t>i</w:t>
      </w:r>
      <w:r w:rsidR="00E23E39" w:rsidRPr="00D20132">
        <w:rPr>
          <w:rFonts w:cs="Segoe UI"/>
        </w:rPr>
        <w:t>n developing and consulting on the criteria, have regard to:</w:t>
      </w:r>
    </w:p>
    <w:p w14:paraId="634A9D8D" w14:textId="76BA8420" w:rsidR="00E23E39" w:rsidRPr="00D20132" w:rsidRDefault="00E23E39" w:rsidP="00281153">
      <w:pPr>
        <w:pStyle w:val="ListParagraph"/>
        <w:numPr>
          <w:ilvl w:val="1"/>
          <w:numId w:val="27"/>
        </w:numPr>
        <w:rPr>
          <w:rFonts w:cs="Segoe UI"/>
        </w:rPr>
      </w:pPr>
      <w:r w:rsidRPr="00D20132">
        <w:rPr>
          <w:rFonts w:cs="Segoe UI"/>
        </w:rPr>
        <w:t xml:space="preserve">priorities developed through other </w:t>
      </w:r>
      <w:r w:rsidR="003A24C0">
        <w:rPr>
          <w:rFonts w:cs="Segoe UI"/>
        </w:rPr>
        <w:t>g</w:t>
      </w:r>
      <w:r w:rsidRPr="00D20132">
        <w:rPr>
          <w:rFonts w:cs="Segoe UI"/>
        </w:rPr>
        <w:t xml:space="preserve">overnment activities (such as, but not limited to, outreach activities supporting the </w:t>
      </w:r>
      <w:r w:rsidR="004A3B4C">
        <w:rPr>
          <w:rFonts w:cs="Segoe UI"/>
        </w:rPr>
        <w:t>Medical Research F</w:t>
      </w:r>
      <w:r w:rsidR="00AA5B5B">
        <w:rPr>
          <w:rFonts w:cs="Segoe UI"/>
        </w:rPr>
        <w:t>uture Fund</w:t>
      </w:r>
      <w:r w:rsidR="006530F7">
        <w:rPr>
          <w:rFonts w:cs="Segoe UI"/>
        </w:rPr>
        <w:t xml:space="preserve"> (MRFF)</w:t>
      </w:r>
      <w:r w:rsidR="00EC185E">
        <w:rPr>
          <w:rFonts w:cs="Segoe UI"/>
        </w:rPr>
        <w:t>)</w:t>
      </w:r>
      <w:r w:rsidR="00AA5B5B">
        <w:rPr>
          <w:rFonts w:cs="Segoe UI"/>
        </w:rPr>
        <w:t xml:space="preserve"> </w:t>
      </w:r>
    </w:p>
    <w:p w14:paraId="408B0749" w14:textId="61332575" w:rsidR="00E23E39" w:rsidRPr="00D20132" w:rsidRDefault="003A24C0" w:rsidP="00281153">
      <w:pPr>
        <w:pStyle w:val="ListParagraph"/>
        <w:numPr>
          <w:ilvl w:val="1"/>
          <w:numId w:val="27"/>
        </w:numPr>
        <w:rPr>
          <w:rFonts w:cs="Segoe UI"/>
        </w:rPr>
      </w:pPr>
      <w:r>
        <w:rPr>
          <w:rFonts w:cs="Segoe UI"/>
        </w:rPr>
        <w:lastRenderedPageBreak/>
        <w:t>a</w:t>
      </w:r>
      <w:r w:rsidR="004A3B4C">
        <w:rPr>
          <w:rFonts w:cs="Segoe UI"/>
        </w:rPr>
        <w:t xml:space="preserve">ntimicrobial resistance </w:t>
      </w:r>
      <w:r w:rsidR="00E23E39" w:rsidRPr="00D20132">
        <w:rPr>
          <w:rFonts w:cs="Segoe UI"/>
        </w:rPr>
        <w:t>surveillance information to identify emerging resistance to available treatments, and surveillance of vaccine preventable diseases</w:t>
      </w:r>
      <w:r w:rsidR="00FF0E5B">
        <w:rPr>
          <w:rFonts w:cs="Segoe UI"/>
        </w:rPr>
        <w:t>.</w:t>
      </w:r>
      <w:r w:rsidR="00E23E39" w:rsidRPr="00D20132">
        <w:rPr>
          <w:rFonts w:cs="Segoe UI"/>
        </w:rPr>
        <w:t xml:space="preserve"> </w:t>
      </w:r>
    </w:p>
    <w:p w14:paraId="30A345ED" w14:textId="33BAAF6B" w:rsidR="00E23E39" w:rsidRPr="00D20132" w:rsidRDefault="0012058D" w:rsidP="00281153">
      <w:pPr>
        <w:pStyle w:val="ListParagraph"/>
        <w:numPr>
          <w:ilvl w:val="0"/>
          <w:numId w:val="27"/>
        </w:numPr>
        <w:rPr>
          <w:rFonts w:cs="Segoe UI"/>
        </w:rPr>
      </w:pPr>
      <w:r>
        <w:rPr>
          <w:rFonts w:cs="Segoe UI"/>
        </w:rPr>
        <w:t>d</w:t>
      </w:r>
      <w:r w:rsidR="00E23E39" w:rsidRPr="00D20132">
        <w:rPr>
          <w:rFonts w:cs="Segoe UI"/>
        </w:rPr>
        <w:t xml:space="preserve">evelop agreed processes </w:t>
      </w:r>
      <w:r>
        <w:rPr>
          <w:rFonts w:cs="Segoe UI"/>
        </w:rPr>
        <w:t xml:space="preserve">that </w:t>
      </w:r>
      <w:r w:rsidR="00E23E39" w:rsidRPr="00D20132">
        <w:rPr>
          <w:rFonts w:cs="Segoe UI"/>
        </w:rPr>
        <w:t xml:space="preserve">support regular review </w:t>
      </w:r>
      <w:r w:rsidR="00FA396E">
        <w:rPr>
          <w:rFonts w:cs="Segoe UI"/>
        </w:rPr>
        <w:t xml:space="preserve">of </w:t>
      </w:r>
      <w:r w:rsidR="00E23E39" w:rsidRPr="00D20132">
        <w:rPr>
          <w:rFonts w:cs="Segoe UI"/>
        </w:rPr>
        <w:t xml:space="preserve">and updates to criteria and therapeutic areas </w:t>
      </w:r>
    </w:p>
    <w:p w14:paraId="02BE56BD" w14:textId="01151631" w:rsidR="00E23E39" w:rsidRPr="00D20132" w:rsidRDefault="0012058D" w:rsidP="00281153">
      <w:pPr>
        <w:pStyle w:val="ListParagraph"/>
        <w:numPr>
          <w:ilvl w:val="0"/>
          <w:numId w:val="27"/>
        </w:numPr>
        <w:rPr>
          <w:rFonts w:cs="Segoe UI"/>
        </w:rPr>
      </w:pPr>
      <w:r>
        <w:rPr>
          <w:rFonts w:cs="Segoe UI"/>
        </w:rPr>
        <w:t>s</w:t>
      </w:r>
      <w:r w:rsidR="00E23E39" w:rsidRPr="00D20132">
        <w:rPr>
          <w:rFonts w:cs="Segoe UI"/>
        </w:rPr>
        <w:t xml:space="preserve">upport a subset of the criteria being developed in partnership with </w:t>
      </w:r>
      <w:r w:rsidR="00C55E97">
        <w:rPr>
          <w:rFonts w:cs="Segoe UI"/>
        </w:rPr>
        <w:t xml:space="preserve">Aboriginal </w:t>
      </w:r>
      <w:r w:rsidR="00C55E97" w:rsidDel="0012058D">
        <w:rPr>
          <w:rFonts w:cs="Segoe UI"/>
        </w:rPr>
        <w:t xml:space="preserve">and Torres Strait Islander </w:t>
      </w:r>
      <w:r>
        <w:rPr>
          <w:rFonts w:cs="Segoe UI"/>
        </w:rPr>
        <w:t>C</w:t>
      </w:r>
      <w:r w:rsidR="00C55E97">
        <w:rPr>
          <w:rFonts w:cs="Segoe UI"/>
        </w:rPr>
        <w:t>ommunity</w:t>
      </w:r>
      <w:r>
        <w:rPr>
          <w:rFonts w:cs="Segoe UI"/>
        </w:rPr>
        <w:t xml:space="preserve"> C</w:t>
      </w:r>
      <w:r w:rsidR="00C55E97">
        <w:rPr>
          <w:rFonts w:cs="Segoe UI"/>
        </w:rPr>
        <w:t xml:space="preserve">ontrolled </w:t>
      </w:r>
      <w:r>
        <w:rPr>
          <w:rFonts w:cs="Segoe UI"/>
        </w:rPr>
        <w:t>H</w:t>
      </w:r>
      <w:r w:rsidR="00C55E97">
        <w:rPr>
          <w:rFonts w:cs="Segoe UI"/>
        </w:rPr>
        <w:t xml:space="preserve">ealth </w:t>
      </w:r>
      <w:r>
        <w:rPr>
          <w:rFonts w:cs="Segoe UI"/>
        </w:rPr>
        <w:t>S</w:t>
      </w:r>
      <w:r w:rsidR="00C55E97">
        <w:rPr>
          <w:rFonts w:cs="Segoe UI"/>
        </w:rPr>
        <w:t>ervices (</w:t>
      </w:r>
      <w:r w:rsidR="00E23E39" w:rsidRPr="00D20132">
        <w:rPr>
          <w:rFonts w:cs="Segoe UI"/>
        </w:rPr>
        <w:t>ACCHSs</w:t>
      </w:r>
      <w:r w:rsidR="00C55E97">
        <w:rPr>
          <w:rFonts w:cs="Segoe UI"/>
        </w:rPr>
        <w:t>)</w:t>
      </w:r>
      <w:r w:rsidR="00E23E39" w:rsidRPr="00D20132">
        <w:rPr>
          <w:rFonts w:cs="Segoe UI"/>
        </w:rPr>
        <w:t xml:space="preserve"> to identify priority areas of </w:t>
      </w:r>
      <w:r w:rsidR="00142120">
        <w:rPr>
          <w:rFonts w:cs="Segoe UI"/>
        </w:rPr>
        <w:t>HUCN</w:t>
      </w:r>
      <w:r w:rsidR="00E23E39" w:rsidRPr="00D20132">
        <w:rPr>
          <w:rFonts w:cs="Segoe UI"/>
        </w:rPr>
        <w:t xml:space="preserve"> for First Nations people, in line with the priority reforms under the </w:t>
      </w:r>
      <w:hyperlink r:id="rId32" w:history="1">
        <w:r w:rsidR="00E23E39" w:rsidRPr="00D20132">
          <w:rPr>
            <w:rStyle w:val="Hyperlink"/>
            <w:rFonts w:cs="Segoe UI"/>
          </w:rPr>
          <w:t xml:space="preserve">National </w:t>
        </w:r>
        <w:r w:rsidR="00062AC1">
          <w:rPr>
            <w:rStyle w:val="Hyperlink"/>
            <w:rFonts w:cs="Segoe UI"/>
          </w:rPr>
          <w:t xml:space="preserve">Agreement on </w:t>
        </w:r>
        <w:r w:rsidR="00E23E39" w:rsidRPr="00D20132">
          <w:rPr>
            <w:rStyle w:val="Hyperlink"/>
            <w:rFonts w:cs="Segoe UI"/>
          </w:rPr>
          <w:t>Closing the Gap</w:t>
        </w:r>
      </w:hyperlink>
      <w:r w:rsidR="00E23E39" w:rsidRPr="00D20132">
        <w:rPr>
          <w:rFonts w:cs="Segoe UI"/>
        </w:rPr>
        <w:t xml:space="preserve"> between all governments and the Coalition of Peaks. </w:t>
      </w:r>
    </w:p>
    <w:p w14:paraId="5B1248A1" w14:textId="2100FC77" w:rsidR="00E23E39" w:rsidRPr="00D20132" w:rsidRDefault="00E23E39" w:rsidP="00074B8A">
      <w:pPr>
        <w:pStyle w:val="Recommendation1"/>
      </w:pPr>
      <w:bookmarkStart w:id="695" w:name="_Hlk167302625"/>
      <w:r w:rsidRPr="00D20132">
        <w:t xml:space="preserve">Identifying therapies to address </w:t>
      </w:r>
      <w:r w:rsidR="00E90034">
        <w:t>t</w:t>
      </w:r>
      <w:r w:rsidR="00E90034" w:rsidRPr="00D20132">
        <w:t xml:space="preserve">herapeutic </w:t>
      </w:r>
      <w:r w:rsidR="00E90034">
        <w:t>a</w:t>
      </w:r>
      <w:r w:rsidR="00E90034" w:rsidRPr="00D20132">
        <w:t>reas</w:t>
      </w:r>
      <w:r w:rsidR="00E90034">
        <w:t xml:space="preserve"> of </w:t>
      </w:r>
      <w:r w:rsidR="007D6E91">
        <w:t>high unmet clinical need</w:t>
      </w:r>
      <w:r w:rsidRPr="00D20132">
        <w:t xml:space="preserve"> </w:t>
      </w:r>
      <w:bookmarkEnd w:id="695"/>
    </w:p>
    <w:p w14:paraId="3117CBCC" w14:textId="33CD99D0" w:rsidR="00E23E39" w:rsidRPr="00D20132" w:rsidRDefault="00E23E39" w:rsidP="0060524C">
      <w:pPr>
        <w:rPr>
          <w:rFonts w:cs="Segoe UI"/>
        </w:rPr>
      </w:pPr>
      <w:r w:rsidRPr="00405FD7">
        <w:rPr>
          <w:rFonts w:cs="Segoe UI"/>
        </w:rPr>
        <w:t xml:space="preserve">The Review recommends </w:t>
      </w:r>
      <w:r w:rsidR="00062AC1">
        <w:rPr>
          <w:rFonts w:cs="Segoe UI"/>
        </w:rPr>
        <w:t xml:space="preserve">that </w:t>
      </w:r>
      <w:r w:rsidRPr="00405FD7">
        <w:rPr>
          <w:rFonts w:cs="Segoe UI"/>
        </w:rPr>
        <w:t>the Australian Government</w:t>
      </w:r>
      <w:r w:rsidR="0060524C">
        <w:rPr>
          <w:rFonts w:cs="Segoe UI"/>
        </w:rPr>
        <w:t xml:space="preserve"> </w:t>
      </w:r>
      <w:r w:rsidR="00062AC1">
        <w:rPr>
          <w:rFonts w:cs="Segoe UI"/>
        </w:rPr>
        <w:t>d</w:t>
      </w:r>
      <w:r w:rsidRPr="00D20132">
        <w:rPr>
          <w:rFonts w:cs="Segoe UI"/>
        </w:rPr>
        <w:t xml:space="preserve">evelop a process consistent with the principles of horizon scanning (see </w:t>
      </w:r>
      <w:r w:rsidRPr="00F73B01">
        <w:rPr>
          <w:rFonts w:cs="Segoe UI"/>
        </w:rPr>
        <w:t xml:space="preserve">Chapter </w:t>
      </w:r>
      <w:r w:rsidR="00F00E48" w:rsidRPr="00F73B01">
        <w:rPr>
          <w:rFonts w:cs="Segoe UI"/>
        </w:rPr>
        <w:t>9</w:t>
      </w:r>
      <w:r w:rsidRPr="00F73B01">
        <w:rPr>
          <w:rFonts w:cs="Segoe UI"/>
        </w:rPr>
        <w:t>.2</w:t>
      </w:r>
      <w:r w:rsidRPr="00D20132">
        <w:rPr>
          <w:rFonts w:cs="Segoe UI"/>
        </w:rPr>
        <w:t>)</w:t>
      </w:r>
      <w:r w:rsidRPr="00D20132" w:rsidDel="00062AC1">
        <w:rPr>
          <w:rFonts w:cs="Segoe UI"/>
        </w:rPr>
        <w:t xml:space="preserve"> </w:t>
      </w:r>
      <w:r w:rsidRPr="00D20132">
        <w:rPr>
          <w:rFonts w:cs="Segoe UI"/>
        </w:rPr>
        <w:t xml:space="preserve">for identifying therapies with the potential to be </w:t>
      </w:r>
      <w:r>
        <w:rPr>
          <w:rFonts w:cs="Segoe UI"/>
        </w:rPr>
        <w:t>high added therapeutic value</w:t>
      </w:r>
      <w:r w:rsidRPr="00D20132">
        <w:rPr>
          <w:rFonts w:cs="Segoe UI"/>
        </w:rPr>
        <w:t xml:space="preserve"> for therapeutic areas</w:t>
      </w:r>
      <w:r>
        <w:rPr>
          <w:rFonts w:cs="Segoe UI"/>
        </w:rPr>
        <w:t xml:space="preserve"> of high unmet clinical need</w:t>
      </w:r>
      <w:r w:rsidR="00142120">
        <w:rPr>
          <w:rFonts w:cs="Segoe UI"/>
        </w:rPr>
        <w:t xml:space="preserve"> (HUCN)</w:t>
      </w:r>
      <w:r w:rsidRPr="00D20132">
        <w:rPr>
          <w:rFonts w:cs="Segoe UI"/>
        </w:rPr>
        <w:t>, including:</w:t>
      </w:r>
    </w:p>
    <w:p w14:paraId="78F22CBE" w14:textId="7B4B258E" w:rsidR="00E23E39" w:rsidRPr="00D20132" w:rsidRDefault="00E23E39" w:rsidP="0060524C">
      <w:pPr>
        <w:numPr>
          <w:ilvl w:val="0"/>
          <w:numId w:val="28"/>
        </w:numPr>
        <w:spacing w:after="0"/>
        <w:rPr>
          <w:rFonts w:cs="Segoe UI"/>
        </w:rPr>
      </w:pPr>
      <w:r w:rsidRPr="00D20132">
        <w:rPr>
          <w:rFonts w:cs="Segoe UI"/>
        </w:rPr>
        <w:t>new therapies that may not be available in Australia</w:t>
      </w:r>
    </w:p>
    <w:p w14:paraId="7DAB7AD8" w14:textId="542E6FDE" w:rsidR="00E23E39" w:rsidRPr="00D20132" w:rsidRDefault="00062AC1" w:rsidP="0060524C">
      <w:pPr>
        <w:numPr>
          <w:ilvl w:val="0"/>
          <w:numId w:val="28"/>
        </w:numPr>
        <w:spacing w:after="0"/>
        <w:rPr>
          <w:rFonts w:cs="Segoe UI"/>
        </w:rPr>
      </w:pPr>
      <w:r>
        <w:rPr>
          <w:rFonts w:cs="Segoe UI"/>
        </w:rPr>
        <w:t>e</w:t>
      </w:r>
      <w:r w:rsidR="00E23E39" w:rsidRPr="00D20132">
        <w:rPr>
          <w:rFonts w:cs="Segoe UI"/>
        </w:rPr>
        <w:t xml:space="preserve">xisting therapies </w:t>
      </w:r>
      <w:r>
        <w:rPr>
          <w:rFonts w:cs="Segoe UI"/>
        </w:rPr>
        <w:t>with</w:t>
      </w:r>
      <w:r w:rsidR="00E23E39" w:rsidRPr="00D20132">
        <w:rPr>
          <w:rFonts w:cs="Segoe UI"/>
        </w:rPr>
        <w:t xml:space="preserve"> initial evidence </w:t>
      </w:r>
      <w:r w:rsidR="00FA396E">
        <w:rPr>
          <w:rFonts w:cs="Segoe UI"/>
        </w:rPr>
        <w:t xml:space="preserve">that </w:t>
      </w:r>
      <w:r w:rsidR="00E23E39" w:rsidRPr="00D20132">
        <w:rPr>
          <w:rFonts w:cs="Segoe UI"/>
        </w:rPr>
        <w:t>they could be repurposed for new indications</w:t>
      </w:r>
    </w:p>
    <w:p w14:paraId="36949A32" w14:textId="1A50BB26" w:rsidR="00E23E39" w:rsidRPr="00D20132" w:rsidRDefault="00062AC1" w:rsidP="0060524C">
      <w:pPr>
        <w:numPr>
          <w:ilvl w:val="0"/>
          <w:numId w:val="28"/>
        </w:numPr>
        <w:spacing w:after="0"/>
        <w:rPr>
          <w:rFonts w:cs="Segoe UI"/>
        </w:rPr>
      </w:pPr>
      <w:r>
        <w:rPr>
          <w:rFonts w:cs="Segoe UI"/>
        </w:rPr>
        <w:t>e</w:t>
      </w:r>
      <w:r w:rsidR="00E23E39" w:rsidRPr="00D20132">
        <w:rPr>
          <w:rFonts w:cs="Segoe UI"/>
        </w:rPr>
        <w:t xml:space="preserve">xisting therapies </w:t>
      </w:r>
      <w:r>
        <w:rPr>
          <w:rFonts w:cs="Segoe UI"/>
        </w:rPr>
        <w:t>with</w:t>
      </w:r>
      <w:r w:rsidR="00E23E39" w:rsidRPr="00D20132">
        <w:rPr>
          <w:rFonts w:cs="Segoe UI"/>
        </w:rPr>
        <w:t xml:space="preserve"> initial evidence that changes to an existing restriction</w:t>
      </w:r>
      <w:r>
        <w:rPr>
          <w:rFonts w:cs="Segoe UI"/>
        </w:rPr>
        <w:t xml:space="preserve"> and</w:t>
      </w:r>
      <w:r w:rsidR="00E23E39" w:rsidRPr="00D20132">
        <w:rPr>
          <w:rFonts w:cs="Segoe UI"/>
        </w:rPr>
        <w:t>/</w:t>
      </w:r>
      <w:r>
        <w:rPr>
          <w:rFonts w:cs="Segoe UI"/>
        </w:rPr>
        <w:t xml:space="preserve">or </w:t>
      </w:r>
      <w:r w:rsidR="00E23E39" w:rsidRPr="00D20132">
        <w:rPr>
          <w:rFonts w:cs="Segoe UI"/>
        </w:rPr>
        <w:t xml:space="preserve">authority may address </w:t>
      </w:r>
      <w:r w:rsidR="00142120">
        <w:rPr>
          <w:rFonts w:cs="Segoe UI"/>
        </w:rPr>
        <w:t>HUCN</w:t>
      </w:r>
      <w:r w:rsidR="00E23E39" w:rsidRPr="00D20132">
        <w:rPr>
          <w:rFonts w:cs="Segoe UI"/>
        </w:rPr>
        <w:t xml:space="preserve"> and/or significant health inequity </w:t>
      </w:r>
    </w:p>
    <w:p w14:paraId="4E77C0D9" w14:textId="3E26A927" w:rsidR="00C6019C" w:rsidRDefault="00062AC1" w:rsidP="0060524C">
      <w:pPr>
        <w:pStyle w:val="ListParagraph"/>
        <w:numPr>
          <w:ilvl w:val="0"/>
          <w:numId w:val="28"/>
        </w:numPr>
        <w:spacing w:after="0"/>
        <w:rPr>
          <w:rFonts w:cs="Segoe UI"/>
        </w:rPr>
      </w:pPr>
      <w:r>
        <w:rPr>
          <w:rFonts w:cs="Segoe UI"/>
        </w:rPr>
        <w:t>i</w:t>
      </w:r>
      <w:r w:rsidR="00E23E39" w:rsidRPr="00D20132">
        <w:rPr>
          <w:rFonts w:cs="Segoe UI"/>
        </w:rPr>
        <w:t>ncludes in this process a mechanism for partner</w:t>
      </w:r>
      <w:r>
        <w:rPr>
          <w:rFonts w:cs="Segoe UI"/>
        </w:rPr>
        <w:t>ing</w:t>
      </w:r>
      <w:r w:rsidR="00E23E39" w:rsidRPr="00D20132">
        <w:rPr>
          <w:rFonts w:cs="Segoe UI"/>
        </w:rPr>
        <w:t xml:space="preserve"> with </w:t>
      </w:r>
      <w:r w:rsidR="00626C7E">
        <w:rPr>
          <w:rFonts w:cs="Segoe UI"/>
        </w:rPr>
        <w:t xml:space="preserve">Aboriginal </w:t>
      </w:r>
      <w:r w:rsidR="0012058D">
        <w:rPr>
          <w:rFonts w:cs="Segoe UI"/>
        </w:rPr>
        <w:t>C</w:t>
      </w:r>
      <w:r w:rsidR="00626C7E">
        <w:rPr>
          <w:rFonts w:cs="Segoe UI"/>
        </w:rPr>
        <w:t>ommunity</w:t>
      </w:r>
      <w:r w:rsidR="0012058D">
        <w:rPr>
          <w:rFonts w:cs="Segoe UI"/>
        </w:rPr>
        <w:t xml:space="preserve"> C</w:t>
      </w:r>
      <w:r w:rsidR="00626C7E">
        <w:rPr>
          <w:rFonts w:cs="Segoe UI"/>
        </w:rPr>
        <w:t xml:space="preserve">ontrolled </w:t>
      </w:r>
      <w:r w:rsidR="0012058D">
        <w:rPr>
          <w:rFonts w:cs="Segoe UI"/>
        </w:rPr>
        <w:t>H</w:t>
      </w:r>
      <w:r w:rsidR="00626C7E">
        <w:rPr>
          <w:rFonts w:cs="Segoe UI"/>
        </w:rPr>
        <w:t xml:space="preserve">ealth </w:t>
      </w:r>
      <w:r w:rsidR="0012058D">
        <w:rPr>
          <w:rFonts w:cs="Segoe UI"/>
        </w:rPr>
        <w:t>S</w:t>
      </w:r>
      <w:r w:rsidR="00626C7E">
        <w:rPr>
          <w:rFonts w:cs="Segoe UI"/>
        </w:rPr>
        <w:t>ervices (</w:t>
      </w:r>
      <w:r w:rsidR="00E23E39" w:rsidRPr="00D20132">
        <w:rPr>
          <w:rFonts w:cs="Segoe UI"/>
        </w:rPr>
        <w:t>ACCHSs</w:t>
      </w:r>
      <w:r w:rsidR="00626C7E">
        <w:rPr>
          <w:rFonts w:cs="Segoe UI"/>
        </w:rPr>
        <w:t>)</w:t>
      </w:r>
      <w:r w:rsidR="00E23E39" w:rsidRPr="00D20132">
        <w:rPr>
          <w:rFonts w:cs="Segoe UI"/>
        </w:rPr>
        <w:t xml:space="preserve"> to ensure First Nations population health outcomes and health equity are appropriately reflected. </w:t>
      </w:r>
    </w:p>
    <w:p w14:paraId="4FB77C2B" w14:textId="7677E5D5" w:rsidR="00E23E39" w:rsidRPr="00D20132" w:rsidRDefault="00E23E39" w:rsidP="00074B8A">
      <w:pPr>
        <w:pStyle w:val="Recommendation1"/>
      </w:pPr>
      <w:bookmarkStart w:id="696" w:name="_Ref164783637"/>
      <w:bookmarkStart w:id="697" w:name="_Hlk167302634"/>
      <w:r w:rsidRPr="00D20132">
        <w:t xml:space="preserve">Proactive pre-HTA processes supporting </w:t>
      </w:r>
      <w:r w:rsidR="00062AC1">
        <w:t xml:space="preserve">the </w:t>
      </w:r>
      <w:r w:rsidRPr="00D20132">
        <w:t xml:space="preserve">introduction of identified health technologies for </w:t>
      </w:r>
      <w:r>
        <w:t>high unmet clinical need</w:t>
      </w:r>
      <w:bookmarkEnd w:id="696"/>
    </w:p>
    <w:bookmarkEnd w:id="697"/>
    <w:p w14:paraId="4D236C5D" w14:textId="4E0E98BC" w:rsidR="00E23E39" w:rsidRPr="00D20132" w:rsidRDefault="00E23E39" w:rsidP="005F5549">
      <w:pPr>
        <w:rPr>
          <w:rFonts w:cs="Segoe UI"/>
        </w:rPr>
      </w:pPr>
      <w:r w:rsidRPr="00D20132">
        <w:rPr>
          <w:rFonts w:cs="Segoe UI"/>
        </w:rPr>
        <w:t xml:space="preserve">The </w:t>
      </w:r>
      <w:r w:rsidR="00134551">
        <w:rPr>
          <w:rFonts w:cs="Segoe UI"/>
        </w:rPr>
        <w:t>Review</w:t>
      </w:r>
      <w:r w:rsidRPr="00D20132">
        <w:rPr>
          <w:rFonts w:cs="Segoe UI"/>
        </w:rPr>
        <w:t xml:space="preserve"> recommends</w:t>
      </w:r>
      <w:r w:rsidR="00062AC1">
        <w:rPr>
          <w:rFonts w:cs="Segoe UI"/>
        </w:rPr>
        <w:t xml:space="preserve"> that</w:t>
      </w:r>
      <w:r w:rsidRPr="00D20132">
        <w:rPr>
          <w:rFonts w:cs="Segoe UI"/>
        </w:rPr>
        <w:t xml:space="preserve"> the Australian Government:</w:t>
      </w:r>
    </w:p>
    <w:p w14:paraId="63011775" w14:textId="78716882" w:rsidR="00E23E39" w:rsidRPr="00D20132" w:rsidRDefault="00062AC1" w:rsidP="00281153">
      <w:pPr>
        <w:pStyle w:val="ListParagraph"/>
        <w:numPr>
          <w:ilvl w:val="0"/>
          <w:numId w:val="124"/>
        </w:numPr>
        <w:spacing w:after="0"/>
        <w:rPr>
          <w:rFonts w:cs="Segoe UI"/>
        </w:rPr>
      </w:pPr>
      <w:r>
        <w:rPr>
          <w:rFonts w:cs="Segoe UI"/>
        </w:rPr>
        <w:t>e</w:t>
      </w:r>
      <w:r w:rsidR="00E23E39" w:rsidRPr="00D20132">
        <w:rPr>
          <w:rFonts w:cs="Segoe UI"/>
        </w:rPr>
        <w:t>stablish processes that facilitate proactive dialogue between stakeholders to support the timely development and lodgement of HTA submission</w:t>
      </w:r>
      <w:r>
        <w:rPr>
          <w:rFonts w:cs="Segoe UI"/>
        </w:rPr>
        <w:t>s</w:t>
      </w:r>
      <w:r w:rsidR="00E23E39" w:rsidRPr="00D20132">
        <w:rPr>
          <w:rFonts w:cs="Segoe UI"/>
        </w:rPr>
        <w:t xml:space="preserve"> for </w:t>
      </w:r>
      <w:r w:rsidR="00E23E39">
        <w:rPr>
          <w:rFonts w:cs="Segoe UI"/>
        </w:rPr>
        <w:t xml:space="preserve">health technologies </w:t>
      </w:r>
      <w:r w:rsidR="00E23E39" w:rsidRPr="00D20132">
        <w:rPr>
          <w:rFonts w:cs="Segoe UI"/>
        </w:rPr>
        <w:t xml:space="preserve">that meet the relevant eligibility criteria. </w:t>
      </w:r>
      <w:r w:rsidR="00E23E39">
        <w:rPr>
          <w:rFonts w:cs="Segoe UI"/>
        </w:rPr>
        <w:t xml:space="preserve">Health technologies discussed would be nominated in </w:t>
      </w:r>
      <w:r w:rsidR="00E23E39" w:rsidRPr="00D20132">
        <w:rPr>
          <w:rFonts w:cs="Segoe UI"/>
        </w:rPr>
        <w:t>consultation with clinician</w:t>
      </w:r>
      <w:r w:rsidR="00E23E39">
        <w:rPr>
          <w:rFonts w:cs="Segoe UI"/>
        </w:rPr>
        <w:t xml:space="preserve"> and consumer </w:t>
      </w:r>
      <w:r w:rsidR="00E23E39" w:rsidRPr="00D20132">
        <w:rPr>
          <w:rFonts w:cs="Segoe UI"/>
        </w:rPr>
        <w:t>stakeholders</w:t>
      </w:r>
      <w:r w:rsidR="00E23E39">
        <w:rPr>
          <w:rFonts w:cs="Segoe UI"/>
        </w:rPr>
        <w:t xml:space="preserve"> after</w:t>
      </w:r>
      <w:r>
        <w:rPr>
          <w:rFonts w:cs="Segoe UI"/>
        </w:rPr>
        <w:t xml:space="preserve"> being</w:t>
      </w:r>
      <w:r w:rsidR="00E23E39">
        <w:rPr>
          <w:rFonts w:cs="Segoe UI"/>
        </w:rPr>
        <w:t xml:space="preserve"> identifi</w:t>
      </w:r>
      <w:r>
        <w:rPr>
          <w:rFonts w:cs="Segoe UI"/>
        </w:rPr>
        <w:t>ed</w:t>
      </w:r>
      <w:r w:rsidR="00E23E39">
        <w:rPr>
          <w:rFonts w:cs="Segoe UI"/>
        </w:rPr>
        <w:t xml:space="preserve"> through </w:t>
      </w:r>
      <w:r w:rsidR="00E23E39" w:rsidRPr="00D20132">
        <w:rPr>
          <w:rFonts w:cs="Segoe UI"/>
        </w:rPr>
        <w:t xml:space="preserve">the horizon scanning process and </w:t>
      </w:r>
      <w:r>
        <w:rPr>
          <w:rFonts w:cs="Segoe UI"/>
        </w:rPr>
        <w:t xml:space="preserve">the </w:t>
      </w:r>
      <w:r w:rsidR="00E23E39" w:rsidRPr="00D20132">
        <w:rPr>
          <w:rFonts w:cs="Segoe UI"/>
        </w:rPr>
        <w:t>resulting outputs of the process</w:t>
      </w:r>
      <w:r>
        <w:rPr>
          <w:rFonts w:cs="Segoe UI"/>
        </w:rPr>
        <w:t xml:space="preserve"> (see</w:t>
      </w:r>
      <w:r w:rsidR="00E23E39" w:rsidRPr="003336C7">
        <w:rPr>
          <w:rFonts w:cs="Segoe UI"/>
        </w:rPr>
        <w:t xml:space="preserve"> </w:t>
      </w:r>
      <w:r>
        <w:rPr>
          <w:rFonts w:cs="Segoe UI"/>
        </w:rPr>
        <w:t>‘</w:t>
      </w:r>
      <w:r w:rsidR="003C2A70" w:rsidRPr="003336C7">
        <w:rPr>
          <w:rFonts w:cs="Segoe UI"/>
        </w:rPr>
        <w:fldChar w:fldCharType="begin" w:fldLock="1"/>
      </w:r>
      <w:r w:rsidR="003C2A70" w:rsidRPr="003336C7">
        <w:rPr>
          <w:rFonts w:cs="Segoe UI"/>
        </w:rPr>
        <w:instrText xml:space="preserve"> REF _Ref166783377 \r \h </w:instrText>
      </w:r>
      <w:r w:rsidR="003336C7">
        <w:rPr>
          <w:rFonts w:cs="Segoe UI"/>
        </w:rPr>
        <w:instrText xml:space="preserve"> \* MERGEFORMAT </w:instrText>
      </w:r>
      <w:r w:rsidR="003C2A70" w:rsidRPr="003336C7">
        <w:rPr>
          <w:rFonts w:cs="Segoe UI"/>
        </w:rPr>
      </w:r>
      <w:r w:rsidR="003C2A70" w:rsidRPr="003336C7">
        <w:rPr>
          <w:rFonts w:cs="Segoe UI"/>
        </w:rPr>
        <w:fldChar w:fldCharType="separate"/>
      </w:r>
      <w:r w:rsidR="003C2A70" w:rsidRPr="003336C7">
        <w:rPr>
          <w:rFonts w:cs="Segoe UI"/>
        </w:rPr>
        <w:t>Recommendation 44</w:t>
      </w:r>
      <w:r w:rsidR="003C2A70" w:rsidRPr="003336C7">
        <w:rPr>
          <w:rFonts w:cs="Segoe UI"/>
        </w:rPr>
        <w:fldChar w:fldCharType="end"/>
      </w:r>
      <w:r>
        <w:rPr>
          <w:rFonts w:cs="Segoe UI"/>
        </w:rPr>
        <w:t>.</w:t>
      </w:r>
      <w:r w:rsidR="0059561C" w:rsidRPr="00257470">
        <w:rPr>
          <w:rFonts w:cs="Segoe UI"/>
        </w:rPr>
        <w:t xml:space="preserve"> </w:t>
      </w:r>
      <w:r w:rsidR="00E23E39" w:rsidRPr="00B61FDC">
        <w:rPr>
          <w:rFonts w:cs="Segoe UI"/>
          <w:iCs/>
        </w:rPr>
        <w:t xml:space="preserve">Identifying </w:t>
      </w:r>
      <w:r w:rsidR="003336C7" w:rsidRPr="00B61FDC">
        <w:rPr>
          <w:rFonts w:cs="Segoe UI"/>
          <w:iCs/>
        </w:rPr>
        <w:t>therapeutic areas of</w:t>
      </w:r>
      <w:r w:rsidR="00E23E39" w:rsidRPr="00B61FDC">
        <w:rPr>
          <w:rFonts w:cs="Segoe UI"/>
          <w:iCs/>
        </w:rPr>
        <w:t xml:space="preserve"> high unmet clinical need</w:t>
      </w:r>
      <w:r>
        <w:rPr>
          <w:rFonts w:cs="Segoe UI"/>
          <w:iCs/>
        </w:rPr>
        <w:t>’</w:t>
      </w:r>
      <w:r w:rsidR="00E23E39" w:rsidRPr="00B61FDC">
        <w:rPr>
          <w:rFonts w:cs="Segoe UI"/>
          <w:iCs/>
        </w:rPr>
        <w:t>)</w:t>
      </w:r>
    </w:p>
    <w:p w14:paraId="3BEDBE05" w14:textId="254B522E" w:rsidR="00E23E39" w:rsidRPr="00D20132" w:rsidRDefault="00062AC1" w:rsidP="00281153">
      <w:pPr>
        <w:pStyle w:val="ListParagraph"/>
        <w:numPr>
          <w:ilvl w:val="0"/>
          <w:numId w:val="124"/>
        </w:numPr>
        <w:spacing w:after="0"/>
        <w:rPr>
          <w:rFonts w:cs="Segoe UI"/>
        </w:rPr>
      </w:pPr>
      <w:r>
        <w:rPr>
          <w:rFonts w:cs="Segoe UI"/>
        </w:rPr>
        <w:t>c</w:t>
      </w:r>
      <w:r w:rsidR="00E23E39" w:rsidRPr="00D20132">
        <w:rPr>
          <w:rFonts w:cs="Segoe UI"/>
        </w:rPr>
        <w:t>onsult on, develop and apply (as appropriate) incentives that will support the development and lodgement of HTA submission</w:t>
      </w:r>
      <w:r>
        <w:rPr>
          <w:rFonts w:cs="Segoe UI"/>
        </w:rPr>
        <w:t>s</w:t>
      </w:r>
      <w:r w:rsidR="00E23E39" w:rsidRPr="00D20132">
        <w:rPr>
          <w:rFonts w:cs="Segoe UI"/>
        </w:rPr>
        <w:t xml:space="preserve"> for these therapies, including (but not limited to):</w:t>
      </w:r>
    </w:p>
    <w:p w14:paraId="2A9F897A" w14:textId="5A07C074" w:rsidR="00E23E39" w:rsidRPr="00D20132" w:rsidRDefault="00E23E39" w:rsidP="00281153">
      <w:pPr>
        <w:numPr>
          <w:ilvl w:val="1"/>
          <w:numId w:val="124"/>
        </w:numPr>
        <w:spacing w:after="0"/>
        <w:rPr>
          <w:rFonts w:cs="Segoe UI"/>
        </w:rPr>
      </w:pPr>
      <w:r w:rsidRPr="00D20132">
        <w:rPr>
          <w:rFonts w:cs="Segoe UI"/>
        </w:rPr>
        <w:lastRenderedPageBreak/>
        <w:t>facilitated</w:t>
      </w:r>
      <w:r w:rsidR="00DB5EBC">
        <w:rPr>
          <w:rFonts w:cs="Segoe UI"/>
        </w:rPr>
        <w:t xml:space="preserve"> Population</w:t>
      </w:r>
      <w:r w:rsidR="00062AC1">
        <w:rPr>
          <w:rFonts w:cs="Segoe UI"/>
        </w:rPr>
        <w:t>,</w:t>
      </w:r>
      <w:r w:rsidR="00DB5EBC">
        <w:rPr>
          <w:rFonts w:cs="Segoe UI"/>
        </w:rPr>
        <w:t xml:space="preserve"> Intervention</w:t>
      </w:r>
      <w:r w:rsidR="00062AC1">
        <w:rPr>
          <w:rFonts w:cs="Segoe UI"/>
        </w:rPr>
        <w:t>,</w:t>
      </w:r>
      <w:r w:rsidR="00DB5EBC">
        <w:rPr>
          <w:rFonts w:cs="Segoe UI"/>
        </w:rPr>
        <w:t xml:space="preserve"> Comparator</w:t>
      </w:r>
      <w:r w:rsidR="00062AC1">
        <w:rPr>
          <w:rFonts w:cs="Segoe UI"/>
        </w:rPr>
        <w:t>, and</w:t>
      </w:r>
      <w:r w:rsidR="00DB5EBC">
        <w:rPr>
          <w:rFonts w:cs="Segoe UI"/>
        </w:rPr>
        <w:t xml:space="preserve"> Outcomes</w:t>
      </w:r>
      <w:r w:rsidR="008D62A9">
        <w:rPr>
          <w:rFonts w:cs="Segoe UI"/>
        </w:rPr>
        <w:t xml:space="preserve"> (PICO)</w:t>
      </w:r>
      <w:r w:rsidRPr="00D20132" w:rsidDel="00062AC1">
        <w:rPr>
          <w:rFonts w:cs="Segoe UI"/>
        </w:rPr>
        <w:t xml:space="preserve"> </w:t>
      </w:r>
      <w:r w:rsidRPr="00D20132">
        <w:rPr>
          <w:rFonts w:cs="Segoe UI"/>
        </w:rPr>
        <w:t>scoping and development</w:t>
      </w:r>
    </w:p>
    <w:p w14:paraId="4569E7FC" w14:textId="77777777" w:rsidR="00E23E39" w:rsidRPr="00D20132" w:rsidRDefault="00E23E39" w:rsidP="00281153">
      <w:pPr>
        <w:numPr>
          <w:ilvl w:val="1"/>
          <w:numId w:val="124"/>
        </w:numPr>
        <w:spacing w:after="0"/>
        <w:rPr>
          <w:rFonts w:cs="Segoe UI"/>
        </w:rPr>
      </w:pPr>
      <w:r w:rsidRPr="00D20132">
        <w:rPr>
          <w:rFonts w:cs="Segoe UI"/>
        </w:rPr>
        <w:t xml:space="preserve">fee waivers </w:t>
      </w:r>
    </w:p>
    <w:p w14:paraId="0AF58026" w14:textId="77777777" w:rsidR="00E23E39" w:rsidRPr="00D20132" w:rsidRDefault="00E23E39" w:rsidP="00281153">
      <w:pPr>
        <w:numPr>
          <w:ilvl w:val="1"/>
          <w:numId w:val="124"/>
        </w:numPr>
        <w:spacing w:after="0"/>
        <w:rPr>
          <w:rFonts w:cs="Segoe UI"/>
        </w:rPr>
      </w:pPr>
      <w:r w:rsidRPr="00D20132">
        <w:rPr>
          <w:rFonts w:cs="Segoe UI"/>
        </w:rPr>
        <w:t>case management support</w:t>
      </w:r>
    </w:p>
    <w:p w14:paraId="0741DDDE" w14:textId="436C713D" w:rsidR="00E23E39" w:rsidRPr="00D20132" w:rsidRDefault="00E23E39" w:rsidP="00281153">
      <w:pPr>
        <w:numPr>
          <w:ilvl w:val="1"/>
          <w:numId w:val="124"/>
        </w:numPr>
        <w:spacing w:after="0"/>
        <w:rPr>
          <w:rFonts w:cs="Segoe UI"/>
        </w:rPr>
      </w:pPr>
      <w:r w:rsidRPr="00D20132">
        <w:rPr>
          <w:rFonts w:cs="Segoe UI"/>
        </w:rPr>
        <w:t>prioritised pathway access (through proposed new proportiona</w:t>
      </w:r>
      <w:r w:rsidR="00FC3A1A">
        <w:rPr>
          <w:rFonts w:cs="Segoe UI"/>
        </w:rPr>
        <w:t>te</w:t>
      </w:r>
      <w:r w:rsidRPr="00D20132">
        <w:rPr>
          <w:rFonts w:cs="Segoe UI"/>
        </w:rPr>
        <w:t xml:space="preserve"> HTA pathways)</w:t>
      </w:r>
    </w:p>
    <w:p w14:paraId="04E939A3" w14:textId="4636CE76" w:rsidR="00E23E39" w:rsidRPr="00D20132" w:rsidRDefault="00E23E39" w:rsidP="00281153">
      <w:pPr>
        <w:numPr>
          <w:ilvl w:val="1"/>
          <w:numId w:val="124"/>
        </w:numPr>
        <w:spacing w:after="0"/>
        <w:rPr>
          <w:rFonts w:cs="Segoe UI"/>
        </w:rPr>
      </w:pPr>
      <w:r w:rsidRPr="00D20132">
        <w:rPr>
          <w:rFonts w:cs="Segoe UI"/>
        </w:rPr>
        <w:t xml:space="preserve">potential for access to bridging funding programs (subject to HTA </w:t>
      </w:r>
      <w:r w:rsidR="00C16518">
        <w:rPr>
          <w:rFonts w:cs="Segoe UI"/>
        </w:rPr>
        <w:t xml:space="preserve">advisory </w:t>
      </w:r>
      <w:r w:rsidRPr="00D20132">
        <w:rPr>
          <w:rFonts w:cs="Segoe UI"/>
        </w:rPr>
        <w:t>committee recommendation)</w:t>
      </w:r>
    </w:p>
    <w:p w14:paraId="0254C73C" w14:textId="76AEE079" w:rsidR="00E23E39" w:rsidRPr="00D20132" w:rsidRDefault="00E23E39" w:rsidP="008D62A9">
      <w:pPr>
        <w:numPr>
          <w:ilvl w:val="1"/>
          <w:numId w:val="124"/>
        </w:numPr>
        <w:spacing w:after="0"/>
        <w:rPr>
          <w:rFonts w:cs="Segoe UI"/>
        </w:rPr>
      </w:pPr>
      <w:r w:rsidRPr="00D20132">
        <w:rPr>
          <w:rFonts w:cs="Segoe UI"/>
        </w:rPr>
        <w:t>data exclusivity arrangements (where applicable)</w:t>
      </w:r>
      <w:r w:rsidR="008D62A9">
        <w:rPr>
          <w:rFonts w:cs="Segoe UI"/>
        </w:rPr>
        <w:t>.</w:t>
      </w:r>
    </w:p>
    <w:p w14:paraId="096BF1F0" w14:textId="3F9B6EF7" w:rsidR="00E23E39" w:rsidRPr="00D20132" w:rsidRDefault="00062AC1" w:rsidP="00170C72">
      <w:pPr>
        <w:pStyle w:val="ListParagraph"/>
        <w:numPr>
          <w:ilvl w:val="0"/>
          <w:numId w:val="124"/>
        </w:numPr>
        <w:spacing w:after="0"/>
        <w:rPr>
          <w:rFonts w:cs="Segoe UI"/>
        </w:rPr>
      </w:pPr>
      <w:r>
        <w:rPr>
          <w:rFonts w:cs="Segoe UI"/>
        </w:rPr>
        <w:t>e</w:t>
      </w:r>
      <w:r w:rsidR="00E23E39" w:rsidRPr="00D20132">
        <w:rPr>
          <w:rFonts w:cs="Segoe UI"/>
        </w:rPr>
        <w:t>stablish process protocols for sponsors with identified health technologies to:</w:t>
      </w:r>
    </w:p>
    <w:p w14:paraId="0D2D2CF4" w14:textId="4DF4EA96" w:rsidR="00E23E39" w:rsidRPr="00D20132" w:rsidRDefault="00E23E39" w:rsidP="00281153">
      <w:pPr>
        <w:pStyle w:val="ListParagraph"/>
        <w:numPr>
          <w:ilvl w:val="1"/>
          <w:numId w:val="124"/>
        </w:numPr>
        <w:spacing w:after="0"/>
        <w:rPr>
          <w:rFonts w:cs="Segoe UI"/>
        </w:rPr>
      </w:pPr>
      <w:r w:rsidRPr="00D20132">
        <w:rPr>
          <w:rFonts w:cs="Segoe UI"/>
        </w:rPr>
        <w:t>notify their intention to prepare submissions to the</w:t>
      </w:r>
      <w:r w:rsidR="00626915">
        <w:rPr>
          <w:rFonts w:cs="Segoe UI"/>
        </w:rPr>
        <w:t xml:space="preserve"> Pharmaceutical Benefits Advisory Committee</w:t>
      </w:r>
      <w:r w:rsidR="00693C31">
        <w:rPr>
          <w:rFonts w:cs="Segoe UI"/>
        </w:rPr>
        <w:t xml:space="preserve"> (PBAC)</w:t>
      </w:r>
      <w:r w:rsidRPr="00D20132">
        <w:rPr>
          <w:rFonts w:cs="Segoe UI"/>
        </w:rPr>
        <w:t xml:space="preserve"> </w:t>
      </w:r>
      <w:r w:rsidR="00626915" w:rsidDel="00062AC1">
        <w:rPr>
          <w:rFonts w:cs="Segoe UI"/>
        </w:rPr>
        <w:t>(</w:t>
      </w:r>
      <w:r w:rsidRPr="00D20132">
        <w:rPr>
          <w:rFonts w:cs="Segoe UI"/>
        </w:rPr>
        <w:t xml:space="preserve">and application to the </w:t>
      </w:r>
      <w:r w:rsidR="00F14D8F">
        <w:rPr>
          <w:rFonts w:cs="Segoe UI"/>
        </w:rPr>
        <w:t>Therapeutic Goods Administration</w:t>
      </w:r>
      <w:r w:rsidR="00693C31">
        <w:rPr>
          <w:rFonts w:cs="Segoe UI"/>
        </w:rPr>
        <w:t xml:space="preserve"> (TGA)</w:t>
      </w:r>
      <w:r w:rsidR="00062AC1">
        <w:rPr>
          <w:rFonts w:cs="Segoe UI"/>
        </w:rPr>
        <w:t>,</w:t>
      </w:r>
      <w:r w:rsidR="00F14D8F">
        <w:rPr>
          <w:rFonts w:cs="Segoe UI"/>
        </w:rPr>
        <w:t xml:space="preserve"> </w:t>
      </w:r>
      <w:r w:rsidRPr="00D20132">
        <w:rPr>
          <w:rFonts w:cs="Segoe UI"/>
        </w:rPr>
        <w:t>if applicable) within a predefined</w:t>
      </w:r>
      <w:r w:rsidRPr="00D20132" w:rsidDel="00062AC1">
        <w:rPr>
          <w:rFonts w:cs="Segoe UI"/>
        </w:rPr>
        <w:t xml:space="preserve"> </w:t>
      </w:r>
      <w:r w:rsidRPr="00D20132">
        <w:rPr>
          <w:rFonts w:cs="Segoe UI"/>
        </w:rPr>
        <w:t>period after official invitation by the Australian Government (to be determined in consultation with stakeholders)</w:t>
      </w:r>
    </w:p>
    <w:p w14:paraId="19224FEB" w14:textId="4A9FFDB8" w:rsidR="00E23E39" w:rsidRDefault="00E23E39" w:rsidP="00281153">
      <w:pPr>
        <w:pStyle w:val="ListParagraph"/>
        <w:numPr>
          <w:ilvl w:val="1"/>
          <w:numId w:val="124"/>
        </w:numPr>
        <w:spacing w:after="0"/>
        <w:rPr>
          <w:rFonts w:cs="Segoe UI"/>
        </w:rPr>
      </w:pPr>
      <w:r w:rsidRPr="00D20132">
        <w:rPr>
          <w:rFonts w:cs="Segoe UI"/>
        </w:rPr>
        <w:t xml:space="preserve">submit and publish project plans detailing the timing of key milestones supporting the preparation and lodgement of HTA submissions for the health </w:t>
      </w:r>
      <w:r w:rsidRPr="6CC68A72">
        <w:rPr>
          <w:rFonts w:cs="Segoe UI"/>
        </w:rPr>
        <w:t>technolog</w:t>
      </w:r>
      <w:r w:rsidR="079B8746" w:rsidRPr="6CC68A72">
        <w:rPr>
          <w:rFonts w:cs="Segoe UI"/>
        </w:rPr>
        <w:t>y</w:t>
      </w:r>
      <w:r w:rsidRPr="00D20132">
        <w:rPr>
          <w:rFonts w:cs="Segoe UI"/>
        </w:rPr>
        <w:t>(</w:t>
      </w:r>
      <w:bookmarkStart w:id="698" w:name="_Int_BlOzfHcq"/>
      <w:proofErr w:type="spellStart"/>
      <w:r w:rsidRPr="00D20132">
        <w:rPr>
          <w:rFonts w:cs="Segoe UI"/>
        </w:rPr>
        <w:t>ies</w:t>
      </w:r>
      <w:bookmarkEnd w:id="698"/>
      <w:proofErr w:type="spellEnd"/>
      <w:r w:rsidRPr="00D20132">
        <w:rPr>
          <w:rFonts w:cs="Segoe UI"/>
        </w:rPr>
        <w:t>)</w:t>
      </w:r>
      <w:r w:rsidR="00847577">
        <w:rPr>
          <w:rFonts w:cs="Segoe UI"/>
        </w:rPr>
        <w:t>.</w:t>
      </w:r>
    </w:p>
    <w:p w14:paraId="5460B94C" w14:textId="5A43F3CC" w:rsidR="00E23E39" w:rsidRPr="00332B7E" w:rsidRDefault="00062AC1" w:rsidP="00281153">
      <w:pPr>
        <w:pStyle w:val="ListParagraph"/>
        <w:numPr>
          <w:ilvl w:val="0"/>
          <w:numId w:val="124"/>
        </w:numPr>
        <w:spacing w:before="240" w:after="0" w:line="276" w:lineRule="auto"/>
        <w:rPr>
          <w:rFonts w:cs="Segoe UI"/>
          <w:i/>
          <w:iCs/>
        </w:rPr>
      </w:pPr>
      <w:r>
        <w:rPr>
          <w:rFonts w:cs="Segoe UI"/>
        </w:rPr>
        <w:t>i</w:t>
      </w:r>
      <w:r w:rsidR="00E23E39" w:rsidRPr="00332B7E">
        <w:rPr>
          <w:rFonts w:cs="Segoe UI"/>
        </w:rPr>
        <w:t xml:space="preserve">n cases </w:t>
      </w:r>
      <w:r w:rsidR="00E23E39" w:rsidRPr="0048026D">
        <w:rPr>
          <w:rFonts w:cs="Segoe UI"/>
        </w:rPr>
        <w:t>where market incentives do not attract submissions for therapies for high unmet clinical need</w:t>
      </w:r>
      <w:r w:rsidR="003D4950">
        <w:rPr>
          <w:rFonts w:cs="Segoe UI"/>
        </w:rPr>
        <w:t xml:space="preserve"> (HUCN)</w:t>
      </w:r>
      <w:r w:rsidR="00E23E39" w:rsidRPr="0048026D">
        <w:rPr>
          <w:rFonts w:cs="Segoe UI"/>
        </w:rPr>
        <w:t xml:space="preserve">, consult with </w:t>
      </w:r>
      <w:r w:rsidR="0048026D">
        <w:rPr>
          <w:rFonts w:cs="Segoe UI"/>
        </w:rPr>
        <w:t>stakeholders</w:t>
      </w:r>
      <w:r w:rsidR="00E23E39" w:rsidRPr="0048026D">
        <w:rPr>
          <w:rFonts w:cs="Segoe UI"/>
        </w:rPr>
        <w:t xml:space="preserve"> on potential mechanisms to support registration and access.</w:t>
      </w:r>
      <w:r w:rsidR="00E23E39" w:rsidRPr="00332B7E">
        <w:rPr>
          <w:rFonts w:cs="Segoe UI"/>
          <w:i/>
          <w:iCs/>
        </w:rPr>
        <w:br w:type="page"/>
      </w:r>
    </w:p>
    <w:p w14:paraId="1DB18422" w14:textId="56C4C4F5" w:rsidR="00E23E39" w:rsidRPr="0019054D" w:rsidRDefault="006C370B" w:rsidP="00F51C08">
      <w:pPr>
        <w:pStyle w:val="Heading2"/>
      </w:pPr>
      <w:bookmarkStart w:id="699" w:name="_Toc164685859"/>
      <w:bookmarkStart w:id="700" w:name="_Toc164691502"/>
      <w:bookmarkStart w:id="701" w:name="_Toc164696295"/>
      <w:bookmarkStart w:id="702" w:name="_Toc164696441"/>
      <w:bookmarkStart w:id="703" w:name="_Toc164767829"/>
      <w:bookmarkStart w:id="704" w:name="_Toc165473762"/>
      <w:bookmarkStart w:id="705" w:name="_Toc171935902"/>
      <w:r>
        <w:lastRenderedPageBreak/>
        <w:t xml:space="preserve">Chapter </w:t>
      </w:r>
      <w:r w:rsidR="00872D38" w:rsidRPr="0019054D">
        <w:t>9</w:t>
      </w:r>
      <w:r w:rsidR="00E23E39" w:rsidRPr="0019054D">
        <w:t>.2</w:t>
      </w:r>
      <w:r>
        <w:t>:</w:t>
      </w:r>
      <w:r w:rsidR="00E23E39" w:rsidRPr="0019054D">
        <w:t xml:space="preserve"> Horizon Scanning</w:t>
      </w:r>
      <w:bookmarkEnd w:id="699"/>
      <w:bookmarkEnd w:id="700"/>
      <w:bookmarkEnd w:id="701"/>
      <w:bookmarkEnd w:id="702"/>
      <w:bookmarkEnd w:id="703"/>
      <w:bookmarkEnd w:id="704"/>
      <w:bookmarkEnd w:id="705"/>
    </w:p>
    <w:p w14:paraId="600BFD31" w14:textId="4B3929F8" w:rsidR="001C061E" w:rsidRPr="00621C17" w:rsidRDefault="00B1572B" w:rsidP="00A318F7">
      <w:pPr>
        <w:pStyle w:val="Heading3"/>
      </w:pPr>
      <w:r>
        <w:t>Introduction and context</w:t>
      </w:r>
    </w:p>
    <w:p w14:paraId="735CEE5C" w14:textId="3D638CE1" w:rsidR="00E23E39" w:rsidRPr="00D20132" w:rsidRDefault="00E23E39" w:rsidP="00405FD7">
      <w:r w:rsidRPr="00F86FDE">
        <w:t>Horizon scanning</w:t>
      </w:r>
      <w:r w:rsidRPr="00F86FDE">
        <w:rPr>
          <w:rFonts w:eastAsia="Times New Roman"/>
          <w:sz w:val="20"/>
          <w:szCs w:val="20"/>
          <w:lang w:eastAsia="en-AU"/>
        </w:rPr>
        <w:t xml:space="preserve"> </w:t>
      </w:r>
      <w:r w:rsidRPr="00F86FDE">
        <w:t>in the healthcare context broadly describe</w:t>
      </w:r>
      <w:r w:rsidR="002E2B03">
        <w:t>s</w:t>
      </w:r>
      <w:r w:rsidRPr="00F86FDE">
        <w:t xml:space="preserve"> a process t</w:t>
      </w:r>
      <w:r w:rsidR="00FA396E">
        <w:t>hat</w:t>
      </w:r>
      <w:r w:rsidRPr="00F86FDE">
        <w:t xml:space="preserve"> help</w:t>
      </w:r>
      <w:r w:rsidR="00FA396E">
        <w:t>s</w:t>
      </w:r>
      <w:r w:rsidRPr="00F86FDE">
        <w:t xml:space="preserve"> different stakeholders be aware of the implications of technologies that will affect healthcare policy or delivery in some way</w:t>
      </w:r>
      <w:r w:rsidRPr="00D20132">
        <w:t xml:space="preserve">, and (where necessary) provide an evidence base to support the case for changes to the health system. </w:t>
      </w:r>
    </w:p>
    <w:p w14:paraId="4F313FB3" w14:textId="7BECBF15" w:rsidR="00E23E39" w:rsidRPr="00D20132" w:rsidRDefault="00E23E39" w:rsidP="00405FD7">
      <w:r w:rsidRPr="00F86FDE">
        <w:t>Australia does not perform any formal horizon scanning activities in health</w:t>
      </w:r>
      <w:r w:rsidR="002D33A5">
        <w:t xml:space="preserve"> </w:t>
      </w:r>
      <w:r w:rsidRPr="00F86FDE">
        <w:t xml:space="preserve">care at the national </w:t>
      </w:r>
      <w:proofErr w:type="gramStart"/>
      <w:r w:rsidRPr="00F86FDE">
        <w:t>level</w:t>
      </w:r>
      <w:r w:rsidR="002E2B03">
        <w:t>,</w:t>
      </w:r>
      <w:r w:rsidRPr="00F86FDE">
        <w:t xml:space="preserve"> and</w:t>
      </w:r>
      <w:proofErr w:type="gramEnd"/>
      <w:r w:rsidRPr="00F86FDE">
        <w:t xml:space="preserve"> does not fund horizon scanning arrangements.</w:t>
      </w:r>
      <w:r>
        <w:t xml:space="preserve"> Some </w:t>
      </w:r>
      <w:r w:rsidRPr="00D20132">
        <w:t xml:space="preserve">horizon scanning </w:t>
      </w:r>
      <w:r>
        <w:t xml:space="preserve">activities were historically sponsored </w:t>
      </w:r>
      <w:r w:rsidRPr="00D20132">
        <w:t xml:space="preserve">through the </w:t>
      </w:r>
      <w:bookmarkStart w:id="706" w:name="_Int_eVOrpi6T"/>
      <w:r w:rsidR="00EB0CEC" w:rsidRPr="00EB0CEC">
        <w:t>Health Policy Advisory Committee on Technology</w:t>
      </w:r>
      <w:r w:rsidR="00EB0CEC">
        <w:t xml:space="preserve"> (</w:t>
      </w:r>
      <w:r w:rsidRPr="00D20132">
        <w:t>HealthPACT</w:t>
      </w:r>
      <w:bookmarkEnd w:id="706"/>
      <w:r w:rsidR="00EB0CEC">
        <w:t>)</w:t>
      </w:r>
      <w:r w:rsidRPr="00D20132">
        <w:t xml:space="preserve"> and subsequent advisory committee arrangements. These arrangements reported to the Australian Health Ministers’ Advisory Council </w:t>
      </w:r>
      <w:r w:rsidR="006C3E0E">
        <w:t>before</w:t>
      </w:r>
      <w:r w:rsidRPr="00D20132">
        <w:t xml:space="preserve"> its dissolution in 2020. </w:t>
      </w:r>
    </w:p>
    <w:p w14:paraId="2F658EAB" w14:textId="446B9100" w:rsidR="00E23E39" w:rsidRPr="00D20132" w:rsidRDefault="00E23E39" w:rsidP="00405FD7">
      <w:r w:rsidRPr="00D20132">
        <w:t xml:space="preserve">During </w:t>
      </w:r>
      <w:r w:rsidRPr="000C5623">
        <w:t>The New Frontier</w:t>
      </w:r>
      <w:r>
        <w:t xml:space="preserve"> </w:t>
      </w:r>
      <w:r w:rsidR="00F33A9E">
        <w:t>i</w:t>
      </w:r>
      <w:r w:rsidR="00D61710">
        <w:t>nquiry</w:t>
      </w:r>
      <w:r w:rsidRPr="00D20132">
        <w:t xml:space="preserve">, </w:t>
      </w:r>
      <w:r w:rsidRPr="00F86FDE">
        <w:t>stakeholders expressed varying degrees of concern that Australia no longer has any formalised horizon scanning arrangements at the national level</w:t>
      </w:r>
      <w:r w:rsidRPr="00D20132">
        <w:t>. This contra</w:t>
      </w:r>
      <w:r>
        <w:t>s</w:t>
      </w:r>
      <w:r w:rsidRPr="00D20132">
        <w:t>t</w:t>
      </w:r>
      <w:r w:rsidR="0001036F">
        <w:t>s</w:t>
      </w:r>
      <w:r w:rsidRPr="00D20132">
        <w:t xml:space="preserve"> </w:t>
      </w:r>
      <w:r w:rsidR="0001036F">
        <w:t>with</w:t>
      </w:r>
      <w:r w:rsidRPr="00D20132">
        <w:t xml:space="preserve"> comparable health systems that either have localised nationally sponsored horizon scanning programs (e.g. CADTH and NIHRIO) and/or participate in cross-border horizon scanning collaborations (e.g. </w:t>
      </w:r>
      <w:r w:rsidR="00721764">
        <w:t>the</w:t>
      </w:r>
      <w:r w:rsidRPr="00D20132">
        <w:t xml:space="preserve"> International Horizon Scanning Initiative</w:t>
      </w:r>
      <w:r>
        <w:t>)</w:t>
      </w:r>
      <w:r w:rsidR="007948BD">
        <w:t>.</w:t>
      </w:r>
      <w:r w:rsidRPr="00D20132">
        <w:rPr>
          <w:rStyle w:val="FootnoteReference"/>
          <w:rFonts w:cs="Segoe UI"/>
        </w:rPr>
        <w:footnoteReference w:id="210"/>
      </w:r>
      <w:r w:rsidRPr="00D20132">
        <w:t xml:space="preserve"> </w:t>
      </w:r>
    </w:p>
    <w:p w14:paraId="661F0B63" w14:textId="6DA676F4" w:rsidR="00E23E39" w:rsidRDefault="007522FC" w:rsidP="00405FD7">
      <w:r>
        <w:t>It is</w:t>
      </w:r>
      <w:r w:rsidR="00E23E39" w:rsidRPr="00D20132">
        <w:t xml:space="preserve"> important to examine the prior experiences and current use of horizon scanning locally and in international contexts, to ensure </w:t>
      </w:r>
      <w:r w:rsidR="0001036F">
        <w:t xml:space="preserve">Australia’s </w:t>
      </w:r>
      <w:r w:rsidR="00E23E39" w:rsidRPr="00D20132">
        <w:t xml:space="preserve">HTA policy, processes and methods are well adapted, and capable of </w:t>
      </w:r>
      <w:r w:rsidR="00910899" w:rsidRPr="00D20132">
        <w:t>efficient</w:t>
      </w:r>
      <w:r w:rsidR="00910899">
        <w:t>ly</w:t>
      </w:r>
      <w:r w:rsidR="00910899" w:rsidRPr="00D20132">
        <w:t xml:space="preserve"> and effec</w:t>
      </w:r>
      <w:r w:rsidR="00910899">
        <w:t xml:space="preserve">tively </w:t>
      </w:r>
      <w:r w:rsidR="00E23E39" w:rsidRPr="00D20132">
        <w:t>assessing new and emerging health technologies.</w:t>
      </w:r>
      <w:r w:rsidR="00453069">
        <w:t xml:space="preserve"> </w:t>
      </w:r>
    </w:p>
    <w:p w14:paraId="46AC729B" w14:textId="2CEACE3E" w:rsidR="00E23E39" w:rsidRPr="00D20132" w:rsidRDefault="00C8074C" w:rsidP="00405FD7">
      <w:pPr>
        <w:rPr>
          <w:rFonts w:cs="Segoe UI"/>
        </w:rPr>
      </w:pPr>
      <w:r w:rsidRPr="00C8074C">
        <w:rPr>
          <w:rFonts w:cs="Segoe UI"/>
          <w:noProof/>
        </w:rPr>
        <mc:AlternateContent>
          <mc:Choice Requires="wps">
            <w:drawing>
              <wp:inline distT="0" distB="0" distL="0" distR="0" wp14:anchorId="1F0F6968" wp14:editId="312BE773">
                <wp:extent cx="5657850" cy="1955549"/>
                <wp:effectExtent l="0" t="0" r="19050" b="26035"/>
                <wp:docPr id="673" name="Text Box 6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1955549"/>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710E4894" w14:textId="6D611F25" w:rsidR="00C8074C" w:rsidRDefault="00C8074C" w:rsidP="00C8074C">
                            <w:pPr>
                              <w:pStyle w:val="Call-outbox"/>
                            </w:pPr>
                            <w:r>
                              <w:t xml:space="preserve">Why </w:t>
                            </w:r>
                            <w:r>
                              <w:t>this matters</w:t>
                            </w:r>
                          </w:p>
                          <w:p w14:paraId="3F61FCFC" w14:textId="2A13D16B" w:rsidR="00C8074C" w:rsidRPr="00C8074C" w:rsidRDefault="0001036F">
                            <w:pPr>
                              <w:rPr>
                                <w:rFonts w:cs="Segoe UI"/>
                              </w:rPr>
                            </w:pPr>
                            <w:r>
                              <w:rPr>
                                <w:rFonts w:cs="Segoe UI"/>
                              </w:rPr>
                              <w:t>Systematically c</w:t>
                            </w:r>
                            <w:r w:rsidR="00C8074C" w:rsidRPr="00935F97">
                              <w:rPr>
                                <w:rFonts w:cs="Segoe UI"/>
                              </w:rPr>
                              <w:t xml:space="preserve">ollecting, analysing and sharing information on health technologies </w:t>
                            </w:r>
                            <w:r>
                              <w:rPr>
                                <w:rFonts w:cs="Segoe UI"/>
                              </w:rPr>
                              <w:t>in</w:t>
                            </w:r>
                            <w:r w:rsidR="00C8074C" w:rsidRPr="00935F97">
                              <w:rPr>
                                <w:rFonts w:cs="Segoe UI"/>
                              </w:rPr>
                              <w:t xml:space="preserve"> the research pipeline and entering clinical practice will allow stakeholders to be better informed about the benefits, risks and operational implications of new health technologies</w:t>
                            </w:r>
                            <w:r>
                              <w:rPr>
                                <w:rFonts w:cs="Segoe UI"/>
                              </w:rPr>
                              <w:t>. It will also</w:t>
                            </w:r>
                            <w:r w:rsidR="00C8074C" w:rsidRPr="00935F97">
                              <w:rPr>
                                <w:rFonts w:cs="Segoe UI"/>
                              </w:rPr>
                              <w:t xml:space="preserve"> prompt earlier conversations about health systems planning to support the introduction of new health technologies.</w:t>
                            </w:r>
                          </w:p>
                        </w:txbxContent>
                      </wps:txbx>
                      <wps:bodyPr rot="0" vert="horz" wrap="square" lIns="91440" tIns="45720" rIns="91440" bIns="45720" anchor="t" anchorCtr="0">
                        <a:noAutofit/>
                      </wps:bodyPr>
                    </wps:wsp>
                  </a:graphicData>
                </a:graphic>
              </wp:inline>
            </w:drawing>
          </mc:Choice>
          <mc:Fallback>
            <w:pict>
              <v:roundrect w14:anchorId="1F0F6968" id="Text Box 673" o:spid="_x0000_s1051" style="width:445.5pt;height:154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" fillcolor="white [3201]" strokecolor="#acc02a [3208]" strokeweight="1pt">
                <v:stroke joinstyle="miter"/>
                <v:textbox>
                  <w:txbxContent>
                    <w:p w14:paraId="710E4894" w14:textId="6D611F25" w:rsidR="00C8074C" w:rsidRDefault="00C8074C" w:rsidP="00C8074C">
                      <w:pPr>
                        <w:pStyle w:val="Call-outbox"/>
                      </w:pPr>
                      <w:r>
                        <w:t>Why this matters</w:t>
                      </w:r>
                    </w:p>
                    <w:p w14:paraId="3F61FCFC" w14:textId="2A13D16B" w:rsidR="00C8074C" w:rsidRPr="00C8074C" w:rsidRDefault="0001036F">
                      <w:pPr>
                        <w:rPr>
                          <w:rFonts w:cs="Segoe UI"/>
                        </w:rPr>
                      </w:pPr>
                      <w:r>
                        <w:rPr>
                          <w:rFonts w:cs="Segoe UI"/>
                        </w:rPr>
                        <w:t>Systematically c</w:t>
                      </w:r>
                      <w:r w:rsidR="00C8074C" w:rsidRPr="00935F97">
                        <w:rPr>
                          <w:rFonts w:cs="Segoe UI"/>
                        </w:rPr>
                        <w:t xml:space="preserve">ollecting, analysing and sharing information on health technologies </w:t>
                      </w:r>
                      <w:r>
                        <w:rPr>
                          <w:rFonts w:cs="Segoe UI"/>
                        </w:rPr>
                        <w:t>in</w:t>
                      </w:r>
                      <w:r w:rsidR="00C8074C" w:rsidRPr="00935F97">
                        <w:rPr>
                          <w:rFonts w:cs="Segoe UI"/>
                        </w:rPr>
                        <w:t xml:space="preserve"> the research pipeline and entering clinical practice will allow stakeholders to be better informed about the benefits, risks and operational implications of new health technologies</w:t>
                      </w:r>
                      <w:r>
                        <w:rPr>
                          <w:rFonts w:cs="Segoe UI"/>
                        </w:rPr>
                        <w:t>. It will also</w:t>
                      </w:r>
                      <w:r w:rsidR="00C8074C" w:rsidRPr="00935F97">
                        <w:rPr>
                          <w:rFonts w:cs="Segoe UI"/>
                        </w:rPr>
                        <w:t xml:space="preserve"> prompt earlier conversations about health systems planning to support the introduction of new health technologies.</w:t>
                      </w:r>
                    </w:p>
                  </w:txbxContent>
                </v:textbox>
                <w10:anchorlock/>
              </v:roundrect>
            </w:pict>
          </mc:Fallback>
        </mc:AlternateContent>
      </w:r>
    </w:p>
    <w:p w14:paraId="60B56DA9" w14:textId="587E19CD" w:rsidR="00E23E39" w:rsidRPr="0019054D" w:rsidRDefault="00B1572B" w:rsidP="00A318F7">
      <w:pPr>
        <w:pStyle w:val="Heading3"/>
      </w:pPr>
      <w:r>
        <w:lastRenderedPageBreak/>
        <w:t>Findings</w:t>
      </w:r>
    </w:p>
    <w:p w14:paraId="2B3CE5EE" w14:textId="262E5332" w:rsidR="00E23E39" w:rsidRPr="00D20132" w:rsidRDefault="00E23E39" w:rsidP="00405FD7">
      <w:pPr>
        <w:rPr>
          <w:rFonts w:cs="Segoe UI"/>
        </w:rPr>
      </w:pPr>
      <w:r w:rsidRPr="00D20132">
        <w:rPr>
          <w:rFonts w:cs="Segoe UI"/>
        </w:rPr>
        <w:t xml:space="preserve">Stakeholder reflections on the </w:t>
      </w:r>
      <w:r w:rsidRPr="00F86FDE">
        <w:rPr>
          <w:rFonts w:cs="Segoe UI"/>
        </w:rPr>
        <w:t>purpose of horizon scanning</w:t>
      </w:r>
      <w:r w:rsidRPr="00D20132">
        <w:rPr>
          <w:rFonts w:cs="Segoe UI"/>
        </w:rPr>
        <w:t xml:space="preserve"> </w:t>
      </w:r>
      <w:r>
        <w:rPr>
          <w:rFonts w:cs="Segoe UI"/>
        </w:rPr>
        <w:t>can</w:t>
      </w:r>
      <w:r w:rsidRPr="00D20132">
        <w:rPr>
          <w:rFonts w:cs="Segoe UI"/>
        </w:rPr>
        <w:t xml:space="preserve"> be grouped broadly into one or more areas: </w:t>
      </w:r>
    </w:p>
    <w:p w14:paraId="5A4DA6C3" w14:textId="6FE1CE21" w:rsidR="00E23E39" w:rsidRPr="00F86FDE" w:rsidRDefault="00E23E39" w:rsidP="00281153">
      <w:pPr>
        <w:pStyle w:val="ListBullet"/>
        <w:numPr>
          <w:ilvl w:val="0"/>
          <w:numId w:val="88"/>
        </w:numPr>
      </w:pPr>
      <w:r w:rsidRPr="00F86FDE">
        <w:t xml:space="preserve">identifying future products and technologies in therapeutic areas </w:t>
      </w:r>
    </w:p>
    <w:p w14:paraId="700375BB" w14:textId="50F13347" w:rsidR="00E23E39" w:rsidRPr="00F86FDE" w:rsidRDefault="00E23E39" w:rsidP="00281153">
      <w:pPr>
        <w:pStyle w:val="ListBullet"/>
        <w:numPr>
          <w:ilvl w:val="0"/>
          <w:numId w:val="88"/>
        </w:numPr>
      </w:pPr>
      <w:r w:rsidRPr="00F86FDE">
        <w:t xml:space="preserve">gathering patient insights </w:t>
      </w:r>
      <w:r w:rsidR="00A13AFB">
        <w:t>about</w:t>
      </w:r>
      <w:r w:rsidRPr="00F86FDE">
        <w:t xml:space="preserve"> health technologies of interest</w:t>
      </w:r>
    </w:p>
    <w:p w14:paraId="4FC8808B" w14:textId="2EA552B2" w:rsidR="00E23E39" w:rsidRPr="00F86FDE" w:rsidRDefault="00E23E39" w:rsidP="00281153">
      <w:pPr>
        <w:pStyle w:val="ListBullet"/>
        <w:numPr>
          <w:ilvl w:val="0"/>
          <w:numId w:val="88"/>
        </w:numPr>
      </w:pPr>
      <w:r w:rsidRPr="00F86FDE">
        <w:t>identifying gaps in knowledge and data relevant to a given health technology</w:t>
      </w:r>
    </w:p>
    <w:p w14:paraId="59F826D7" w14:textId="5A3A7603" w:rsidR="00E23E39" w:rsidRPr="00F86FDE" w:rsidRDefault="00E23E39" w:rsidP="00281153">
      <w:pPr>
        <w:pStyle w:val="ListBullet"/>
        <w:numPr>
          <w:ilvl w:val="0"/>
          <w:numId w:val="88"/>
        </w:numPr>
      </w:pPr>
      <w:r w:rsidRPr="00F86FDE">
        <w:t>informing assessment pathways (and necessary flexibility</w:t>
      </w:r>
      <w:r w:rsidR="00AB70E2">
        <w:t xml:space="preserve"> and</w:t>
      </w:r>
      <w:r w:rsidRPr="00F86FDE">
        <w:t>/</w:t>
      </w:r>
      <w:r w:rsidR="00AB70E2">
        <w:t xml:space="preserve">or </w:t>
      </w:r>
      <w:r w:rsidRPr="00F86FDE">
        <w:t>modifications) relevant to future health products</w:t>
      </w:r>
      <w:r w:rsidR="00AB70E2">
        <w:t xml:space="preserve"> and </w:t>
      </w:r>
      <w:r w:rsidRPr="00F86FDE">
        <w:t>technologies (especially for cell</w:t>
      </w:r>
      <w:r w:rsidR="00AB70E2">
        <w:t xml:space="preserve"> and </w:t>
      </w:r>
      <w:r w:rsidRPr="00F86FDE">
        <w:t>gene therapies)</w:t>
      </w:r>
    </w:p>
    <w:p w14:paraId="1FF6F7D9" w14:textId="3A0694F6" w:rsidR="00E23E39" w:rsidRPr="00F86FDE" w:rsidRDefault="00E23E39" w:rsidP="00281153">
      <w:pPr>
        <w:pStyle w:val="ListBullet"/>
        <w:numPr>
          <w:ilvl w:val="0"/>
          <w:numId w:val="88"/>
        </w:numPr>
      </w:pPr>
      <w:r w:rsidRPr="00F86FDE">
        <w:t xml:space="preserve">informing </w:t>
      </w:r>
      <w:r w:rsidR="00AB70E2">
        <w:t xml:space="preserve">decisions about </w:t>
      </w:r>
      <w:r w:rsidRPr="00F86FDE">
        <w:t>health system resourcing and preparedness to support the introduction</w:t>
      </w:r>
      <w:r w:rsidR="00AB70E2">
        <w:t xml:space="preserve"> or </w:t>
      </w:r>
      <w:r w:rsidRPr="00F86FDE">
        <w:t>adoption of new health technologies</w:t>
      </w:r>
      <w:r w:rsidR="00AB70E2">
        <w:t>.</w:t>
      </w:r>
      <w:r w:rsidRPr="00B61FDC">
        <w:rPr>
          <w:rStyle w:val="FootnoteReference"/>
        </w:rPr>
        <w:footnoteReference w:id="211"/>
      </w:r>
    </w:p>
    <w:p w14:paraId="608F0F54" w14:textId="0FCE2A8F" w:rsidR="00E23E39" w:rsidRPr="00D20132" w:rsidRDefault="00E23E39" w:rsidP="00405FD7">
      <w:pPr>
        <w:rPr>
          <w:rFonts w:cs="Segoe UI"/>
        </w:rPr>
      </w:pPr>
      <w:r w:rsidRPr="00D20132">
        <w:rPr>
          <w:rFonts w:cs="Segoe UI"/>
        </w:rPr>
        <w:t xml:space="preserve">Similarly, the stated purposes of horizon scanning arrangements conducted by comparable overseas HTA agencies were broadly </w:t>
      </w:r>
      <w:r w:rsidR="00A13AFB">
        <w:rPr>
          <w:rFonts w:cs="Segoe UI"/>
        </w:rPr>
        <w:t>grouped</w:t>
      </w:r>
      <w:r w:rsidR="00A13AFB" w:rsidRPr="00D20132">
        <w:rPr>
          <w:rFonts w:cs="Segoe UI"/>
        </w:rPr>
        <w:t xml:space="preserve"> </w:t>
      </w:r>
      <w:r w:rsidRPr="00D20132">
        <w:rPr>
          <w:rFonts w:cs="Segoe UI"/>
        </w:rPr>
        <w:t>into the following areas</w:t>
      </w:r>
      <w:bookmarkStart w:id="707" w:name="_Ref165583364"/>
      <w:r w:rsidR="00A13AFB">
        <w:rPr>
          <w:rFonts w:cs="Segoe UI"/>
        </w:rPr>
        <w:t>:</w:t>
      </w:r>
      <w:r w:rsidRPr="00D20132">
        <w:rPr>
          <w:rStyle w:val="FootnoteReference"/>
          <w:rFonts w:cs="Segoe UI"/>
        </w:rPr>
        <w:footnoteReference w:id="212"/>
      </w:r>
      <w:bookmarkEnd w:id="707"/>
      <w:r w:rsidRPr="00D20132">
        <w:rPr>
          <w:rFonts w:cs="Segoe UI"/>
        </w:rPr>
        <w:t xml:space="preserve"> </w:t>
      </w:r>
    </w:p>
    <w:p w14:paraId="6B4BFF00" w14:textId="50D1AFEE" w:rsidR="00E23E39" w:rsidRPr="00F86FDE" w:rsidRDefault="00E23E39" w:rsidP="00281153">
      <w:pPr>
        <w:pStyle w:val="ListBullet"/>
        <w:numPr>
          <w:ilvl w:val="0"/>
          <w:numId w:val="89"/>
        </w:numPr>
      </w:pPr>
      <w:r w:rsidRPr="00F86FDE">
        <w:t>identif</w:t>
      </w:r>
      <w:r w:rsidR="00A13AFB">
        <w:t>ying</w:t>
      </w:r>
      <w:r w:rsidRPr="00F86FDE">
        <w:t xml:space="preserve"> pricing for health technologies to inform reimbursement decisions or negotiations</w:t>
      </w:r>
    </w:p>
    <w:p w14:paraId="5D829C02" w14:textId="17571C8C" w:rsidR="00E23E39" w:rsidRPr="00F86FDE" w:rsidRDefault="00E23E39" w:rsidP="00281153">
      <w:pPr>
        <w:pStyle w:val="ListBullet"/>
        <w:numPr>
          <w:ilvl w:val="0"/>
          <w:numId w:val="89"/>
        </w:numPr>
      </w:pPr>
      <w:r w:rsidRPr="00F86FDE">
        <w:t>assisting funders and suppliers to determine appropriate assessment pathways for health technologies</w:t>
      </w:r>
    </w:p>
    <w:p w14:paraId="76A7E00D" w14:textId="03EEED98" w:rsidR="00E23E39" w:rsidRPr="00F86FDE" w:rsidRDefault="00E23E39" w:rsidP="00281153">
      <w:pPr>
        <w:pStyle w:val="ListBullet"/>
        <w:numPr>
          <w:ilvl w:val="0"/>
          <w:numId w:val="89"/>
        </w:numPr>
      </w:pPr>
      <w:r w:rsidRPr="00F86FDE">
        <w:t>directing regional health service planning</w:t>
      </w:r>
    </w:p>
    <w:p w14:paraId="214B3F12" w14:textId="77777777" w:rsidR="00E23E39" w:rsidRPr="00F86FDE" w:rsidRDefault="00E23E39" w:rsidP="00281153">
      <w:pPr>
        <w:pStyle w:val="ListBullet"/>
        <w:numPr>
          <w:ilvl w:val="0"/>
          <w:numId w:val="89"/>
        </w:numPr>
      </w:pPr>
      <w:r w:rsidRPr="00F86FDE">
        <w:t xml:space="preserve">providing advance notification about health technologies to health service policy bodies. </w:t>
      </w:r>
    </w:p>
    <w:p w14:paraId="5EBF6230" w14:textId="73435EC7" w:rsidR="00E23E39" w:rsidRPr="00D20132" w:rsidRDefault="00E23E39" w:rsidP="00405FD7">
      <w:pPr>
        <w:rPr>
          <w:rFonts w:cs="Segoe UI"/>
        </w:rPr>
      </w:pPr>
      <w:r w:rsidRPr="00D20132">
        <w:rPr>
          <w:rFonts w:cs="Segoe UI"/>
        </w:rPr>
        <w:t xml:space="preserve">Additionally, for most agencies, horizon scanning generally followed a process of: </w:t>
      </w:r>
    </w:p>
    <w:p w14:paraId="6F26C4AB" w14:textId="50E93364" w:rsidR="00E23E39" w:rsidRPr="00D20132" w:rsidRDefault="00A13AFB" w:rsidP="00281153">
      <w:pPr>
        <w:pStyle w:val="ListBullet"/>
        <w:numPr>
          <w:ilvl w:val="0"/>
          <w:numId w:val="90"/>
        </w:numPr>
      </w:pPr>
      <w:r>
        <w:t xml:space="preserve">identifying </w:t>
      </w:r>
      <w:r w:rsidR="00E23E39" w:rsidRPr="7AF5050B">
        <w:t>topic</w:t>
      </w:r>
      <w:r>
        <w:t>s</w:t>
      </w:r>
    </w:p>
    <w:p w14:paraId="3D53D047" w14:textId="2D1D6EE5" w:rsidR="00E23E39" w:rsidRPr="00D20132" w:rsidRDefault="00E23E39" w:rsidP="00281153">
      <w:pPr>
        <w:pStyle w:val="ListBullet"/>
        <w:numPr>
          <w:ilvl w:val="0"/>
          <w:numId w:val="90"/>
        </w:numPr>
      </w:pPr>
      <w:r w:rsidRPr="7AF5050B">
        <w:t>filt</w:t>
      </w:r>
      <w:r w:rsidR="00A13AFB">
        <w:t>ering</w:t>
      </w:r>
      <w:r w:rsidRPr="7AF5050B">
        <w:t xml:space="preserve"> topics</w:t>
      </w:r>
    </w:p>
    <w:p w14:paraId="536A0CE2" w14:textId="34655BC2" w:rsidR="00E23E39" w:rsidRPr="00D20132" w:rsidRDefault="00E23E39" w:rsidP="00281153">
      <w:pPr>
        <w:pStyle w:val="ListBullet"/>
        <w:numPr>
          <w:ilvl w:val="0"/>
          <w:numId w:val="90"/>
        </w:numPr>
      </w:pPr>
      <w:r w:rsidRPr="7AF5050B">
        <w:t>selecti</w:t>
      </w:r>
      <w:r w:rsidR="00A13AFB">
        <w:t>ng</w:t>
      </w:r>
      <w:r w:rsidRPr="7AF5050B">
        <w:t xml:space="preserve"> (prioritis</w:t>
      </w:r>
      <w:r w:rsidR="00A13AFB">
        <w:t>ing</w:t>
      </w:r>
      <w:r w:rsidRPr="7AF5050B">
        <w:t>)</w:t>
      </w:r>
      <w:r w:rsidR="00A13AFB">
        <w:t xml:space="preserve"> topics</w:t>
      </w:r>
      <w:r w:rsidRPr="7AF5050B">
        <w:t xml:space="preserve"> for further attention. </w:t>
      </w:r>
    </w:p>
    <w:p w14:paraId="267D12D2" w14:textId="306A713C" w:rsidR="00E23E39" w:rsidRDefault="00E23E39" w:rsidP="00405FD7">
      <w:pPr>
        <w:rPr>
          <w:rFonts w:cs="Segoe UI"/>
        </w:rPr>
      </w:pPr>
      <w:r w:rsidRPr="00D20132">
        <w:rPr>
          <w:rFonts w:cs="Segoe UI"/>
        </w:rPr>
        <w:t>Stakeholder responses to proposed options for reintroduc</w:t>
      </w:r>
      <w:r w:rsidR="00960BA2">
        <w:rPr>
          <w:rFonts w:cs="Segoe UI"/>
        </w:rPr>
        <w:t>ing</w:t>
      </w:r>
      <w:r>
        <w:rPr>
          <w:rFonts w:cs="Segoe UI"/>
        </w:rPr>
        <w:t xml:space="preserve"> horizon scanning</w:t>
      </w:r>
      <w:r w:rsidRPr="00D20132">
        <w:rPr>
          <w:rFonts w:cs="Segoe UI"/>
        </w:rPr>
        <w:t xml:space="preserve"> and increasing horizon scanning capacity and capability in Australia were mostly positive </w:t>
      </w:r>
      <w:r w:rsidR="00E50663">
        <w:rPr>
          <w:rFonts w:cs="Segoe UI"/>
        </w:rPr>
        <w:t>about</w:t>
      </w:r>
      <w:r w:rsidRPr="00D20132">
        <w:rPr>
          <w:rFonts w:cs="Segoe UI"/>
        </w:rPr>
        <w:t xml:space="preserve"> intent and purpose (i.e. supporting better visibility of health technology development for more proactive HTA evaluation and health system planning, and to improve health literacy about products in development). </w:t>
      </w:r>
      <w:r>
        <w:rPr>
          <w:rFonts w:cs="Segoe UI"/>
        </w:rPr>
        <w:t xml:space="preserve">These stakeholders also noted the </w:t>
      </w:r>
      <w:r w:rsidRPr="00F86FDE">
        <w:rPr>
          <w:rFonts w:cs="Segoe UI"/>
        </w:rPr>
        <w:t>importance and necessity of proper resourcing of a new horizon scanning program to achieve intended outcomes</w:t>
      </w:r>
      <w:r w:rsidR="00960BA2">
        <w:rPr>
          <w:rFonts w:cs="Segoe UI"/>
        </w:rPr>
        <w:t>,</w:t>
      </w:r>
      <w:r w:rsidRPr="00F86FDE">
        <w:rPr>
          <w:rFonts w:cs="Segoe UI"/>
        </w:rPr>
        <w:t xml:space="preserve"> given the resource-intensi</w:t>
      </w:r>
      <w:r w:rsidR="00960BA2">
        <w:rPr>
          <w:rFonts w:cs="Segoe UI"/>
        </w:rPr>
        <w:t>ty</w:t>
      </w:r>
      <w:r w:rsidRPr="00F86FDE">
        <w:rPr>
          <w:rFonts w:cs="Segoe UI"/>
        </w:rPr>
        <w:t xml:space="preserve"> of a well-designed </w:t>
      </w:r>
      <w:r w:rsidRPr="00F86FDE">
        <w:rPr>
          <w:rFonts w:cs="Segoe UI"/>
        </w:rPr>
        <w:lastRenderedPageBreak/>
        <w:t>process</w:t>
      </w:r>
      <w:r w:rsidR="00960BA2">
        <w:rPr>
          <w:rFonts w:cs="Segoe UI"/>
        </w:rPr>
        <w:t>.</w:t>
      </w:r>
      <w:r>
        <w:rPr>
          <w:rStyle w:val="FootnoteReference"/>
          <w:rFonts w:cs="Segoe UI"/>
        </w:rPr>
        <w:footnoteReference w:id="213"/>
      </w:r>
      <w:r>
        <w:rPr>
          <w:rFonts w:cs="Segoe UI"/>
        </w:rPr>
        <w:t xml:space="preserve"> The Review did not receive specific feedback </w:t>
      </w:r>
      <w:r w:rsidR="00E50663">
        <w:rPr>
          <w:rFonts w:cs="Segoe UI"/>
        </w:rPr>
        <w:t>about</w:t>
      </w:r>
      <w:r>
        <w:rPr>
          <w:rFonts w:cs="Segoe UI"/>
        </w:rPr>
        <w:t xml:space="preserve"> the quantitative resourcing requirements </w:t>
      </w:r>
      <w:r w:rsidR="00E50663">
        <w:rPr>
          <w:rFonts w:cs="Segoe UI"/>
        </w:rPr>
        <w:t>of</w:t>
      </w:r>
      <w:r>
        <w:rPr>
          <w:rFonts w:cs="Segoe UI"/>
        </w:rPr>
        <w:t xml:space="preserve"> a horizon scanning program. However, examination of public financial statements from organisations that conduct horizon scanning</w:t>
      </w:r>
      <w:r w:rsidR="00E50663">
        <w:rPr>
          <w:rFonts w:cs="Segoe UI"/>
        </w:rPr>
        <w:t>–</w:t>
      </w:r>
      <w:r>
        <w:rPr>
          <w:rFonts w:cs="Segoe UI"/>
        </w:rPr>
        <w:t>type functions (such as NIHR</w:t>
      </w:r>
      <w:r w:rsidR="000E1EDC">
        <w:rPr>
          <w:rFonts w:cs="Segoe UI"/>
        </w:rPr>
        <w:t>IO</w:t>
      </w:r>
      <w:r>
        <w:rPr>
          <w:rFonts w:cs="Segoe UI"/>
        </w:rPr>
        <w:t xml:space="preserve"> and </w:t>
      </w:r>
      <w:r w:rsidR="001329EC">
        <w:rPr>
          <w:rFonts w:cs="Segoe UI"/>
        </w:rPr>
        <w:t xml:space="preserve">the </w:t>
      </w:r>
      <w:r>
        <w:rPr>
          <w:rFonts w:cs="Segoe UI"/>
        </w:rPr>
        <w:t xml:space="preserve">US </w:t>
      </w:r>
      <w:r w:rsidR="000E1EDC" w:rsidRPr="000E1EDC">
        <w:rPr>
          <w:rFonts w:cs="Segoe UI"/>
        </w:rPr>
        <w:t>Patient-</w:t>
      </w:r>
      <w:proofErr w:type="spellStart"/>
      <w:r w:rsidR="000E1EDC" w:rsidRPr="000E1EDC">
        <w:rPr>
          <w:rFonts w:cs="Segoe UI"/>
        </w:rPr>
        <w:t>Centered</w:t>
      </w:r>
      <w:proofErr w:type="spellEnd"/>
      <w:r w:rsidR="000E1EDC" w:rsidRPr="000E1EDC">
        <w:rPr>
          <w:rFonts w:cs="Segoe UI"/>
        </w:rPr>
        <w:t xml:space="preserve"> Outcomes Research Institute</w:t>
      </w:r>
      <w:r>
        <w:rPr>
          <w:rFonts w:cs="Segoe UI"/>
        </w:rPr>
        <w:t xml:space="preserve">) suggest ongoing investment </w:t>
      </w:r>
      <w:r w:rsidR="001329EC">
        <w:rPr>
          <w:rFonts w:cs="Segoe UI"/>
        </w:rPr>
        <w:t>of around</w:t>
      </w:r>
      <w:r>
        <w:rPr>
          <w:rFonts w:cs="Segoe UI"/>
        </w:rPr>
        <w:t xml:space="preserve"> A$3 million</w:t>
      </w:r>
      <w:r w:rsidR="001329EC">
        <w:rPr>
          <w:rFonts w:cs="Segoe UI"/>
        </w:rPr>
        <w:t xml:space="preserve"> or more annually</w:t>
      </w:r>
      <w:r>
        <w:rPr>
          <w:rFonts w:cs="Segoe UI"/>
        </w:rPr>
        <w:t xml:space="preserve"> tends to be the minimum resourcing level</w:t>
      </w:r>
      <w:r w:rsidR="001329EC">
        <w:rPr>
          <w:rFonts w:cs="Segoe UI"/>
        </w:rPr>
        <w:t>,</w:t>
      </w:r>
      <w:r>
        <w:rPr>
          <w:rStyle w:val="FootnoteReference"/>
          <w:rFonts w:cs="Segoe UI"/>
        </w:rPr>
        <w:footnoteReference w:id="214"/>
      </w:r>
      <w:r>
        <w:rPr>
          <w:rFonts w:cs="Segoe UI"/>
          <w:vertAlign w:val="superscript"/>
        </w:rPr>
        <w:t>,</w:t>
      </w:r>
      <w:r>
        <w:rPr>
          <w:rStyle w:val="FootnoteReference"/>
          <w:rFonts w:cs="Segoe UI"/>
        </w:rPr>
        <w:footnoteReference w:id="215"/>
      </w:r>
      <w:r>
        <w:rPr>
          <w:rFonts w:cs="Segoe UI"/>
        </w:rPr>
        <w:t xml:space="preserve"> noting that </w:t>
      </w:r>
      <w:r w:rsidRPr="00F86FDE">
        <w:rPr>
          <w:rFonts w:cs="Segoe UI"/>
        </w:rPr>
        <w:t>resourcing correlates to the</w:t>
      </w:r>
      <w:r w:rsidR="001329EC">
        <w:rPr>
          <w:rFonts w:cs="Segoe UI"/>
        </w:rPr>
        <w:t xml:space="preserve"> program’s</w:t>
      </w:r>
      <w:r w:rsidRPr="00F86FDE">
        <w:rPr>
          <w:rFonts w:cs="Segoe UI"/>
        </w:rPr>
        <w:t xml:space="preserve"> defined functional scope, audience and purpose</w:t>
      </w:r>
      <w:r>
        <w:rPr>
          <w:rFonts w:cs="Segoe UI"/>
        </w:rPr>
        <w:t xml:space="preserve">. </w:t>
      </w:r>
    </w:p>
    <w:p w14:paraId="2747B82A" w14:textId="18880CAF" w:rsidR="00E23E39" w:rsidRDefault="00E23E39" w:rsidP="00405FD7">
      <w:pPr>
        <w:rPr>
          <w:rFonts w:cs="Segoe UI"/>
        </w:rPr>
      </w:pPr>
      <w:r w:rsidRPr="00D20132">
        <w:rPr>
          <w:rFonts w:cs="Segoe UI"/>
        </w:rPr>
        <w:t xml:space="preserve">A number of stakeholders mentioned </w:t>
      </w:r>
      <w:r w:rsidR="005229C8">
        <w:rPr>
          <w:rFonts w:cs="Segoe UI"/>
        </w:rPr>
        <w:t xml:space="preserve">including </w:t>
      </w:r>
      <w:r w:rsidRPr="00D20132">
        <w:rPr>
          <w:rFonts w:cs="Segoe UI"/>
        </w:rPr>
        <w:t>specific healthcare areas (such as F</w:t>
      </w:r>
      <w:r>
        <w:rPr>
          <w:rFonts w:cs="Segoe UI"/>
        </w:rPr>
        <w:t xml:space="preserve">irst </w:t>
      </w:r>
      <w:r w:rsidRPr="00D20132">
        <w:rPr>
          <w:rFonts w:cs="Segoe UI"/>
        </w:rPr>
        <w:t>N</w:t>
      </w:r>
      <w:r>
        <w:rPr>
          <w:rFonts w:cs="Segoe UI"/>
        </w:rPr>
        <w:t>ations</w:t>
      </w:r>
      <w:r w:rsidRPr="00D20132">
        <w:rPr>
          <w:rFonts w:cs="Segoe UI"/>
        </w:rPr>
        <w:t xml:space="preserve"> health</w:t>
      </w:r>
      <w:r w:rsidR="002D33A5">
        <w:rPr>
          <w:rFonts w:cs="Segoe UI"/>
        </w:rPr>
        <w:t xml:space="preserve"> </w:t>
      </w:r>
      <w:r w:rsidRPr="00D20132">
        <w:rPr>
          <w:rFonts w:cs="Segoe UI"/>
        </w:rPr>
        <w:t>care, paediatrics and the intersection between genetic testing and use of health technologies, including combination therapies) in the scope of horizon scanning arrangements</w:t>
      </w:r>
      <w:r>
        <w:rPr>
          <w:rFonts w:cs="Segoe UI"/>
        </w:rPr>
        <w:t xml:space="preserve"> as activities that would support overall improvements to health equity</w:t>
      </w:r>
      <w:r w:rsidR="005229C8">
        <w:rPr>
          <w:rFonts w:cs="Segoe UI"/>
        </w:rPr>
        <w:t>.</w:t>
      </w:r>
      <w:r>
        <w:rPr>
          <w:rStyle w:val="FootnoteReference"/>
          <w:rFonts w:cs="Segoe UI"/>
        </w:rPr>
        <w:footnoteReference w:id="216"/>
      </w:r>
      <w:r>
        <w:rPr>
          <w:rFonts w:cs="Segoe UI"/>
        </w:rPr>
        <w:t xml:space="preserve"> Stakeholders specifically mentioned these healthcare areas as they </w:t>
      </w:r>
      <w:r w:rsidRPr="00D20132">
        <w:rPr>
          <w:rFonts w:cs="Segoe UI"/>
        </w:rPr>
        <w:t xml:space="preserve">have historically received less attention, and/or are areas of increasing innovation and change </w:t>
      </w:r>
      <w:r w:rsidR="00A21471">
        <w:rPr>
          <w:rFonts w:cs="Segoe UI"/>
        </w:rPr>
        <w:t>that</w:t>
      </w:r>
      <w:r w:rsidRPr="00D20132">
        <w:rPr>
          <w:rFonts w:cs="Segoe UI"/>
        </w:rPr>
        <w:t xml:space="preserve"> may require more active monitoring and engagement with stakeholders. </w:t>
      </w:r>
    </w:p>
    <w:p w14:paraId="12FA84DA" w14:textId="54F424A8" w:rsidR="006C370B" w:rsidRPr="006C370B" w:rsidRDefault="006D398E" w:rsidP="00405FD7">
      <w:r>
        <w:rPr>
          <w:noProof/>
        </w:rPr>
        <mc:AlternateContent>
          <mc:Choice Requires="wps">
            <w:drawing>
              <wp:inline distT="0" distB="0" distL="0" distR="0" wp14:anchorId="17334E1C" wp14:editId="39CBA781">
                <wp:extent cx="5836920" cy="3402419"/>
                <wp:effectExtent l="0" t="0" r="0" b="7620"/>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3402419"/>
                        </a:xfrm>
                        <a:prstGeom prst="round2DiagRect">
                          <a:avLst/>
                        </a:prstGeom>
                        <a:solidFill>
                          <a:schemeClr val="bg1">
                            <a:lumMod val="95000"/>
                          </a:schemeClr>
                        </a:solidFill>
                        <a:ln w="9525">
                          <a:noFill/>
                          <a:miter lim="800000"/>
                          <a:headEnd/>
                          <a:tailEnd/>
                        </a:ln>
                      </wps:spPr>
                      <wps:txbx>
                        <w:txbxContent>
                          <w:p w14:paraId="11D769B7" w14:textId="704291F7" w:rsidR="006D398E" w:rsidRPr="00BA3CA7" w:rsidRDefault="006D398E" w:rsidP="006D398E">
                            <w:pPr>
                              <w:ind w:right="19"/>
                              <w:rPr>
                                <w:b/>
                                <w:color w:val="005A68" w:themeColor="accent6" w:themeShade="80"/>
                              </w:rPr>
                            </w:pPr>
                            <w:r w:rsidRPr="00BA3CA7">
                              <w:rPr>
                                <w:b/>
                                <w:color w:val="005A68" w:themeColor="accent6" w:themeShade="80"/>
                              </w:rPr>
                              <w:t>What we heard:</w:t>
                            </w:r>
                          </w:p>
                          <w:p w14:paraId="47DFC247" w14:textId="310DF93C" w:rsidR="006D398E" w:rsidRPr="000C5623"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 xml:space="preserve">There </w:t>
                            </w:r>
                            <w:r w:rsidR="006D398E" w:rsidRPr="000C5623">
                              <w:rPr>
                                <w:color w:val="005A68" w:themeColor="accent6" w:themeShade="80"/>
                              </w:rPr>
                              <w:t>was some really specific positives around the focus on First Nations, proactive horizon scanning, consideration of equity and an emphasis on the inclusion of patient groups in the HTA process.</w:t>
                            </w:r>
                            <w:r>
                              <w:rPr>
                                <w:color w:val="005A68" w:themeColor="accent6" w:themeShade="80"/>
                              </w:rPr>
                              <w:t>’</w:t>
                            </w:r>
                          </w:p>
                          <w:p w14:paraId="1251B7AD" w14:textId="47702031" w:rsidR="006D398E" w:rsidRPr="000C5623" w:rsidRDefault="00430B12" w:rsidP="000C5623">
                            <w:pPr>
                              <w:ind w:left="283" w:right="99"/>
                              <w:rPr>
                                <w:color w:val="005A68" w:themeColor="accent6" w:themeShade="80"/>
                              </w:rPr>
                            </w:pPr>
                            <w:r>
                              <w:rPr>
                                <w:color w:val="005A68" w:themeColor="accent6" w:themeShade="80"/>
                              </w:rPr>
                              <w:t>‘</w:t>
                            </w:r>
                            <w:r w:rsidR="006D398E" w:rsidRPr="000C5623">
                              <w:rPr>
                                <w:color w:val="005A68" w:themeColor="accent6" w:themeShade="80"/>
                              </w:rPr>
                              <w:t>The reforms around the role of genetics is very important. The system needs to be futureproof so that efficiencies can be made in the system. We ultimately don’t want people dying from lack of access to medicines/tests that have been approved in other indications. This is where horizon scanning would help as technology could be listed for a number of indications at the same time.</w:t>
                            </w:r>
                            <w:r>
                              <w:rPr>
                                <w:color w:val="005A68" w:themeColor="accent6" w:themeShade="80"/>
                              </w:rPr>
                              <w:t>’</w:t>
                            </w:r>
                          </w:p>
                          <w:p w14:paraId="64001494" w14:textId="338FDB75" w:rsidR="006D398E" w:rsidRPr="00BA3CA7" w:rsidRDefault="006D398E" w:rsidP="0019054D">
                            <w:pPr>
                              <w:ind w:right="19"/>
                              <w:jc w:val="right"/>
                              <w:rPr>
                                <w:b/>
                              </w:rPr>
                            </w:pPr>
                            <w:r w:rsidRPr="00BA3CA7">
                              <w:rPr>
                                <w:b/>
                                <w:color w:val="005A68" w:themeColor="accent6" w:themeShade="80"/>
                              </w:rPr>
                              <w:t>Quotations attributed to stakeholders present at Consultation 2 webinars and in-person sessions</w:t>
                            </w:r>
                          </w:p>
                        </w:txbxContent>
                      </wps:txbx>
                      <wps:bodyPr rot="0" vert="horz" wrap="square" lIns="91440" tIns="45720" rIns="91440" bIns="45720" anchor="t" anchorCtr="0">
                        <a:noAutofit/>
                      </wps:bodyPr>
                    </wps:wsp>
                  </a:graphicData>
                </a:graphic>
              </wp:inline>
            </w:drawing>
          </mc:Choice>
          <mc:Fallback>
            <w:pict>
              <v:shape w14:anchorId="17334E1C" id="Text Box 37" o:spid="_x0000_s1052" style="width:459.6pt;height:267.9pt;visibility:visible;mso-wrap-style:square;mso-left-percent:-10001;mso-top-percent:-10001;mso-position-horizontal:absolute;mso-position-horizontal-relative:char;mso-position-vertical:absolute;mso-position-vertical-relative:line;mso-left-percent:-10001;mso-top-percent:-10001;v-text-anchor:top" coordsize="5836920,340241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" adj="-11796480,,5400" path="m567081,l5836920,r,l5836920,2835338v,313190,-253891,567081,-567081,567081l,3402419r,l,567081c,253891,253891,,567081,xe" fillcolor="#f2f2f2 [3052]" stroked="f">
                <v:stroke joinstyle="miter"/>
                <v:formulas/>
                <v:path arrowok="t" o:connecttype="custom" o:connectlocs="567081,0;5836920,0;5836920,0;5836920,2835338;5269839,3402419;0,3402419;0,3402419;0,567081;567081,0" o:connectangles="0,0,0,0,0,0,0,0,0" textboxrect="0,0,5836920,3402419"/>
                <v:textbox>
                  <w:txbxContent>
                    <w:p w14:paraId="11D769B7" w14:textId="704291F7" w:rsidR="006D398E" w:rsidRPr="00BA3CA7" w:rsidRDefault="006D398E" w:rsidP="006D398E">
                      <w:pPr>
                        <w:ind w:right="19"/>
                        <w:rPr>
                          <w:b/>
                          <w:color w:val="005A68" w:themeColor="accent6" w:themeShade="80"/>
                        </w:rPr>
                      </w:pPr>
                      <w:r w:rsidRPr="00BA3CA7">
                        <w:rPr>
                          <w:b/>
                          <w:color w:val="005A68" w:themeColor="accent6" w:themeShade="80"/>
                        </w:rPr>
                        <w:t>What we heard:</w:t>
                      </w:r>
                    </w:p>
                    <w:p w14:paraId="47DFC247" w14:textId="310DF93C" w:rsidR="006D398E" w:rsidRPr="000C5623" w:rsidRDefault="00430B12" w:rsidP="000C5623">
                      <w:pPr>
                        <w:ind w:left="283" w:right="19"/>
                        <w:rPr>
                          <w:color w:val="005A68" w:themeColor="accent6" w:themeShade="80"/>
                        </w:rPr>
                      </w:pPr>
                      <w:r>
                        <w:rPr>
                          <w:color w:val="005A68" w:themeColor="accent6" w:themeShade="80"/>
                        </w:rPr>
                        <w:t>‘</w:t>
                      </w:r>
                      <w:r w:rsidR="006D398E" w:rsidRPr="000C5623">
                        <w:rPr>
                          <w:color w:val="005A68" w:themeColor="accent6" w:themeShade="80"/>
                        </w:rPr>
                        <w:t>There was some really specific positives around the focus on First Nations, proactive horizon scanning, consideration of equity and an emphasis on the inclusion of patient groups in the HTA process.</w:t>
                      </w:r>
                      <w:r>
                        <w:rPr>
                          <w:color w:val="005A68" w:themeColor="accent6" w:themeShade="80"/>
                        </w:rPr>
                        <w:t>’</w:t>
                      </w:r>
                    </w:p>
                    <w:p w14:paraId="1251B7AD" w14:textId="47702031" w:rsidR="006D398E" w:rsidRPr="000C5623" w:rsidRDefault="00430B12" w:rsidP="000C5623">
                      <w:pPr>
                        <w:ind w:left="283" w:right="99"/>
                        <w:rPr>
                          <w:color w:val="005A68" w:themeColor="accent6" w:themeShade="80"/>
                        </w:rPr>
                      </w:pPr>
                      <w:r>
                        <w:rPr>
                          <w:color w:val="005A68" w:themeColor="accent6" w:themeShade="80"/>
                        </w:rPr>
                        <w:t>‘</w:t>
                      </w:r>
                      <w:r w:rsidR="006D398E" w:rsidRPr="000C5623">
                        <w:rPr>
                          <w:color w:val="005A68" w:themeColor="accent6" w:themeShade="80"/>
                        </w:rPr>
                        <w:t>The reforms around the role of genetics is very important. The system needs to be futureproof so that efficiencies can be made in the system. We ultimately don’t want people dying from lack of access to medicines/tests that have been approved in other indications. This is where horizon scanning would help as technology could be listed for a number of indications at the same time.</w:t>
                      </w:r>
                      <w:r>
                        <w:rPr>
                          <w:color w:val="005A68" w:themeColor="accent6" w:themeShade="80"/>
                        </w:rPr>
                        <w:t>’</w:t>
                      </w:r>
                    </w:p>
                    <w:p w14:paraId="64001494" w14:textId="338FDB75" w:rsidR="006D398E" w:rsidRPr="00BA3CA7" w:rsidRDefault="006D398E" w:rsidP="0019054D">
                      <w:pPr>
                        <w:ind w:right="19"/>
                        <w:jc w:val="right"/>
                        <w:rPr>
                          <w:b/>
                        </w:rPr>
                      </w:pPr>
                      <w:r w:rsidRPr="00BA3CA7">
                        <w:rPr>
                          <w:b/>
                          <w:color w:val="005A68" w:themeColor="accent6" w:themeShade="80"/>
                        </w:rPr>
                        <w:t>Quotations attributed to stakeholders present at Consultation 2 webinars and in-person sessions</w:t>
                      </w:r>
                    </w:p>
                  </w:txbxContent>
                </v:textbox>
                <w10:anchorlock/>
              </v:shape>
            </w:pict>
          </mc:Fallback>
        </mc:AlternateContent>
      </w:r>
    </w:p>
    <w:p w14:paraId="31F40498" w14:textId="30E2E14F" w:rsidR="00E23E39" w:rsidRPr="00D20132" w:rsidRDefault="00E23E39" w:rsidP="00A318F7">
      <w:pPr>
        <w:pStyle w:val="Heading3"/>
      </w:pPr>
      <w:bookmarkStart w:id="708" w:name="_Toc164691505"/>
      <w:bookmarkStart w:id="709" w:name="_Toc164696298"/>
      <w:bookmarkStart w:id="710" w:name="_Toc164696444"/>
      <w:bookmarkStart w:id="711" w:name="_Toc164767832"/>
      <w:bookmarkStart w:id="712" w:name="_Toc165473765"/>
      <w:r w:rsidRPr="00D20132">
        <w:t>Conclusion</w:t>
      </w:r>
      <w:bookmarkEnd w:id="708"/>
      <w:bookmarkEnd w:id="709"/>
      <w:bookmarkEnd w:id="710"/>
      <w:bookmarkEnd w:id="711"/>
      <w:bookmarkEnd w:id="712"/>
    </w:p>
    <w:p w14:paraId="7961046C" w14:textId="365B42C2" w:rsidR="00E23E39" w:rsidRPr="00D20132" w:rsidRDefault="000727C6" w:rsidP="00405FD7">
      <w:pPr>
        <w:rPr>
          <w:rFonts w:cs="Segoe UI"/>
        </w:rPr>
      </w:pPr>
      <w:r>
        <w:rPr>
          <w:rFonts w:cs="Segoe UI"/>
        </w:rPr>
        <w:t>S</w:t>
      </w:r>
      <w:r w:rsidR="00E23E39" w:rsidRPr="00D20132">
        <w:rPr>
          <w:rFonts w:cs="Segoe UI"/>
        </w:rPr>
        <w:t xml:space="preserve">takeholder feedback from patients, industry, service delivery and healthcare payers </w:t>
      </w:r>
      <w:r>
        <w:rPr>
          <w:rFonts w:cs="Segoe UI"/>
        </w:rPr>
        <w:t xml:space="preserve">consistently </w:t>
      </w:r>
      <w:r w:rsidR="00E23E39" w:rsidRPr="00D20132">
        <w:rPr>
          <w:rFonts w:cs="Segoe UI"/>
        </w:rPr>
        <w:t>emphasis</w:t>
      </w:r>
      <w:r>
        <w:rPr>
          <w:rFonts w:cs="Segoe UI"/>
        </w:rPr>
        <w:t xml:space="preserve">ed </w:t>
      </w:r>
      <w:r w:rsidR="00E23E39" w:rsidRPr="00D20132">
        <w:rPr>
          <w:rFonts w:cs="Segoe UI"/>
        </w:rPr>
        <w:t>the importance of horizon scanning</w:t>
      </w:r>
      <w:r w:rsidR="00FD2990">
        <w:rPr>
          <w:rFonts w:cs="Segoe UI"/>
        </w:rPr>
        <w:t xml:space="preserve">. </w:t>
      </w:r>
      <w:proofErr w:type="gramStart"/>
      <w:r w:rsidR="00FD2990">
        <w:rPr>
          <w:rFonts w:cs="Segoe UI"/>
        </w:rPr>
        <w:t>I</w:t>
      </w:r>
      <w:r w:rsidR="00E23E39">
        <w:rPr>
          <w:rFonts w:cs="Segoe UI"/>
        </w:rPr>
        <w:t xml:space="preserve">n particular, </w:t>
      </w:r>
      <w:r w:rsidR="00AB10C4">
        <w:rPr>
          <w:rFonts w:cs="Segoe UI"/>
        </w:rPr>
        <w:t>feedback</w:t>
      </w:r>
      <w:proofErr w:type="gramEnd"/>
      <w:r w:rsidR="00AB10C4">
        <w:rPr>
          <w:rFonts w:cs="Segoe UI"/>
        </w:rPr>
        <w:t xml:space="preserve"> highlighted </w:t>
      </w:r>
      <w:r w:rsidR="00E23E39">
        <w:rPr>
          <w:rFonts w:cs="Segoe UI"/>
        </w:rPr>
        <w:t>its role in</w:t>
      </w:r>
      <w:r w:rsidR="00E23E39" w:rsidRPr="00D20132">
        <w:rPr>
          <w:rFonts w:cs="Segoe UI"/>
        </w:rPr>
        <w:t xml:space="preserve"> support</w:t>
      </w:r>
      <w:r w:rsidR="00E23E39">
        <w:rPr>
          <w:rFonts w:cs="Segoe UI"/>
        </w:rPr>
        <w:t>ing</w:t>
      </w:r>
      <w:r w:rsidR="00E23E39" w:rsidRPr="00D20132">
        <w:rPr>
          <w:rFonts w:cs="Segoe UI"/>
        </w:rPr>
        <w:t xml:space="preserve"> and complement</w:t>
      </w:r>
      <w:r w:rsidR="00E23E39">
        <w:rPr>
          <w:rFonts w:cs="Segoe UI"/>
        </w:rPr>
        <w:t>ing</w:t>
      </w:r>
      <w:r w:rsidR="00E23E39" w:rsidRPr="00D20132">
        <w:rPr>
          <w:rFonts w:cs="Segoe UI"/>
        </w:rPr>
        <w:t xml:space="preserve"> the efficient evaluation, resource </w:t>
      </w:r>
      <w:r w:rsidR="00E23E39" w:rsidRPr="00D20132">
        <w:rPr>
          <w:rFonts w:cs="Segoe UI"/>
        </w:rPr>
        <w:lastRenderedPageBreak/>
        <w:t xml:space="preserve">allocation, stakeholder engagement and policy planning activities associated with </w:t>
      </w:r>
      <w:r w:rsidR="00AB10C4">
        <w:rPr>
          <w:rFonts w:cs="Segoe UI"/>
        </w:rPr>
        <w:t>using</w:t>
      </w:r>
      <w:r w:rsidR="00E23E39" w:rsidRPr="00D20132">
        <w:rPr>
          <w:rFonts w:cs="Segoe UI"/>
        </w:rPr>
        <w:t xml:space="preserve"> health technologies in the Australian health system.</w:t>
      </w:r>
    </w:p>
    <w:p w14:paraId="19F38ED6" w14:textId="661CD442" w:rsidR="00E23E39" w:rsidRPr="00D20132" w:rsidRDefault="00E23E39" w:rsidP="00405FD7">
      <w:pPr>
        <w:rPr>
          <w:rFonts w:cs="Segoe UI"/>
        </w:rPr>
      </w:pPr>
      <w:r>
        <w:rPr>
          <w:rStyle w:val="normaltextrun"/>
          <w:rFonts w:cs="Segoe UI"/>
        </w:rPr>
        <w:t xml:space="preserve">Drawing on this feedback and </w:t>
      </w:r>
      <w:r w:rsidRPr="00D20132">
        <w:rPr>
          <w:rStyle w:val="normaltextrun"/>
          <w:rFonts w:cs="Segoe UI"/>
        </w:rPr>
        <w:t xml:space="preserve">international examples discussed in </w:t>
      </w:r>
      <w:r w:rsidR="00513A7C">
        <w:rPr>
          <w:rStyle w:val="normaltextrun"/>
          <w:rFonts w:cs="Segoe UI"/>
          <w:i/>
          <w:iCs/>
        </w:rPr>
        <w:t>Horizon Scanning and Early Assessment</w:t>
      </w:r>
      <w:r w:rsidRPr="008444DC">
        <w:rPr>
          <w:rStyle w:val="normaltextrun"/>
          <w:rFonts w:cs="Segoe UI"/>
        </w:rPr>
        <w:t>,</w:t>
      </w:r>
      <w:r w:rsidR="008444DC">
        <w:rPr>
          <w:rStyle w:val="FootnoteReference"/>
          <w:rFonts w:cs="Segoe UI"/>
        </w:rPr>
        <w:footnoteReference w:id="217"/>
      </w:r>
      <w:r w:rsidDel="008444DC">
        <w:rPr>
          <w:rStyle w:val="normaltextrun"/>
          <w:rFonts w:cs="Segoe UI"/>
        </w:rPr>
        <w:t xml:space="preserve"> </w:t>
      </w:r>
      <w:r w:rsidRPr="00D20132">
        <w:rPr>
          <w:rStyle w:val="normaltextrun"/>
          <w:rFonts w:cs="Segoe UI"/>
        </w:rPr>
        <w:t xml:space="preserve">horizon scanning arrangements </w:t>
      </w:r>
      <w:r w:rsidR="008444DC">
        <w:rPr>
          <w:rStyle w:val="normaltextrun"/>
          <w:rFonts w:cs="Segoe UI"/>
        </w:rPr>
        <w:t>have a role as</w:t>
      </w:r>
      <w:r w:rsidR="008444DC" w:rsidRPr="00D20132">
        <w:rPr>
          <w:rStyle w:val="normaltextrun"/>
          <w:rFonts w:cs="Segoe UI"/>
        </w:rPr>
        <w:t xml:space="preserve"> </w:t>
      </w:r>
      <w:r w:rsidRPr="00D20132">
        <w:rPr>
          <w:rStyle w:val="normaltextrun"/>
          <w:rFonts w:cs="Segoe UI"/>
        </w:rPr>
        <w:t>part of HTA</w:t>
      </w:r>
      <w:r w:rsidR="00111081">
        <w:rPr>
          <w:rStyle w:val="normaltextrun"/>
          <w:rFonts w:cs="Segoe UI"/>
        </w:rPr>
        <w:noBreakHyphen/>
      </w:r>
      <w:r w:rsidRPr="00D20132">
        <w:rPr>
          <w:rStyle w:val="normaltextrun"/>
          <w:rFonts w:cs="Segoe UI"/>
        </w:rPr>
        <w:t>adjacent supporting activities and functions</w:t>
      </w:r>
      <w:r>
        <w:rPr>
          <w:rStyle w:val="normaltextrun"/>
          <w:rFonts w:cs="Segoe UI"/>
        </w:rPr>
        <w:t>. K</w:t>
      </w:r>
      <w:r w:rsidRPr="00D20132">
        <w:rPr>
          <w:rStyle w:val="normaltextrun"/>
          <w:rFonts w:cs="Segoe UI"/>
        </w:rPr>
        <w:t xml:space="preserve">ey baseline characteristics for such a program </w:t>
      </w:r>
      <w:r>
        <w:rPr>
          <w:rStyle w:val="normaltextrun"/>
          <w:rFonts w:cs="Segoe UI"/>
        </w:rPr>
        <w:t>need to be identified and agreed with stakeholders</w:t>
      </w:r>
      <w:r w:rsidRPr="00D20132">
        <w:rPr>
          <w:rStyle w:val="normaltextrun"/>
          <w:rFonts w:cs="Segoe UI"/>
        </w:rPr>
        <w:t>.</w:t>
      </w:r>
      <w:r w:rsidR="00453069">
        <w:rPr>
          <w:rStyle w:val="normaltextrun"/>
          <w:rFonts w:cs="Segoe UI"/>
        </w:rPr>
        <w:t xml:space="preserve"> </w:t>
      </w:r>
    </w:p>
    <w:p w14:paraId="2FBB54ED" w14:textId="7B07C243" w:rsidR="00E23E39" w:rsidRPr="00D20132" w:rsidRDefault="00E23E39" w:rsidP="00405FD7">
      <w:pPr>
        <w:widowControl w:val="0"/>
        <w:spacing w:before="40" w:after="0"/>
        <w:rPr>
          <w:rFonts w:cs="Segoe UI"/>
        </w:rPr>
      </w:pPr>
      <w:r w:rsidRPr="00D20132" w:rsidDel="008444DC">
        <w:rPr>
          <w:rFonts w:cs="Segoe UI"/>
        </w:rPr>
        <w:t xml:space="preserve">The </w:t>
      </w:r>
      <w:r w:rsidRPr="00D20132">
        <w:rPr>
          <w:rFonts w:cs="Segoe UI"/>
        </w:rPr>
        <w:t xml:space="preserve">following observations </w:t>
      </w:r>
      <w:r>
        <w:rPr>
          <w:rFonts w:cs="Segoe UI"/>
        </w:rPr>
        <w:t>about horizon scanning</w:t>
      </w:r>
      <w:r w:rsidR="008444DC">
        <w:rPr>
          <w:rFonts w:cs="Segoe UI"/>
        </w:rPr>
        <w:t xml:space="preserve"> should </w:t>
      </w:r>
      <w:r w:rsidRPr="00D20132">
        <w:rPr>
          <w:rFonts w:cs="Segoe UI"/>
        </w:rPr>
        <w:t>assist the Australian Government as it engages in implementation activities with stakeholders:</w:t>
      </w:r>
    </w:p>
    <w:p w14:paraId="40B5CFE1" w14:textId="6BCC2DF9" w:rsidR="00E23E39" w:rsidRPr="00D20132" w:rsidRDefault="00E23E39" w:rsidP="00281153">
      <w:pPr>
        <w:pStyle w:val="ListBullet"/>
        <w:numPr>
          <w:ilvl w:val="0"/>
          <w:numId w:val="90"/>
        </w:numPr>
      </w:pPr>
      <w:r w:rsidRPr="00F86FDE">
        <w:t>The scope, purposes and utility of horizon scanning will need to be clearly defined and planned with stakeholders (participants and recipients of outputs) to ensure success in the Australian healthcare context.</w:t>
      </w:r>
      <w:r w:rsidRPr="00D20132">
        <w:t xml:space="preserve"> </w:t>
      </w:r>
      <w:r>
        <w:t xml:space="preserve">These include careful consideration of whether specific program streams are necessary to support improved health equity, from </w:t>
      </w:r>
      <w:r w:rsidR="00111081">
        <w:t>the perspectives of</w:t>
      </w:r>
      <w:r w:rsidR="00502134">
        <w:t xml:space="preserve"> </w:t>
      </w:r>
      <w:r>
        <w:t xml:space="preserve">stakeholder engagement and participation, </w:t>
      </w:r>
      <w:r w:rsidR="008444DC">
        <w:t xml:space="preserve">and </w:t>
      </w:r>
      <w:r w:rsidR="00111081">
        <w:t>of</w:t>
      </w:r>
      <w:r w:rsidDel="00111081">
        <w:t xml:space="preserve"> </w:t>
      </w:r>
      <w:r>
        <w:t xml:space="preserve">practical access to health technologies, especially for areas of </w:t>
      </w:r>
      <w:r w:rsidR="00F77E86">
        <w:t>HUCN</w:t>
      </w:r>
      <w:r>
        <w:t>. The Review has signalled examples where prioritising horizon scanning activities may be beneficial</w:t>
      </w:r>
      <w:r w:rsidR="00CC5955">
        <w:t>.</w:t>
      </w:r>
      <w:r>
        <w:t xml:space="preserve"> </w:t>
      </w:r>
    </w:p>
    <w:p w14:paraId="19F4C508" w14:textId="673D986C" w:rsidR="00E23E39" w:rsidRPr="00D20132" w:rsidRDefault="00E23E39" w:rsidP="00281153">
      <w:pPr>
        <w:pStyle w:val="ListBullet"/>
        <w:numPr>
          <w:ilvl w:val="0"/>
          <w:numId w:val="90"/>
        </w:numPr>
      </w:pPr>
      <w:r w:rsidRPr="00F86FDE">
        <w:t>Horizon scanning can be highly resource-intensive</w:t>
      </w:r>
      <w:r w:rsidR="00503436">
        <w:t>,</w:t>
      </w:r>
      <w:r w:rsidRPr="00F86FDE" w:rsidDel="00503436">
        <w:t xml:space="preserve"> </w:t>
      </w:r>
      <w:r w:rsidRPr="00F86FDE">
        <w:t>in terms of financial costs, time and effort (</w:t>
      </w:r>
      <w:r w:rsidR="00503436">
        <w:t xml:space="preserve">for </w:t>
      </w:r>
      <w:r w:rsidRPr="00F86FDE">
        <w:t>in-kind engagement and inputs by partner stakeholders such as patients and industry sponsors)</w:t>
      </w:r>
      <w:r w:rsidR="00503436">
        <w:t>. A</w:t>
      </w:r>
      <w:r w:rsidRPr="00D20132">
        <w:t xml:space="preserve">ll participating and benefiting stakeholders will need to be mindful of these resourcing costs when advising and working with the Australian Government on implementation. </w:t>
      </w:r>
    </w:p>
    <w:p w14:paraId="5E3772A9" w14:textId="130C8D7D" w:rsidR="00E23E39" w:rsidRPr="00D20132" w:rsidRDefault="00E23E39" w:rsidP="00281153">
      <w:pPr>
        <w:pStyle w:val="ListBullet"/>
        <w:numPr>
          <w:ilvl w:val="0"/>
          <w:numId w:val="90"/>
        </w:numPr>
      </w:pPr>
      <w:r w:rsidRPr="00F86FDE">
        <w:t>Multiple streams of horizon scanning activit</w:t>
      </w:r>
      <w:r w:rsidR="00503436">
        <w:t>ies</w:t>
      </w:r>
      <w:r w:rsidRPr="00F86FDE">
        <w:t xml:space="preserve"> may need to be supported</w:t>
      </w:r>
      <w:r w:rsidRPr="00D20132">
        <w:t xml:space="preserve"> to ensure:</w:t>
      </w:r>
    </w:p>
    <w:p w14:paraId="1036A46D" w14:textId="188B3F06" w:rsidR="00E23E39" w:rsidRPr="00D20132" w:rsidRDefault="00E23E39" w:rsidP="00281153">
      <w:pPr>
        <w:pStyle w:val="ListBullet"/>
        <w:numPr>
          <w:ilvl w:val="1"/>
          <w:numId w:val="8"/>
        </w:numPr>
      </w:pPr>
      <w:r w:rsidRPr="00D20132">
        <w:t>appropriate consideration of the different health technology issues and varying target audiences and stakeholders (such as, but not limited to, patients and their advocacy organisations, industry sponsors, healthcare payers</w:t>
      </w:r>
      <w:r w:rsidR="00503436">
        <w:t>,</w:t>
      </w:r>
      <w:r w:rsidRPr="00D20132">
        <w:t xml:space="preserve"> and academic</w:t>
      </w:r>
      <w:r w:rsidR="00503436">
        <w:t xml:space="preserve"> and/or </w:t>
      </w:r>
      <w:r w:rsidRPr="00D20132">
        <w:t xml:space="preserve">research bodies) </w:t>
      </w:r>
    </w:p>
    <w:p w14:paraId="1B4E93B6" w14:textId="15E16480" w:rsidR="00E23E39" w:rsidRPr="00D20132" w:rsidRDefault="00E23E39" w:rsidP="00281153">
      <w:pPr>
        <w:pStyle w:val="ListBullet"/>
        <w:numPr>
          <w:ilvl w:val="1"/>
          <w:numId w:val="8"/>
        </w:numPr>
      </w:pPr>
      <w:r w:rsidRPr="00D20132">
        <w:t xml:space="preserve">proper establishment of clear metrics to determine the applicability and success of these streams of work in improving engagement and advice </w:t>
      </w:r>
      <w:r w:rsidR="00503436">
        <w:t>about</w:t>
      </w:r>
      <w:r w:rsidRPr="00D20132">
        <w:t xml:space="preserve"> awareness, evaluation and access to health technologies in the medium term. </w:t>
      </w:r>
    </w:p>
    <w:p w14:paraId="08503376" w14:textId="639CBAC4" w:rsidR="00E23E39" w:rsidRPr="007B519F" w:rsidRDefault="00503436" w:rsidP="00281153">
      <w:pPr>
        <w:pStyle w:val="ListBullet"/>
        <w:numPr>
          <w:ilvl w:val="0"/>
          <w:numId w:val="90"/>
        </w:numPr>
      </w:pPr>
      <w:r>
        <w:t>B</w:t>
      </w:r>
      <w:r w:rsidR="00E23E39" w:rsidRPr="00D20132">
        <w:t>uilding local capacity and capability may take some time</w:t>
      </w:r>
      <w:r>
        <w:t xml:space="preserve">. In the short term, to </w:t>
      </w:r>
      <w:r w:rsidR="00E23E39" w:rsidRPr="00D20132">
        <w:t>increas</w:t>
      </w:r>
      <w:r>
        <w:t>e</w:t>
      </w:r>
      <w:r w:rsidR="00E23E39" w:rsidRPr="00D20132">
        <w:t xml:space="preserve"> engagement and partnership with </w:t>
      </w:r>
      <w:r>
        <w:t>other</w:t>
      </w:r>
      <w:r w:rsidRPr="00D20132">
        <w:t xml:space="preserve"> </w:t>
      </w:r>
      <w:r w:rsidR="00E23E39" w:rsidRPr="00D20132">
        <w:t xml:space="preserve">jurisdictions and international HTA agencies, </w:t>
      </w:r>
      <w:r>
        <w:t xml:space="preserve">it may be necessary to </w:t>
      </w:r>
      <w:r w:rsidR="00E23E39" w:rsidRPr="00F86FDE">
        <w:t>emphasis</w:t>
      </w:r>
      <w:r>
        <w:t>e</w:t>
      </w:r>
      <w:r w:rsidR="00E23E39" w:rsidRPr="00F86FDE" w:rsidDel="00503436">
        <w:t xml:space="preserve"> </w:t>
      </w:r>
      <w:r w:rsidR="00E23E39" w:rsidRPr="00F86FDE">
        <w:t>collaborati</w:t>
      </w:r>
      <w:r w:rsidR="00502134">
        <w:t>ve work</w:t>
      </w:r>
      <w:r w:rsidR="00EC4A7F">
        <w:t>-share arrangements</w:t>
      </w:r>
      <w:r w:rsidR="00E23E39" w:rsidRPr="00F86FDE">
        <w:t xml:space="preserve"> and/or sourcing of external (i.e. not in-house Commonwealth) expertise</w:t>
      </w:r>
      <w:r w:rsidR="00E23E39" w:rsidRPr="00D20132">
        <w:t xml:space="preserve">. </w:t>
      </w:r>
    </w:p>
    <w:p w14:paraId="07D2FBA1" w14:textId="77777777" w:rsidR="00E23E39" w:rsidRDefault="00E23E39" w:rsidP="00A318F7">
      <w:pPr>
        <w:pStyle w:val="Heading3"/>
      </w:pPr>
      <w:bookmarkStart w:id="713" w:name="_Toc164691506"/>
      <w:bookmarkStart w:id="714" w:name="_Toc164696299"/>
      <w:bookmarkStart w:id="715" w:name="_Toc164696445"/>
      <w:bookmarkStart w:id="716" w:name="_Toc164767833"/>
      <w:bookmarkStart w:id="717" w:name="_Toc165473766"/>
      <w:r w:rsidRPr="00AB7AA8">
        <w:lastRenderedPageBreak/>
        <w:t>Objectives of recommendations</w:t>
      </w:r>
      <w:bookmarkEnd w:id="713"/>
      <w:bookmarkEnd w:id="714"/>
      <w:bookmarkEnd w:id="715"/>
      <w:bookmarkEnd w:id="716"/>
      <w:bookmarkEnd w:id="717"/>
      <w:r w:rsidRPr="00AB7AA8">
        <w:t xml:space="preserve"> </w:t>
      </w:r>
    </w:p>
    <w:p w14:paraId="1C78A84B" w14:textId="78F05F49" w:rsidR="00E23E39" w:rsidRPr="00D20132" w:rsidRDefault="00E23E39" w:rsidP="00405FD7">
      <w:pPr>
        <w:rPr>
          <w:rFonts w:cs="Segoe UI"/>
        </w:rPr>
      </w:pPr>
      <w:r w:rsidRPr="00FD2990">
        <w:rPr>
          <w:rFonts w:cs="Segoe UI"/>
        </w:rPr>
        <w:t>The Review</w:t>
      </w:r>
      <w:r w:rsidR="00E75822">
        <w:rPr>
          <w:rFonts w:cs="Segoe UI"/>
        </w:rPr>
        <w:t>’s</w:t>
      </w:r>
      <w:r w:rsidRPr="00FD2990">
        <w:rPr>
          <w:rFonts w:cs="Segoe UI"/>
        </w:rPr>
        <w:t xml:space="preserve"> recommendations set out new arrangements that focus on identifying health technologies and emerging health systems issues in a structured form</w:t>
      </w:r>
      <w:r w:rsidR="00E25251">
        <w:rPr>
          <w:rFonts w:cs="Segoe UI"/>
        </w:rPr>
        <w:t>. This</w:t>
      </w:r>
      <w:r w:rsidRPr="00FD2990">
        <w:rPr>
          <w:rFonts w:cs="Segoe UI"/>
        </w:rPr>
        <w:t xml:space="preserve"> will support</w:t>
      </w:r>
      <w:r w:rsidRPr="00D4385D">
        <w:rPr>
          <w:rFonts w:cs="Segoe UI"/>
        </w:rPr>
        <w:t xml:space="preserve"> </w:t>
      </w:r>
      <w:r w:rsidRPr="00D20132">
        <w:rPr>
          <w:rFonts w:cs="Segoe UI"/>
        </w:rPr>
        <w:t xml:space="preserve">efficient evaluation, resource allocation, stakeholder engagement and policy planning activities associated with </w:t>
      </w:r>
      <w:r w:rsidR="00E25251">
        <w:rPr>
          <w:rFonts w:cs="Segoe UI"/>
        </w:rPr>
        <w:t>using</w:t>
      </w:r>
      <w:r w:rsidRPr="00D20132">
        <w:rPr>
          <w:rFonts w:cs="Segoe UI"/>
        </w:rPr>
        <w:t xml:space="preserve"> health technologies in the Australian health system.</w:t>
      </w:r>
    </w:p>
    <w:p w14:paraId="5BDCFBCB" w14:textId="3E6757C6" w:rsidR="00E23E39" w:rsidRPr="00D20132" w:rsidRDefault="00E23E39" w:rsidP="00A318F7">
      <w:pPr>
        <w:pStyle w:val="Heading3"/>
      </w:pPr>
      <w:bookmarkStart w:id="718" w:name="_Toc164691507"/>
      <w:bookmarkStart w:id="719" w:name="_Toc164767834"/>
      <w:bookmarkStart w:id="720" w:name="_Toc165473767"/>
      <w:bookmarkStart w:id="721" w:name="_Toc164696300"/>
      <w:bookmarkStart w:id="722" w:name="_Toc164696446"/>
      <w:r w:rsidRPr="00D20132">
        <w:t>Recommendations</w:t>
      </w:r>
      <w:bookmarkEnd w:id="718"/>
      <w:bookmarkEnd w:id="719"/>
      <w:bookmarkEnd w:id="720"/>
      <w:r w:rsidRPr="00D20132">
        <w:t xml:space="preserve"> </w:t>
      </w:r>
      <w:bookmarkEnd w:id="721"/>
      <w:bookmarkEnd w:id="722"/>
    </w:p>
    <w:p w14:paraId="7C86FB73" w14:textId="38847239" w:rsidR="00072EC2" w:rsidRPr="00072EC2" w:rsidRDefault="00072EC2" w:rsidP="00074B8A">
      <w:pPr>
        <w:pStyle w:val="Recommendation1"/>
      </w:pPr>
      <w:bookmarkStart w:id="723" w:name="_Hlk167302655"/>
      <w:r w:rsidRPr="00072EC2">
        <w:t xml:space="preserve">Horizon </w:t>
      </w:r>
      <w:r w:rsidR="00F659F0">
        <w:t>s</w:t>
      </w:r>
      <w:r w:rsidRPr="00072EC2">
        <w:t>canning</w:t>
      </w:r>
    </w:p>
    <w:bookmarkEnd w:id="723"/>
    <w:p w14:paraId="71F653A5" w14:textId="715BA2CD" w:rsidR="00E23E39" w:rsidRPr="00405FD7" w:rsidRDefault="00E23E39" w:rsidP="005F5549">
      <w:pPr>
        <w:rPr>
          <w:rFonts w:cs="Segoe UI"/>
        </w:rPr>
      </w:pPr>
      <w:r w:rsidRPr="00405FD7">
        <w:rPr>
          <w:rFonts w:cs="Segoe UI"/>
        </w:rPr>
        <w:t xml:space="preserve">The Review recommends </w:t>
      </w:r>
      <w:r w:rsidR="00405717">
        <w:rPr>
          <w:rFonts w:cs="Segoe UI"/>
        </w:rPr>
        <w:t xml:space="preserve">that </w:t>
      </w:r>
      <w:r w:rsidRPr="00405FD7">
        <w:rPr>
          <w:rFonts w:cs="Segoe UI"/>
        </w:rPr>
        <w:t>the Australian Government:</w:t>
      </w:r>
    </w:p>
    <w:p w14:paraId="724260A4" w14:textId="0EB5E08D" w:rsidR="00E23E39" w:rsidRPr="00D20132" w:rsidRDefault="00E23E39" w:rsidP="00281153">
      <w:pPr>
        <w:pStyle w:val="ListParagraph"/>
        <w:numPr>
          <w:ilvl w:val="0"/>
          <w:numId w:val="29"/>
        </w:numPr>
        <w:rPr>
          <w:rFonts w:cs="Segoe UI"/>
        </w:rPr>
      </w:pPr>
      <w:r w:rsidRPr="00D20132">
        <w:rPr>
          <w:rFonts w:cs="Segoe UI"/>
        </w:rPr>
        <w:t>establish an Australian horizon scanning function that supports the broad principles of:</w:t>
      </w:r>
    </w:p>
    <w:p w14:paraId="77827786" w14:textId="12BE77D1" w:rsidR="00E23E39" w:rsidRPr="00D20132" w:rsidRDefault="00405717" w:rsidP="00281153">
      <w:pPr>
        <w:pStyle w:val="ListParagraph"/>
        <w:numPr>
          <w:ilvl w:val="1"/>
          <w:numId w:val="29"/>
        </w:numPr>
        <w:rPr>
          <w:rFonts w:cs="Segoe UI"/>
        </w:rPr>
      </w:pPr>
      <w:r>
        <w:rPr>
          <w:rFonts w:cs="Segoe UI"/>
        </w:rPr>
        <w:t>i</w:t>
      </w:r>
      <w:r w:rsidR="00E23E39" w:rsidRPr="00D20132">
        <w:rPr>
          <w:rFonts w:cs="Segoe UI"/>
        </w:rPr>
        <w:t xml:space="preserve">mproving the quality of </w:t>
      </w:r>
      <w:r w:rsidR="002A2548" w:rsidRPr="002A2548">
        <w:rPr>
          <w:rFonts w:cs="Segoe UI"/>
        </w:rPr>
        <w:t>HTA</w:t>
      </w:r>
      <w:r w:rsidR="00A72F2E">
        <w:rPr>
          <w:rFonts w:cs="Segoe UI"/>
        </w:rPr>
        <w:t>s</w:t>
      </w:r>
      <w:r w:rsidR="00E23E39" w:rsidRPr="00D20132">
        <w:rPr>
          <w:rFonts w:cs="Segoe UI"/>
        </w:rPr>
        <w:t>, health policy and stakeholder engagement arrangements when considering the implications of new and emerging health technologies</w:t>
      </w:r>
    </w:p>
    <w:p w14:paraId="63304AEF" w14:textId="6E9DCE21" w:rsidR="00E23E39" w:rsidRPr="00D20132" w:rsidRDefault="00405717" w:rsidP="00281153">
      <w:pPr>
        <w:pStyle w:val="ListParagraph"/>
        <w:numPr>
          <w:ilvl w:val="1"/>
          <w:numId w:val="29"/>
        </w:numPr>
        <w:rPr>
          <w:rFonts w:cs="Segoe UI"/>
        </w:rPr>
      </w:pPr>
      <w:r>
        <w:rPr>
          <w:rFonts w:cs="Segoe UI"/>
        </w:rPr>
        <w:t>i</w:t>
      </w:r>
      <w:r w:rsidR="00E23E39" w:rsidRPr="00D20132">
        <w:rPr>
          <w:rFonts w:cs="Segoe UI"/>
        </w:rPr>
        <w:t xml:space="preserve">mproving stakeholder awareness and engagement </w:t>
      </w:r>
      <w:r>
        <w:rPr>
          <w:rFonts w:cs="Segoe UI"/>
        </w:rPr>
        <w:t>about</w:t>
      </w:r>
      <w:r w:rsidR="00E23E39" w:rsidRPr="00D20132">
        <w:rPr>
          <w:rFonts w:cs="Segoe UI"/>
        </w:rPr>
        <w:t xml:space="preserve"> technologies that may address important healthcare areas (e.g. </w:t>
      </w:r>
      <w:r w:rsidR="00E23E39">
        <w:rPr>
          <w:rFonts w:cs="Segoe UI"/>
        </w:rPr>
        <w:t>high unmet clinical need</w:t>
      </w:r>
      <w:r w:rsidR="007B5BE3">
        <w:rPr>
          <w:rFonts w:cs="Segoe UI"/>
        </w:rPr>
        <w:t xml:space="preserve"> (HUCN)</w:t>
      </w:r>
      <w:r w:rsidR="00E23E39" w:rsidRPr="00D20132">
        <w:rPr>
          <w:rFonts w:cs="Segoe UI"/>
        </w:rPr>
        <w:t>, national healthcare priorities</w:t>
      </w:r>
      <w:r>
        <w:rPr>
          <w:rFonts w:cs="Segoe UI"/>
        </w:rPr>
        <w:t xml:space="preserve"> and</w:t>
      </w:r>
      <w:r w:rsidR="00E23E39" w:rsidRPr="00D20132">
        <w:rPr>
          <w:rFonts w:cs="Segoe UI"/>
        </w:rPr>
        <w:t xml:space="preserve"> health equity considerations)</w:t>
      </w:r>
    </w:p>
    <w:p w14:paraId="4EB7AB62" w14:textId="17772259" w:rsidR="00E23E39" w:rsidRPr="00D20132" w:rsidRDefault="00405717" w:rsidP="00281153">
      <w:pPr>
        <w:pStyle w:val="ListParagraph"/>
        <w:numPr>
          <w:ilvl w:val="1"/>
          <w:numId w:val="29"/>
        </w:numPr>
        <w:rPr>
          <w:rFonts w:cs="Segoe UI"/>
        </w:rPr>
      </w:pPr>
      <w:r>
        <w:rPr>
          <w:rFonts w:cs="Segoe UI"/>
        </w:rPr>
        <w:t>s</w:t>
      </w:r>
      <w:r w:rsidR="00E23E39" w:rsidRPr="00D20132">
        <w:rPr>
          <w:rFonts w:cs="Segoe UI"/>
        </w:rPr>
        <w:t>upporting advice that helps</w:t>
      </w:r>
      <w:r w:rsidR="00E23E39">
        <w:rPr>
          <w:rFonts w:cs="Segoe UI"/>
        </w:rPr>
        <w:t xml:space="preserve"> </w:t>
      </w:r>
      <w:r w:rsidRPr="00D20132">
        <w:rPr>
          <w:rFonts w:cs="Segoe UI"/>
        </w:rPr>
        <w:t xml:space="preserve">healthcare payers </w:t>
      </w:r>
      <w:r>
        <w:rPr>
          <w:rFonts w:cs="Segoe UI"/>
        </w:rPr>
        <w:t xml:space="preserve">with </w:t>
      </w:r>
      <w:r w:rsidR="00E23E39" w:rsidRPr="00D20132">
        <w:rPr>
          <w:rFonts w:cs="Segoe UI"/>
        </w:rPr>
        <w:t xml:space="preserve">forward planning and </w:t>
      </w:r>
      <w:r>
        <w:rPr>
          <w:rFonts w:cs="Segoe UI"/>
        </w:rPr>
        <w:t xml:space="preserve">setting </w:t>
      </w:r>
      <w:r w:rsidR="00E23E39" w:rsidRPr="00D20132">
        <w:rPr>
          <w:rFonts w:cs="Segoe UI"/>
        </w:rPr>
        <w:t>priorit</w:t>
      </w:r>
      <w:r>
        <w:rPr>
          <w:rFonts w:cs="Segoe UI"/>
        </w:rPr>
        <w:t>ies</w:t>
      </w:r>
      <w:r w:rsidR="00520A2A">
        <w:rPr>
          <w:rFonts w:cs="Segoe UI"/>
        </w:rPr>
        <w:t>.</w:t>
      </w:r>
      <w:r w:rsidR="00E23E39" w:rsidRPr="00D20132">
        <w:rPr>
          <w:rFonts w:cs="Segoe UI"/>
        </w:rPr>
        <w:t xml:space="preserve"> </w:t>
      </w:r>
    </w:p>
    <w:p w14:paraId="7736B267" w14:textId="36F9B503" w:rsidR="00E23E39" w:rsidRPr="00D20132" w:rsidRDefault="007B5BE3" w:rsidP="00281153">
      <w:pPr>
        <w:pStyle w:val="ListParagraph"/>
        <w:numPr>
          <w:ilvl w:val="0"/>
          <w:numId w:val="29"/>
        </w:numPr>
        <w:rPr>
          <w:rFonts w:cs="Segoe UI"/>
        </w:rPr>
      </w:pPr>
      <w:r>
        <w:rPr>
          <w:rFonts w:cs="Segoe UI"/>
        </w:rPr>
        <w:t>w</w:t>
      </w:r>
      <w:r w:rsidR="00E23E39" w:rsidRPr="00D20132">
        <w:rPr>
          <w:rFonts w:cs="Segoe UI"/>
        </w:rPr>
        <w:t xml:space="preserve">ork with key stakeholders to ensure that the scope, audience, purpose, governance and outcomes of horizon scanning are appropriately designed so that information can be used to support evidence-based recommendations and advice that support improvements to health technology access and availability for Australian </w:t>
      </w:r>
      <w:r>
        <w:rPr>
          <w:rFonts w:cs="Segoe UI"/>
        </w:rPr>
        <w:t>citizens</w:t>
      </w:r>
    </w:p>
    <w:p w14:paraId="08671787" w14:textId="73E6E434" w:rsidR="00E23E39" w:rsidRPr="00D20132" w:rsidRDefault="007B5BE3" w:rsidP="00281153">
      <w:pPr>
        <w:pStyle w:val="ListParagraph"/>
        <w:numPr>
          <w:ilvl w:val="0"/>
          <w:numId w:val="29"/>
        </w:numPr>
        <w:rPr>
          <w:rFonts w:cs="Segoe UI"/>
        </w:rPr>
      </w:pPr>
      <w:r>
        <w:rPr>
          <w:rFonts w:cs="Segoe UI"/>
        </w:rPr>
        <w:t>prioritise</w:t>
      </w:r>
      <w:r w:rsidR="00E23E39" w:rsidRPr="00D20132" w:rsidDel="007B5BE3">
        <w:rPr>
          <w:rFonts w:cs="Segoe UI"/>
        </w:rPr>
        <w:t xml:space="preserve"> </w:t>
      </w:r>
      <w:r w:rsidR="00E23E39" w:rsidRPr="00D20132">
        <w:rPr>
          <w:rFonts w:cs="Segoe UI"/>
        </w:rPr>
        <w:t xml:space="preserve">horizon scanning activities in areas where </w:t>
      </w:r>
      <w:r w:rsidR="00E23E39">
        <w:rPr>
          <w:rFonts w:cs="Segoe UI"/>
        </w:rPr>
        <w:t xml:space="preserve">early attention is most likely to identify major health advances that address health inequities and </w:t>
      </w:r>
      <w:r>
        <w:rPr>
          <w:rFonts w:cs="Segoe UI"/>
        </w:rPr>
        <w:t>HUCN</w:t>
      </w:r>
      <w:r w:rsidR="00E23E39">
        <w:rPr>
          <w:rFonts w:cs="Segoe UI"/>
        </w:rPr>
        <w:t xml:space="preserve"> and/or have significant health system implications</w:t>
      </w:r>
      <w:r w:rsidR="00E23E39" w:rsidRPr="00D20132">
        <w:rPr>
          <w:rFonts w:cs="Segoe UI"/>
        </w:rPr>
        <w:t>, including (but not limited</w:t>
      </w:r>
      <w:r>
        <w:rPr>
          <w:rFonts w:cs="Segoe UI"/>
        </w:rPr>
        <w:t> </w:t>
      </w:r>
      <w:r w:rsidR="00E23E39" w:rsidRPr="00D20132">
        <w:rPr>
          <w:rFonts w:cs="Segoe UI"/>
        </w:rPr>
        <w:t>to):</w:t>
      </w:r>
    </w:p>
    <w:p w14:paraId="75FE3E20" w14:textId="1AE16785" w:rsidR="00E23E39" w:rsidRPr="00D20132" w:rsidRDefault="007B5BE3" w:rsidP="00281153">
      <w:pPr>
        <w:pStyle w:val="ListParagraph"/>
        <w:numPr>
          <w:ilvl w:val="1"/>
          <w:numId w:val="29"/>
        </w:numPr>
        <w:rPr>
          <w:rFonts w:cs="Segoe UI"/>
        </w:rPr>
      </w:pPr>
      <w:r>
        <w:rPr>
          <w:rFonts w:cs="Segoe UI"/>
        </w:rPr>
        <w:t>a</w:t>
      </w:r>
      <w:r w:rsidR="00E23E39" w:rsidRPr="00CC2C89">
        <w:rPr>
          <w:rFonts w:cs="Segoe UI"/>
        </w:rPr>
        <w:t xml:space="preserve">dvanced </w:t>
      </w:r>
      <w:r>
        <w:rPr>
          <w:rFonts w:cs="Segoe UI"/>
        </w:rPr>
        <w:t>t</w:t>
      </w:r>
      <w:r w:rsidR="00E23E39" w:rsidRPr="00CC2C89">
        <w:rPr>
          <w:rFonts w:cs="Segoe UI"/>
        </w:rPr>
        <w:t>herap</w:t>
      </w:r>
      <w:r w:rsidR="00CC2C89" w:rsidRPr="00CC2C89">
        <w:rPr>
          <w:rFonts w:cs="Segoe UI"/>
        </w:rPr>
        <w:t>ies</w:t>
      </w:r>
      <w:r w:rsidR="00E23E39" w:rsidRPr="00CC2C89" w:rsidDel="007B5BE3">
        <w:rPr>
          <w:rFonts w:cs="Segoe UI"/>
        </w:rPr>
        <w:t xml:space="preserve"> </w:t>
      </w:r>
      <w:r w:rsidR="00E23E39" w:rsidRPr="00CC2C89">
        <w:rPr>
          <w:rFonts w:cs="Segoe UI"/>
        </w:rPr>
        <w:t>and</w:t>
      </w:r>
      <w:r w:rsidR="00E23E39" w:rsidRPr="00D20132">
        <w:rPr>
          <w:rFonts w:cs="Segoe UI"/>
        </w:rPr>
        <w:t xml:space="preserve"> health technologies that require collaboration between multiple health</w:t>
      </w:r>
      <w:r w:rsidR="008722C8">
        <w:rPr>
          <w:rFonts w:cs="Segoe UI"/>
        </w:rPr>
        <w:t>care</w:t>
      </w:r>
      <w:r w:rsidR="00E23E39" w:rsidRPr="00D20132">
        <w:rPr>
          <w:rFonts w:cs="Segoe UI"/>
        </w:rPr>
        <w:t xml:space="preserve"> payers</w:t>
      </w:r>
      <w:r>
        <w:rPr>
          <w:rFonts w:cs="Segoe UI"/>
        </w:rPr>
        <w:t xml:space="preserve"> and </w:t>
      </w:r>
      <w:r w:rsidR="00E23E39" w:rsidRPr="00D20132">
        <w:rPr>
          <w:rFonts w:cs="Segoe UI"/>
        </w:rPr>
        <w:t xml:space="preserve">providers (including, but not limited to, </w:t>
      </w:r>
      <w:r w:rsidR="00E23E39">
        <w:rPr>
          <w:rFonts w:cs="Segoe UI"/>
        </w:rPr>
        <w:t>state</w:t>
      </w:r>
      <w:r w:rsidR="00FA396E">
        <w:rPr>
          <w:rFonts w:cs="Segoe UI"/>
        </w:rPr>
        <w:t>s</w:t>
      </w:r>
      <w:r w:rsidR="00E23E39">
        <w:rPr>
          <w:rFonts w:cs="Segoe UI"/>
        </w:rPr>
        <w:t xml:space="preserve"> and territories</w:t>
      </w:r>
      <w:r w:rsidR="00E23E39" w:rsidRPr="00D20132">
        <w:rPr>
          <w:rFonts w:cs="Segoe UI"/>
        </w:rPr>
        <w:t>)</w:t>
      </w:r>
    </w:p>
    <w:p w14:paraId="35A258A6" w14:textId="11475598" w:rsidR="00E23E39" w:rsidRPr="00D20132" w:rsidRDefault="007B5BE3" w:rsidP="00281153">
      <w:pPr>
        <w:pStyle w:val="ListParagraph"/>
        <w:numPr>
          <w:ilvl w:val="1"/>
          <w:numId w:val="29"/>
        </w:numPr>
        <w:rPr>
          <w:rFonts w:cs="Segoe UI"/>
        </w:rPr>
      </w:pPr>
      <w:r>
        <w:rPr>
          <w:rFonts w:cs="Segoe UI"/>
        </w:rPr>
        <w:t>h</w:t>
      </w:r>
      <w:r w:rsidR="00E23E39" w:rsidRPr="00D20132">
        <w:rPr>
          <w:rFonts w:cs="Segoe UI"/>
        </w:rPr>
        <w:t>ealth technologies that may support improvements in health equity (including, but not limited to, F</w:t>
      </w:r>
      <w:r w:rsidR="00E23E39">
        <w:rPr>
          <w:rFonts w:cs="Segoe UI"/>
        </w:rPr>
        <w:t xml:space="preserve">irst </w:t>
      </w:r>
      <w:r w:rsidR="00E23E39" w:rsidRPr="00D20132">
        <w:rPr>
          <w:rFonts w:cs="Segoe UI"/>
        </w:rPr>
        <w:t>N</w:t>
      </w:r>
      <w:r w:rsidR="00E23E39">
        <w:rPr>
          <w:rFonts w:cs="Segoe UI"/>
        </w:rPr>
        <w:t>ations</w:t>
      </w:r>
      <w:r w:rsidR="00E23E39" w:rsidRPr="00D20132">
        <w:rPr>
          <w:rFonts w:cs="Segoe UI"/>
        </w:rPr>
        <w:t xml:space="preserve"> health</w:t>
      </w:r>
      <w:r>
        <w:rPr>
          <w:rFonts w:cs="Segoe UI"/>
        </w:rPr>
        <w:t xml:space="preserve"> and</w:t>
      </w:r>
      <w:r w:rsidR="00E23E39" w:rsidRPr="00D20132">
        <w:rPr>
          <w:rFonts w:cs="Segoe UI"/>
        </w:rPr>
        <w:t xml:space="preserve"> areas of </w:t>
      </w:r>
      <w:r>
        <w:rPr>
          <w:rFonts w:cs="Segoe UI"/>
        </w:rPr>
        <w:t>HUCN</w:t>
      </w:r>
      <w:r w:rsidR="00E23E39" w:rsidRPr="00D20132">
        <w:rPr>
          <w:rFonts w:cs="Segoe UI"/>
        </w:rPr>
        <w:t>) and national health priority areas</w:t>
      </w:r>
      <w:r w:rsidR="0092158E">
        <w:rPr>
          <w:rFonts w:cs="Segoe UI"/>
        </w:rPr>
        <w:t>.</w:t>
      </w:r>
    </w:p>
    <w:p w14:paraId="302F9812" w14:textId="07A53737" w:rsidR="00E23E39" w:rsidRPr="00D20132" w:rsidRDefault="007B5BE3" w:rsidP="00281153">
      <w:pPr>
        <w:pStyle w:val="ListParagraph"/>
        <w:numPr>
          <w:ilvl w:val="0"/>
          <w:numId w:val="29"/>
        </w:numPr>
        <w:rPr>
          <w:rFonts w:cs="Segoe UI"/>
        </w:rPr>
      </w:pPr>
      <w:r>
        <w:rPr>
          <w:rFonts w:cs="Segoe UI"/>
        </w:rPr>
        <w:t>p</w:t>
      </w:r>
      <w:r w:rsidR="00E23E39" w:rsidRPr="00D20132">
        <w:rPr>
          <w:rFonts w:cs="Segoe UI"/>
        </w:rPr>
        <w:t>rovi</w:t>
      </w:r>
      <w:r w:rsidR="00926D10">
        <w:rPr>
          <w:rFonts w:cs="Segoe UI"/>
        </w:rPr>
        <w:t>de</w:t>
      </w:r>
      <w:r w:rsidR="00E23E39" w:rsidRPr="00D20132">
        <w:rPr>
          <w:rFonts w:cs="Segoe UI"/>
        </w:rPr>
        <w:t xml:space="preserve"> adequate resourcing to support effective and efficient ongoing operation of the program after </w:t>
      </w:r>
      <w:r w:rsidR="00E23E39">
        <w:rPr>
          <w:rFonts w:cs="Segoe UI"/>
        </w:rPr>
        <w:t xml:space="preserve">open </w:t>
      </w:r>
      <w:r w:rsidR="00E23E39" w:rsidRPr="00D20132">
        <w:rPr>
          <w:rFonts w:cs="Segoe UI"/>
        </w:rPr>
        <w:t xml:space="preserve">engagement with stakeholders </w:t>
      </w:r>
      <w:r w:rsidR="00BC463A">
        <w:rPr>
          <w:rFonts w:cs="Segoe UI"/>
        </w:rPr>
        <w:t>about</w:t>
      </w:r>
      <w:r w:rsidR="00E23E39" w:rsidRPr="00D20132">
        <w:rPr>
          <w:rFonts w:cs="Segoe UI"/>
        </w:rPr>
        <w:t xml:space="preserve"> cost</w:t>
      </w:r>
      <w:r w:rsidR="00BC463A">
        <w:rPr>
          <w:rFonts w:cs="Segoe UI"/>
        </w:rPr>
        <w:t>s</w:t>
      </w:r>
      <w:r w:rsidR="00E23E39" w:rsidRPr="00D20132">
        <w:rPr>
          <w:rFonts w:cs="Segoe UI"/>
        </w:rPr>
        <w:t xml:space="preserve"> and related contributory implications</w:t>
      </w:r>
    </w:p>
    <w:p w14:paraId="2CE9B41F" w14:textId="7082EFA0" w:rsidR="00E23E39" w:rsidRPr="00D20132" w:rsidRDefault="00BC463A" w:rsidP="00281153">
      <w:pPr>
        <w:pStyle w:val="ListParagraph"/>
        <w:keepNext/>
        <w:numPr>
          <w:ilvl w:val="0"/>
          <w:numId w:val="29"/>
        </w:numPr>
        <w:rPr>
          <w:rFonts w:cs="Segoe UI"/>
        </w:rPr>
      </w:pPr>
      <w:r>
        <w:rPr>
          <w:rFonts w:cs="Segoe UI"/>
        </w:rPr>
        <w:lastRenderedPageBreak/>
        <w:t>e</w:t>
      </w:r>
      <w:r w:rsidR="00E23E39" w:rsidRPr="00D20132">
        <w:rPr>
          <w:rFonts w:cs="Segoe UI"/>
        </w:rPr>
        <w:t>stablish appropriate governance arrangements after consult</w:t>
      </w:r>
      <w:r>
        <w:rPr>
          <w:rFonts w:cs="Segoe UI"/>
        </w:rPr>
        <w:t>ing</w:t>
      </w:r>
      <w:r w:rsidR="00E23E39" w:rsidRPr="00D20132" w:rsidDel="00BC463A">
        <w:rPr>
          <w:rFonts w:cs="Segoe UI"/>
        </w:rPr>
        <w:t xml:space="preserve"> </w:t>
      </w:r>
      <w:r w:rsidR="00E23E39" w:rsidRPr="00D20132">
        <w:rPr>
          <w:rFonts w:cs="Segoe UI"/>
        </w:rPr>
        <w:t>stakeholders, and put in place arrangements to:</w:t>
      </w:r>
    </w:p>
    <w:p w14:paraId="1CAFCAFA" w14:textId="3FAF465C" w:rsidR="00E23E39" w:rsidRPr="00D20132" w:rsidRDefault="00E23E39" w:rsidP="00281153">
      <w:pPr>
        <w:pStyle w:val="ListParagraph"/>
        <w:numPr>
          <w:ilvl w:val="1"/>
          <w:numId w:val="29"/>
        </w:numPr>
        <w:rPr>
          <w:rFonts w:cs="Segoe UI"/>
        </w:rPr>
      </w:pPr>
      <w:r w:rsidRPr="00D20132">
        <w:rPr>
          <w:rFonts w:cs="Segoe UI"/>
        </w:rPr>
        <w:t xml:space="preserve">review the horizon scanning function periodically </w:t>
      </w:r>
    </w:p>
    <w:p w14:paraId="746CDD7E" w14:textId="1A2742BC" w:rsidR="00E23E39" w:rsidRPr="002015E7" w:rsidRDefault="00E23E39" w:rsidP="00CB457C">
      <w:pPr>
        <w:pStyle w:val="ListParagraph"/>
        <w:numPr>
          <w:ilvl w:val="1"/>
          <w:numId w:val="29"/>
        </w:numPr>
        <w:spacing w:after="240"/>
        <w:rPr>
          <w:rFonts w:cs="Segoe UI"/>
        </w:rPr>
      </w:pPr>
      <w:r w:rsidRPr="00D20132">
        <w:rPr>
          <w:rFonts w:cs="Segoe UI"/>
        </w:rPr>
        <w:t xml:space="preserve">support necessary dialogue with stakeholders to adjust the function’s operation over time to ensure </w:t>
      </w:r>
      <w:r w:rsidR="00BC463A">
        <w:rPr>
          <w:rFonts w:cs="Segoe UI"/>
        </w:rPr>
        <w:t xml:space="preserve">it continues to provide </w:t>
      </w:r>
      <w:r w:rsidRPr="00D20132">
        <w:rPr>
          <w:rFonts w:cs="Segoe UI"/>
        </w:rPr>
        <w:t>efficien</w:t>
      </w:r>
      <w:r w:rsidR="00BC463A">
        <w:rPr>
          <w:rFonts w:cs="Segoe UI"/>
        </w:rPr>
        <w:t xml:space="preserve">t </w:t>
      </w:r>
      <w:r w:rsidRPr="00D20132">
        <w:rPr>
          <w:rFonts w:cs="Segoe UI"/>
        </w:rPr>
        <w:t xml:space="preserve">and effective outcomes </w:t>
      </w:r>
      <w:r w:rsidR="00BC463A">
        <w:rPr>
          <w:rFonts w:cs="Segoe UI"/>
        </w:rPr>
        <w:t>that meet</w:t>
      </w:r>
      <w:r w:rsidRPr="00D20132">
        <w:rPr>
          <w:rFonts w:cs="Segoe UI"/>
        </w:rPr>
        <w:t xml:space="preserve"> the agreed purpose(s) and scope(s). </w:t>
      </w:r>
    </w:p>
    <w:p w14:paraId="0F7A19D2" w14:textId="1D9F26C4" w:rsidR="00E23E39" w:rsidRPr="0019054D" w:rsidRDefault="006C370B" w:rsidP="00F51C08">
      <w:pPr>
        <w:pStyle w:val="Heading2"/>
      </w:pPr>
      <w:bookmarkStart w:id="724" w:name="_Toc1889104278"/>
      <w:bookmarkStart w:id="725" w:name="_Toc160635081"/>
      <w:bookmarkStart w:id="726" w:name="_Toc164685860"/>
      <w:bookmarkStart w:id="727" w:name="_Toc164691508"/>
      <w:bookmarkStart w:id="728" w:name="_Toc164696301"/>
      <w:bookmarkStart w:id="729" w:name="_Toc164696447"/>
      <w:bookmarkStart w:id="730" w:name="_Toc164767835"/>
      <w:bookmarkStart w:id="731" w:name="_Toc165473768"/>
      <w:bookmarkStart w:id="732" w:name="_Toc171935903"/>
      <w:r>
        <w:t xml:space="preserve">Chapter </w:t>
      </w:r>
      <w:r w:rsidR="00872D38" w:rsidRPr="0019054D">
        <w:t>9</w:t>
      </w:r>
      <w:r w:rsidR="00E23E39" w:rsidRPr="0019054D">
        <w:t>.3</w:t>
      </w:r>
      <w:r>
        <w:t>:</w:t>
      </w:r>
      <w:r w:rsidR="00E23E39" w:rsidRPr="0019054D">
        <w:t xml:space="preserve"> Mechanisms for continuous review and improvement</w:t>
      </w:r>
      <w:bookmarkEnd w:id="724"/>
      <w:bookmarkEnd w:id="725"/>
      <w:bookmarkEnd w:id="726"/>
      <w:bookmarkEnd w:id="727"/>
      <w:bookmarkEnd w:id="728"/>
      <w:bookmarkEnd w:id="729"/>
      <w:bookmarkEnd w:id="730"/>
      <w:bookmarkEnd w:id="731"/>
      <w:bookmarkEnd w:id="732"/>
    </w:p>
    <w:p w14:paraId="3C5FC990" w14:textId="6DCDFC87" w:rsidR="001C061E" w:rsidRPr="00621C17" w:rsidRDefault="00B1572B" w:rsidP="00A318F7">
      <w:pPr>
        <w:pStyle w:val="Heading3"/>
      </w:pPr>
      <w:bookmarkStart w:id="733" w:name="_Ref155963785"/>
      <w:bookmarkStart w:id="734" w:name="_Toc157029135"/>
      <w:bookmarkStart w:id="735" w:name="_Toc157029504"/>
      <w:r>
        <w:t>Introduction and context</w:t>
      </w:r>
    </w:p>
    <w:p w14:paraId="7C09E3F0" w14:textId="7AB4B545" w:rsidR="00E23E39" w:rsidRDefault="00E23E39" w:rsidP="00405FD7">
      <w:r w:rsidRPr="00F86FDE">
        <w:t>Australia’s HTA processes and methods have continuously evolved since the introduction of HTA</w:t>
      </w:r>
      <w:r w:rsidR="006A1246">
        <w:t>s</w:t>
      </w:r>
      <w:r w:rsidRPr="00F86FDE">
        <w:t xml:space="preserve"> in Australia in 1993</w:t>
      </w:r>
      <w:r w:rsidR="006A1246">
        <w:t>. This</w:t>
      </w:r>
      <w:r w:rsidRPr="00F86FDE">
        <w:t xml:space="preserve"> includ</w:t>
      </w:r>
      <w:r w:rsidR="006A1246">
        <w:t>es</w:t>
      </w:r>
      <w:r w:rsidRPr="00F86FDE">
        <w:t xml:space="preserve"> updates to HTA guidance, polic</w:t>
      </w:r>
      <w:r w:rsidR="006A1246">
        <w:t>y</w:t>
      </w:r>
      <w:r w:rsidRPr="00F86FDE">
        <w:t xml:space="preserve"> and processes.</w:t>
      </w:r>
      <w:r>
        <w:t xml:space="preserve"> </w:t>
      </w:r>
    </w:p>
    <w:p w14:paraId="227A77D5" w14:textId="529529DD" w:rsidR="00E23E39" w:rsidRPr="00615EF8" w:rsidRDefault="00E23E39" w:rsidP="00405FD7">
      <w:r>
        <w:t xml:space="preserve">From </w:t>
      </w:r>
      <w:r w:rsidR="00AB1934">
        <w:t xml:space="preserve">the perspective of reviewing and improving </w:t>
      </w:r>
      <w:r>
        <w:t>process</w:t>
      </w:r>
      <w:r w:rsidR="00AB1934">
        <w:t>es</w:t>
      </w:r>
      <w:r>
        <w:t xml:space="preserve">, </w:t>
      </w:r>
      <w:r w:rsidRPr="00D20132">
        <w:t>commitments to streamlin</w:t>
      </w:r>
      <w:r>
        <w:t xml:space="preserve">ing </w:t>
      </w:r>
      <w:r w:rsidRPr="00D20132">
        <w:t>medicines listing proce</w:t>
      </w:r>
      <w:r w:rsidR="00DF0B01">
        <w:t>dures</w:t>
      </w:r>
      <w:r>
        <w:t xml:space="preserve"> and changes to </w:t>
      </w:r>
      <w:r w:rsidRPr="00D20132">
        <w:t>cost</w:t>
      </w:r>
      <w:r w:rsidR="00F35A31">
        <w:t>-</w:t>
      </w:r>
      <w:r w:rsidRPr="00D20132">
        <w:t>recovery arrangements</w:t>
      </w:r>
      <w:r>
        <w:t xml:space="preserve"> are set out in the two most recent </w:t>
      </w:r>
      <w:r w:rsidR="00F35A31">
        <w:t>s</w:t>
      </w:r>
      <w:r>
        <w:t xml:space="preserve">trategic </w:t>
      </w:r>
      <w:r w:rsidR="00F35A31">
        <w:t>a</w:t>
      </w:r>
      <w:r>
        <w:t>greements with Medicines Australia</w:t>
      </w:r>
      <w:r w:rsidR="00DF0B01">
        <w:t>.</w:t>
      </w:r>
      <w:r>
        <w:rPr>
          <w:rStyle w:val="FootnoteReference"/>
          <w:rFonts w:cs="Segoe UI"/>
        </w:rPr>
        <w:footnoteReference w:id="218"/>
      </w:r>
      <w:r>
        <w:t xml:space="preserve"> </w:t>
      </w:r>
      <w:r w:rsidR="00DF0B01">
        <w:t>These</w:t>
      </w:r>
      <w:r>
        <w:t xml:space="preserve"> include publi</w:t>
      </w:r>
      <w:r w:rsidR="00DF0B01">
        <w:t>shing</w:t>
      </w:r>
      <w:r>
        <w:t xml:space="preserve"> and reporting against agreed metrics and </w:t>
      </w:r>
      <w:r w:rsidR="00B96DBA">
        <w:t>key performance indicators (</w:t>
      </w:r>
      <w:r>
        <w:t>KPIs</w:t>
      </w:r>
      <w:r w:rsidR="00B96DBA">
        <w:t>)</w:t>
      </w:r>
      <w:r>
        <w:t>.</w:t>
      </w:r>
    </w:p>
    <w:p w14:paraId="4F53F3C7" w14:textId="0ED0C645" w:rsidR="00E23E39" w:rsidRDefault="00E23E39" w:rsidP="00405FD7">
      <w:r>
        <w:t xml:space="preserve">However, </w:t>
      </w:r>
      <w:r w:rsidRPr="00F86FDE">
        <w:t>the approach to formal</w:t>
      </w:r>
      <w:r w:rsidR="00DF0B01">
        <w:t>ly</w:t>
      </w:r>
      <w:r w:rsidRPr="00F86FDE">
        <w:t xml:space="preserve"> review</w:t>
      </w:r>
      <w:r w:rsidR="00DF0B01">
        <w:t>ing</w:t>
      </w:r>
      <w:r w:rsidRPr="00F86FDE">
        <w:t xml:space="preserve"> and improv</w:t>
      </w:r>
      <w:r w:rsidR="00DF0B01">
        <w:t>ing</w:t>
      </w:r>
      <w:r w:rsidRPr="00F86FDE">
        <w:t xml:space="preserve"> HTA arrangements (at technical, process and policy levels) can be irregular</w:t>
      </w:r>
      <w:r w:rsidR="00DF0B01">
        <w:t>. It</w:t>
      </w:r>
      <w:r w:rsidRPr="00F86FDE">
        <w:t xml:space="preserve"> is </w:t>
      </w:r>
      <w:r w:rsidR="00DF0B01">
        <w:t xml:space="preserve">also </w:t>
      </w:r>
      <w:r w:rsidRPr="00F86FDE">
        <w:t>often driven by specific external circumstances, rather than as part of a continuous process or program of work</w:t>
      </w:r>
      <w:r>
        <w:t xml:space="preserve">. For </w:t>
      </w:r>
      <w:r w:rsidR="00DF0B01">
        <w:t>example</w:t>
      </w:r>
      <w:r>
        <w:t>:</w:t>
      </w:r>
    </w:p>
    <w:p w14:paraId="62BC0B7B" w14:textId="45A65EB5" w:rsidR="00E23E39" w:rsidRDefault="00DF0B01" w:rsidP="00281153">
      <w:pPr>
        <w:pStyle w:val="ListBullet"/>
        <w:numPr>
          <w:ilvl w:val="0"/>
          <w:numId w:val="90"/>
        </w:numPr>
      </w:pPr>
      <w:r>
        <w:t>W</w:t>
      </w:r>
      <w:r w:rsidR="00E23E39" w:rsidRPr="000232C2">
        <w:t>hile</w:t>
      </w:r>
      <w:r w:rsidR="00E23E39" w:rsidRPr="000232C2" w:rsidDel="00DF0B01">
        <w:t xml:space="preserve"> </w:t>
      </w:r>
      <w:r w:rsidR="00E23E39" w:rsidRPr="000232C2">
        <w:t xml:space="preserve">HTA </w:t>
      </w:r>
      <w:r w:rsidR="00C16518">
        <w:t xml:space="preserve">advisory </w:t>
      </w:r>
      <w:r w:rsidR="00E23E39" w:rsidRPr="000232C2">
        <w:t xml:space="preserve">committee guidelines </w:t>
      </w:r>
      <w:r>
        <w:t xml:space="preserve">have been changed </w:t>
      </w:r>
      <w:proofErr w:type="gramStart"/>
      <w:r>
        <w:t>a number of</w:t>
      </w:r>
      <w:proofErr w:type="gramEnd"/>
      <w:r>
        <w:t xml:space="preserve"> times </w:t>
      </w:r>
      <w:r w:rsidR="00E23E39" w:rsidRPr="000232C2">
        <w:t>since the</w:t>
      </w:r>
      <w:r>
        <w:t>y were</w:t>
      </w:r>
      <w:r w:rsidR="00E23E39" w:rsidRPr="000232C2">
        <w:t xml:space="preserve"> establish</w:t>
      </w:r>
      <w:r>
        <w:t>ed</w:t>
      </w:r>
      <w:r w:rsidR="00E23E39" w:rsidRPr="000232C2">
        <w:t xml:space="preserve">, </w:t>
      </w:r>
      <w:r w:rsidR="00E23E39">
        <w:t xml:space="preserve">there is </w:t>
      </w:r>
      <w:r w:rsidR="00E23E39" w:rsidRPr="000232C2">
        <w:t xml:space="preserve">no formal or systematic </w:t>
      </w:r>
      <w:r w:rsidR="00E23E39">
        <w:t xml:space="preserve">schedule for </w:t>
      </w:r>
      <w:r w:rsidR="00E23E39" w:rsidRPr="000232C2">
        <w:t>reviewing the</w:t>
      </w:r>
      <w:r w:rsidR="008C6988">
        <w:t>m. M</w:t>
      </w:r>
      <w:r w:rsidR="00E23E39">
        <w:t xml:space="preserve">ajor updates </w:t>
      </w:r>
      <w:r>
        <w:t xml:space="preserve">take place at </w:t>
      </w:r>
      <w:r w:rsidR="00E23E39" w:rsidRPr="000232C2">
        <w:t>6</w:t>
      </w:r>
      <w:r>
        <w:t>-</w:t>
      </w:r>
      <w:r w:rsidR="008C6988">
        <w:t xml:space="preserve"> </w:t>
      </w:r>
      <w:r w:rsidR="00FA396E">
        <w:t>to</w:t>
      </w:r>
      <w:r>
        <w:t xml:space="preserve"> </w:t>
      </w:r>
      <w:r w:rsidR="00E23E39" w:rsidRPr="000232C2">
        <w:t>10</w:t>
      </w:r>
      <w:r w:rsidR="008C6988">
        <w:noBreakHyphen/>
      </w:r>
      <w:r w:rsidR="00E23E39" w:rsidRPr="000232C2">
        <w:t xml:space="preserve">year intervals. </w:t>
      </w:r>
    </w:p>
    <w:p w14:paraId="631166FE" w14:textId="1A32B7E7" w:rsidR="00E23E39" w:rsidRDefault="008C6988" w:rsidP="00281153">
      <w:pPr>
        <w:pStyle w:val="ListBullet"/>
        <w:numPr>
          <w:ilvl w:val="0"/>
          <w:numId w:val="90"/>
        </w:numPr>
      </w:pPr>
      <w:r>
        <w:t xml:space="preserve">Before this Review, </w:t>
      </w:r>
      <w:r w:rsidR="00E23E39" w:rsidDel="008C6988">
        <w:t>t</w:t>
      </w:r>
      <w:r w:rsidR="00E23E39">
        <w:t xml:space="preserve">he </w:t>
      </w:r>
      <w:r>
        <w:t>last</w:t>
      </w:r>
      <w:r w:rsidR="00E23E39">
        <w:t xml:space="preserve"> HTA review </w:t>
      </w:r>
      <w:r w:rsidR="00E23E39" w:rsidRPr="000232C2">
        <w:t xml:space="preserve">was undertaken by the </w:t>
      </w:r>
      <w:r w:rsidR="00E23E39">
        <w:t xml:space="preserve">then </w:t>
      </w:r>
      <w:r w:rsidR="00E23E39" w:rsidRPr="000232C2">
        <w:t xml:space="preserve">Department of Health and </w:t>
      </w:r>
      <w:r w:rsidR="00E23E39">
        <w:t>Ageing in 2009</w:t>
      </w:r>
      <w:r>
        <w:t>. Its</w:t>
      </w:r>
      <w:r w:rsidR="00E23E39">
        <w:t xml:space="preserve"> </w:t>
      </w:r>
      <w:r w:rsidR="00E23E39" w:rsidRPr="000232C2">
        <w:t>focus</w:t>
      </w:r>
      <w:r>
        <w:t xml:space="preserve"> included</w:t>
      </w:r>
      <w:r w:rsidR="00E23E39">
        <w:rPr>
          <w:i/>
        </w:rPr>
        <w:t xml:space="preserve"> </w:t>
      </w:r>
      <w:r w:rsidR="00E23E39">
        <w:t>streamlin</w:t>
      </w:r>
      <w:r>
        <w:t>ing the</w:t>
      </w:r>
      <w:r w:rsidR="00E23E39">
        <w:t xml:space="preserve"> arrangements for the </w:t>
      </w:r>
      <w:r w:rsidR="00D50D60">
        <w:t xml:space="preserve">then </w:t>
      </w:r>
      <w:r w:rsidR="00E23E39">
        <w:t>Prostheses List</w:t>
      </w:r>
      <w:r w:rsidR="00D50D60">
        <w:t xml:space="preserve"> (now the Prescribed List of Medical Devices and Human Tissue Products)</w:t>
      </w:r>
      <w:r w:rsidR="00E23E39">
        <w:t xml:space="preserve">, improving the rigour and efficiency of </w:t>
      </w:r>
      <w:r w:rsidR="00DE77FC">
        <w:t xml:space="preserve">the </w:t>
      </w:r>
      <w:r w:rsidR="00E23E39">
        <w:t>MSAC</w:t>
      </w:r>
      <w:r>
        <w:t>,</w:t>
      </w:r>
      <w:r w:rsidR="00E23E39">
        <w:t xml:space="preserve"> and improv</w:t>
      </w:r>
      <w:r>
        <w:t xml:space="preserve">ing the </w:t>
      </w:r>
      <w:r w:rsidR="00E23E39">
        <w:t>transparency and post-market surveillance of health technologies</w:t>
      </w:r>
      <w:r w:rsidR="00E23E39" w:rsidRPr="000232C2">
        <w:t xml:space="preserve">. </w:t>
      </w:r>
    </w:p>
    <w:p w14:paraId="2DA8FB09" w14:textId="5DD0A729" w:rsidR="00E23E39" w:rsidRPr="000232C2" w:rsidRDefault="00E23E39" w:rsidP="00281153">
      <w:pPr>
        <w:pStyle w:val="ListBullet"/>
        <w:numPr>
          <w:ilvl w:val="0"/>
          <w:numId w:val="90"/>
        </w:numPr>
      </w:pPr>
      <w:r>
        <w:t>Post-</w:t>
      </w:r>
      <w:r w:rsidR="008C6988">
        <w:t>m</w:t>
      </w:r>
      <w:r>
        <w:t xml:space="preserve">arket </w:t>
      </w:r>
      <w:r w:rsidR="008C6988">
        <w:t>r</w:t>
      </w:r>
      <w:r>
        <w:t>eview</w:t>
      </w:r>
      <w:r w:rsidR="00462F18">
        <w:t xml:space="preserve"> </w:t>
      </w:r>
      <w:r w:rsidR="00722BA5" w:rsidDel="008C6988">
        <w:t xml:space="preserve">(PMR) </w:t>
      </w:r>
      <w:r>
        <w:t xml:space="preserve">findings </w:t>
      </w:r>
      <w:r w:rsidRPr="00D20132">
        <w:t xml:space="preserve">can </w:t>
      </w:r>
      <w:r>
        <w:t>also on occasion prompt</w:t>
      </w:r>
      <w:r w:rsidRPr="00D20132">
        <w:t xml:space="preserve"> changes </w:t>
      </w:r>
      <w:r>
        <w:t xml:space="preserve">to </w:t>
      </w:r>
      <w:r w:rsidRPr="00D20132">
        <w:t xml:space="preserve">policy relating to </w:t>
      </w:r>
      <w:r>
        <w:t xml:space="preserve">medicines </w:t>
      </w:r>
      <w:r w:rsidRPr="00D20132">
        <w:t>evaluation or supply</w:t>
      </w:r>
      <w:r>
        <w:t xml:space="preserve">. </w:t>
      </w:r>
    </w:p>
    <w:p w14:paraId="46B35D2A" w14:textId="0859EC0E" w:rsidR="00E23E39" w:rsidRPr="00F5494B" w:rsidRDefault="00E23E39" w:rsidP="00405FD7">
      <w:pPr>
        <w:rPr>
          <w:rFonts w:cs="Segoe UI"/>
        </w:rPr>
      </w:pPr>
      <w:bookmarkStart w:id="736" w:name="_PBS_Metrics"/>
      <w:bookmarkEnd w:id="736"/>
      <w:r w:rsidRPr="003F3FE5">
        <w:rPr>
          <w:rFonts w:cs="Segoe UI"/>
        </w:rPr>
        <w:lastRenderedPageBreak/>
        <w:t xml:space="preserve">In response to these observations, the Review </w:t>
      </w:r>
      <w:r>
        <w:rPr>
          <w:rFonts w:cs="Segoe UI"/>
        </w:rPr>
        <w:t xml:space="preserve">investigated </w:t>
      </w:r>
      <w:r w:rsidRPr="00F5494B">
        <w:rPr>
          <w:rFonts w:cs="Segoe UI"/>
        </w:rPr>
        <w:t>whether approaches to support continu</w:t>
      </w:r>
      <w:r w:rsidR="009E3310">
        <w:rPr>
          <w:rFonts w:cs="Segoe UI"/>
        </w:rPr>
        <w:t>ously</w:t>
      </w:r>
      <w:r w:rsidRPr="00F5494B">
        <w:rPr>
          <w:rFonts w:cs="Segoe UI"/>
        </w:rPr>
        <w:t xml:space="preserve"> review</w:t>
      </w:r>
      <w:r w:rsidR="008C6988">
        <w:rPr>
          <w:rFonts w:cs="Segoe UI"/>
        </w:rPr>
        <w:t>ing</w:t>
      </w:r>
      <w:r w:rsidRPr="00F5494B">
        <w:rPr>
          <w:rFonts w:cs="Segoe UI"/>
        </w:rPr>
        <w:t xml:space="preserve"> and improv</w:t>
      </w:r>
      <w:r w:rsidR="008C6988">
        <w:rPr>
          <w:rFonts w:cs="Segoe UI"/>
        </w:rPr>
        <w:t>ing</w:t>
      </w:r>
      <w:r w:rsidRPr="00F5494B">
        <w:rPr>
          <w:rFonts w:cs="Segoe UI"/>
        </w:rPr>
        <w:t xml:space="preserve"> HTA-related policies</w:t>
      </w:r>
      <w:r w:rsidRPr="00D20132">
        <w:rPr>
          <w:rFonts w:cs="Segoe UI"/>
        </w:rPr>
        <w:t>,</w:t>
      </w:r>
      <w:r>
        <w:rPr>
          <w:rFonts w:cs="Segoe UI"/>
        </w:rPr>
        <w:t xml:space="preserve"> guidelines </w:t>
      </w:r>
      <w:r w:rsidRPr="00D20132">
        <w:rPr>
          <w:rFonts w:cs="Segoe UI"/>
        </w:rPr>
        <w:t xml:space="preserve">and processes </w:t>
      </w:r>
      <w:r>
        <w:rPr>
          <w:rFonts w:cs="Segoe UI"/>
        </w:rPr>
        <w:t xml:space="preserve">could be created or more formally embedded into </w:t>
      </w:r>
      <w:r w:rsidR="008C6988">
        <w:rPr>
          <w:rFonts w:cs="Segoe UI"/>
        </w:rPr>
        <w:t>d</w:t>
      </w:r>
      <w:r>
        <w:rPr>
          <w:rFonts w:cs="Segoe UI"/>
        </w:rPr>
        <w:t>epartmental arrangements</w:t>
      </w:r>
      <w:r w:rsidRPr="00F5494B" w:rsidDel="008C6988">
        <w:rPr>
          <w:rFonts w:cs="Segoe UI"/>
        </w:rPr>
        <w:t xml:space="preserve"> </w:t>
      </w:r>
      <w:r w:rsidRPr="00F5494B">
        <w:rPr>
          <w:rFonts w:cs="Segoe UI"/>
        </w:rPr>
        <w:t>to:</w:t>
      </w:r>
    </w:p>
    <w:p w14:paraId="6A09E661" w14:textId="544ADB04" w:rsidR="00E23E39" w:rsidRPr="00054E40" w:rsidRDefault="00E23E39" w:rsidP="00281153">
      <w:pPr>
        <w:pStyle w:val="ListBullet"/>
        <w:numPr>
          <w:ilvl w:val="0"/>
          <w:numId w:val="90"/>
        </w:numPr>
      </w:pPr>
      <w:r w:rsidRPr="00F5494B">
        <w:t>limit the future need for major reviews</w:t>
      </w:r>
      <w:r w:rsidRPr="00800CCD">
        <w:t xml:space="preserve"> </w:t>
      </w:r>
      <w:r>
        <w:t>(</w:t>
      </w:r>
      <w:r w:rsidRPr="00800CCD">
        <w:t>such as this Review</w:t>
      </w:r>
      <w:r>
        <w:t>)</w:t>
      </w:r>
      <w:r w:rsidRPr="00800CCD">
        <w:t xml:space="preserve"> to be the key driver for improv</w:t>
      </w:r>
      <w:r w:rsidR="006D47A2">
        <w:t>ing</w:t>
      </w:r>
      <w:r w:rsidRPr="00800CCD">
        <w:t xml:space="preserve"> HTA arrangements</w:t>
      </w:r>
      <w:r>
        <w:t xml:space="preserve"> </w:t>
      </w:r>
    </w:p>
    <w:p w14:paraId="18D7F414" w14:textId="2523C5F1" w:rsidR="00E23E39" w:rsidRPr="00800CCD" w:rsidRDefault="00E23E39" w:rsidP="00281153">
      <w:pPr>
        <w:pStyle w:val="ListBullet"/>
        <w:numPr>
          <w:ilvl w:val="0"/>
          <w:numId w:val="90"/>
        </w:numPr>
      </w:pPr>
      <w:r w:rsidRPr="00F5494B">
        <w:t>ensure Australia’s HTA polic</w:t>
      </w:r>
      <w:r w:rsidR="0001036F">
        <w:t>y</w:t>
      </w:r>
      <w:r w:rsidRPr="00F5494B">
        <w:t>, methods and processes continue to keep pace</w:t>
      </w:r>
      <w:r w:rsidRPr="00800CCD">
        <w:t xml:space="preserve"> with rapid advances in health technology </w:t>
      </w:r>
    </w:p>
    <w:p w14:paraId="0DE08B02" w14:textId="26C5CA4C" w:rsidR="00FD2990" w:rsidRPr="00EA14BD" w:rsidRDefault="00E23E39" w:rsidP="00281153">
      <w:pPr>
        <w:pStyle w:val="ListBullet"/>
        <w:numPr>
          <w:ilvl w:val="0"/>
          <w:numId w:val="90"/>
        </w:numPr>
      </w:pPr>
      <w:r w:rsidRPr="00800CCD">
        <w:t xml:space="preserve">ensure </w:t>
      </w:r>
      <w:r w:rsidRPr="00F5494B">
        <w:t>timely updates to HTA guidelines arising from reviews of HTA polic</w:t>
      </w:r>
      <w:r w:rsidR="0001036F">
        <w:t>y</w:t>
      </w:r>
      <w:r w:rsidRPr="00800CCD">
        <w:t>, methods and processes</w:t>
      </w:r>
      <w:r>
        <w:t xml:space="preserve"> to provide necessary clarity and transparency </w:t>
      </w:r>
      <w:r w:rsidR="006D47A2">
        <w:t>for</w:t>
      </w:r>
      <w:r>
        <w:t xml:space="preserve"> key stakeholders and</w:t>
      </w:r>
      <w:r w:rsidR="006D47A2">
        <w:t xml:space="preserve"> to</w:t>
      </w:r>
      <w:r>
        <w:t xml:space="preserve"> support confidence in the outputs of the HTA arrangements.</w:t>
      </w:r>
    </w:p>
    <w:p w14:paraId="01332A90" w14:textId="46F6ED1A" w:rsidR="006E5F0C" w:rsidRPr="00180BFC" w:rsidRDefault="002610DB" w:rsidP="00405FD7">
      <w:pPr>
        <w:rPr>
          <w:rFonts w:cs="Segoe UI"/>
          <w:u w:val="single"/>
        </w:rPr>
      </w:pPr>
      <w:r>
        <w:rPr>
          <w:noProof/>
        </w:rPr>
        <mc:AlternateContent>
          <mc:Choice Requires="wps">
            <w:drawing>
              <wp:inline distT="0" distB="0" distL="0" distR="0" wp14:anchorId="5E2F71D6" wp14:editId="0F25FE3F">
                <wp:extent cx="5587365" cy="1404620"/>
                <wp:effectExtent l="0" t="0" r="13335" b="2540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7365" cy="1404620"/>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278772C4" w14:textId="7E391D04" w:rsidR="002610DB" w:rsidRPr="00184F9A" w:rsidRDefault="002610DB" w:rsidP="00405FD7">
                            <w:pPr>
                              <w:pStyle w:val="Call-outbox"/>
                              <w:jc w:val="both"/>
                            </w:pPr>
                            <w:r w:rsidRPr="00184F9A">
                              <w:t xml:space="preserve">Why </w:t>
                            </w:r>
                            <w:r w:rsidRPr="00184F9A">
                              <w:t>this matters</w:t>
                            </w:r>
                          </w:p>
                          <w:p w14:paraId="124AA2D2" w14:textId="701B18B0" w:rsidR="002610DB" w:rsidRPr="00B0309F" w:rsidRDefault="002610DB" w:rsidP="00405FD7">
                            <w:r w:rsidRPr="00935F97">
                              <w:rPr>
                                <w:rFonts w:cs="Segoe UI"/>
                              </w:rPr>
                              <w:t xml:space="preserve">Without regular review of HTA </w:t>
                            </w:r>
                            <w:r w:rsidR="006D47A2">
                              <w:rPr>
                                <w:rFonts w:cs="Segoe UI"/>
                              </w:rPr>
                              <w:t xml:space="preserve">policy and </w:t>
                            </w:r>
                            <w:r w:rsidRPr="00935F97">
                              <w:rPr>
                                <w:rFonts w:cs="Segoe UI"/>
                              </w:rPr>
                              <w:t xml:space="preserve">methods, the Australian HTA arrangements may not be positioned to provide the best HTA advice to </w:t>
                            </w:r>
                            <w:r w:rsidR="00384871">
                              <w:rPr>
                                <w:rFonts w:cs="Segoe UI"/>
                              </w:rPr>
                              <w:t xml:space="preserve">the </w:t>
                            </w:r>
                            <w:r w:rsidRPr="00935F97">
                              <w:rPr>
                                <w:rFonts w:cs="Segoe UI"/>
                              </w:rPr>
                              <w:t xml:space="preserve">Government to inform its decision-making about whether to </w:t>
                            </w:r>
                            <w:r w:rsidRPr="00C8074C">
                              <w:rPr>
                                <w:rFonts w:cs="Segoe UI"/>
                              </w:rPr>
                              <w:t>subsidise</w:t>
                            </w:r>
                            <w:r w:rsidRPr="00935F97">
                              <w:rPr>
                                <w:rFonts w:cs="Segoe UI"/>
                              </w:rPr>
                              <w:t xml:space="preserve"> a new health technology for patients</w:t>
                            </w:r>
                            <w:r w:rsidR="0051306F">
                              <w:rPr>
                                <w:rFonts w:cs="Segoe UI"/>
                              </w:rPr>
                              <w:t>,</w:t>
                            </w:r>
                            <w:r w:rsidRPr="00935F97">
                              <w:rPr>
                                <w:rFonts w:cs="Segoe UI"/>
                              </w:rPr>
                              <w:t xml:space="preserve"> and the conditions of subsidy</w:t>
                            </w:r>
                            <w:r>
                              <w:rPr>
                                <w:rFonts w:cs="Segoe UI"/>
                              </w:rPr>
                              <w:t>.</w:t>
                            </w:r>
                          </w:p>
                        </w:txbxContent>
                      </wps:txbx>
                      <wps:bodyPr rot="0" vert="horz" wrap="square" lIns="91440" tIns="45720" rIns="91440" bIns="45720" anchor="t" anchorCtr="0">
                        <a:spAutoFit/>
                      </wps:bodyPr>
                    </wps:wsp>
                  </a:graphicData>
                </a:graphic>
              </wp:inline>
            </w:drawing>
          </mc:Choice>
          <mc:Fallback>
            <w:pict>
              <v:roundrect w14:anchorId="5E2F71D6" id="Text Box 5" o:spid="_x0000_s1053" style="width:439.95pt;height:110.6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" fillcolor="white [3201]" strokecolor="#acc02a [3208]" strokeweight="1pt">
                <v:stroke joinstyle="miter"/>
                <v:textbox style="mso-fit-shape-to-text:t">
                  <w:txbxContent>
                    <w:p w14:paraId="278772C4" w14:textId="7E391D04" w:rsidR="002610DB" w:rsidRPr="00184F9A" w:rsidRDefault="002610DB" w:rsidP="00405FD7">
                      <w:pPr>
                        <w:pStyle w:val="Call-outbox"/>
                        <w:jc w:val="both"/>
                      </w:pPr>
                      <w:r w:rsidRPr="00184F9A">
                        <w:t>Why this matters</w:t>
                      </w:r>
                    </w:p>
                    <w:p w14:paraId="124AA2D2" w14:textId="701B18B0" w:rsidR="002610DB" w:rsidRPr="00B0309F" w:rsidRDefault="002610DB" w:rsidP="00405FD7">
                      <w:r w:rsidRPr="00935F97">
                        <w:rPr>
                          <w:rFonts w:cs="Segoe UI"/>
                        </w:rPr>
                        <w:t xml:space="preserve">Without regular review of HTA </w:t>
                      </w:r>
                      <w:r w:rsidR="006D47A2">
                        <w:rPr>
                          <w:rFonts w:cs="Segoe UI"/>
                        </w:rPr>
                        <w:t xml:space="preserve">policy and </w:t>
                      </w:r>
                      <w:r w:rsidRPr="00935F97">
                        <w:rPr>
                          <w:rFonts w:cs="Segoe UI"/>
                        </w:rPr>
                        <w:t xml:space="preserve">methods, the Australian HTA arrangements may not be positioned to provide the best HTA advice to </w:t>
                      </w:r>
                      <w:r w:rsidR="00384871">
                        <w:rPr>
                          <w:rFonts w:cs="Segoe UI"/>
                        </w:rPr>
                        <w:t xml:space="preserve">the </w:t>
                      </w:r>
                      <w:r w:rsidRPr="00935F97">
                        <w:rPr>
                          <w:rFonts w:cs="Segoe UI"/>
                        </w:rPr>
                        <w:t xml:space="preserve">Government to inform its decision-making about whether to </w:t>
                      </w:r>
                      <w:r w:rsidRPr="00C8074C">
                        <w:rPr>
                          <w:rFonts w:cs="Segoe UI"/>
                        </w:rPr>
                        <w:t>subsidise</w:t>
                      </w:r>
                      <w:r w:rsidRPr="00935F97">
                        <w:rPr>
                          <w:rFonts w:cs="Segoe UI"/>
                        </w:rPr>
                        <w:t xml:space="preserve"> a new health technology for patients</w:t>
                      </w:r>
                      <w:r w:rsidR="0051306F">
                        <w:rPr>
                          <w:rFonts w:cs="Segoe UI"/>
                        </w:rPr>
                        <w:t>,</w:t>
                      </w:r>
                      <w:r w:rsidRPr="00935F97">
                        <w:rPr>
                          <w:rFonts w:cs="Segoe UI"/>
                        </w:rPr>
                        <w:t xml:space="preserve"> and the conditions of subsidy</w:t>
                      </w:r>
                      <w:r>
                        <w:rPr>
                          <w:rFonts w:cs="Segoe UI"/>
                        </w:rPr>
                        <w:t>.</w:t>
                      </w:r>
                    </w:p>
                  </w:txbxContent>
                </v:textbox>
                <w10:anchorlock/>
              </v:roundrect>
            </w:pict>
          </mc:Fallback>
        </mc:AlternateContent>
      </w:r>
    </w:p>
    <w:p w14:paraId="4BBA29EA" w14:textId="47610D1F" w:rsidR="00E23E39" w:rsidRPr="00800CCD" w:rsidRDefault="00B1572B" w:rsidP="00A318F7">
      <w:pPr>
        <w:pStyle w:val="Heading3"/>
      </w:pPr>
      <w:r>
        <w:t>Findings</w:t>
      </w:r>
    </w:p>
    <w:p w14:paraId="3FE6DE88" w14:textId="63F10F44" w:rsidR="00E23E39" w:rsidRPr="00D20132" w:rsidRDefault="00E23E39" w:rsidP="00405FD7">
      <w:pPr>
        <w:rPr>
          <w:rFonts w:cs="Segoe UI"/>
        </w:rPr>
      </w:pPr>
      <w:r>
        <w:rPr>
          <w:rFonts w:cs="Segoe UI"/>
        </w:rPr>
        <w:t>The Review</w:t>
      </w:r>
      <w:r w:rsidRPr="00D20132">
        <w:rPr>
          <w:rFonts w:cs="Segoe UI"/>
        </w:rPr>
        <w:t xml:space="preserve"> </w:t>
      </w:r>
      <w:r w:rsidRPr="00F5494B">
        <w:rPr>
          <w:rFonts w:cs="Segoe UI"/>
        </w:rPr>
        <w:t>heard initially from stakeholders th</w:t>
      </w:r>
      <w:r w:rsidRPr="00D20132">
        <w:rPr>
          <w:rFonts w:cs="Segoe UI"/>
        </w:rPr>
        <w:t xml:space="preserve">at the rapid </w:t>
      </w:r>
      <w:r>
        <w:rPr>
          <w:rFonts w:cs="Segoe UI"/>
        </w:rPr>
        <w:t xml:space="preserve">development </w:t>
      </w:r>
      <w:r w:rsidRPr="00D20132">
        <w:rPr>
          <w:rFonts w:cs="Segoe UI"/>
        </w:rPr>
        <w:t xml:space="preserve">of </w:t>
      </w:r>
      <w:r>
        <w:rPr>
          <w:rFonts w:cs="Segoe UI"/>
        </w:rPr>
        <w:t xml:space="preserve">new </w:t>
      </w:r>
      <w:r w:rsidRPr="00D20132">
        <w:rPr>
          <w:rFonts w:cs="Segoe UI"/>
        </w:rPr>
        <w:t>health technologies</w:t>
      </w:r>
      <w:r>
        <w:rPr>
          <w:rFonts w:cs="Segoe UI"/>
        </w:rPr>
        <w:t>, evolving clinical p</w:t>
      </w:r>
      <w:r w:rsidDel="0051306F">
        <w:rPr>
          <w:rFonts w:cs="Segoe UI"/>
        </w:rPr>
        <w:t>l</w:t>
      </w:r>
      <w:r>
        <w:rPr>
          <w:rFonts w:cs="Segoe UI"/>
        </w:rPr>
        <w:t xml:space="preserve">ace of health technologies and need for new methods to evaluate newer health technologies with less traditional evidence bases means </w:t>
      </w:r>
      <w:r w:rsidRPr="00F5494B">
        <w:rPr>
          <w:rFonts w:cs="Segoe UI"/>
        </w:rPr>
        <w:t xml:space="preserve">that </w:t>
      </w:r>
      <w:r w:rsidR="0084163E">
        <w:rPr>
          <w:rFonts w:cs="Segoe UI"/>
        </w:rPr>
        <w:t xml:space="preserve">it is </w:t>
      </w:r>
      <w:r w:rsidR="002D23FF">
        <w:rPr>
          <w:rFonts w:cs="Segoe UI"/>
        </w:rPr>
        <w:t>necessary</w:t>
      </w:r>
      <w:r w:rsidR="0084163E">
        <w:rPr>
          <w:rFonts w:cs="Segoe UI"/>
        </w:rPr>
        <w:t xml:space="preserve"> to </w:t>
      </w:r>
      <w:r w:rsidRPr="00F5494B">
        <w:rPr>
          <w:rFonts w:cs="Segoe UI"/>
        </w:rPr>
        <w:t>review and updat</w:t>
      </w:r>
      <w:r w:rsidR="0084163E">
        <w:rPr>
          <w:rFonts w:cs="Segoe UI"/>
        </w:rPr>
        <w:t>e</w:t>
      </w:r>
      <w:r w:rsidRPr="00F5494B">
        <w:rPr>
          <w:rFonts w:cs="Segoe UI"/>
        </w:rPr>
        <w:t xml:space="preserve"> HTA guidelines </w:t>
      </w:r>
      <w:r w:rsidR="0084163E" w:rsidRPr="00F5494B">
        <w:rPr>
          <w:rFonts w:cs="Segoe UI"/>
        </w:rPr>
        <w:t>more frequent</w:t>
      </w:r>
      <w:r w:rsidR="0084163E">
        <w:rPr>
          <w:rFonts w:cs="Segoe UI"/>
        </w:rPr>
        <w:t>ly</w:t>
      </w:r>
      <w:r w:rsidRPr="00F5494B">
        <w:rPr>
          <w:rFonts w:cs="Segoe UI"/>
        </w:rPr>
        <w:t>.</w:t>
      </w:r>
      <w:r>
        <w:rPr>
          <w:rFonts w:cs="Segoe UI"/>
        </w:rPr>
        <w:t xml:space="preserve"> </w:t>
      </w:r>
    </w:p>
    <w:p w14:paraId="16F3F029" w14:textId="78F9F64E" w:rsidR="00E23E39" w:rsidRPr="00D20132" w:rsidRDefault="00E23E39" w:rsidP="00405FD7">
      <w:pPr>
        <w:rPr>
          <w:rFonts w:cs="Segoe UI"/>
        </w:rPr>
      </w:pPr>
      <w:r>
        <w:rPr>
          <w:rFonts w:cs="Segoe UI"/>
        </w:rPr>
        <w:t>In response to these observations, t</w:t>
      </w:r>
      <w:r w:rsidRPr="00D20132">
        <w:rPr>
          <w:rFonts w:cs="Segoe UI"/>
        </w:rPr>
        <w:t xml:space="preserve">he </w:t>
      </w:r>
      <w:r>
        <w:rPr>
          <w:rFonts w:cs="Segoe UI"/>
        </w:rPr>
        <w:t xml:space="preserve">Review tested with stakeholders the merits of recommending </w:t>
      </w:r>
      <w:r w:rsidRPr="00D20132">
        <w:rPr>
          <w:rFonts w:cs="Segoe UI"/>
        </w:rPr>
        <w:t>a program of continuous review and improvement for HTA polic</w:t>
      </w:r>
      <w:r w:rsidR="0001036F">
        <w:rPr>
          <w:rFonts w:cs="Segoe UI"/>
        </w:rPr>
        <w:t>y</w:t>
      </w:r>
      <w:r w:rsidRPr="00D20132">
        <w:rPr>
          <w:rFonts w:cs="Segoe UI"/>
        </w:rPr>
        <w:t xml:space="preserve"> and methods</w:t>
      </w:r>
      <w:r>
        <w:rPr>
          <w:rFonts w:cs="Segoe UI"/>
        </w:rPr>
        <w:t xml:space="preserve">. This included ideas for a rolling set of review topics and process </w:t>
      </w:r>
      <w:r w:rsidRPr="00D20132">
        <w:rPr>
          <w:rFonts w:cs="Segoe UI"/>
        </w:rPr>
        <w:t xml:space="preserve">guidance </w:t>
      </w:r>
      <w:r>
        <w:rPr>
          <w:rFonts w:cs="Segoe UI"/>
        </w:rPr>
        <w:t xml:space="preserve">to support regular updates to guidance documents (such as the HTA </w:t>
      </w:r>
      <w:r w:rsidR="00C16518">
        <w:rPr>
          <w:rFonts w:cs="Segoe UI"/>
        </w:rPr>
        <w:t>advisory committee</w:t>
      </w:r>
      <w:r>
        <w:rPr>
          <w:rFonts w:cs="Segoe UI"/>
        </w:rPr>
        <w:t xml:space="preserve"> guidelines) and HTA-related policy or programs of work (e.g. approaches to post-HTA data collection and evaluation) </w:t>
      </w:r>
      <w:r w:rsidRPr="00D20132">
        <w:rPr>
          <w:rFonts w:cs="Segoe UI"/>
        </w:rPr>
        <w:t>as health technologies and methodologies evolve.</w:t>
      </w:r>
    </w:p>
    <w:p w14:paraId="275105D3" w14:textId="192A58B7" w:rsidR="00E23E39" w:rsidRDefault="00E23E39" w:rsidP="00405FD7">
      <w:r w:rsidRPr="00D20132">
        <w:rPr>
          <w:rFonts w:cs="Segoe UI"/>
        </w:rPr>
        <w:t xml:space="preserve">Most individuals and organisations that </w:t>
      </w:r>
      <w:r>
        <w:rPr>
          <w:rFonts w:cs="Segoe UI"/>
        </w:rPr>
        <w:t xml:space="preserve">responded to supplementary consultations </w:t>
      </w:r>
      <w:r w:rsidRPr="00D20132">
        <w:rPr>
          <w:rFonts w:cs="Segoe UI"/>
        </w:rPr>
        <w:t>support</w:t>
      </w:r>
      <w:r w:rsidR="005B2474">
        <w:rPr>
          <w:rFonts w:cs="Segoe UI"/>
        </w:rPr>
        <w:t>ed</w:t>
      </w:r>
      <w:r w:rsidRPr="00D20132">
        <w:rPr>
          <w:rFonts w:cs="Segoe UI"/>
        </w:rPr>
        <w:t xml:space="preserve"> </w:t>
      </w:r>
      <w:r>
        <w:rPr>
          <w:rFonts w:cs="Segoe UI"/>
        </w:rPr>
        <w:t xml:space="preserve">a program </w:t>
      </w:r>
      <w:r w:rsidR="005B2474">
        <w:rPr>
          <w:rFonts w:cs="Segoe UI"/>
        </w:rPr>
        <w:t xml:space="preserve">of </w:t>
      </w:r>
      <w:r>
        <w:rPr>
          <w:rFonts w:cs="Segoe UI"/>
        </w:rPr>
        <w:t xml:space="preserve">rolling </w:t>
      </w:r>
      <w:r w:rsidRPr="00D20132">
        <w:rPr>
          <w:rFonts w:cs="Segoe UI"/>
        </w:rPr>
        <w:t>review</w:t>
      </w:r>
      <w:r w:rsidR="005B2474">
        <w:rPr>
          <w:rFonts w:cs="Segoe UI"/>
        </w:rPr>
        <w:t>s</w:t>
      </w:r>
      <w:r w:rsidRPr="00D20132">
        <w:rPr>
          <w:rFonts w:cs="Segoe UI"/>
        </w:rPr>
        <w:t xml:space="preserve"> of Australia’s HTA polic</w:t>
      </w:r>
      <w:r w:rsidR="0001036F">
        <w:rPr>
          <w:rFonts w:cs="Segoe UI"/>
        </w:rPr>
        <w:t>y</w:t>
      </w:r>
      <w:r w:rsidRPr="00D20132">
        <w:rPr>
          <w:rFonts w:cs="Segoe UI"/>
        </w:rPr>
        <w:t xml:space="preserve"> and methods. </w:t>
      </w:r>
      <w:r w:rsidRPr="00F5494B">
        <w:t>Many submissions mentioned continuous review and improvement as pivotal to the long</w:t>
      </w:r>
      <w:r w:rsidR="005B2474">
        <w:noBreakHyphen/>
      </w:r>
      <w:r w:rsidRPr="00F5494B">
        <w:t xml:space="preserve">term success of </w:t>
      </w:r>
      <w:r w:rsidR="005B2474">
        <w:t xml:space="preserve">the </w:t>
      </w:r>
      <w:r w:rsidRPr="00F5494B">
        <w:t xml:space="preserve">HTA </w:t>
      </w:r>
      <w:r w:rsidR="005B2474">
        <w:t xml:space="preserve">system </w:t>
      </w:r>
      <w:r w:rsidRPr="00F5494B">
        <w:t xml:space="preserve">to ensure it can constantly meet the needs of </w:t>
      </w:r>
      <w:r w:rsidR="005B2474">
        <w:t>the</w:t>
      </w:r>
      <w:r w:rsidRPr="00F5494B">
        <w:t xml:space="preserve"> rapidly evolving HTA and health technology landscape</w:t>
      </w:r>
      <w:r w:rsidR="005B2474">
        <w:t>.</w:t>
      </w:r>
      <w:r>
        <w:rPr>
          <w:rStyle w:val="FootnoteReference"/>
        </w:rPr>
        <w:footnoteReference w:id="219"/>
      </w:r>
      <w:r>
        <w:t xml:space="preserve"> </w:t>
      </w:r>
    </w:p>
    <w:p w14:paraId="6A593A94" w14:textId="7D67B980" w:rsidR="00E23E39" w:rsidRDefault="00E23E39" w:rsidP="00405FD7">
      <w:pPr>
        <w:rPr>
          <w:rFonts w:cs="Segoe UI"/>
        </w:rPr>
      </w:pPr>
      <w:r>
        <w:rPr>
          <w:rFonts w:cs="Segoe UI"/>
        </w:rPr>
        <w:lastRenderedPageBreak/>
        <w:t xml:space="preserve">A subset of stakeholders suggested </w:t>
      </w:r>
      <w:r w:rsidR="005B2474">
        <w:rPr>
          <w:rFonts w:cs="Segoe UI"/>
        </w:rPr>
        <w:t xml:space="preserve">making </w:t>
      </w:r>
      <w:r>
        <w:rPr>
          <w:rFonts w:cs="Segoe UI"/>
        </w:rPr>
        <w:t>additional amendments to the recommendation</w:t>
      </w:r>
      <w:r w:rsidR="009333BB">
        <w:rPr>
          <w:rFonts w:cs="Segoe UI"/>
        </w:rPr>
        <w:t>s</w:t>
      </w:r>
      <w:r>
        <w:rPr>
          <w:rFonts w:cs="Segoe UI"/>
        </w:rPr>
        <w:t xml:space="preserve"> to emphasise:</w:t>
      </w:r>
    </w:p>
    <w:p w14:paraId="7C29322E" w14:textId="089A1F1E" w:rsidR="00E23E39" w:rsidRPr="000A0662" w:rsidRDefault="00E23E39" w:rsidP="00281153">
      <w:pPr>
        <w:pStyle w:val="ListBullet"/>
        <w:numPr>
          <w:ilvl w:val="0"/>
          <w:numId w:val="90"/>
        </w:numPr>
      </w:pPr>
      <w:r w:rsidRPr="000A0662">
        <w:t>the importance of consulting with, and seeking input from, stakeholders throughout any review process</w:t>
      </w:r>
      <w:r w:rsidRPr="00A40D6F">
        <w:rPr>
          <w:vertAlign w:val="superscript"/>
        </w:rPr>
        <w:footnoteReference w:id="220"/>
      </w:r>
    </w:p>
    <w:p w14:paraId="5376F690" w14:textId="0FE5C876" w:rsidR="00E23E39" w:rsidRPr="004E0506" w:rsidRDefault="00E23E39" w:rsidP="00281153">
      <w:pPr>
        <w:pStyle w:val="ListBullet"/>
        <w:numPr>
          <w:ilvl w:val="0"/>
          <w:numId w:val="90"/>
        </w:numPr>
      </w:pPr>
      <w:r w:rsidRPr="004E0506">
        <w:t xml:space="preserve">the </w:t>
      </w:r>
      <w:r w:rsidRPr="00F5494B">
        <w:t xml:space="preserve">need for </w:t>
      </w:r>
      <w:r w:rsidR="005B2474">
        <w:t>KPIs</w:t>
      </w:r>
      <w:r w:rsidRPr="00F5494B">
        <w:t xml:space="preserve"> and other specific measurements to allow assessment of whether changes to the system arising from </w:t>
      </w:r>
      <w:r w:rsidR="00E75822">
        <w:t>the R</w:t>
      </w:r>
      <w:r w:rsidRPr="00F5494B">
        <w:t>eview</w:t>
      </w:r>
      <w:r w:rsidR="00E75822">
        <w:t>’s</w:t>
      </w:r>
      <w:r w:rsidRPr="00F5494B">
        <w:t xml:space="preserve"> recommendations achieved their intended outcomes</w:t>
      </w:r>
      <w:r w:rsidR="005B2474">
        <w:t>.</w:t>
      </w:r>
      <w:r>
        <w:rPr>
          <w:rStyle w:val="FootnoteReference"/>
        </w:rPr>
        <w:footnoteReference w:id="221"/>
      </w:r>
      <w:r w:rsidRPr="004E0506">
        <w:t xml:space="preserve"> </w:t>
      </w:r>
    </w:p>
    <w:p w14:paraId="15DDC2DD" w14:textId="7D480462" w:rsidR="00E23E39" w:rsidRPr="006B030C" w:rsidRDefault="00E23E39" w:rsidP="00A318F7">
      <w:pPr>
        <w:pStyle w:val="Heading3"/>
      </w:pPr>
      <w:bookmarkStart w:id="737" w:name="_Toc164691511"/>
      <w:bookmarkStart w:id="738" w:name="_Toc164696304"/>
      <w:bookmarkStart w:id="739" w:name="_Toc164696450"/>
      <w:bookmarkStart w:id="740" w:name="_Toc164767838"/>
      <w:bookmarkStart w:id="741" w:name="_Toc165473771"/>
      <w:r w:rsidRPr="006B030C">
        <w:t>Conclusion</w:t>
      </w:r>
      <w:bookmarkEnd w:id="737"/>
      <w:bookmarkEnd w:id="738"/>
      <w:bookmarkEnd w:id="739"/>
      <w:bookmarkEnd w:id="740"/>
      <w:bookmarkEnd w:id="741"/>
    </w:p>
    <w:p w14:paraId="778955E0" w14:textId="224F4377" w:rsidR="00E23E39" w:rsidRDefault="00141532" w:rsidP="00405FD7">
      <w:pPr>
        <w:rPr>
          <w:rFonts w:cs="Segoe UI"/>
        </w:rPr>
      </w:pPr>
      <w:r>
        <w:rPr>
          <w:rFonts w:cs="Segoe UI"/>
        </w:rPr>
        <w:t xml:space="preserve">It is essential to have </w:t>
      </w:r>
      <w:r w:rsidR="00E23E39" w:rsidDel="00261402">
        <w:rPr>
          <w:rFonts w:cs="Segoe UI"/>
        </w:rPr>
        <w:t>a</w:t>
      </w:r>
      <w:r w:rsidR="00E23E39">
        <w:rPr>
          <w:rFonts w:cs="Segoe UI"/>
        </w:rPr>
        <w:t xml:space="preserve"> program </w:t>
      </w:r>
      <w:r w:rsidR="001031FC">
        <w:rPr>
          <w:rFonts w:cs="Segoe UI"/>
        </w:rPr>
        <w:t>to</w:t>
      </w:r>
      <w:r w:rsidR="00E23E39">
        <w:rPr>
          <w:rFonts w:cs="Segoe UI"/>
        </w:rPr>
        <w:t xml:space="preserve"> continuous</w:t>
      </w:r>
      <w:r w:rsidR="001031FC">
        <w:rPr>
          <w:rFonts w:cs="Segoe UI"/>
        </w:rPr>
        <w:t>ly</w:t>
      </w:r>
      <w:r w:rsidR="00E23E39">
        <w:rPr>
          <w:rFonts w:cs="Segoe UI"/>
        </w:rPr>
        <w:t xml:space="preserve"> review HTA polic</w:t>
      </w:r>
      <w:r w:rsidR="0001036F">
        <w:rPr>
          <w:rFonts w:cs="Segoe UI"/>
        </w:rPr>
        <w:t>y</w:t>
      </w:r>
      <w:r w:rsidR="00E23E39">
        <w:rPr>
          <w:rFonts w:cs="Segoe UI"/>
        </w:rPr>
        <w:t xml:space="preserve"> and methods (including associated guidelines and supporting documentation) to keep pace with changing product development, </w:t>
      </w:r>
      <w:r w:rsidR="00184E33">
        <w:rPr>
          <w:rFonts w:cs="Segoe UI"/>
        </w:rPr>
        <w:t xml:space="preserve">and the </w:t>
      </w:r>
      <w:r w:rsidR="00E23E39">
        <w:rPr>
          <w:rFonts w:cs="Segoe UI"/>
        </w:rPr>
        <w:t>HTA and research landscape</w:t>
      </w:r>
      <w:r w:rsidR="001031FC">
        <w:rPr>
          <w:rFonts w:cs="Segoe UI"/>
        </w:rPr>
        <w:t>s</w:t>
      </w:r>
      <w:r w:rsidR="00E23E39">
        <w:rPr>
          <w:rFonts w:cs="Segoe UI"/>
        </w:rPr>
        <w:t xml:space="preserve">. </w:t>
      </w:r>
      <w:r w:rsidR="00E23E39" w:rsidRPr="00F5494B">
        <w:rPr>
          <w:rFonts w:cs="Segoe UI"/>
        </w:rPr>
        <w:t xml:space="preserve">This program should </w:t>
      </w:r>
      <w:r w:rsidR="001031FC">
        <w:rPr>
          <w:rFonts w:cs="Segoe UI"/>
        </w:rPr>
        <w:t>include</w:t>
      </w:r>
      <w:r w:rsidR="001031FC" w:rsidRPr="00F5494B">
        <w:rPr>
          <w:rFonts w:cs="Segoe UI"/>
        </w:rPr>
        <w:t xml:space="preserve"> </w:t>
      </w:r>
      <w:r w:rsidR="00E23E39" w:rsidRPr="00F5494B">
        <w:rPr>
          <w:rFonts w:cs="Segoe UI"/>
        </w:rPr>
        <w:t>scheduled examination</w:t>
      </w:r>
      <w:r w:rsidR="001031FC">
        <w:rPr>
          <w:rFonts w:cs="Segoe UI"/>
        </w:rPr>
        <w:t>s</w:t>
      </w:r>
      <w:r w:rsidR="00E23E39" w:rsidRPr="00F5494B">
        <w:rPr>
          <w:rFonts w:cs="Segoe UI"/>
        </w:rPr>
        <w:t xml:space="preserve"> of individual HTA-related topics </w:t>
      </w:r>
      <w:r w:rsidR="001031FC">
        <w:rPr>
          <w:rFonts w:cs="Segoe UI"/>
        </w:rPr>
        <w:t>that</w:t>
      </w:r>
      <w:r w:rsidR="00E23E39" w:rsidRPr="00F5494B">
        <w:rPr>
          <w:rFonts w:cs="Segoe UI"/>
        </w:rPr>
        <w:t xml:space="preserve"> affect the operations of the HTA </w:t>
      </w:r>
      <w:r w:rsidR="001031FC">
        <w:rPr>
          <w:rFonts w:cs="Segoe UI"/>
        </w:rPr>
        <w:t xml:space="preserve">system. </w:t>
      </w:r>
      <w:r>
        <w:rPr>
          <w:rFonts w:cs="Segoe UI"/>
        </w:rPr>
        <w:t>It</w:t>
      </w:r>
      <w:r w:rsidR="001031FC">
        <w:rPr>
          <w:rFonts w:cs="Segoe UI"/>
        </w:rPr>
        <w:t xml:space="preserve"> should</w:t>
      </w:r>
      <w:r w:rsidR="00E23E39" w:rsidRPr="00F5494B">
        <w:rPr>
          <w:rFonts w:cs="Segoe UI"/>
        </w:rPr>
        <w:t xml:space="preserve"> also be sufficiently responsive to be able to address new developments in HTA methods or health technology </w:t>
      </w:r>
      <w:r w:rsidR="001031FC">
        <w:rPr>
          <w:rFonts w:cs="Segoe UI"/>
        </w:rPr>
        <w:t>that</w:t>
      </w:r>
      <w:r w:rsidR="001031FC" w:rsidRPr="00F5494B">
        <w:rPr>
          <w:rFonts w:cs="Segoe UI"/>
        </w:rPr>
        <w:t xml:space="preserve"> </w:t>
      </w:r>
      <w:r w:rsidR="00E23E39" w:rsidRPr="00F5494B">
        <w:rPr>
          <w:rFonts w:cs="Segoe UI"/>
        </w:rPr>
        <w:t>may require changes to documentation and/or policy outside scheduled review time</w:t>
      </w:r>
      <w:r w:rsidR="001031FC">
        <w:rPr>
          <w:rFonts w:cs="Segoe UI"/>
        </w:rPr>
        <w:t> </w:t>
      </w:r>
      <w:r w:rsidR="00E23E39" w:rsidRPr="00F5494B">
        <w:rPr>
          <w:rFonts w:cs="Segoe UI"/>
        </w:rPr>
        <w:t>frames</w:t>
      </w:r>
      <w:r w:rsidR="00E23E39">
        <w:rPr>
          <w:rFonts w:cs="Segoe UI"/>
        </w:rPr>
        <w:t xml:space="preserve">. </w:t>
      </w:r>
    </w:p>
    <w:p w14:paraId="6AB0580D" w14:textId="286B0938" w:rsidR="00E23E39" w:rsidRDefault="00E23E39" w:rsidP="00405FD7">
      <w:pPr>
        <w:rPr>
          <w:rFonts w:cs="Segoe UI"/>
        </w:rPr>
      </w:pPr>
      <w:r>
        <w:rPr>
          <w:rFonts w:cs="Segoe UI"/>
        </w:rPr>
        <w:t>The Review acknowledges the stakeholder feedback regarding the importance of KPIs and specific measurements that allow comparative analysis of how changes in HTA policy, method</w:t>
      </w:r>
      <w:r w:rsidR="00141532">
        <w:rPr>
          <w:rFonts w:cs="Segoe UI"/>
        </w:rPr>
        <w:t>s</w:t>
      </w:r>
      <w:r>
        <w:rPr>
          <w:rFonts w:cs="Segoe UI"/>
        </w:rPr>
        <w:t xml:space="preserve"> and guidance affect the performance of the HTA program and the desired overall outcomes in the central pillars of the </w:t>
      </w:r>
      <w:r w:rsidR="006E0405">
        <w:rPr>
          <w:rFonts w:cs="Segoe UI"/>
        </w:rPr>
        <w:t>NMP</w:t>
      </w:r>
      <w:r>
        <w:rPr>
          <w:rFonts w:cs="Segoe UI"/>
        </w:rPr>
        <w:t>.</w:t>
      </w:r>
      <w:r w:rsidR="00141532">
        <w:rPr>
          <w:rStyle w:val="FootnoteReference"/>
          <w:rFonts w:cs="Segoe UI"/>
        </w:rPr>
        <w:footnoteReference w:id="222"/>
      </w:r>
      <w:r>
        <w:rPr>
          <w:rFonts w:cs="Segoe UI"/>
        </w:rPr>
        <w:t xml:space="preserve"> </w:t>
      </w:r>
      <w:r w:rsidR="00BC5FBC">
        <w:rPr>
          <w:rFonts w:cs="Segoe UI"/>
        </w:rPr>
        <w:t>S</w:t>
      </w:r>
      <w:r>
        <w:rPr>
          <w:rFonts w:cs="Segoe UI"/>
        </w:rPr>
        <w:t xml:space="preserve">pecifying the details of these </w:t>
      </w:r>
      <w:r w:rsidRPr="0090535D">
        <w:rPr>
          <w:rFonts w:cs="Segoe UI"/>
        </w:rPr>
        <w:t xml:space="preserve">KPIs </w:t>
      </w:r>
      <w:r w:rsidR="00B1478B" w:rsidRPr="0090535D">
        <w:rPr>
          <w:rFonts w:cs="Segoe UI"/>
        </w:rPr>
        <w:t>(</w:t>
      </w:r>
      <w:r w:rsidR="00EF5C5C" w:rsidRPr="0090535D">
        <w:rPr>
          <w:rFonts w:cs="Segoe UI"/>
        </w:rPr>
        <w:t xml:space="preserve">other than the timeliness </w:t>
      </w:r>
      <w:r w:rsidR="007A5CF6" w:rsidRPr="0090535D">
        <w:rPr>
          <w:rFonts w:cs="Segoe UI"/>
        </w:rPr>
        <w:t xml:space="preserve">targets for products </w:t>
      </w:r>
      <w:r w:rsidR="0075128D" w:rsidRPr="0090535D">
        <w:rPr>
          <w:rFonts w:cs="Segoe UI"/>
        </w:rPr>
        <w:t>demonstrating superiority outlined</w:t>
      </w:r>
      <w:r w:rsidR="00BC5FBC" w:rsidRPr="0090535D">
        <w:rPr>
          <w:rFonts w:cs="Segoe UI"/>
        </w:rPr>
        <w:t xml:space="preserve"> in</w:t>
      </w:r>
      <w:r w:rsidR="0075128D" w:rsidRPr="0090535D">
        <w:rPr>
          <w:rFonts w:cs="Segoe UI"/>
        </w:rPr>
        <w:t xml:space="preserve"> </w:t>
      </w:r>
      <w:r w:rsidR="00A42A36" w:rsidRPr="0090535D">
        <w:rPr>
          <w:rFonts w:cs="Segoe UI"/>
        </w:rPr>
        <w:t>‘</w:t>
      </w:r>
      <w:r w:rsidR="0075128D" w:rsidRPr="0090535D">
        <w:rPr>
          <w:rFonts w:cs="Segoe UI"/>
        </w:rPr>
        <w:t xml:space="preserve">Recommendation </w:t>
      </w:r>
      <w:r w:rsidR="00437A31" w:rsidRPr="0090535D">
        <w:rPr>
          <w:rFonts w:cs="Segoe UI"/>
        </w:rPr>
        <w:t>1</w:t>
      </w:r>
      <w:r w:rsidR="00A42A36" w:rsidRPr="0090535D">
        <w:rPr>
          <w:rFonts w:cs="Segoe UI"/>
        </w:rPr>
        <w:t>5. Jointly</w:t>
      </w:r>
      <w:r w:rsidR="00A42A36">
        <w:rPr>
          <w:rFonts w:cs="Segoe UI"/>
        </w:rPr>
        <w:t xml:space="preserve"> owned performance targe</w:t>
      </w:r>
      <w:r w:rsidR="00BC5FBC">
        <w:rPr>
          <w:rFonts w:cs="Segoe UI"/>
        </w:rPr>
        <w:t>t</w:t>
      </w:r>
      <w:r w:rsidR="00A42A36">
        <w:rPr>
          <w:rFonts w:cs="Segoe UI"/>
        </w:rPr>
        <w:t>s’)</w:t>
      </w:r>
      <w:r w:rsidR="0075128D">
        <w:rPr>
          <w:rFonts w:cs="Segoe UI"/>
        </w:rPr>
        <w:t xml:space="preserve"> </w:t>
      </w:r>
      <w:r>
        <w:rPr>
          <w:rFonts w:cs="Segoe UI"/>
        </w:rPr>
        <w:t>is beyond the scope of the Review</w:t>
      </w:r>
      <w:r w:rsidR="00BC5FBC">
        <w:rPr>
          <w:rFonts w:cs="Segoe UI"/>
        </w:rPr>
        <w:t xml:space="preserve">. But </w:t>
      </w:r>
      <w:proofErr w:type="gramStart"/>
      <w:r>
        <w:rPr>
          <w:rFonts w:cs="Segoe UI"/>
        </w:rPr>
        <w:t xml:space="preserve">it is clear that </w:t>
      </w:r>
      <w:r w:rsidR="00BC5FBC">
        <w:rPr>
          <w:rFonts w:cs="Segoe UI"/>
        </w:rPr>
        <w:t>it</w:t>
      </w:r>
      <w:proofErr w:type="gramEnd"/>
      <w:r w:rsidR="00BC5FBC">
        <w:rPr>
          <w:rFonts w:cs="Segoe UI"/>
        </w:rPr>
        <w:t xml:space="preserve"> will be necessary to </w:t>
      </w:r>
      <w:r w:rsidRPr="00F5494B">
        <w:rPr>
          <w:rFonts w:cs="Segoe UI"/>
        </w:rPr>
        <w:t>consult with external and internal stakeholders to ensure the right details are measured, collected and reported, to inform identification of areas where further review and improvements are required</w:t>
      </w:r>
      <w:r>
        <w:rPr>
          <w:rFonts w:cs="Segoe UI"/>
        </w:rPr>
        <w:t xml:space="preserve">, and the sequencing of the review program itself. </w:t>
      </w:r>
    </w:p>
    <w:p w14:paraId="420639A7" w14:textId="77777777" w:rsidR="00E23E39" w:rsidRDefault="00E23E39" w:rsidP="00A318F7">
      <w:pPr>
        <w:pStyle w:val="Heading3"/>
      </w:pPr>
      <w:bookmarkStart w:id="743" w:name="_Toc164691512"/>
      <w:bookmarkStart w:id="744" w:name="_Toc164696305"/>
      <w:bookmarkStart w:id="745" w:name="_Toc164696451"/>
      <w:bookmarkStart w:id="746" w:name="_Toc164767839"/>
      <w:bookmarkStart w:id="747" w:name="_Toc165473772"/>
      <w:r w:rsidRPr="00AB7AA8">
        <w:t>Objectives of recommendations</w:t>
      </w:r>
      <w:bookmarkEnd w:id="743"/>
      <w:bookmarkEnd w:id="744"/>
      <w:bookmarkEnd w:id="745"/>
      <w:bookmarkEnd w:id="746"/>
      <w:bookmarkEnd w:id="747"/>
      <w:r w:rsidRPr="00AB7AA8">
        <w:t xml:space="preserve"> </w:t>
      </w:r>
    </w:p>
    <w:p w14:paraId="03DE9A9B" w14:textId="519C07AF" w:rsidR="00E23E39" w:rsidRDefault="00E23E39" w:rsidP="00405FD7">
      <w:pPr>
        <w:rPr>
          <w:rFonts w:cs="Segoe UI"/>
        </w:rPr>
      </w:pPr>
      <w:r w:rsidRPr="00A860E1">
        <w:rPr>
          <w:rFonts w:cs="Segoe UI"/>
        </w:rPr>
        <w:t>The Review</w:t>
      </w:r>
      <w:r w:rsidR="00E75822">
        <w:rPr>
          <w:rFonts w:cs="Segoe UI"/>
        </w:rPr>
        <w:t>’s</w:t>
      </w:r>
      <w:r w:rsidRPr="00A860E1">
        <w:rPr>
          <w:rFonts w:cs="Segoe UI"/>
        </w:rPr>
        <w:t xml:space="preserve"> recommendations emphasise the need for a clear program of work that supports regular</w:t>
      </w:r>
      <w:r w:rsidR="00BC5FBC">
        <w:rPr>
          <w:rFonts w:cs="Segoe UI"/>
        </w:rPr>
        <w:t>ly</w:t>
      </w:r>
      <w:r w:rsidRPr="00A860E1">
        <w:rPr>
          <w:rFonts w:cs="Segoe UI"/>
        </w:rPr>
        <w:t xml:space="preserve"> updating and review</w:t>
      </w:r>
      <w:r w:rsidR="00BC5FBC">
        <w:rPr>
          <w:rFonts w:cs="Segoe UI"/>
        </w:rPr>
        <w:t>ing</w:t>
      </w:r>
      <w:r w:rsidRPr="00A860E1" w:rsidDel="00BC5FBC">
        <w:rPr>
          <w:rFonts w:cs="Segoe UI"/>
        </w:rPr>
        <w:t xml:space="preserve"> </w:t>
      </w:r>
      <w:r w:rsidRPr="00A860E1">
        <w:rPr>
          <w:rFonts w:cs="Segoe UI"/>
        </w:rPr>
        <w:t>HTA polic</w:t>
      </w:r>
      <w:r w:rsidR="0001036F">
        <w:rPr>
          <w:rFonts w:cs="Segoe UI"/>
        </w:rPr>
        <w:t>y</w:t>
      </w:r>
      <w:r w:rsidRPr="00A860E1">
        <w:rPr>
          <w:rFonts w:cs="Segoe UI"/>
        </w:rPr>
        <w:t xml:space="preserve"> and methods </w:t>
      </w:r>
      <w:proofErr w:type="gramStart"/>
      <w:r w:rsidRPr="00A860E1">
        <w:rPr>
          <w:rFonts w:cs="Segoe UI"/>
        </w:rPr>
        <w:t>in light of</w:t>
      </w:r>
      <w:proofErr w:type="gramEnd"/>
      <w:r w:rsidRPr="00A860E1">
        <w:rPr>
          <w:rFonts w:cs="Segoe UI"/>
        </w:rPr>
        <w:t xml:space="preserve"> new developments</w:t>
      </w:r>
      <w:r w:rsidR="00BC5FBC">
        <w:rPr>
          <w:rFonts w:cs="Segoe UI"/>
        </w:rPr>
        <w:t>. This will keep</w:t>
      </w:r>
      <w:r w:rsidRPr="00A860E1">
        <w:rPr>
          <w:rFonts w:cs="Segoe UI"/>
        </w:rPr>
        <w:t xml:space="preserve"> Australia</w:t>
      </w:r>
      <w:r w:rsidR="00BC5FBC">
        <w:rPr>
          <w:rFonts w:cs="Segoe UI"/>
        </w:rPr>
        <w:t>’s</w:t>
      </w:r>
      <w:r w:rsidRPr="00A860E1">
        <w:rPr>
          <w:rFonts w:cs="Segoe UI"/>
        </w:rPr>
        <w:t xml:space="preserve"> HTA </w:t>
      </w:r>
      <w:r w:rsidR="00BC5FBC">
        <w:rPr>
          <w:rFonts w:cs="Segoe UI"/>
        </w:rPr>
        <w:t xml:space="preserve">process, </w:t>
      </w:r>
      <w:r w:rsidRPr="00A860E1">
        <w:rPr>
          <w:rFonts w:cs="Segoe UI"/>
        </w:rPr>
        <w:t>methods</w:t>
      </w:r>
      <w:r w:rsidR="00BC5FBC">
        <w:rPr>
          <w:rFonts w:cs="Segoe UI"/>
        </w:rPr>
        <w:t xml:space="preserve"> </w:t>
      </w:r>
      <w:r w:rsidRPr="00A860E1">
        <w:rPr>
          <w:rFonts w:cs="Segoe UI"/>
        </w:rPr>
        <w:t>and policy up to date and can support rigorous and high</w:t>
      </w:r>
      <w:r w:rsidR="59BDBAEF" w:rsidRPr="00A860E1">
        <w:rPr>
          <w:rFonts w:cs="Segoe UI"/>
        </w:rPr>
        <w:t>-</w:t>
      </w:r>
      <w:r w:rsidRPr="00A860E1">
        <w:rPr>
          <w:rFonts w:cs="Segoe UI"/>
        </w:rPr>
        <w:t xml:space="preserve">quality evaluation of health technologies. </w:t>
      </w:r>
    </w:p>
    <w:p w14:paraId="14AB0A83" w14:textId="5016337D" w:rsidR="00E23E39" w:rsidRDefault="00E23E39" w:rsidP="00A318F7">
      <w:pPr>
        <w:pStyle w:val="Heading3"/>
      </w:pPr>
      <w:bookmarkStart w:id="748" w:name="_Toc164691513"/>
      <w:bookmarkStart w:id="749" w:name="_Toc164767840"/>
      <w:bookmarkStart w:id="750" w:name="_Toc165473773"/>
      <w:bookmarkStart w:id="751" w:name="_Toc164696306"/>
      <w:bookmarkStart w:id="752" w:name="_Toc164696452"/>
      <w:r>
        <w:lastRenderedPageBreak/>
        <w:t>Recommendations</w:t>
      </w:r>
      <w:bookmarkEnd w:id="748"/>
      <w:bookmarkEnd w:id="749"/>
      <w:bookmarkEnd w:id="750"/>
      <w:r>
        <w:t xml:space="preserve"> </w:t>
      </w:r>
      <w:bookmarkEnd w:id="751"/>
      <w:bookmarkEnd w:id="752"/>
    </w:p>
    <w:p w14:paraId="23E04131" w14:textId="3B168326" w:rsidR="006C370B" w:rsidRPr="006C370B" w:rsidRDefault="00EA33CC" w:rsidP="00074B8A">
      <w:pPr>
        <w:pStyle w:val="Recommendation1"/>
      </w:pPr>
      <w:bookmarkStart w:id="753" w:name="_Hlk167302673"/>
      <w:r w:rsidRPr="00824739">
        <w:t>Mechanisms for continuous review and improvement</w:t>
      </w:r>
    </w:p>
    <w:bookmarkEnd w:id="753"/>
    <w:p w14:paraId="3B2CE0EC" w14:textId="2D4D7EFD" w:rsidR="00E23E39" w:rsidRDefault="00E23E39" w:rsidP="007B5DEF">
      <w:pPr>
        <w:rPr>
          <w:rFonts w:cs="Segoe UI"/>
        </w:rPr>
      </w:pPr>
      <w:r w:rsidRPr="00405FD7">
        <w:rPr>
          <w:rFonts w:cs="Segoe UI"/>
        </w:rPr>
        <w:t xml:space="preserve">The Review recommends </w:t>
      </w:r>
      <w:r w:rsidR="009E3310">
        <w:rPr>
          <w:rFonts w:cs="Segoe UI"/>
        </w:rPr>
        <w:t xml:space="preserve">that </w:t>
      </w:r>
      <w:r w:rsidRPr="00405FD7">
        <w:rPr>
          <w:rFonts w:cs="Segoe UI"/>
        </w:rPr>
        <w:t>the Australian Government</w:t>
      </w:r>
      <w:r w:rsidR="00BF42A3">
        <w:rPr>
          <w:rFonts w:cs="Segoe UI"/>
        </w:rPr>
        <w:t xml:space="preserve"> d</w:t>
      </w:r>
      <w:r>
        <w:rPr>
          <w:rFonts w:cs="Segoe UI"/>
        </w:rPr>
        <w:t xml:space="preserve">esign and establish (in consultation with stakeholders) a program that supports the continuous review and updating </w:t>
      </w:r>
      <w:r w:rsidR="009E3310">
        <w:rPr>
          <w:rFonts w:cs="Segoe UI"/>
        </w:rPr>
        <w:t xml:space="preserve">of </w:t>
      </w:r>
      <w:r>
        <w:rPr>
          <w:rFonts w:cs="Segoe UI"/>
        </w:rPr>
        <w:t>HTA polic</w:t>
      </w:r>
      <w:r w:rsidR="0001036F">
        <w:rPr>
          <w:rFonts w:cs="Segoe UI"/>
        </w:rPr>
        <w:t>y</w:t>
      </w:r>
      <w:r>
        <w:rPr>
          <w:rFonts w:cs="Segoe UI"/>
        </w:rPr>
        <w:t xml:space="preserve"> and methods in support of the core pillars of the</w:t>
      </w:r>
      <w:r w:rsidR="00B56E83">
        <w:rPr>
          <w:rFonts w:cs="Segoe UI"/>
        </w:rPr>
        <w:t xml:space="preserve"> </w:t>
      </w:r>
      <w:r w:rsidR="006E0405">
        <w:rPr>
          <w:rFonts w:cs="Segoe UI"/>
        </w:rPr>
        <w:t>NMP</w:t>
      </w:r>
      <w:r>
        <w:rPr>
          <w:rFonts w:cs="Segoe UI"/>
        </w:rPr>
        <w:t>. This program would include:</w:t>
      </w:r>
    </w:p>
    <w:p w14:paraId="43BD9BFF" w14:textId="5B3FEC8C" w:rsidR="00E23E39" w:rsidRPr="006C5856" w:rsidRDefault="00655571" w:rsidP="00281153">
      <w:pPr>
        <w:pStyle w:val="ListParagraph"/>
        <w:numPr>
          <w:ilvl w:val="0"/>
          <w:numId w:val="30"/>
        </w:numPr>
        <w:rPr>
          <w:rFonts w:cs="Segoe UI"/>
        </w:rPr>
      </w:pPr>
      <w:r>
        <w:rPr>
          <w:lang w:eastAsia="en-AU"/>
        </w:rPr>
        <w:t>a s</w:t>
      </w:r>
      <w:r w:rsidR="00E23E39">
        <w:rPr>
          <w:lang w:eastAsia="en-AU"/>
        </w:rPr>
        <w:t>election of review topics i</w:t>
      </w:r>
      <w:r w:rsidR="00E23E39" w:rsidRPr="00F876B2">
        <w:rPr>
          <w:lang w:eastAsia="en-AU"/>
        </w:rPr>
        <w:t>nformed by</w:t>
      </w:r>
      <w:r w:rsidR="00E23E39">
        <w:rPr>
          <w:lang w:eastAsia="en-AU"/>
        </w:rPr>
        <w:t>:</w:t>
      </w:r>
    </w:p>
    <w:p w14:paraId="5C1657E8" w14:textId="110D7AFE" w:rsidR="00E23E39" w:rsidRPr="006C5856" w:rsidRDefault="00E23E39" w:rsidP="00281153">
      <w:pPr>
        <w:pStyle w:val="ListParagraph"/>
        <w:numPr>
          <w:ilvl w:val="1"/>
          <w:numId w:val="30"/>
        </w:numPr>
        <w:rPr>
          <w:rFonts w:cs="Segoe UI"/>
        </w:rPr>
      </w:pPr>
      <w:r w:rsidRPr="00F876B2">
        <w:rPr>
          <w:lang w:eastAsia="en-AU"/>
        </w:rPr>
        <w:t xml:space="preserve">consultation </w:t>
      </w:r>
      <w:r>
        <w:rPr>
          <w:lang w:eastAsia="en-AU"/>
        </w:rPr>
        <w:t>with</w:t>
      </w:r>
      <w:r w:rsidRPr="00F876B2">
        <w:rPr>
          <w:lang w:eastAsia="en-AU"/>
        </w:rPr>
        <w:t xml:space="preserve"> internal and external stakeholders</w:t>
      </w:r>
      <w:r>
        <w:rPr>
          <w:lang w:eastAsia="en-AU"/>
        </w:rPr>
        <w:t xml:space="preserve"> on areas where systematic concerns have been identified</w:t>
      </w:r>
    </w:p>
    <w:p w14:paraId="60374A0D" w14:textId="18A3E510" w:rsidR="00E23E39" w:rsidRPr="006C5856" w:rsidRDefault="00E23E39" w:rsidP="00281153">
      <w:pPr>
        <w:pStyle w:val="ListParagraph"/>
        <w:numPr>
          <w:ilvl w:val="1"/>
          <w:numId w:val="30"/>
        </w:numPr>
        <w:rPr>
          <w:rFonts w:cs="Segoe UI"/>
        </w:rPr>
      </w:pPr>
      <w:r>
        <w:rPr>
          <w:lang w:eastAsia="en-AU"/>
        </w:rPr>
        <w:t xml:space="preserve">contemporary </w:t>
      </w:r>
      <w:r w:rsidRPr="00F876B2">
        <w:rPr>
          <w:lang w:eastAsia="en-AU"/>
        </w:rPr>
        <w:t xml:space="preserve">research </w:t>
      </w:r>
      <w:r>
        <w:rPr>
          <w:lang w:eastAsia="en-AU"/>
        </w:rPr>
        <w:t>into</w:t>
      </w:r>
      <w:r w:rsidRPr="00F876B2">
        <w:rPr>
          <w:lang w:eastAsia="en-AU"/>
        </w:rPr>
        <w:t xml:space="preserve"> international and interjurisdictional best practi</w:t>
      </w:r>
      <w:r>
        <w:rPr>
          <w:lang w:eastAsia="en-AU"/>
        </w:rPr>
        <w:t>c</w:t>
      </w:r>
      <w:r w:rsidRPr="00F876B2">
        <w:rPr>
          <w:lang w:eastAsia="en-AU"/>
        </w:rPr>
        <w:t>e</w:t>
      </w:r>
    </w:p>
    <w:p w14:paraId="4420CEB5" w14:textId="604EB310" w:rsidR="00E23E39" w:rsidRPr="009270E9" w:rsidRDefault="00E23E39" w:rsidP="00281153">
      <w:pPr>
        <w:pStyle w:val="ListParagraph"/>
        <w:numPr>
          <w:ilvl w:val="1"/>
          <w:numId w:val="30"/>
        </w:numPr>
        <w:rPr>
          <w:rFonts w:cs="Segoe UI"/>
        </w:rPr>
      </w:pPr>
      <w:r>
        <w:rPr>
          <w:lang w:eastAsia="en-AU"/>
        </w:rPr>
        <w:t xml:space="preserve">findings from </w:t>
      </w:r>
      <w:r w:rsidR="00DD792B">
        <w:rPr>
          <w:lang w:eastAsia="en-AU"/>
        </w:rPr>
        <w:t xml:space="preserve">key performance indicators </w:t>
      </w:r>
      <w:r>
        <w:rPr>
          <w:lang w:eastAsia="en-AU"/>
        </w:rPr>
        <w:t>measurement and reporting arrangements</w:t>
      </w:r>
      <w:r w:rsidR="002349B5">
        <w:rPr>
          <w:lang w:eastAsia="en-AU"/>
        </w:rPr>
        <w:t>.</w:t>
      </w:r>
    </w:p>
    <w:p w14:paraId="39A6C481" w14:textId="6238F829" w:rsidR="00E23E39" w:rsidRPr="007A3656" w:rsidRDefault="00655571" w:rsidP="00281153">
      <w:pPr>
        <w:pStyle w:val="ListParagraph"/>
        <w:numPr>
          <w:ilvl w:val="0"/>
          <w:numId w:val="30"/>
        </w:numPr>
        <w:rPr>
          <w:rFonts w:cs="Segoe UI"/>
        </w:rPr>
      </w:pPr>
      <w:r>
        <w:rPr>
          <w:lang w:eastAsia="en-AU"/>
        </w:rPr>
        <w:t>a</w:t>
      </w:r>
      <w:r w:rsidR="00E23E39">
        <w:rPr>
          <w:lang w:eastAsia="en-AU"/>
        </w:rPr>
        <w:t xml:space="preserve"> </w:t>
      </w:r>
      <w:r w:rsidR="00E23E39" w:rsidRPr="00F876B2">
        <w:rPr>
          <w:lang w:eastAsia="en-AU"/>
        </w:rPr>
        <w:t>transparent schedule</w:t>
      </w:r>
      <w:r w:rsidR="00E23E39">
        <w:rPr>
          <w:lang w:eastAsia="en-AU"/>
        </w:rPr>
        <w:t xml:space="preserve"> of topics for review and review consultation </w:t>
      </w:r>
      <w:r w:rsidR="00E23E39" w:rsidRPr="007A3656">
        <w:rPr>
          <w:lang w:eastAsia="en-AU"/>
        </w:rPr>
        <w:t>activities, and designated time</w:t>
      </w:r>
      <w:r w:rsidR="004574C7">
        <w:rPr>
          <w:lang w:eastAsia="en-AU"/>
        </w:rPr>
        <w:t xml:space="preserve"> </w:t>
      </w:r>
      <w:r w:rsidR="00E23E39" w:rsidRPr="007A3656">
        <w:rPr>
          <w:lang w:eastAsia="en-AU"/>
        </w:rPr>
        <w:t>frames</w:t>
      </w:r>
      <w:r w:rsidR="009E3310">
        <w:rPr>
          <w:lang w:eastAsia="en-AU"/>
        </w:rPr>
        <w:t xml:space="preserve"> to complete</w:t>
      </w:r>
      <w:r w:rsidR="00E23E39" w:rsidRPr="007A3656" w:rsidDel="009E3310">
        <w:rPr>
          <w:lang w:eastAsia="en-AU"/>
        </w:rPr>
        <w:t xml:space="preserve"> </w:t>
      </w:r>
      <w:r w:rsidR="00E23E39" w:rsidRPr="007A3656">
        <w:rPr>
          <w:lang w:eastAsia="en-AU"/>
        </w:rPr>
        <w:t xml:space="preserve">reviews </w:t>
      </w:r>
    </w:p>
    <w:p w14:paraId="4DCD5F08" w14:textId="171A4D74" w:rsidR="00E23E39" w:rsidRPr="007A3656" w:rsidRDefault="00E23E39" w:rsidP="00281153">
      <w:pPr>
        <w:pStyle w:val="ListParagraph"/>
        <w:numPr>
          <w:ilvl w:val="0"/>
          <w:numId w:val="30"/>
        </w:numPr>
        <w:rPr>
          <w:rFonts w:cs="Segoe UI"/>
        </w:rPr>
      </w:pPr>
      <w:r w:rsidRPr="007A3656">
        <w:rPr>
          <w:lang w:eastAsia="en-AU"/>
        </w:rPr>
        <w:t>opportunities for all stakeholders to provide input to reviews</w:t>
      </w:r>
    </w:p>
    <w:p w14:paraId="5AC38B66" w14:textId="77777777" w:rsidR="00E23E39" w:rsidRPr="002D4AEF" w:rsidRDefault="00E23E39" w:rsidP="00CB457C">
      <w:pPr>
        <w:pStyle w:val="ListParagraph"/>
        <w:numPr>
          <w:ilvl w:val="0"/>
          <w:numId w:val="30"/>
        </w:numPr>
        <w:spacing w:after="240"/>
        <w:rPr>
          <w:rFonts w:cs="Segoe UI"/>
        </w:rPr>
      </w:pPr>
      <w:r>
        <w:rPr>
          <w:rFonts w:cs="Segoe UI"/>
        </w:rPr>
        <w:t xml:space="preserve">reporting of review outcomes and (where necessary) recommendations that (if implemented) would improve the operation of the HTA program. </w:t>
      </w:r>
    </w:p>
    <w:p w14:paraId="1804D193" w14:textId="1FF11AAB" w:rsidR="00E23E39" w:rsidRPr="0019054D" w:rsidRDefault="006C370B" w:rsidP="00F51C08">
      <w:pPr>
        <w:pStyle w:val="Heading2"/>
      </w:pPr>
      <w:bookmarkStart w:id="754" w:name="_Toc164685861"/>
      <w:bookmarkStart w:id="755" w:name="_Toc164691514"/>
      <w:bookmarkStart w:id="756" w:name="_Toc164696307"/>
      <w:bookmarkStart w:id="757" w:name="_Toc164696453"/>
      <w:bookmarkStart w:id="758" w:name="_Toc164767841"/>
      <w:bookmarkStart w:id="759" w:name="_Toc165473774"/>
      <w:bookmarkStart w:id="760" w:name="_Toc171935904"/>
      <w:bookmarkEnd w:id="733"/>
      <w:bookmarkEnd w:id="734"/>
      <w:bookmarkEnd w:id="735"/>
      <w:r>
        <w:t xml:space="preserve">Chapter 9.4: </w:t>
      </w:r>
      <w:r w:rsidR="00E23E39" w:rsidRPr="0019054D">
        <w:t>Capacity and capability of the HTA system and supporting architecture</w:t>
      </w:r>
      <w:bookmarkEnd w:id="754"/>
      <w:bookmarkEnd w:id="755"/>
      <w:bookmarkEnd w:id="756"/>
      <w:bookmarkEnd w:id="757"/>
      <w:bookmarkEnd w:id="758"/>
      <w:bookmarkEnd w:id="759"/>
      <w:bookmarkEnd w:id="760"/>
    </w:p>
    <w:p w14:paraId="0CEFD6FF" w14:textId="3FB01CC5" w:rsidR="001C061E" w:rsidRPr="00621C17" w:rsidRDefault="00B1572B" w:rsidP="00A318F7">
      <w:pPr>
        <w:pStyle w:val="Heading3"/>
      </w:pPr>
      <w:r>
        <w:t>Introduction and context</w:t>
      </w:r>
    </w:p>
    <w:p w14:paraId="27C1B762" w14:textId="3F889EA9" w:rsidR="00E23E39" w:rsidRPr="00D20132" w:rsidRDefault="00EC4A7F" w:rsidP="00405FD7">
      <w:pPr>
        <w:rPr>
          <w:rFonts w:cs="Segoe UI"/>
        </w:rPr>
      </w:pPr>
      <w:r>
        <w:rPr>
          <w:rFonts w:cs="Segoe UI"/>
        </w:rPr>
        <w:t>S</w:t>
      </w:r>
      <w:r w:rsidR="00E23E39" w:rsidRPr="00F5494B">
        <w:rPr>
          <w:rFonts w:cs="Segoe UI"/>
        </w:rPr>
        <w:t>everal emerging areas are challenging the existing HTA workforce</w:t>
      </w:r>
      <w:r w:rsidR="00E23E39" w:rsidRPr="00D20132">
        <w:rPr>
          <w:rFonts w:cs="Segoe UI"/>
        </w:rPr>
        <w:t>. These include:</w:t>
      </w:r>
    </w:p>
    <w:p w14:paraId="4DA4E3FF" w14:textId="7BE5423B" w:rsidR="00E23E39" w:rsidRPr="00D20132" w:rsidRDefault="00E23E39" w:rsidP="00274AA9">
      <w:pPr>
        <w:pStyle w:val="ListBullet"/>
      </w:pPr>
      <w:r w:rsidRPr="00F5494B">
        <w:t>increasing numbers and types of health technologies being brought forward for HTA evaluation</w:t>
      </w:r>
      <w:r w:rsidRPr="00D20132">
        <w:t xml:space="preserve"> each year</w:t>
      </w:r>
    </w:p>
    <w:p w14:paraId="49CB8CB8" w14:textId="252AC20E" w:rsidR="00E23E39" w:rsidRPr="00D20132" w:rsidRDefault="00E23E39" w:rsidP="00274AA9">
      <w:pPr>
        <w:pStyle w:val="ListBullet"/>
      </w:pPr>
      <w:r w:rsidRPr="00F5494B">
        <w:t>greater challenges in assessing health technologies</w:t>
      </w:r>
      <w:r w:rsidRPr="00D20132">
        <w:t xml:space="preserve">, due to increased complexity and changes to the size and quality of the evidence base over time </w:t>
      </w:r>
    </w:p>
    <w:p w14:paraId="20E25BF1" w14:textId="27D50B85" w:rsidR="00E23E39" w:rsidRPr="00D20132" w:rsidRDefault="00E23E39" w:rsidP="00274AA9">
      <w:pPr>
        <w:pStyle w:val="ListBullet"/>
      </w:pPr>
      <w:r w:rsidRPr="00F5494B">
        <w:t>greater need for develop</w:t>
      </w:r>
      <w:r w:rsidR="00EC4A7F">
        <w:t>ing</w:t>
      </w:r>
      <w:r w:rsidRPr="00F5494B">
        <w:t xml:space="preserve"> and re-evaluati</w:t>
      </w:r>
      <w:r w:rsidR="00EC4A7F">
        <w:t xml:space="preserve">ng </w:t>
      </w:r>
      <w:r w:rsidR="00EC4A7F" w:rsidRPr="00F5494B">
        <w:t>evidence</w:t>
      </w:r>
      <w:r w:rsidRPr="00D20132">
        <w:t xml:space="preserve"> after health technologies have been funded</w:t>
      </w:r>
    </w:p>
    <w:p w14:paraId="26EDF203" w14:textId="1DE6A0BA" w:rsidR="00E23E39" w:rsidRPr="00D20132" w:rsidRDefault="00E23E39" w:rsidP="00274AA9">
      <w:pPr>
        <w:pStyle w:val="ListBullet"/>
      </w:pPr>
      <w:r w:rsidRPr="00F5494B">
        <w:t>changes in evaluation approaches</w:t>
      </w:r>
      <w:r w:rsidRPr="00D20132">
        <w:t xml:space="preserve"> that may require </w:t>
      </w:r>
      <w:r w:rsidR="00EC4A7F" w:rsidRPr="00D20132">
        <w:t xml:space="preserve">upskilling </w:t>
      </w:r>
      <w:r w:rsidR="00EC4A7F">
        <w:t xml:space="preserve">of </w:t>
      </w:r>
      <w:r w:rsidRPr="00D20132">
        <w:t>evaluator</w:t>
      </w:r>
      <w:r w:rsidR="00EC4A7F">
        <w:t>s</w:t>
      </w:r>
      <w:r w:rsidRPr="00D20132">
        <w:t xml:space="preserve"> to keep pace with best practice methods and processes</w:t>
      </w:r>
    </w:p>
    <w:p w14:paraId="116A1F2E" w14:textId="77C078D1" w:rsidR="00E23E39" w:rsidRPr="00232957" w:rsidRDefault="00E23E39" w:rsidP="00274AA9">
      <w:pPr>
        <w:pStyle w:val="ListBullet"/>
      </w:pPr>
      <w:r w:rsidRPr="00D20132">
        <w:t xml:space="preserve">increasing </w:t>
      </w:r>
      <w:r w:rsidRPr="00F5494B">
        <w:t>interest among HTA bodies internationally in opportunities for work-sharing and parallel HTA evaluation arrangements</w:t>
      </w:r>
      <w:r w:rsidRPr="00D20132">
        <w:t xml:space="preserve"> as part of process efficiencies. </w:t>
      </w:r>
    </w:p>
    <w:p w14:paraId="2F3AE321" w14:textId="26F59463" w:rsidR="00E23E39" w:rsidRDefault="00E23E39" w:rsidP="00405FD7">
      <w:pPr>
        <w:spacing w:before="120" w:after="0"/>
        <w:rPr>
          <w:rStyle w:val="Emphasis"/>
          <w:rFonts w:cs="Segoe UI"/>
        </w:rPr>
      </w:pPr>
      <w:r w:rsidRPr="000C5623">
        <w:rPr>
          <w:rFonts w:cs="Segoe UI"/>
        </w:rPr>
        <w:t>The New Frontier</w:t>
      </w:r>
      <w:r>
        <w:rPr>
          <w:rFonts w:cs="Segoe UI"/>
          <w:i/>
          <w:iCs/>
        </w:rPr>
        <w:t xml:space="preserve"> </w:t>
      </w:r>
      <w:r w:rsidR="00F33A9E">
        <w:rPr>
          <w:rFonts w:cs="Segoe UI"/>
        </w:rPr>
        <w:t>i</w:t>
      </w:r>
      <w:r>
        <w:rPr>
          <w:rFonts w:cs="Segoe UI"/>
        </w:rPr>
        <w:t xml:space="preserve">nquiry </w:t>
      </w:r>
      <w:r w:rsidRPr="00D20132">
        <w:rPr>
          <w:rFonts w:cs="Segoe UI"/>
        </w:rPr>
        <w:t>identified a significant need for more health economic capacity in Australia and recommended that</w:t>
      </w:r>
      <w:r w:rsidR="00EC4A7F">
        <w:rPr>
          <w:rFonts w:cs="Segoe UI"/>
        </w:rPr>
        <w:t>,</w:t>
      </w:r>
      <w:r w:rsidRPr="00D20132">
        <w:rPr>
          <w:rFonts w:cs="Segoe UI"/>
        </w:rPr>
        <w:t xml:space="preserve"> </w:t>
      </w:r>
      <w:r w:rsidR="00EC4A7F" w:rsidRPr="00B61FDC">
        <w:rPr>
          <w:rFonts w:cs="Segoe UI"/>
          <w:i/>
          <w:iCs/>
        </w:rPr>
        <w:t>‘</w:t>
      </w:r>
      <w:r w:rsidRPr="00B61FDC">
        <w:rPr>
          <w:rStyle w:val="Emphasis"/>
          <w:rFonts w:cs="Segoe UI"/>
          <w:i w:val="0"/>
        </w:rPr>
        <w:t xml:space="preserve">the Australian Government develop a labour market and skills strategy to expand the number of health economists in </w:t>
      </w:r>
      <w:r w:rsidRPr="00B61FDC">
        <w:rPr>
          <w:rStyle w:val="Emphasis"/>
          <w:rFonts w:cs="Segoe UI"/>
          <w:i w:val="0"/>
        </w:rPr>
        <w:lastRenderedPageBreak/>
        <w:t>Australia. This could include encouraging training within Australia as well as seeking expertise from overseas</w:t>
      </w:r>
      <w:r w:rsidR="00E3452C" w:rsidRPr="00B61FDC">
        <w:rPr>
          <w:rStyle w:val="Emphasis"/>
          <w:rFonts w:cs="Segoe UI"/>
          <w:i w:val="0"/>
        </w:rPr>
        <w:t>.</w:t>
      </w:r>
      <w:r w:rsidR="00EC4A7F">
        <w:rPr>
          <w:rStyle w:val="Emphasis"/>
          <w:rFonts w:cs="Segoe UI"/>
          <w:i w:val="0"/>
        </w:rPr>
        <w:t>’</w:t>
      </w:r>
      <w:r w:rsidRPr="00EC4A7F">
        <w:rPr>
          <w:rStyle w:val="FootnoteReference"/>
          <w:rFonts w:cs="Segoe UI"/>
          <w:i/>
          <w:iCs/>
        </w:rPr>
        <w:footnoteReference w:id="223"/>
      </w:r>
    </w:p>
    <w:p w14:paraId="01284468" w14:textId="34306FC5" w:rsidR="00E23E39" w:rsidRPr="00232957" w:rsidRDefault="00E23E39" w:rsidP="00405FD7">
      <w:pPr>
        <w:spacing w:before="120" w:after="0"/>
        <w:rPr>
          <w:rStyle w:val="Emphasis"/>
          <w:rFonts w:cs="Segoe UI"/>
          <w:i w:val="0"/>
          <w:iCs w:val="0"/>
        </w:rPr>
      </w:pPr>
      <w:r w:rsidRPr="00F5494B">
        <w:rPr>
          <w:rStyle w:val="Emphasis"/>
          <w:rFonts w:cs="Segoe UI"/>
          <w:i w:val="0"/>
        </w:rPr>
        <w:t>Resourcing of the Australian HTA workforce is important to maintain its capacity and capability to evaluate evidence provided in submissions</w:t>
      </w:r>
      <w:r w:rsidRPr="0019054D">
        <w:rPr>
          <w:rStyle w:val="Emphasis"/>
          <w:rFonts w:cs="Segoe UI"/>
          <w:i w:val="0"/>
        </w:rPr>
        <w:t xml:space="preserve">. However, </w:t>
      </w:r>
      <w:r w:rsidR="1C60D78E" w:rsidRPr="6CC68A72">
        <w:rPr>
          <w:rStyle w:val="Emphasis"/>
          <w:rFonts w:cs="Segoe UI"/>
          <w:i w:val="0"/>
          <w:iCs w:val="0"/>
        </w:rPr>
        <w:t>i</w:t>
      </w:r>
      <w:r w:rsidRPr="6CC68A72">
        <w:rPr>
          <w:rStyle w:val="Emphasis"/>
          <w:rFonts w:cs="Segoe UI"/>
          <w:i w:val="0"/>
          <w:iCs w:val="0"/>
        </w:rPr>
        <w:t>t</w:t>
      </w:r>
      <w:r w:rsidRPr="0019054D">
        <w:rPr>
          <w:rStyle w:val="Emphasis"/>
          <w:rFonts w:cs="Segoe UI"/>
          <w:i w:val="0"/>
        </w:rPr>
        <w:t xml:space="preserve"> is </w:t>
      </w:r>
      <w:r w:rsidRPr="00F5494B">
        <w:rPr>
          <w:rStyle w:val="Emphasis"/>
          <w:rFonts w:cs="Segoe UI"/>
          <w:i w:val="0"/>
        </w:rPr>
        <w:t xml:space="preserve">also essential that the HTA evaluation process itself is properly supported by the range of activities and functions </w:t>
      </w:r>
      <w:r w:rsidR="00EC4A7F">
        <w:rPr>
          <w:rStyle w:val="Emphasis"/>
          <w:rFonts w:cs="Segoe UI"/>
          <w:i w:val="0"/>
        </w:rPr>
        <w:t>that</w:t>
      </w:r>
      <w:r w:rsidRPr="00F5494B">
        <w:rPr>
          <w:rStyle w:val="Emphasis"/>
          <w:rFonts w:cs="Segoe UI"/>
          <w:i w:val="0"/>
        </w:rPr>
        <w:t xml:space="preserve"> are essential to give practical effect to the HTA </w:t>
      </w:r>
      <w:r w:rsidR="00C16518">
        <w:rPr>
          <w:rStyle w:val="Emphasis"/>
          <w:rFonts w:cs="Segoe UI"/>
          <w:i w:val="0"/>
        </w:rPr>
        <w:t>advisory committee</w:t>
      </w:r>
      <w:r w:rsidRPr="00F5494B">
        <w:rPr>
          <w:rStyle w:val="Emphasis"/>
          <w:rFonts w:cs="Segoe UI"/>
          <w:i w:val="0"/>
        </w:rPr>
        <w:t>’s recommendations and enable subsidised access to health technologies</w:t>
      </w:r>
      <w:r w:rsidRPr="0019054D">
        <w:rPr>
          <w:rStyle w:val="Emphasis"/>
          <w:rFonts w:cs="Segoe UI"/>
          <w:i w:val="0"/>
        </w:rPr>
        <w:t xml:space="preserve">. These other activities and functions include </w:t>
      </w:r>
      <w:r>
        <w:rPr>
          <w:rFonts w:cs="Segoe UI"/>
        </w:rPr>
        <w:t>price negotiation arrangements, listings processes and post-</w:t>
      </w:r>
      <w:r w:rsidR="00C92DAD">
        <w:rPr>
          <w:rFonts w:cs="Segoe UI"/>
        </w:rPr>
        <w:t>subsidy r</w:t>
      </w:r>
      <w:r>
        <w:rPr>
          <w:rFonts w:cs="Segoe UI"/>
        </w:rPr>
        <w:t>eview functions (including further stakeholder engagement on matters of access and disinvestment)</w:t>
      </w:r>
      <w:r w:rsidR="00EC4A7F">
        <w:rPr>
          <w:rFonts w:cs="Segoe UI"/>
        </w:rPr>
        <w:t>. These</w:t>
      </w:r>
      <w:r>
        <w:rPr>
          <w:rFonts w:cs="Segoe UI"/>
        </w:rPr>
        <w:t xml:space="preserve"> may in turn inform future HTA </w:t>
      </w:r>
      <w:r w:rsidR="00C16518">
        <w:rPr>
          <w:rFonts w:cs="Segoe UI"/>
        </w:rPr>
        <w:t>advisory committee</w:t>
      </w:r>
      <w:r>
        <w:rPr>
          <w:rFonts w:cs="Segoe UI"/>
        </w:rPr>
        <w:t xml:space="preserve"> deliberations.</w:t>
      </w:r>
    </w:p>
    <w:p w14:paraId="00D4EDFA" w14:textId="4E6A4A6A" w:rsidR="00E23E39" w:rsidRDefault="00E23E39" w:rsidP="00405FD7">
      <w:pPr>
        <w:spacing w:before="120"/>
        <w:rPr>
          <w:rFonts w:cs="Segoe UI"/>
        </w:rPr>
      </w:pPr>
      <w:r w:rsidRPr="00D20132">
        <w:rPr>
          <w:rFonts w:cs="Segoe UI"/>
        </w:rPr>
        <w:t xml:space="preserve">In response to these observations, the Review agreed that it was important to examine </w:t>
      </w:r>
      <w:r>
        <w:rPr>
          <w:rFonts w:cs="Segoe UI"/>
        </w:rPr>
        <w:t>resourcing-related implications for the HTA evaluation process</w:t>
      </w:r>
      <w:r w:rsidR="00EC4A7F">
        <w:rPr>
          <w:rFonts w:cs="Segoe UI"/>
        </w:rPr>
        <w:t xml:space="preserve"> and</w:t>
      </w:r>
      <w:r w:rsidDel="00EC4A7F">
        <w:rPr>
          <w:rFonts w:cs="Segoe UI"/>
        </w:rPr>
        <w:t xml:space="preserve"> </w:t>
      </w:r>
      <w:r>
        <w:rPr>
          <w:rFonts w:cs="Segoe UI"/>
        </w:rPr>
        <w:t>the surrounding HTA-supporting work programs</w:t>
      </w:r>
      <w:r w:rsidR="00EC4A7F">
        <w:rPr>
          <w:rFonts w:cs="Segoe UI"/>
        </w:rPr>
        <w:t>. This</w:t>
      </w:r>
      <w:r w:rsidDel="00EC4A7F">
        <w:rPr>
          <w:rFonts w:cs="Segoe UI"/>
        </w:rPr>
        <w:t xml:space="preserve"> </w:t>
      </w:r>
      <w:r>
        <w:rPr>
          <w:rFonts w:cs="Segoe UI"/>
        </w:rPr>
        <w:t>includ</w:t>
      </w:r>
      <w:r w:rsidR="00EC4A7F">
        <w:rPr>
          <w:rFonts w:cs="Segoe UI"/>
        </w:rPr>
        <w:t>es</w:t>
      </w:r>
      <w:r>
        <w:rPr>
          <w:rFonts w:cs="Segoe UI"/>
        </w:rPr>
        <w:t xml:space="preserve">, but </w:t>
      </w:r>
      <w:r w:rsidR="00EC4A7F">
        <w:rPr>
          <w:rFonts w:cs="Segoe UI"/>
        </w:rPr>
        <w:t xml:space="preserve">is </w:t>
      </w:r>
      <w:r>
        <w:rPr>
          <w:rFonts w:cs="Segoe UI"/>
        </w:rPr>
        <w:t xml:space="preserve">not limited to, price negotiation, stakeholder engagement and communications, listings </w:t>
      </w:r>
      <w:proofErr w:type="gramStart"/>
      <w:r>
        <w:rPr>
          <w:rFonts w:cs="Segoe UI"/>
        </w:rPr>
        <w:t>processes</w:t>
      </w:r>
      <w:proofErr w:type="gramEnd"/>
      <w:r>
        <w:rPr>
          <w:rFonts w:cs="Segoe UI"/>
        </w:rPr>
        <w:t xml:space="preserve"> and pre-HTA evaluation activities discussed in this </w:t>
      </w:r>
      <w:r w:rsidR="00EC4A7F">
        <w:rPr>
          <w:rFonts w:cs="Segoe UI"/>
        </w:rPr>
        <w:t>R</w:t>
      </w:r>
      <w:r>
        <w:rPr>
          <w:rFonts w:cs="Segoe UI"/>
        </w:rPr>
        <w:t xml:space="preserve">eview, as well as post-HTA reassessment functions. </w:t>
      </w:r>
    </w:p>
    <w:p w14:paraId="7BD8CFFD" w14:textId="09F2CA5A" w:rsidR="0034509B" w:rsidRDefault="001412C1" w:rsidP="00405FD7">
      <w:pPr>
        <w:spacing w:before="120"/>
        <w:rPr>
          <w:rFonts w:cs="Segoe UI"/>
        </w:rPr>
      </w:pPr>
      <w:r>
        <w:rPr>
          <w:noProof/>
        </w:rPr>
        <mc:AlternateContent>
          <mc:Choice Requires="wps">
            <w:drawing>
              <wp:inline distT="0" distB="0" distL="0" distR="0" wp14:anchorId="7FB7E704" wp14:editId="5C0C05D7">
                <wp:extent cx="5731510" cy="3352800"/>
                <wp:effectExtent l="0" t="0" r="21590" b="19050"/>
                <wp:docPr id="282025673" name="Text Box 2820256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3352800"/>
                        </a:xfrm>
                        <a:prstGeom prst="roundRect">
                          <a:avLst/>
                        </a:prstGeom>
                        <a:ln>
                          <a:headEnd/>
                          <a:tailEnd/>
                        </a:ln>
                      </wps:spPr>
                      <wps:style>
                        <a:lnRef idx="2">
                          <a:schemeClr val="accent5"/>
                        </a:lnRef>
                        <a:fillRef idx="1">
                          <a:schemeClr val="lt1"/>
                        </a:fillRef>
                        <a:effectRef idx="0">
                          <a:schemeClr val="accent5"/>
                        </a:effectRef>
                        <a:fontRef idx="minor">
                          <a:schemeClr val="dk1"/>
                        </a:fontRef>
                      </wps:style>
                      <wps:txbx>
                        <w:txbxContent>
                          <w:p w14:paraId="6FFF819E" w14:textId="2E9E0C58" w:rsidR="001412C1" w:rsidRPr="00EC6DA1" w:rsidRDefault="001412C1" w:rsidP="00405FD7">
                            <w:pPr>
                              <w:pStyle w:val="Call-outbox"/>
                              <w:jc w:val="both"/>
                            </w:pPr>
                            <w:r w:rsidRPr="00EC6DA1">
                              <w:t xml:space="preserve">Why </w:t>
                            </w:r>
                            <w:r w:rsidRPr="00EC6DA1">
                              <w:t>this matters</w:t>
                            </w:r>
                          </w:p>
                          <w:p w14:paraId="381C7C97" w14:textId="77777777" w:rsidR="001412C1" w:rsidRDefault="001412C1" w:rsidP="00405FD7">
                            <w:pPr>
                              <w:spacing w:before="120" w:after="0"/>
                              <w:rPr>
                                <w:rFonts w:cs="Segoe UI"/>
                              </w:rPr>
                            </w:pPr>
                            <w:r>
                              <w:rPr>
                                <w:rFonts w:cs="Segoe UI"/>
                              </w:rPr>
                              <w:t>The availability, quality and proper alignment of workforce capacity and capability for:</w:t>
                            </w:r>
                          </w:p>
                          <w:p w14:paraId="37E47FCD" w14:textId="004C4F69" w:rsidR="001412C1" w:rsidRDefault="001412C1" w:rsidP="00281153">
                            <w:pPr>
                              <w:pStyle w:val="ListParagraph"/>
                              <w:numPr>
                                <w:ilvl w:val="0"/>
                                <w:numId w:val="4"/>
                              </w:numPr>
                            </w:pPr>
                            <w:r w:rsidRPr="00160E89">
                              <w:t>the HTA evaluation</w:t>
                            </w:r>
                            <w:r>
                              <w:t xml:space="preserve"> process</w:t>
                            </w:r>
                          </w:p>
                          <w:p w14:paraId="5407B83C" w14:textId="2D2DA219" w:rsidR="001412C1" w:rsidRDefault="001412C1" w:rsidP="00281153">
                            <w:pPr>
                              <w:pStyle w:val="ListParagraph"/>
                              <w:numPr>
                                <w:ilvl w:val="0"/>
                                <w:numId w:val="4"/>
                              </w:numPr>
                            </w:pPr>
                            <w:r w:rsidRPr="00160E89">
                              <w:t xml:space="preserve">the supporting pre-HTA activities that improve the quality and efficiency of the HTA process </w:t>
                            </w:r>
                          </w:p>
                          <w:p w14:paraId="4733AAB1" w14:textId="4AB05264" w:rsidR="001412C1" w:rsidRDefault="001412C1" w:rsidP="00281153">
                            <w:pPr>
                              <w:pStyle w:val="ListParagraph"/>
                              <w:numPr>
                                <w:ilvl w:val="0"/>
                                <w:numId w:val="4"/>
                              </w:numPr>
                              <w:spacing w:after="0"/>
                            </w:pPr>
                            <w:r w:rsidRPr="00160E89">
                              <w:t xml:space="preserve">the </w:t>
                            </w:r>
                            <w:r>
                              <w:t xml:space="preserve">activities that support </w:t>
                            </w:r>
                            <w:r w:rsidRPr="00160E89">
                              <w:t>translation of HTA recommendations into subsidised health technology access</w:t>
                            </w:r>
                          </w:p>
                          <w:p w14:paraId="24281A6D" w14:textId="6955B58F" w:rsidR="001412C1" w:rsidRPr="001412C1" w:rsidRDefault="001412C1" w:rsidP="00405FD7">
                            <w:pPr>
                              <w:spacing w:before="120"/>
                              <w:rPr>
                                <w:rFonts w:cs="Segoe UI"/>
                              </w:rPr>
                            </w:pPr>
                            <w:r w:rsidRPr="001412C1">
                              <w:rPr>
                                <w:rFonts w:cs="Segoe UI"/>
                              </w:rPr>
                              <w:t xml:space="preserve">all influence the effectiveness and efficiency of delivering </w:t>
                            </w:r>
                            <w:r w:rsidR="00EC4A7F">
                              <w:rPr>
                                <w:rFonts w:cs="Segoe UI"/>
                              </w:rPr>
                              <w:t xml:space="preserve">the </w:t>
                            </w:r>
                            <w:r w:rsidR="006E0405">
                              <w:rPr>
                                <w:rFonts w:cs="Segoe UI"/>
                              </w:rPr>
                              <w:t>NMP</w:t>
                            </w:r>
                            <w:r w:rsidR="00EC4A7F">
                              <w:rPr>
                                <w:rFonts w:cs="Segoe UI"/>
                              </w:rPr>
                              <w:t>’s</w:t>
                            </w:r>
                            <w:r w:rsidRPr="001412C1">
                              <w:rPr>
                                <w:rFonts w:cs="Segoe UI"/>
                              </w:rPr>
                              <w:t xml:space="preserve"> objectives </w:t>
                            </w:r>
                            <w:r w:rsidR="00EC4A7F">
                              <w:rPr>
                                <w:rFonts w:cs="Segoe UI"/>
                              </w:rPr>
                              <w:t>for</w:t>
                            </w:r>
                            <w:r w:rsidRPr="001412C1">
                              <w:rPr>
                                <w:rFonts w:cs="Segoe UI"/>
                              </w:rPr>
                              <w:t xml:space="preserve"> timely access to health technologies. </w:t>
                            </w:r>
                          </w:p>
                          <w:p w14:paraId="29135467" w14:textId="5B93B6C0" w:rsidR="001412C1" w:rsidRPr="008939CB" w:rsidRDefault="00EC4A7F" w:rsidP="00405FD7">
                            <w:pPr>
                              <w:spacing w:before="120"/>
                              <w:rPr>
                                <w:rFonts w:cs="Segoe UI"/>
                              </w:rPr>
                            </w:pPr>
                            <w:r>
                              <w:rPr>
                                <w:rFonts w:cs="Segoe UI"/>
                              </w:rPr>
                              <w:t>(</w:t>
                            </w:r>
                            <w:r w:rsidR="00FA396E">
                              <w:rPr>
                                <w:rFonts w:cs="Segoe UI"/>
                              </w:rPr>
                              <w:t>That is,</w:t>
                            </w:r>
                            <w:r w:rsidR="001412C1">
                              <w:rPr>
                                <w:rFonts w:cs="Segoe UI"/>
                              </w:rPr>
                              <w:t xml:space="preserve"> insufficient resourcing and/or misalignment of resourcing can slow down key parts of the process that support access to medicines for patients</w:t>
                            </w:r>
                            <w:r>
                              <w:rPr>
                                <w:rFonts w:cs="Segoe UI"/>
                              </w:rPr>
                              <w:t>.</w:t>
                            </w:r>
                            <w:r w:rsidR="001412C1">
                              <w:rPr>
                                <w:rFonts w:cs="Segoe UI"/>
                              </w:rPr>
                              <w:t xml:space="preserve">) </w:t>
                            </w:r>
                          </w:p>
                          <w:p w14:paraId="6599C16B" w14:textId="77777777" w:rsidR="001412C1" w:rsidRDefault="001412C1" w:rsidP="00405FD7"/>
                          <w:p w14:paraId="569E0315" w14:textId="77777777" w:rsidR="001412C1" w:rsidRDefault="001412C1" w:rsidP="00405FD7"/>
                          <w:p w14:paraId="06E914F9" w14:textId="77777777" w:rsidR="001412C1" w:rsidRDefault="001412C1" w:rsidP="00405FD7"/>
                          <w:p w14:paraId="36D64DDA" w14:textId="77777777" w:rsidR="001412C1" w:rsidRDefault="001412C1" w:rsidP="00405FD7"/>
                          <w:p w14:paraId="56758347" w14:textId="77777777" w:rsidR="001412C1" w:rsidRDefault="001412C1" w:rsidP="00405FD7"/>
                          <w:p w14:paraId="753A27E3" w14:textId="77777777" w:rsidR="001412C1" w:rsidRDefault="001412C1" w:rsidP="00405FD7"/>
                          <w:p w14:paraId="53191B49" w14:textId="77777777" w:rsidR="001412C1" w:rsidRDefault="001412C1" w:rsidP="00405FD7"/>
                          <w:p w14:paraId="0538A80C" w14:textId="77777777" w:rsidR="001412C1" w:rsidRDefault="001412C1" w:rsidP="00405FD7"/>
                          <w:p w14:paraId="699396BE" w14:textId="77777777" w:rsidR="001412C1" w:rsidRDefault="001412C1" w:rsidP="00405FD7"/>
                          <w:p w14:paraId="5E0AF4AD" w14:textId="77777777" w:rsidR="001412C1" w:rsidRDefault="001412C1" w:rsidP="00405FD7"/>
                          <w:p w14:paraId="65598223" w14:textId="77777777" w:rsidR="001412C1" w:rsidRDefault="001412C1" w:rsidP="00405FD7"/>
                          <w:p w14:paraId="35E26B22" w14:textId="77777777" w:rsidR="001412C1" w:rsidRDefault="001412C1" w:rsidP="00405FD7"/>
                          <w:p w14:paraId="4A34B8D7" w14:textId="77777777" w:rsidR="001412C1" w:rsidRDefault="001412C1" w:rsidP="00405FD7"/>
                          <w:p w14:paraId="63A3E080" w14:textId="77777777" w:rsidR="001412C1" w:rsidRDefault="001412C1" w:rsidP="00405FD7"/>
                          <w:p w14:paraId="20E88AE2" w14:textId="77777777" w:rsidR="001412C1" w:rsidRDefault="001412C1" w:rsidP="00405FD7"/>
                          <w:p w14:paraId="1424C7A9" w14:textId="77777777" w:rsidR="001412C1" w:rsidRDefault="001412C1" w:rsidP="00405FD7"/>
                          <w:p w14:paraId="620C63C7" w14:textId="77777777" w:rsidR="001412C1" w:rsidRDefault="001412C1" w:rsidP="00405FD7"/>
                          <w:p w14:paraId="105CAAC7" w14:textId="77777777" w:rsidR="001412C1" w:rsidRDefault="001412C1" w:rsidP="00405FD7"/>
                          <w:p w14:paraId="4E1053D5" w14:textId="77777777" w:rsidR="001412C1" w:rsidRDefault="001412C1" w:rsidP="00405FD7"/>
                          <w:p w14:paraId="636CED6A" w14:textId="77777777" w:rsidR="001412C1" w:rsidRDefault="001412C1" w:rsidP="00405FD7"/>
                          <w:p w14:paraId="64DCEFF2" w14:textId="77777777" w:rsidR="001412C1" w:rsidRDefault="001412C1" w:rsidP="00405FD7"/>
                        </w:txbxContent>
                      </wps:txbx>
                      <wps:bodyPr rot="0" vert="horz" wrap="square" lIns="91440" tIns="45720" rIns="91440" bIns="45720" anchor="t" anchorCtr="0">
                        <a:noAutofit/>
                      </wps:bodyPr>
                    </wps:wsp>
                  </a:graphicData>
                </a:graphic>
              </wp:inline>
            </w:drawing>
          </mc:Choice>
          <mc:Fallback>
            <w:pict>
              <v:roundrect w14:anchorId="7FB7E704" id="Text Box 282025673" o:spid="_x0000_s1054" style="width:451.3pt;height:264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" fillcolor="white [3201]" strokecolor="#acc02a [3208]" strokeweight="1pt">
                <v:stroke joinstyle="miter"/>
                <v:textbox>
                  <w:txbxContent>
                    <w:p w14:paraId="6FFF819E" w14:textId="2E9E0C58" w:rsidR="001412C1" w:rsidRPr="00EC6DA1" w:rsidRDefault="001412C1" w:rsidP="00405FD7">
                      <w:pPr>
                        <w:pStyle w:val="Call-outbox"/>
                        <w:jc w:val="both"/>
                      </w:pPr>
                      <w:r w:rsidRPr="00EC6DA1">
                        <w:t>Why this matters</w:t>
                      </w:r>
                    </w:p>
                    <w:p w14:paraId="381C7C97" w14:textId="77777777" w:rsidR="001412C1" w:rsidRDefault="001412C1" w:rsidP="00405FD7">
                      <w:pPr>
                        <w:spacing w:before="120" w:after="0"/>
                        <w:rPr>
                          <w:rFonts w:cs="Segoe UI"/>
                        </w:rPr>
                      </w:pPr>
                      <w:r>
                        <w:rPr>
                          <w:rFonts w:cs="Segoe UI"/>
                        </w:rPr>
                        <w:t>The availability, quality and proper alignment of workforce capacity and capability for:</w:t>
                      </w:r>
                    </w:p>
                    <w:p w14:paraId="37E47FCD" w14:textId="004C4F69" w:rsidR="001412C1" w:rsidRDefault="001412C1" w:rsidP="00281153">
                      <w:pPr>
                        <w:pStyle w:val="ListParagraph"/>
                        <w:numPr>
                          <w:ilvl w:val="0"/>
                          <w:numId w:val="4"/>
                        </w:numPr>
                      </w:pPr>
                      <w:r w:rsidRPr="00160E89">
                        <w:t>the HTA evaluation</w:t>
                      </w:r>
                      <w:r>
                        <w:t xml:space="preserve"> process</w:t>
                      </w:r>
                    </w:p>
                    <w:p w14:paraId="5407B83C" w14:textId="2D2DA219" w:rsidR="001412C1" w:rsidRDefault="001412C1" w:rsidP="00281153">
                      <w:pPr>
                        <w:pStyle w:val="ListParagraph"/>
                        <w:numPr>
                          <w:ilvl w:val="0"/>
                          <w:numId w:val="4"/>
                        </w:numPr>
                      </w:pPr>
                      <w:r w:rsidRPr="00160E89">
                        <w:t xml:space="preserve">the supporting pre-HTA activities that improve the quality and efficiency of the HTA process </w:t>
                      </w:r>
                    </w:p>
                    <w:p w14:paraId="4733AAB1" w14:textId="4AB05264" w:rsidR="001412C1" w:rsidRDefault="001412C1" w:rsidP="00281153">
                      <w:pPr>
                        <w:pStyle w:val="ListParagraph"/>
                        <w:numPr>
                          <w:ilvl w:val="0"/>
                          <w:numId w:val="4"/>
                        </w:numPr>
                        <w:spacing w:after="0"/>
                      </w:pPr>
                      <w:r w:rsidRPr="00160E89">
                        <w:t xml:space="preserve">the </w:t>
                      </w:r>
                      <w:r>
                        <w:t xml:space="preserve">activities that support </w:t>
                      </w:r>
                      <w:r w:rsidRPr="00160E89">
                        <w:t>translation of HTA recommendations into subsidised health technology access</w:t>
                      </w:r>
                    </w:p>
                    <w:p w14:paraId="24281A6D" w14:textId="6955B58F" w:rsidR="001412C1" w:rsidRPr="001412C1" w:rsidRDefault="001412C1" w:rsidP="00405FD7">
                      <w:pPr>
                        <w:spacing w:before="120"/>
                        <w:rPr>
                          <w:rFonts w:cs="Segoe UI"/>
                        </w:rPr>
                      </w:pPr>
                      <w:r w:rsidRPr="001412C1">
                        <w:rPr>
                          <w:rFonts w:cs="Segoe UI"/>
                        </w:rPr>
                        <w:t xml:space="preserve">all influence the effectiveness and efficiency of delivering </w:t>
                      </w:r>
                      <w:r w:rsidR="00EC4A7F">
                        <w:rPr>
                          <w:rFonts w:cs="Segoe UI"/>
                        </w:rPr>
                        <w:t xml:space="preserve">the </w:t>
                      </w:r>
                      <w:r w:rsidR="006E0405">
                        <w:rPr>
                          <w:rFonts w:cs="Segoe UI"/>
                        </w:rPr>
                        <w:t>NMP</w:t>
                      </w:r>
                      <w:r w:rsidR="00EC4A7F">
                        <w:rPr>
                          <w:rFonts w:cs="Segoe UI"/>
                        </w:rPr>
                        <w:t>’s</w:t>
                      </w:r>
                      <w:r w:rsidRPr="001412C1">
                        <w:rPr>
                          <w:rFonts w:cs="Segoe UI"/>
                        </w:rPr>
                        <w:t xml:space="preserve"> objectives </w:t>
                      </w:r>
                      <w:r w:rsidR="00EC4A7F">
                        <w:rPr>
                          <w:rFonts w:cs="Segoe UI"/>
                        </w:rPr>
                        <w:t>for</w:t>
                      </w:r>
                      <w:r w:rsidRPr="001412C1">
                        <w:rPr>
                          <w:rFonts w:cs="Segoe UI"/>
                        </w:rPr>
                        <w:t xml:space="preserve"> timely access to health technologies. </w:t>
                      </w:r>
                    </w:p>
                    <w:p w14:paraId="29135467" w14:textId="5B93B6C0" w:rsidR="001412C1" w:rsidRPr="008939CB" w:rsidRDefault="00EC4A7F" w:rsidP="00405FD7">
                      <w:pPr>
                        <w:spacing w:before="120"/>
                        <w:rPr>
                          <w:rFonts w:cs="Segoe UI"/>
                        </w:rPr>
                      </w:pPr>
                      <w:r>
                        <w:rPr>
                          <w:rFonts w:cs="Segoe UI"/>
                        </w:rPr>
                        <w:t>(</w:t>
                      </w:r>
                      <w:r w:rsidR="00FA396E">
                        <w:rPr>
                          <w:rFonts w:cs="Segoe UI"/>
                        </w:rPr>
                        <w:t>That is,</w:t>
                      </w:r>
                      <w:r w:rsidR="001412C1">
                        <w:rPr>
                          <w:rFonts w:cs="Segoe UI"/>
                        </w:rPr>
                        <w:t xml:space="preserve"> insufficient resourcing and/or misalignment of resourcing can slow down key parts of the process that support access to medicines for patients</w:t>
                      </w:r>
                      <w:r>
                        <w:rPr>
                          <w:rFonts w:cs="Segoe UI"/>
                        </w:rPr>
                        <w:t>.</w:t>
                      </w:r>
                      <w:r w:rsidR="001412C1">
                        <w:rPr>
                          <w:rFonts w:cs="Segoe UI"/>
                        </w:rPr>
                        <w:t xml:space="preserve">) </w:t>
                      </w:r>
                    </w:p>
                    <w:p w14:paraId="6599C16B" w14:textId="77777777" w:rsidR="001412C1" w:rsidRDefault="001412C1" w:rsidP="00405FD7"/>
                    <w:p w14:paraId="569E0315" w14:textId="77777777" w:rsidR="001412C1" w:rsidRDefault="001412C1" w:rsidP="00405FD7"/>
                    <w:p w14:paraId="06E914F9" w14:textId="77777777" w:rsidR="001412C1" w:rsidRDefault="001412C1" w:rsidP="00405FD7"/>
                    <w:p w14:paraId="36D64DDA" w14:textId="77777777" w:rsidR="001412C1" w:rsidRDefault="001412C1" w:rsidP="00405FD7"/>
                    <w:p w14:paraId="56758347" w14:textId="77777777" w:rsidR="001412C1" w:rsidRDefault="001412C1" w:rsidP="00405FD7"/>
                    <w:p w14:paraId="753A27E3" w14:textId="77777777" w:rsidR="001412C1" w:rsidRDefault="001412C1" w:rsidP="00405FD7"/>
                    <w:p w14:paraId="53191B49" w14:textId="77777777" w:rsidR="001412C1" w:rsidRDefault="001412C1" w:rsidP="00405FD7"/>
                    <w:p w14:paraId="0538A80C" w14:textId="77777777" w:rsidR="001412C1" w:rsidRDefault="001412C1" w:rsidP="00405FD7"/>
                    <w:p w14:paraId="699396BE" w14:textId="77777777" w:rsidR="001412C1" w:rsidRDefault="001412C1" w:rsidP="00405FD7"/>
                    <w:p w14:paraId="5E0AF4AD" w14:textId="77777777" w:rsidR="001412C1" w:rsidRDefault="001412C1" w:rsidP="00405FD7"/>
                    <w:p w14:paraId="65598223" w14:textId="77777777" w:rsidR="001412C1" w:rsidRDefault="001412C1" w:rsidP="00405FD7"/>
                    <w:p w14:paraId="35E26B22" w14:textId="77777777" w:rsidR="001412C1" w:rsidRDefault="001412C1" w:rsidP="00405FD7"/>
                    <w:p w14:paraId="4A34B8D7" w14:textId="77777777" w:rsidR="001412C1" w:rsidRDefault="001412C1" w:rsidP="00405FD7"/>
                    <w:p w14:paraId="63A3E080" w14:textId="77777777" w:rsidR="001412C1" w:rsidRDefault="001412C1" w:rsidP="00405FD7"/>
                    <w:p w14:paraId="20E88AE2" w14:textId="77777777" w:rsidR="001412C1" w:rsidRDefault="001412C1" w:rsidP="00405FD7"/>
                    <w:p w14:paraId="1424C7A9" w14:textId="77777777" w:rsidR="001412C1" w:rsidRDefault="001412C1" w:rsidP="00405FD7"/>
                    <w:p w14:paraId="620C63C7" w14:textId="77777777" w:rsidR="001412C1" w:rsidRDefault="001412C1" w:rsidP="00405FD7"/>
                    <w:p w14:paraId="105CAAC7" w14:textId="77777777" w:rsidR="001412C1" w:rsidRDefault="001412C1" w:rsidP="00405FD7"/>
                    <w:p w14:paraId="4E1053D5" w14:textId="77777777" w:rsidR="001412C1" w:rsidRDefault="001412C1" w:rsidP="00405FD7"/>
                    <w:p w14:paraId="636CED6A" w14:textId="77777777" w:rsidR="001412C1" w:rsidRDefault="001412C1" w:rsidP="00405FD7"/>
                    <w:p w14:paraId="64DCEFF2" w14:textId="77777777" w:rsidR="001412C1" w:rsidRDefault="001412C1" w:rsidP="00405FD7"/>
                  </w:txbxContent>
                </v:textbox>
                <w10:anchorlock/>
              </v:roundrect>
            </w:pict>
          </mc:Fallback>
        </mc:AlternateContent>
      </w:r>
    </w:p>
    <w:p w14:paraId="3C417F86" w14:textId="4A966CB9" w:rsidR="00E23E39" w:rsidRPr="0019054D" w:rsidRDefault="00B1572B" w:rsidP="00A318F7">
      <w:pPr>
        <w:pStyle w:val="Heading3"/>
      </w:pPr>
      <w:r>
        <w:lastRenderedPageBreak/>
        <w:t>Findings</w:t>
      </w:r>
    </w:p>
    <w:p w14:paraId="37C61A83" w14:textId="77777777" w:rsidR="00E23E39" w:rsidRPr="00405FD7" w:rsidRDefault="00E23E39" w:rsidP="00405FD7">
      <w:pPr>
        <w:pStyle w:val="Heading4"/>
        <w:jc w:val="both"/>
        <w:rPr>
          <w:rFonts w:cs="Segoe UI"/>
          <w:color w:val="005A68" w:themeColor="accent6" w:themeShade="80"/>
        </w:rPr>
      </w:pPr>
      <w:r w:rsidRPr="00405FD7">
        <w:t>General observations</w:t>
      </w:r>
    </w:p>
    <w:p w14:paraId="45F3DD78" w14:textId="5EB593A1" w:rsidR="00E23E39" w:rsidRDefault="00722B95" w:rsidP="00405FD7">
      <w:pPr>
        <w:rPr>
          <w:rFonts w:cs="Segoe UI"/>
        </w:rPr>
      </w:pPr>
      <w:r>
        <w:rPr>
          <w:rFonts w:cs="Segoe UI"/>
        </w:rPr>
        <w:t>Australia’s</w:t>
      </w:r>
      <w:r w:rsidR="00E23E39" w:rsidRPr="00F5494B" w:rsidDel="00722B95">
        <w:rPr>
          <w:rFonts w:cs="Segoe UI"/>
        </w:rPr>
        <w:t xml:space="preserve"> </w:t>
      </w:r>
      <w:r w:rsidR="00E23E39" w:rsidRPr="00F5494B">
        <w:rPr>
          <w:rFonts w:cs="Segoe UI"/>
        </w:rPr>
        <w:t xml:space="preserve">HTA workforce is highly skilled and capable of addressing evaluation needs in support of the HTA </w:t>
      </w:r>
      <w:r w:rsidR="00C16518">
        <w:rPr>
          <w:rFonts w:cs="Segoe UI"/>
        </w:rPr>
        <w:t>advisory committee</w:t>
      </w:r>
      <w:r w:rsidR="00E23E39" w:rsidRPr="00F5494B">
        <w:rPr>
          <w:rFonts w:cs="Segoe UI"/>
        </w:rPr>
        <w:t>s. However, much of this capacity and capability is based on the extensive on-the-job training experiences of personnel</w:t>
      </w:r>
      <w:r>
        <w:rPr>
          <w:rFonts w:cs="Segoe UI"/>
        </w:rPr>
        <w:t>,</w:t>
      </w:r>
      <w:r w:rsidR="00E23E39" w:rsidDel="00722B95">
        <w:rPr>
          <w:rFonts w:cs="Segoe UI"/>
        </w:rPr>
        <w:t xml:space="preserve"> </w:t>
      </w:r>
      <w:r w:rsidR="00E23E39">
        <w:rPr>
          <w:rFonts w:cs="Segoe UI"/>
        </w:rPr>
        <w:t>built up</w:t>
      </w:r>
      <w:r w:rsidR="00E23E39" w:rsidDel="00722B95">
        <w:rPr>
          <w:rFonts w:cs="Segoe UI"/>
        </w:rPr>
        <w:t xml:space="preserve"> </w:t>
      </w:r>
      <w:r w:rsidR="00E23E39">
        <w:rPr>
          <w:rFonts w:cs="Segoe UI"/>
        </w:rPr>
        <w:t xml:space="preserve">since economic evaluation </w:t>
      </w:r>
      <w:r>
        <w:rPr>
          <w:rFonts w:cs="Segoe UI"/>
        </w:rPr>
        <w:t>for</w:t>
      </w:r>
      <w:r w:rsidR="00E23E39">
        <w:rPr>
          <w:rFonts w:cs="Segoe UI"/>
        </w:rPr>
        <w:t xml:space="preserve"> the Australian HTA context </w:t>
      </w:r>
      <w:r>
        <w:rPr>
          <w:rFonts w:cs="Segoe UI"/>
        </w:rPr>
        <w:t>was introduced in</w:t>
      </w:r>
      <w:r w:rsidR="00E23E39">
        <w:rPr>
          <w:rFonts w:cs="Segoe UI"/>
        </w:rPr>
        <w:t xml:space="preserve"> the mid-1990s. </w:t>
      </w:r>
    </w:p>
    <w:p w14:paraId="3784222E" w14:textId="19FE3E0C" w:rsidR="00E23E39" w:rsidRDefault="00E23E39" w:rsidP="00405FD7">
      <w:pPr>
        <w:rPr>
          <w:rFonts w:cs="Segoe UI"/>
        </w:rPr>
      </w:pPr>
      <w:r>
        <w:rPr>
          <w:rFonts w:cs="Segoe UI"/>
        </w:rPr>
        <w:t xml:space="preserve">As noted in </w:t>
      </w:r>
      <w:proofErr w:type="gramStart"/>
      <w:r>
        <w:rPr>
          <w:rFonts w:cs="Segoe UI"/>
        </w:rPr>
        <w:t>a number of</w:t>
      </w:r>
      <w:proofErr w:type="gramEnd"/>
      <w:r>
        <w:rPr>
          <w:rFonts w:cs="Segoe UI"/>
        </w:rPr>
        <w:t xml:space="preserve"> submissions to the Review</w:t>
      </w:r>
      <w:r w:rsidR="00722B95">
        <w:rPr>
          <w:rFonts w:cs="Segoe UI"/>
        </w:rPr>
        <w:t>,</w:t>
      </w:r>
      <w:r>
        <w:rPr>
          <w:rFonts w:cs="Segoe UI"/>
        </w:rPr>
        <w:t xml:space="preserve"> and in discussions with HTA evaluator groups, </w:t>
      </w:r>
      <w:r w:rsidRPr="00F5494B">
        <w:rPr>
          <w:rFonts w:cs="Segoe UI"/>
        </w:rPr>
        <w:t>developing the necessary experience and basic competence in HTA evaluation requires a mix of health economics study a</w:t>
      </w:r>
      <w:r w:rsidR="00722B95">
        <w:rPr>
          <w:rFonts w:cs="Segoe UI"/>
        </w:rPr>
        <w:t>nd</w:t>
      </w:r>
      <w:r w:rsidRPr="00F5494B">
        <w:rPr>
          <w:rFonts w:cs="Segoe UI"/>
        </w:rPr>
        <w:t xml:space="preserve"> </w:t>
      </w:r>
      <w:r w:rsidR="00E26395">
        <w:rPr>
          <w:rFonts w:cs="Segoe UI"/>
        </w:rPr>
        <w:t>several years’</w:t>
      </w:r>
      <w:r w:rsidRPr="00F5494B">
        <w:rPr>
          <w:rFonts w:cs="Segoe UI"/>
        </w:rPr>
        <w:t xml:space="preserve"> experience with handling HTA submissions</w:t>
      </w:r>
      <w:r>
        <w:rPr>
          <w:rFonts w:cs="Segoe UI"/>
        </w:rPr>
        <w:t>. Additional training and research activities necessary to improve HTA methodologies and their application (including consisten</w:t>
      </w:r>
      <w:r w:rsidR="00E26395">
        <w:rPr>
          <w:rFonts w:cs="Segoe UI"/>
        </w:rPr>
        <w:t>t</w:t>
      </w:r>
      <w:r>
        <w:rPr>
          <w:rFonts w:cs="Segoe UI"/>
        </w:rPr>
        <w:t xml:space="preserve"> approaches to evaluation) require </w:t>
      </w:r>
      <w:r w:rsidRPr="00F5494B">
        <w:rPr>
          <w:rFonts w:cs="Segoe UI"/>
        </w:rPr>
        <w:t>additional time and resources</w:t>
      </w:r>
      <w:r w:rsidR="00E26395">
        <w:rPr>
          <w:rFonts w:cs="Segoe UI"/>
        </w:rPr>
        <w:t>,</w:t>
      </w:r>
      <w:r w:rsidRPr="00F5494B">
        <w:rPr>
          <w:rFonts w:cs="Segoe UI"/>
        </w:rPr>
        <w:t xml:space="preserve"> which are not readily available or provided in Australia</w:t>
      </w:r>
      <w:r>
        <w:rPr>
          <w:rFonts w:cs="Segoe UI"/>
        </w:rPr>
        <w:t>.</w:t>
      </w:r>
      <w:r>
        <w:rPr>
          <w:rStyle w:val="FootnoteReference"/>
          <w:rFonts w:cs="Segoe UI"/>
        </w:rPr>
        <w:footnoteReference w:id="224"/>
      </w:r>
    </w:p>
    <w:p w14:paraId="63201387" w14:textId="1B827C92" w:rsidR="00E23E39" w:rsidRDefault="00E23E39" w:rsidP="00405FD7">
      <w:pPr>
        <w:rPr>
          <w:rFonts w:cs="Segoe UI"/>
        </w:rPr>
      </w:pPr>
      <w:r>
        <w:rPr>
          <w:rFonts w:cs="Segoe UI"/>
        </w:rPr>
        <w:t>In response to these observations, the Review tested stakeholder appetite for improving the capacity and capabilit</w:t>
      </w:r>
      <w:r w:rsidR="001E198D">
        <w:rPr>
          <w:rFonts w:cs="Segoe UI"/>
        </w:rPr>
        <w:t>ies</w:t>
      </w:r>
      <w:r w:rsidDel="001E198D">
        <w:rPr>
          <w:rFonts w:cs="Segoe UI"/>
        </w:rPr>
        <w:t xml:space="preserve"> </w:t>
      </w:r>
      <w:r>
        <w:rPr>
          <w:rFonts w:cs="Segoe UI"/>
        </w:rPr>
        <w:t xml:space="preserve">of the HTA workforce via a specially designed and certified HTA evaluator training and work experience program (i.e. sponsored internships), drawing on comparable mixed education and work experience programs </w:t>
      </w:r>
      <w:r w:rsidR="001E198D">
        <w:rPr>
          <w:rFonts w:cs="Segoe UI"/>
        </w:rPr>
        <w:t>used</w:t>
      </w:r>
      <w:r>
        <w:rPr>
          <w:rFonts w:cs="Segoe UI"/>
        </w:rPr>
        <w:t xml:space="preserve"> in other workforce sectors. Under this program, identified individuals would be </w:t>
      </w:r>
      <w:r w:rsidR="001E198D">
        <w:rPr>
          <w:rFonts w:cs="Segoe UI"/>
        </w:rPr>
        <w:t xml:space="preserve">given </w:t>
      </w:r>
      <w:r>
        <w:rPr>
          <w:rFonts w:cs="Segoe UI"/>
        </w:rPr>
        <w:t>additional targeted training, coursework and exposure to the range of HTA-related activities and different stakeholder perspectives (academic, government</w:t>
      </w:r>
      <w:r w:rsidR="001E198D">
        <w:rPr>
          <w:rFonts w:cs="Segoe UI"/>
        </w:rPr>
        <w:t xml:space="preserve"> and</w:t>
      </w:r>
      <w:r>
        <w:rPr>
          <w:rFonts w:cs="Segoe UI"/>
        </w:rPr>
        <w:t xml:space="preserve"> industry) that underpin the HTA </w:t>
      </w:r>
      <w:r w:rsidR="001E198D">
        <w:rPr>
          <w:rFonts w:cs="Segoe UI"/>
        </w:rPr>
        <w:t xml:space="preserve">system </w:t>
      </w:r>
      <w:r>
        <w:rPr>
          <w:rFonts w:cs="Segoe UI"/>
        </w:rPr>
        <w:t xml:space="preserve">in Australia. </w:t>
      </w:r>
    </w:p>
    <w:p w14:paraId="609A138F" w14:textId="4BA8E703" w:rsidR="00E23E39" w:rsidRDefault="001E198D" w:rsidP="00405FD7">
      <w:pPr>
        <w:rPr>
          <w:rFonts w:cs="Segoe UI"/>
        </w:rPr>
      </w:pPr>
      <w:r>
        <w:rPr>
          <w:rFonts w:cs="Segoe UI"/>
        </w:rPr>
        <w:t>T</w:t>
      </w:r>
      <w:r w:rsidR="00E23E39" w:rsidRPr="00D20132">
        <w:rPr>
          <w:rFonts w:cs="Segoe UI"/>
        </w:rPr>
        <w:t xml:space="preserve">here was limited opposition to the concept of sponsored internships </w:t>
      </w:r>
      <w:proofErr w:type="gramStart"/>
      <w:r w:rsidR="00E23E39" w:rsidRPr="00D20132">
        <w:rPr>
          <w:rFonts w:cs="Segoe UI"/>
        </w:rPr>
        <w:t>as a way to</w:t>
      </w:r>
      <w:proofErr w:type="gramEnd"/>
      <w:r w:rsidR="00E23E39" w:rsidRPr="00D20132">
        <w:rPr>
          <w:rFonts w:cs="Segoe UI"/>
        </w:rPr>
        <w:t xml:space="preserve"> upskill and broaden the HTA personnel base</w:t>
      </w:r>
      <w:r>
        <w:rPr>
          <w:rFonts w:cs="Segoe UI"/>
        </w:rPr>
        <w:t>. But</w:t>
      </w:r>
      <w:r w:rsidR="00E23E39" w:rsidRPr="00D20132">
        <w:rPr>
          <w:rFonts w:cs="Segoe UI"/>
        </w:rPr>
        <w:t xml:space="preserve"> concerns </w:t>
      </w:r>
      <w:r>
        <w:rPr>
          <w:rFonts w:cs="Segoe UI"/>
        </w:rPr>
        <w:t xml:space="preserve">were </w:t>
      </w:r>
      <w:r w:rsidR="00E23E39" w:rsidRPr="00D20132">
        <w:rPr>
          <w:rFonts w:cs="Segoe UI"/>
        </w:rPr>
        <w:t xml:space="preserve">raised </w:t>
      </w:r>
      <w:r>
        <w:rPr>
          <w:rFonts w:cs="Segoe UI"/>
        </w:rPr>
        <w:t>about</w:t>
      </w:r>
      <w:r w:rsidR="00E23E39" w:rsidRPr="00D20132">
        <w:rPr>
          <w:rFonts w:cs="Segoe UI"/>
        </w:rPr>
        <w:t xml:space="preserve"> appropriate remuneration for internships</w:t>
      </w:r>
      <w:r w:rsidR="00E23E39">
        <w:rPr>
          <w:rFonts w:cs="Segoe UI"/>
        </w:rPr>
        <w:t>, especially for mid-career students who may already be in full-time employment</w:t>
      </w:r>
      <w:r>
        <w:rPr>
          <w:rFonts w:cs="Segoe UI"/>
        </w:rPr>
        <w:t>.</w:t>
      </w:r>
      <w:r w:rsidR="00E23E39" w:rsidRPr="00D20132">
        <w:rPr>
          <w:rStyle w:val="FootnoteReference"/>
          <w:rFonts w:cs="Segoe UI"/>
        </w:rPr>
        <w:footnoteReference w:id="225"/>
      </w:r>
      <w:r w:rsidR="00E23E39" w:rsidRPr="00D20132">
        <w:rPr>
          <w:rFonts w:cs="Segoe UI"/>
        </w:rPr>
        <w:t xml:space="preserve"> </w:t>
      </w:r>
      <w:r>
        <w:rPr>
          <w:rFonts w:cs="Segoe UI"/>
        </w:rPr>
        <w:t xml:space="preserve">Another concern was </w:t>
      </w:r>
      <w:r w:rsidR="00E23E39" w:rsidRPr="00D20132">
        <w:rPr>
          <w:rFonts w:cs="Segoe UI"/>
        </w:rPr>
        <w:t xml:space="preserve">whether internship programs </w:t>
      </w:r>
      <w:r w:rsidR="00E23E39">
        <w:rPr>
          <w:rFonts w:cs="Segoe UI"/>
        </w:rPr>
        <w:t>could</w:t>
      </w:r>
      <w:r w:rsidR="00E23E39" w:rsidRPr="00D20132">
        <w:rPr>
          <w:rFonts w:cs="Segoe UI"/>
        </w:rPr>
        <w:t xml:space="preserve"> be broadened to industry settings to provide </w:t>
      </w:r>
      <w:r>
        <w:rPr>
          <w:rFonts w:cs="Segoe UI"/>
        </w:rPr>
        <w:t>wider</w:t>
      </w:r>
      <w:r w:rsidRPr="00D20132">
        <w:rPr>
          <w:rFonts w:cs="Segoe UI"/>
        </w:rPr>
        <w:t xml:space="preserve"> </w:t>
      </w:r>
      <w:r w:rsidR="00E23E39" w:rsidRPr="00D20132">
        <w:rPr>
          <w:rFonts w:cs="Segoe UI"/>
        </w:rPr>
        <w:t>experience and perspective to the HTA process.</w:t>
      </w:r>
    </w:p>
    <w:p w14:paraId="11ED35E9" w14:textId="6B290E7E" w:rsidR="00E23E39" w:rsidRPr="00D20132" w:rsidRDefault="001E198D" w:rsidP="00405FD7">
      <w:pPr>
        <w:rPr>
          <w:rFonts w:cs="Segoe UI"/>
        </w:rPr>
      </w:pPr>
      <w:r>
        <w:rPr>
          <w:rFonts w:cs="Segoe UI"/>
        </w:rPr>
        <w:t>S</w:t>
      </w:r>
      <w:r w:rsidR="00E23E39" w:rsidRPr="00D20132">
        <w:rPr>
          <w:rFonts w:cs="Segoe UI"/>
        </w:rPr>
        <w:t xml:space="preserve">ome of the other </w:t>
      </w:r>
      <w:r w:rsidRPr="00D20132">
        <w:rPr>
          <w:rFonts w:cs="Segoe UI"/>
        </w:rPr>
        <w:t xml:space="preserve">proposed </w:t>
      </w:r>
      <w:r w:rsidR="00E23E39" w:rsidRPr="00D20132">
        <w:rPr>
          <w:rFonts w:cs="Segoe UI"/>
        </w:rPr>
        <w:t xml:space="preserve">reforms (including </w:t>
      </w:r>
      <w:r>
        <w:rPr>
          <w:rFonts w:cs="Segoe UI"/>
        </w:rPr>
        <w:t xml:space="preserve">streamlining </w:t>
      </w:r>
      <w:r w:rsidR="00E23E39" w:rsidRPr="00D20132">
        <w:rPr>
          <w:rFonts w:cs="Segoe UI"/>
        </w:rPr>
        <w:t>HTA evaluation</w:t>
      </w:r>
      <w:r>
        <w:rPr>
          <w:rFonts w:cs="Segoe UI"/>
        </w:rPr>
        <w:t>s</w:t>
      </w:r>
      <w:r w:rsidR="00E23E39" w:rsidRPr="00D20132">
        <w:rPr>
          <w:rFonts w:cs="Segoe UI"/>
        </w:rPr>
        <w:t xml:space="preserve"> and horizon scanning) are expected to require significant additional workforce capacity and capability</w:t>
      </w:r>
      <w:r>
        <w:rPr>
          <w:rFonts w:cs="Segoe UI"/>
        </w:rPr>
        <w:t>. So</w:t>
      </w:r>
      <w:r w:rsidR="00E23E39" w:rsidRPr="00D20132">
        <w:rPr>
          <w:rFonts w:cs="Segoe UI"/>
        </w:rPr>
        <w:t>, the Review was heartened by stakeholder feedback supporting a review and overhaul of resourcing for the HTA arrangements</w:t>
      </w:r>
      <w:r w:rsidR="00E23E39">
        <w:rPr>
          <w:rFonts w:cs="Segoe UI"/>
        </w:rPr>
        <w:t xml:space="preserve"> to meet the needs of proposed new functions and activities put forward during consultations</w:t>
      </w:r>
      <w:r w:rsidR="00E23E39" w:rsidRPr="00D20132">
        <w:rPr>
          <w:rFonts w:cs="Segoe UI"/>
        </w:rPr>
        <w:t>.</w:t>
      </w:r>
    </w:p>
    <w:p w14:paraId="1CE33444" w14:textId="10B45DB6" w:rsidR="00E23E39" w:rsidRPr="00405FD7" w:rsidRDefault="00E23E39" w:rsidP="00405FD7">
      <w:pPr>
        <w:pStyle w:val="Heading4"/>
        <w:jc w:val="both"/>
      </w:pPr>
      <w:r w:rsidRPr="00405FD7">
        <w:lastRenderedPageBreak/>
        <w:t>The</w:t>
      </w:r>
      <w:r w:rsidRPr="0019054D">
        <w:t xml:space="preserve"> </w:t>
      </w:r>
      <w:r w:rsidRPr="00405FD7">
        <w:t>possibilities arising from international work</w:t>
      </w:r>
      <w:r w:rsidR="001E198D">
        <w:t xml:space="preserve"> </w:t>
      </w:r>
      <w:r w:rsidRPr="00405FD7">
        <w:t>sharing and collaboration</w:t>
      </w:r>
    </w:p>
    <w:p w14:paraId="4B70B717" w14:textId="727BD8FE" w:rsidR="00E23E39" w:rsidRDefault="00E23E39" w:rsidP="00405FD7">
      <w:pPr>
        <w:rPr>
          <w:rFonts w:cs="Segoe UI"/>
        </w:rPr>
      </w:pPr>
      <w:r>
        <w:rPr>
          <w:rFonts w:cs="Segoe UI"/>
        </w:rPr>
        <w:t>In briefings and discussions with international HTA entities and with the TGA, the Review noted evidence of an increasing volume and scope of joint HTA evaluation by agencies in different countries (i.e. international work</w:t>
      </w:r>
      <w:r w:rsidR="001E198D">
        <w:rPr>
          <w:rFonts w:cs="Segoe UI"/>
        </w:rPr>
        <w:t xml:space="preserve"> </w:t>
      </w:r>
      <w:r>
        <w:rPr>
          <w:rFonts w:cs="Segoe UI"/>
        </w:rPr>
        <w:t xml:space="preserve">sharing) for </w:t>
      </w:r>
      <w:r w:rsidR="001E198D">
        <w:rPr>
          <w:rFonts w:cs="Segoe UI"/>
        </w:rPr>
        <w:t xml:space="preserve">reasons of </w:t>
      </w:r>
      <w:r>
        <w:rPr>
          <w:rFonts w:cs="Segoe UI"/>
        </w:rPr>
        <w:t xml:space="preserve">efficiency and consistency. </w:t>
      </w:r>
    </w:p>
    <w:p w14:paraId="3E2CB8CF" w14:textId="0B503B9B" w:rsidR="00E23E39" w:rsidRPr="00D20132" w:rsidRDefault="000727C6" w:rsidP="00405FD7">
      <w:pPr>
        <w:rPr>
          <w:rFonts w:cs="Segoe UI"/>
        </w:rPr>
      </w:pPr>
      <w:r>
        <w:rPr>
          <w:rFonts w:cs="Segoe UI"/>
        </w:rPr>
        <w:t>I</w:t>
      </w:r>
      <w:r w:rsidR="00E23E39" w:rsidRPr="00F5494B">
        <w:rPr>
          <w:rFonts w:cs="Segoe UI"/>
        </w:rPr>
        <w:t>f well organised and constructed, Australian participation in these international work-sharing arrangements would likely increase the capacity and capability of the local HTA workforce.</w:t>
      </w:r>
      <w:r w:rsidR="00E23E39" w:rsidRPr="00D20132">
        <w:rPr>
          <w:rFonts w:cs="Segoe UI"/>
        </w:rPr>
        <w:t xml:space="preserve"> </w:t>
      </w:r>
    </w:p>
    <w:p w14:paraId="54BAB3AA" w14:textId="200B5512" w:rsidR="00E23E39" w:rsidRPr="00D20132" w:rsidRDefault="00E23E39" w:rsidP="00405FD7">
      <w:pPr>
        <w:rPr>
          <w:rFonts w:cs="Segoe UI"/>
        </w:rPr>
      </w:pPr>
      <w:r w:rsidRPr="00D20132">
        <w:rPr>
          <w:rFonts w:cs="Segoe UI"/>
        </w:rPr>
        <w:t xml:space="preserve">Feedback from the TGA Medicines Regulation </w:t>
      </w:r>
      <w:r w:rsidR="00595897">
        <w:rPr>
          <w:rFonts w:cs="Segoe UI"/>
        </w:rPr>
        <w:t>Division</w:t>
      </w:r>
      <w:r w:rsidR="00595897" w:rsidRPr="00D20132">
        <w:rPr>
          <w:rFonts w:cs="Segoe UI"/>
        </w:rPr>
        <w:t xml:space="preserve"> </w:t>
      </w:r>
      <w:r w:rsidRPr="00D20132">
        <w:rPr>
          <w:rFonts w:cs="Segoe UI"/>
        </w:rPr>
        <w:t>noted that the opportunities to u</w:t>
      </w:r>
      <w:r w:rsidR="001E198D">
        <w:rPr>
          <w:rFonts w:cs="Segoe UI"/>
        </w:rPr>
        <w:t>se</w:t>
      </w:r>
      <w:r w:rsidRPr="00D20132">
        <w:rPr>
          <w:rFonts w:cs="Segoe UI"/>
        </w:rPr>
        <w:t xml:space="preserve"> evaluation reports from comparable overseas regulators</w:t>
      </w:r>
      <w:r w:rsidR="001E198D">
        <w:rPr>
          <w:rFonts w:cs="Segoe UI"/>
        </w:rPr>
        <w:t>,</w:t>
      </w:r>
      <w:r w:rsidRPr="00D20132">
        <w:rPr>
          <w:rStyle w:val="FootnoteReference"/>
          <w:rFonts w:cs="Segoe UI"/>
        </w:rPr>
        <w:footnoteReference w:id="226"/>
      </w:r>
      <w:r w:rsidRPr="00D20132">
        <w:rPr>
          <w:rFonts w:cs="Segoe UI"/>
        </w:rPr>
        <w:t xml:space="preserve"> and </w:t>
      </w:r>
      <w:r w:rsidR="001E198D">
        <w:rPr>
          <w:rFonts w:cs="Segoe UI"/>
        </w:rPr>
        <w:t xml:space="preserve">to </w:t>
      </w:r>
      <w:r w:rsidRPr="00D20132">
        <w:rPr>
          <w:rFonts w:cs="Segoe UI"/>
        </w:rPr>
        <w:t>participate in parallel work-sharing evaluation arrangements with other comparable regulator</w:t>
      </w:r>
      <w:r w:rsidR="37EEC0F4" w:rsidRPr="00D20132">
        <w:rPr>
          <w:rFonts w:cs="Segoe UI"/>
        </w:rPr>
        <w:t>y</w:t>
      </w:r>
      <w:r w:rsidRPr="00D20132">
        <w:rPr>
          <w:rFonts w:cs="Segoe UI"/>
        </w:rPr>
        <w:t xml:space="preserve"> agencies (via the Access Consortium</w:t>
      </w:r>
      <w:r w:rsidRPr="00D20132">
        <w:rPr>
          <w:rStyle w:val="FootnoteReference"/>
          <w:rFonts w:cs="Segoe UI"/>
        </w:rPr>
        <w:footnoteReference w:id="227"/>
      </w:r>
      <w:r w:rsidRPr="00D20132">
        <w:rPr>
          <w:rFonts w:cs="Segoe UI"/>
        </w:rPr>
        <w:t xml:space="preserve"> and Project Orbis</w:t>
      </w:r>
      <w:r w:rsidRPr="00D20132">
        <w:rPr>
          <w:rStyle w:val="FootnoteReference"/>
          <w:rFonts w:cs="Segoe UI"/>
        </w:rPr>
        <w:footnoteReference w:id="228"/>
      </w:r>
      <w:r w:rsidRPr="00D20132">
        <w:rPr>
          <w:rFonts w:cs="Segoe UI"/>
        </w:rPr>
        <w:t>)</w:t>
      </w:r>
      <w:r w:rsidR="001E198D">
        <w:rPr>
          <w:rFonts w:cs="Segoe UI"/>
        </w:rPr>
        <w:t>,</w:t>
      </w:r>
      <w:r w:rsidRPr="00D20132" w:rsidDel="001E198D">
        <w:rPr>
          <w:rFonts w:cs="Segoe UI"/>
        </w:rPr>
        <w:t xml:space="preserve"> </w:t>
      </w:r>
      <w:r w:rsidR="001E198D">
        <w:rPr>
          <w:rFonts w:cs="Segoe UI"/>
        </w:rPr>
        <w:t>would</w:t>
      </w:r>
      <w:r w:rsidRPr="00D20132">
        <w:rPr>
          <w:rFonts w:cs="Segoe UI"/>
        </w:rPr>
        <w:t xml:space="preserve"> improve</w:t>
      </w:r>
      <w:r w:rsidR="001E198D">
        <w:rPr>
          <w:rFonts w:cs="Segoe UI"/>
        </w:rPr>
        <w:t xml:space="preserve"> the</w:t>
      </w:r>
      <w:r w:rsidRPr="00D20132">
        <w:rPr>
          <w:rFonts w:cs="Segoe UI"/>
        </w:rPr>
        <w:t xml:space="preserve"> capability of the evaluation group</w:t>
      </w:r>
      <w:r w:rsidR="001E198D">
        <w:rPr>
          <w:rFonts w:cs="Segoe UI"/>
        </w:rPr>
        <w:t>. They would do this</w:t>
      </w:r>
      <w:r w:rsidRPr="00D20132">
        <w:rPr>
          <w:rFonts w:cs="Segoe UI"/>
        </w:rPr>
        <w:t xml:space="preserve"> by: </w:t>
      </w:r>
    </w:p>
    <w:p w14:paraId="198B7221" w14:textId="73739A94" w:rsidR="00E23E39" w:rsidRPr="00D20132" w:rsidRDefault="00E23E39" w:rsidP="00274AA9">
      <w:pPr>
        <w:pStyle w:val="ListBullet"/>
      </w:pPr>
      <w:r w:rsidRPr="00D20132">
        <w:t>providing opportunities to draw on the experiences of a broader HTA evaluator cohort and test evaluation logic and approach</w:t>
      </w:r>
      <w:r w:rsidR="001E198D">
        <w:t>es</w:t>
      </w:r>
      <w:r w:rsidRPr="00D20132">
        <w:t xml:space="preserve"> to analysi</w:t>
      </w:r>
      <w:r w:rsidR="001E198D">
        <w:t>ng</w:t>
      </w:r>
      <w:r w:rsidRPr="00D20132">
        <w:t xml:space="preserve"> evidence</w:t>
      </w:r>
    </w:p>
    <w:p w14:paraId="339F3903" w14:textId="00A5DE19" w:rsidR="00985D05" w:rsidRPr="00D20132" w:rsidRDefault="00985D05" w:rsidP="00274AA9">
      <w:pPr>
        <w:pStyle w:val="ListBullet"/>
      </w:pPr>
      <w:r>
        <w:t>spread</w:t>
      </w:r>
      <w:r w:rsidR="001E198D">
        <w:t>ing</w:t>
      </w:r>
      <w:r>
        <w:t xml:space="preserve"> the effort of evidence analysis among different work</w:t>
      </w:r>
      <w:r w:rsidR="00FC4C0B">
        <w:t xml:space="preserve"> </w:t>
      </w:r>
      <w:r>
        <w:t xml:space="preserve">groups while </w:t>
      </w:r>
      <w:r w:rsidR="00FC4C0B">
        <w:t xml:space="preserve">allowing </w:t>
      </w:r>
      <w:r>
        <w:t>access to important quality check and peer review resources to improve evidence analysis and final recommendations.</w:t>
      </w:r>
    </w:p>
    <w:p w14:paraId="1DA685AC" w14:textId="2AE330F4" w:rsidR="00E23E39" w:rsidRPr="00D20132" w:rsidRDefault="00E23E39" w:rsidP="00405FD7">
      <w:pPr>
        <w:rPr>
          <w:rFonts w:cs="Segoe UI"/>
        </w:rPr>
      </w:pPr>
      <w:r w:rsidRPr="00D20132">
        <w:rPr>
          <w:rFonts w:cs="Segoe UI"/>
        </w:rPr>
        <w:t xml:space="preserve">Similar examples of work-sharing arrangements identified during the Review, but in support of </w:t>
      </w:r>
      <w:bookmarkStart w:id="762" w:name="_Int_4q19qrjc"/>
      <w:r w:rsidRPr="00D20132">
        <w:rPr>
          <w:rFonts w:cs="Segoe UI"/>
        </w:rPr>
        <w:t>reimbursement-related</w:t>
      </w:r>
      <w:bookmarkEnd w:id="762"/>
      <w:r w:rsidRPr="00D20132">
        <w:rPr>
          <w:rFonts w:cs="Segoe UI"/>
        </w:rPr>
        <w:t xml:space="preserve"> HTA evaluation, include the </w:t>
      </w:r>
      <w:r w:rsidR="00985D05">
        <w:rPr>
          <w:rFonts w:eastAsia="Times New Roman" w:cs="Segoe UI"/>
          <w:color w:val="000000" w:themeColor="text1"/>
          <w:lang w:eastAsia="en-AU"/>
        </w:rPr>
        <w:t>Nordic</w:t>
      </w:r>
      <w:r w:rsidR="005D22E9" w:rsidRPr="6CC68A72">
        <w:rPr>
          <w:rFonts w:eastAsia="Times New Roman" w:cs="Segoe UI"/>
          <w:color w:val="000000" w:themeColor="text1"/>
          <w:lang w:eastAsia="en-AU"/>
        </w:rPr>
        <w:t xml:space="preserve"> </w:t>
      </w:r>
      <w:r w:rsidRPr="00D20132">
        <w:rPr>
          <w:rFonts w:cs="Segoe UI"/>
        </w:rPr>
        <w:t xml:space="preserve">FINOSE collaboration, </w:t>
      </w:r>
      <w:bookmarkStart w:id="763" w:name="_Int_D0H6QLxc"/>
      <w:proofErr w:type="spellStart"/>
      <w:r w:rsidRPr="00D20132">
        <w:rPr>
          <w:rFonts w:cs="Segoe UI"/>
        </w:rPr>
        <w:t>BeneLuxa</w:t>
      </w:r>
      <w:bookmarkEnd w:id="763"/>
      <w:proofErr w:type="spellEnd"/>
      <w:r w:rsidRPr="00D20132">
        <w:rPr>
          <w:rFonts w:cs="Segoe UI"/>
        </w:rPr>
        <w:t xml:space="preserve"> Initiative and the forthcoming EU </w:t>
      </w:r>
      <w:r w:rsidR="005D22E9" w:rsidRPr="005D22E9">
        <w:rPr>
          <w:rFonts w:cs="Segoe UI"/>
        </w:rPr>
        <w:t xml:space="preserve">Health Technology Assessment Regulation </w:t>
      </w:r>
      <w:r w:rsidRPr="00D20132">
        <w:rPr>
          <w:rFonts w:cs="Segoe UI"/>
        </w:rPr>
        <w:t>legislation supporting joint clinical assessments</w:t>
      </w:r>
      <w:r w:rsidR="00FF085F">
        <w:rPr>
          <w:rFonts w:cs="Segoe UI"/>
        </w:rPr>
        <w:t>.</w:t>
      </w:r>
      <w:r w:rsidRPr="00D20132">
        <w:rPr>
          <w:rStyle w:val="FootnoteReference"/>
          <w:rFonts w:cs="Segoe UI"/>
        </w:rPr>
        <w:footnoteReference w:id="229"/>
      </w:r>
      <w:r w:rsidRPr="00D20132">
        <w:rPr>
          <w:rFonts w:cs="Segoe UI"/>
        </w:rPr>
        <w:t xml:space="preserve"> </w:t>
      </w:r>
      <w:r w:rsidR="00FF085F">
        <w:rPr>
          <w:rFonts w:cs="Segoe UI"/>
        </w:rPr>
        <w:t>These</w:t>
      </w:r>
      <w:r w:rsidRPr="00D20132">
        <w:rPr>
          <w:rFonts w:cs="Segoe UI"/>
        </w:rPr>
        <w:t xml:space="preserve"> all have improvements to workforce capability and capacity as part of their respective remits and objectives (via sharing of evaluation workload).</w:t>
      </w:r>
    </w:p>
    <w:p w14:paraId="1862E843" w14:textId="06DF0689" w:rsidR="00E23E39" w:rsidRPr="00D20132" w:rsidRDefault="00FF085F" w:rsidP="00405FD7">
      <w:pPr>
        <w:rPr>
          <w:rFonts w:cs="Segoe UI"/>
        </w:rPr>
      </w:pPr>
      <w:r>
        <w:rPr>
          <w:rFonts w:cs="Segoe UI"/>
        </w:rPr>
        <w:t>S</w:t>
      </w:r>
      <w:r w:rsidR="00E23E39" w:rsidRPr="00D20132">
        <w:rPr>
          <w:rFonts w:cs="Segoe UI"/>
        </w:rPr>
        <w:t>takeholders</w:t>
      </w:r>
      <w:r w:rsidR="00E23E39" w:rsidRPr="00D20132" w:rsidDel="00FF085F">
        <w:rPr>
          <w:rFonts w:cs="Segoe UI"/>
        </w:rPr>
        <w:t xml:space="preserve"> </w:t>
      </w:r>
      <w:r w:rsidR="00E23E39" w:rsidRPr="00D20132">
        <w:rPr>
          <w:rFonts w:cs="Segoe UI"/>
        </w:rPr>
        <w:t>generally support</w:t>
      </w:r>
      <w:r>
        <w:rPr>
          <w:rFonts w:cs="Segoe UI"/>
        </w:rPr>
        <w:t>ed</w:t>
      </w:r>
      <w:r w:rsidR="00E23E39" w:rsidRPr="00D20132">
        <w:rPr>
          <w:rFonts w:cs="Segoe UI"/>
        </w:rPr>
        <w:t xml:space="preserve"> international partnerships and work</w:t>
      </w:r>
      <w:r>
        <w:rPr>
          <w:rFonts w:cs="Segoe UI"/>
        </w:rPr>
        <w:t xml:space="preserve"> </w:t>
      </w:r>
      <w:r w:rsidR="00E23E39" w:rsidRPr="00D20132">
        <w:rPr>
          <w:rFonts w:cs="Segoe UI"/>
        </w:rPr>
        <w:t>sharing among HTA agencies to improve HTA-related capacity and capability</w:t>
      </w:r>
      <w:r>
        <w:rPr>
          <w:rFonts w:cs="Segoe UI"/>
        </w:rPr>
        <w:t>. But</w:t>
      </w:r>
      <w:r w:rsidR="00E23E39" w:rsidRPr="00D20132">
        <w:rPr>
          <w:rFonts w:cs="Segoe UI"/>
        </w:rPr>
        <w:t xml:space="preserve"> industry stakeholders</w:t>
      </w:r>
      <w:r w:rsidR="00E23E39" w:rsidRPr="00D20132" w:rsidDel="00FF085F">
        <w:rPr>
          <w:rFonts w:cs="Segoe UI"/>
        </w:rPr>
        <w:t xml:space="preserve"> were </w:t>
      </w:r>
      <w:r w:rsidR="00E23E39" w:rsidRPr="00D20132">
        <w:rPr>
          <w:rFonts w:cs="Segoe UI"/>
        </w:rPr>
        <w:t>generally opposed</w:t>
      </w:r>
      <w:r>
        <w:rPr>
          <w:rFonts w:cs="Segoe UI"/>
        </w:rPr>
        <w:t xml:space="preserve"> to</w:t>
      </w:r>
      <w:r w:rsidR="00E23E39" w:rsidRPr="00D20132">
        <w:rPr>
          <w:rFonts w:cs="Segoe UI"/>
        </w:rPr>
        <w:t xml:space="preserve"> international partnerships </w:t>
      </w:r>
      <w:r>
        <w:rPr>
          <w:rFonts w:cs="Segoe UI"/>
        </w:rPr>
        <w:t>that</w:t>
      </w:r>
      <w:r w:rsidRPr="00D20132">
        <w:rPr>
          <w:rFonts w:cs="Segoe UI"/>
        </w:rPr>
        <w:t xml:space="preserve"> </w:t>
      </w:r>
      <w:r w:rsidR="00E23E39" w:rsidRPr="00D20132">
        <w:rPr>
          <w:rFonts w:cs="Segoe UI"/>
        </w:rPr>
        <w:t xml:space="preserve">would </w:t>
      </w:r>
      <w:r w:rsidR="00E23E39">
        <w:rPr>
          <w:rFonts w:cs="Segoe UI"/>
        </w:rPr>
        <w:t>address</w:t>
      </w:r>
      <w:r w:rsidR="00E23E39" w:rsidRPr="00D20132">
        <w:rPr>
          <w:rFonts w:cs="Segoe UI"/>
        </w:rPr>
        <w:t xml:space="preserve"> matters </w:t>
      </w:r>
      <w:r w:rsidR="00E23E39">
        <w:rPr>
          <w:rFonts w:cs="Segoe UI"/>
        </w:rPr>
        <w:t>relating to</w:t>
      </w:r>
      <w:r w:rsidR="00E23E39" w:rsidRPr="00D20132">
        <w:rPr>
          <w:rFonts w:cs="Segoe UI"/>
        </w:rPr>
        <w:t xml:space="preserve"> harmonised pricing and joint procurement</w:t>
      </w:r>
      <w:r>
        <w:rPr>
          <w:rFonts w:cs="Segoe UI"/>
        </w:rPr>
        <w:t>.</w:t>
      </w:r>
      <w:r w:rsidR="00E23E39" w:rsidRPr="00D20132">
        <w:rPr>
          <w:rStyle w:val="FootnoteReference"/>
          <w:rFonts w:cs="Segoe UI"/>
        </w:rPr>
        <w:footnoteReference w:id="230"/>
      </w:r>
      <w:r w:rsidR="00E23E39" w:rsidRPr="00D20132">
        <w:rPr>
          <w:rFonts w:cs="Segoe UI"/>
        </w:rPr>
        <w:t xml:space="preserve"> Additionally, some stakeholders emphasised the importance of clarifying the scope of work and </w:t>
      </w:r>
      <w:r w:rsidR="00E23E39" w:rsidRPr="00D20132">
        <w:rPr>
          <w:rFonts w:cs="Segoe UI"/>
        </w:rPr>
        <w:lastRenderedPageBreak/>
        <w:t>addressing unintended implications that may arise from possible sharing of commercially sensitive information between HTA agencies</w:t>
      </w:r>
      <w:r>
        <w:rPr>
          <w:rFonts w:cs="Segoe UI"/>
        </w:rPr>
        <w:t>.</w:t>
      </w:r>
      <w:r w:rsidR="00E23E39" w:rsidRPr="00D20132">
        <w:rPr>
          <w:rStyle w:val="FootnoteReference"/>
          <w:rFonts w:cs="Segoe UI"/>
        </w:rPr>
        <w:footnoteReference w:id="231"/>
      </w:r>
      <w:r w:rsidR="00E23E39" w:rsidRPr="00D20132">
        <w:rPr>
          <w:rFonts w:cs="Segoe UI"/>
        </w:rPr>
        <w:t xml:space="preserve"> </w:t>
      </w:r>
    </w:p>
    <w:p w14:paraId="2574FE79" w14:textId="3953BB16" w:rsidR="00E23E39" w:rsidRPr="00D20132" w:rsidRDefault="00E23E39" w:rsidP="00A318F7">
      <w:pPr>
        <w:pStyle w:val="Heading3"/>
        <w:rPr>
          <w:lang w:val="en-US"/>
        </w:rPr>
      </w:pPr>
      <w:bookmarkStart w:id="765" w:name="_Toc164691517"/>
      <w:bookmarkStart w:id="766" w:name="_Toc164696310"/>
      <w:bookmarkStart w:id="767" w:name="_Toc164696456"/>
      <w:bookmarkStart w:id="768" w:name="_Toc164767844"/>
      <w:bookmarkStart w:id="769" w:name="_Toc165473777"/>
      <w:r w:rsidRPr="00D20132">
        <w:rPr>
          <w:lang w:val="en-US"/>
        </w:rPr>
        <w:t>Conclusion</w:t>
      </w:r>
      <w:bookmarkEnd w:id="765"/>
      <w:bookmarkEnd w:id="766"/>
      <w:bookmarkEnd w:id="767"/>
      <w:bookmarkEnd w:id="768"/>
      <w:bookmarkEnd w:id="769"/>
    </w:p>
    <w:p w14:paraId="040AA7AC" w14:textId="26B7B38A" w:rsidR="00E23E39" w:rsidRPr="0019054D" w:rsidRDefault="00E23E39" w:rsidP="00405FD7">
      <w:pPr>
        <w:pStyle w:val="Heading4"/>
        <w:jc w:val="both"/>
        <w:rPr>
          <w:rFonts w:cs="Segoe UI"/>
          <w:i/>
          <w:color w:val="005A68" w:themeColor="accent6" w:themeShade="80"/>
        </w:rPr>
      </w:pPr>
      <w:r w:rsidRPr="0019054D">
        <w:t>HTA evaluator workforce</w:t>
      </w:r>
    </w:p>
    <w:p w14:paraId="58FBE1AF" w14:textId="350A5F81" w:rsidR="00E23E39" w:rsidRPr="00944E9B" w:rsidRDefault="00E23E39" w:rsidP="00405FD7">
      <w:pPr>
        <w:rPr>
          <w:rFonts w:cs="Segoe UI"/>
        </w:rPr>
      </w:pPr>
      <w:r w:rsidRPr="00944E9B">
        <w:rPr>
          <w:rFonts w:cs="Segoe UI"/>
        </w:rPr>
        <w:t xml:space="preserve">The </w:t>
      </w:r>
      <w:r w:rsidRPr="00F5494B">
        <w:rPr>
          <w:rFonts w:cs="Segoe UI"/>
        </w:rPr>
        <w:t>pressures on HTA capacity and capability in Australia</w:t>
      </w:r>
      <w:r w:rsidR="00472F0A">
        <w:rPr>
          <w:rFonts w:cs="Segoe UI"/>
        </w:rPr>
        <w:t xml:space="preserve"> </w:t>
      </w:r>
      <w:r w:rsidRPr="00F5494B">
        <w:rPr>
          <w:rFonts w:cs="Segoe UI"/>
        </w:rPr>
        <w:t xml:space="preserve">are </w:t>
      </w:r>
      <w:r w:rsidR="001E1AB7">
        <w:rPr>
          <w:rFonts w:cs="Segoe UI"/>
        </w:rPr>
        <w:t>due to</w:t>
      </w:r>
      <w:r w:rsidRPr="00F5494B">
        <w:rPr>
          <w:rFonts w:cs="Segoe UI"/>
        </w:rPr>
        <w:t xml:space="preserve"> the increasing HTA workload (in volume and complexity), a</w:t>
      </w:r>
      <w:r w:rsidR="001E1AB7">
        <w:rPr>
          <w:rFonts w:cs="Segoe UI"/>
        </w:rPr>
        <w:t>nd</w:t>
      </w:r>
      <w:r w:rsidRPr="00F5494B">
        <w:rPr>
          <w:rFonts w:cs="Segoe UI"/>
        </w:rPr>
        <w:t xml:space="preserve"> the lack of a clear pipeline of prospective evaluators to ensure appropriate levels of continuity and succession. Addressing these pressures will require long-term support and contributions from all key stakeholders, as </w:t>
      </w:r>
      <w:r w:rsidR="00350837">
        <w:rPr>
          <w:rFonts w:cs="Segoe UI"/>
        </w:rPr>
        <w:t xml:space="preserve">developing the </w:t>
      </w:r>
      <w:r w:rsidRPr="00F5494B">
        <w:rPr>
          <w:rFonts w:cs="Segoe UI"/>
        </w:rPr>
        <w:t>capability</w:t>
      </w:r>
      <w:r w:rsidRPr="00F5494B" w:rsidDel="00350837">
        <w:rPr>
          <w:rFonts w:cs="Segoe UI"/>
        </w:rPr>
        <w:t xml:space="preserve"> </w:t>
      </w:r>
      <w:r w:rsidRPr="00F5494B">
        <w:rPr>
          <w:rFonts w:cs="Segoe UI"/>
        </w:rPr>
        <w:t xml:space="preserve">and </w:t>
      </w:r>
      <w:r w:rsidR="00350837">
        <w:rPr>
          <w:rFonts w:cs="Segoe UI"/>
        </w:rPr>
        <w:t xml:space="preserve">expanding the </w:t>
      </w:r>
      <w:r w:rsidRPr="00F5494B">
        <w:rPr>
          <w:rFonts w:cs="Segoe UI"/>
        </w:rPr>
        <w:t>capacity</w:t>
      </w:r>
      <w:r w:rsidRPr="00F5494B" w:rsidDel="00350837">
        <w:rPr>
          <w:rFonts w:cs="Segoe UI"/>
        </w:rPr>
        <w:t xml:space="preserve"> </w:t>
      </w:r>
      <w:r w:rsidRPr="00F5494B">
        <w:rPr>
          <w:rFonts w:cs="Segoe UI"/>
        </w:rPr>
        <w:t xml:space="preserve">of a highly skilled HTA workforce will </w:t>
      </w:r>
      <w:r w:rsidR="00350837">
        <w:rPr>
          <w:rFonts w:cs="Segoe UI"/>
        </w:rPr>
        <w:t>take</w:t>
      </w:r>
      <w:r w:rsidRPr="00F5494B">
        <w:rPr>
          <w:rFonts w:cs="Segoe UI"/>
        </w:rPr>
        <w:t xml:space="preserve"> years, rather than weeks or</w:t>
      </w:r>
      <w:r w:rsidR="00350837">
        <w:rPr>
          <w:rFonts w:cs="Segoe UI"/>
        </w:rPr>
        <w:t> </w:t>
      </w:r>
      <w:r w:rsidRPr="00F5494B">
        <w:rPr>
          <w:rFonts w:cs="Segoe UI"/>
        </w:rPr>
        <w:t>months.</w:t>
      </w:r>
      <w:r w:rsidRPr="00944E9B">
        <w:rPr>
          <w:rFonts w:cs="Segoe UI"/>
        </w:rPr>
        <w:t xml:space="preserve"> </w:t>
      </w:r>
    </w:p>
    <w:p w14:paraId="520DECCF" w14:textId="48D4898F" w:rsidR="00E23E39" w:rsidRPr="00484A95" w:rsidRDefault="00E23E39" w:rsidP="00405FD7">
      <w:pPr>
        <w:rPr>
          <w:rFonts w:cs="Segoe UI"/>
        </w:rPr>
      </w:pPr>
      <w:r w:rsidRPr="00484A95">
        <w:rPr>
          <w:rFonts w:cs="Segoe UI"/>
        </w:rPr>
        <w:t>I</w:t>
      </w:r>
      <w:r w:rsidR="00916E4C">
        <w:rPr>
          <w:rFonts w:cs="Segoe UI"/>
        </w:rPr>
        <w:t xml:space="preserve">t </w:t>
      </w:r>
      <w:r w:rsidRPr="00484A95">
        <w:rPr>
          <w:rFonts w:cs="Segoe UI"/>
        </w:rPr>
        <w:t>will require a combination</w:t>
      </w:r>
      <w:r w:rsidR="00350837">
        <w:rPr>
          <w:rFonts w:cs="Segoe UI"/>
        </w:rPr>
        <w:t> </w:t>
      </w:r>
      <w:r w:rsidRPr="00484A95">
        <w:rPr>
          <w:rFonts w:cs="Segoe UI"/>
        </w:rPr>
        <w:t>of:</w:t>
      </w:r>
    </w:p>
    <w:p w14:paraId="7B42B329" w14:textId="48EDFA94" w:rsidR="00E23E39" w:rsidRPr="00D20132" w:rsidRDefault="00916E4C" w:rsidP="00281153">
      <w:pPr>
        <w:pStyle w:val="ListBullet"/>
        <w:numPr>
          <w:ilvl w:val="0"/>
          <w:numId w:val="90"/>
        </w:numPr>
      </w:pPr>
      <w:r>
        <w:t xml:space="preserve">creating </w:t>
      </w:r>
      <w:r w:rsidR="00E23E39" w:rsidRPr="00D20132">
        <w:t>opportunities for on</w:t>
      </w:r>
      <w:r>
        <w:t>-</w:t>
      </w:r>
      <w:r w:rsidR="00E23E39" w:rsidRPr="00D20132">
        <w:t>the</w:t>
      </w:r>
      <w:r>
        <w:t>-</w:t>
      </w:r>
      <w:r w:rsidR="00E23E39" w:rsidRPr="00D20132">
        <w:t>job training and skills development for new and existing evaluators (external and internal to the Department) via greater exposure to a diverse range of HTA submissions</w:t>
      </w:r>
      <w:r w:rsidR="00E23E39">
        <w:t>, secondments with other work programs or stakeholder groups</w:t>
      </w:r>
      <w:r>
        <w:t>,</w:t>
      </w:r>
      <w:r w:rsidR="00E23E39" w:rsidRPr="00D20132">
        <w:t xml:space="preserve"> and collaborations with international evaluators</w:t>
      </w:r>
    </w:p>
    <w:p w14:paraId="48E036A9" w14:textId="0B36DFC3" w:rsidR="00E23E39" w:rsidRDefault="00E23E39" w:rsidP="00281153">
      <w:pPr>
        <w:pStyle w:val="ListBullet"/>
        <w:numPr>
          <w:ilvl w:val="0"/>
          <w:numId w:val="90"/>
        </w:numPr>
      </w:pPr>
      <w:r w:rsidRPr="00D20132">
        <w:t xml:space="preserve">establishing and embedding a clearly defined pathway for prospective </w:t>
      </w:r>
      <w:r>
        <w:t xml:space="preserve">and existing </w:t>
      </w:r>
      <w:r w:rsidRPr="00D20132">
        <w:t xml:space="preserve">evaluators to learn and apply coursework </w:t>
      </w:r>
      <w:r>
        <w:t xml:space="preserve">and new </w:t>
      </w:r>
      <w:r w:rsidRPr="00D20132">
        <w:t xml:space="preserve">learnings in a ‘live’ public program environment as part of </w:t>
      </w:r>
      <w:r w:rsidR="00916E4C">
        <w:t>developing</w:t>
      </w:r>
      <w:r w:rsidR="00916E4C" w:rsidRPr="00D20132">
        <w:t xml:space="preserve"> </w:t>
      </w:r>
      <w:r w:rsidRPr="00D20132">
        <w:t>understanding about the HTA process</w:t>
      </w:r>
      <w:r>
        <w:t xml:space="preserve">, </w:t>
      </w:r>
      <w:r w:rsidRPr="00D20132">
        <w:t>broader HTA policy</w:t>
      </w:r>
      <w:r>
        <w:t xml:space="preserve"> and new HTA methods that may be relevant to evaluati</w:t>
      </w:r>
      <w:r w:rsidR="00916E4C">
        <w:t>ng</w:t>
      </w:r>
      <w:r>
        <w:t xml:space="preserve"> new health technologies</w:t>
      </w:r>
    </w:p>
    <w:p w14:paraId="5C9DDA84" w14:textId="69FEB85E" w:rsidR="00E23E39" w:rsidRPr="00D20132" w:rsidRDefault="00E23E39" w:rsidP="00281153">
      <w:pPr>
        <w:pStyle w:val="ListBullet"/>
        <w:numPr>
          <w:ilvl w:val="0"/>
          <w:numId w:val="90"/>
        </w:numPr>
      </w:pPr>
      <w:r>
        <w:t xml:space="preserve">drawing on existing local HTA capacity and capability differently, including through possible pooling of HTA capacity within </w:t>
      </w:r>
      <w:r w:rsidR="00462F18">
        <w:t>g</w:t>
      </w:r>
      <w:r>
        <w:t xml:space="preserve">overnment </w:t>
      </w:r>
      <w:r w:rsidR="00462F18">
        <w:t>d</w:t>
      </w:r>
      <w:r>
        <w:t xml:space="preserve">epartments to do HTA evaluations and/or support discrete HTA-related activities such as </w:t>
      </w:r>
      <w:r w:rsidR="00462F18">
        <w:t>PMR</w:t>
      </w:r>
      <w:r>
        <w:t xml:space="preserve">s. </w:t>
      </w:r>
    </w:p>
    <w:p w14:paraId="2ED4F416" w14:textId="5F3B4FE0" w:rsidR="00E23E39" w:rsidRDefault="00462F18" w:rsidP="00405FD7">
      <w:pPr>
        <w:rPr>
          <w:rFonts w:cs="Segoe UI"/>
        </w:rPr>
      </w:pPr>
      <w:r>
        <w:rPr>
          <w:rFonts w:cs="Segoe UI"/>
        </w:rPr>
        <w:t>P</w:t>
      </w:r>
      <w:r w:rsidR="00E23E39" w:rsidRPr="00484A95">
        <w:rPr>
          <w:rFonts w:cs="Segoe UI"/>
        </w:rPr>
        <w:t>roviding</w:t>
      </w:r>
      <w:r w:rsidR="00E23E39" w:rsidRPr="00484A95" w:rsidDel="00462F18">
        <w:rPr>
          <w:rFonts w:cs="Segoe UI"/>
        </w:rPr>
        <w:t xml:space="preserve"> </w:t>
      </w:r>
      <w:r w:rsidR="00E23E39" w:rsidRPr="00484A95">
        <w:rPr>
          <w:rFonts w:cs="Segoe UI"/>
        </w:rPr>
        <w:t>appropriate support structures (including f</w:t>
      </w:r>
      <w:r>
        <w:rPr>
          <w:rFonts w:cs="Segoe UI"/>
        </w:rPr>
        <w:t>unding</w:t>
      </w:r>
      <w:r w:rsidR="00E23E39" w:rsidRPr="00484A95">
        <w:rPr>
          <w:rFonts w:cs="Segoe UI"/>
        </w:rPr>
        <w:t xml:space="preserve"> and time) to allow evaluators (and prospective evaluators) to engage in continuous development and training</w:t>
      </w:r>
      <w:r>
        <w:rPr>
          <w:rFonts w:cs="Segoe UI"/>
        </w:rPr>
        <w:t xml:space="preserve"> will be e</w:t>
      </w:r>
      <w:r w:rsidRPr="00484A95">
        <w:rPr>
          <w:rFonts w:cs="Segoe UI"/>
        </w:rPr>
        <w:t>ssential to the long-term sustainability of the HTA workforce</w:t>
      </w:r>
      <w:r>
        <w:rPr>
          <w:rFonts w:cs="Segoe UI"/>
        </w:rPr>
        <w:t>.</w:t>
      </w:r>
      <w:r w:rsidR="00E23E39" w:rsidRPr="00484A95" w:rsidDel="00462F18">
        <w:rPr>
          <w:rFonts w:cs="Segoe UI"/>
        </w:rPr>
        <w:t xml:space="preserve"> </w:t>
      </w:r>
      <w:r>
        <w:rPr>
          <w:rFonts w:cs="Segoe UI"/>
        </w:rPr>
        <w:t xml:space="preserve">This </w:t>
      </w:r>
      <w:r w:rsidR="00E23E39" w:rsidRPr="00484A95">
        <w:rPr>
          <w:rFonts w:cs="Segoe UI"/>
        </w:rPr>
        <w:t>will need to be accounted for as part of HTA resource planning and allocation of submissions to evaluators in the short</w:t>
      </w:r>
      <w:r>
        <w:rPr>
          <w:rFonts w:cs="Segoe UI"/>
        </w:rPr>
        <w:t xml:space="preserve"> </w:t>
      </w:r>
      <w:r w:rsidR="00E23E39" w:rsidRPr="00484A95">
        <w:rPr>
          <w:rFonts w:cs="Segoe UI"/>
        </w:rPr>
        <w:t>to</w:t>
      </w:r>
      <w:r>
        <w:rPr>
          <w:rFonts w:cs="Segoe UI"/>
        </w:rPr>
        <w:t xml:space="preserve"> </w:t>
      </w:r>
      <w:r w:rsidR="00E23E39" w:rsidRPr="00484A95">
        <w:rPr>
          <w:rFonts w:cs="Segoe UI"/>
        </w:rPr>
        <w:t>medium term.</w:t>
      </w:r>
      <w:r w:rsidR="00FA396E">
        <w:rPr>
          <w:rFonts w:cs="Segoe UI"/>
        </w:rPr>
        <w:t xml:space="preserve"> </w:t>
      </w:r>
    </w:p>
    <w:p w14:paraId="3AA4CCAE" w14:textId="6BF3EC8D" w:rsidR="00E23E39" w:rsidRPr="00484A95" w:rsidRDefault="00E23E39" w:rsidP="00405FD7">
      <w:pPr>
        <w:rPr>
          <w:rFonts w:cs="Segoe UI"/>
        </w:rPr>
      </w:pPr>
      <w:r>
        <w:rPr>
          <w:rFonts w:cs="Segoe UI"/>
        </w:rPr>
        <w:t>The Review also strongly supports efforts to improve the scope and volume of work-sharing opportunities with comparable international HTA agencies</w:t>
      </w:r>
      <w:r w:rsidR="00462F18">
        <w:rPr>
          <w:rFonts w:cs="Segoe UI"/>
        </w:rPr>
        <w:t xml:space="preserve">. This is </w:t>
      </w:r>
      <w:r>
        <w:rPr>
          <w:rFonts w:cs="Segoe UI"/>
        </w:rPr>
        <w:t xml:space="preserve">a practical way to exchange information and ideas between workforces and improve their capability, as well as the quality of HTA outcomes overall. </w:t>
      </w:r>
    </w:p>
    <w:p w14:paraId="5F4CFD23" w14:textId="0AB6D9FC" w:rsidR="00E23E39" w:rsidRDefault="00E23E39" w:rsidP="00405FD7">
      <w:pPr>
        <w:rPr>
          <w:rFonts w:cs="Segoe UI"/>
          <w:i/>
          <w:iCs/>
        </w:rPr>
      </w:pPr>
      <w:r w:rsidRPr="00B568EF">
        <w:rPr>
          <w:rFonts w:cs="Segoe UI"/>
        </w:rPr>
        <w:t xml:space="preserve">Components of </w:t>
      </w:r>
      <w:r>
        <w:rPr>
          <w:rFonts w:cs="Segoe UI"/>
        </w:rPr>
        <w:t>the workforce-related</w:t>
      </w:r>
      <w:r w:rsidRPr="00B568EF">
        <w:rPr>
          <w:rFonts w:cs="Segoe UI"/>
        </w:rPr>
        <w:t xml:space="preserve"> recommendations proposed in this </w:t>
      </w:r>
      <w:r w:rsidR="00845E81">
        <w:rPr>
          <w:rFonts w:cs="Segoe UI"/>
        </w:rPr>
        <w:t>r</w:t>
      </w:r>
      <w:r w:rsidRPr="00B568EF">
        <w:rPr>
          <w:rFonts w:cs="Segoe UI"/>
        </w:rPr>
        <w:t xml:space="preserve">eport are complex and will require careful consideration, consultation and analysis </w:t>
      </w:r>
      <w:r w:rsidR="00462F18">
        <w:rPr>
          <w:rFonts w:cs="Segoe UI"/>
        </w:rPr>
        <w:t>before</w:t>
      </w:r>
      <w:r w:rsidRPr="00B568EF">
        <w:rPr>
          <w:rFonts w:cs="Segoe UI"/>
        </w:rPr>
        <w:t xml:space="preserve"> implementation</w:t>
      </w:r>
      <w:r w:rsidR="00462F18">
        <w:rPr>
          <w:rFonts w:cs="Segoe UI"/>
        </w:rPr>
        <w:t>. They</w:t>
      </w:r>
      <w:r w:rsidRPr="00B568EF">
        <w:rPr>
          <w:rFonts w:cs="Segoe UI"/>
        </w:rPr>
        <w:t xml:space="preserve"> may also (in the short term) require the same evaluator </w:t>
      </w:r>
      <w:r w:rsidRPr="00B568EF">
        <w:rPr>
          <w:rFonts w:cs="Segoe UI"/>
        </w:rPr>
        <w:lastRenderedPageBreak/>
        <w:t>stakeholders conducting HTA</w:t>
      </w:r>
      <w:r w:rsidR="00462F18">
        <w:rPr>
          <w:rFonts w:cs="Segoe UI"/>
        </w:rPr>
        <w:t>s</w:t>
      </w:r>
      <w:r w:rsidRPr="00B568EF">
        <w:rPr>
          <w:rFonts w:cs="Segoe UI"/>
        </w:rPr>
        <w:t xml:space="preserve"> to set aside time and effort to engage effectively with the complexities of implementation. However,</w:t>
      </w:r>
      <w:r w:rsidRPr="00B568EF" w:rsidDel="006E02BF">
        <w:rPr>
          <w:rFonts w:cs="Segoe UI"/>
        </w:rPr>
        <w:t xml:space="preserve"> </w:t>
      </w:r>
      <w:r w:rsidRPr="00B568EF">
        <w:rPr>
          <w:rFonts w:cs="Segoe UI"/>
        </w:rPr>
        <w:t xml:space="preserve">this may be a necessary temporary sacrifice to ensure that reforms supporting workforce development and capacity building are embedded properly to yield long-term benefits to the HTA system. </w:t>
      </w:r>
    </w:p>
    <w:p w14:paraId="2797FDF6" w14:textId="3230D287" w:rsidR="00E23E39" w:rsidRPr="0019054D" w:rsidRDefault="00E23E39" w:rsidP="00405FD7">
      <w:pPr>
        <w:pStyle w:val="Heading4"/>
        <w:jc w:val="both"/>
        <w:rPr>
          <w:rFonts w:cs="Segoe UI"/>
          <w:i/>
          <w:color w:val="005A68" w:themeColor="accent6" w:themeShade="80"/>
        </w:rPr>
      </w:pPr>
      <w:r w:rsidRPr="0019054D">
        <w:t>HTA-related and adjacent functions necessary to support access to health technologies</w:t>
      </w:r>
    </w:p>
    <w:p w14:paraId="0CF67C78" w14:textId="23D54608" w:rsidR="00E23E39" w:rsidRDefault="00E23E39" w:rsidP="00405FD7">
      <w:pPr>
        <w:rPr>
          <w:rFonts w:cs="Segoe UI"/>
        </w:rPr>
      </w:pPr>
      <w:r>
        <w:rPr>
          <w:rFonts w:cs="Segoe UI"/>
        </w:rPr>
        <w:t xml:space="preserve">The </w:t>
      </w:r>
      <w:r w:rsidRPr="00F5494B">
        <w:rPr>
          <w:rFonts w:cs="Segoe UI"/>
        </w:rPr>
        <w:t>Review</w:t>
      </w:r>
      <w:r w:rsidRPr="00F5494B" w:rsidDel="005B4D44">
        <w:rPr>
          <w:rFonts w:cs="Segoe UI"/>
        </w:rPr>
        <w:t xml:space="preserve"> </w:t>
      </w:r>
      <w:r w:rsidRPr="00F5494B">
        <w:rPr>
          <w:rFonts w:cs="Segoe UI"/>
        </w:rPr>
        <w:t xml:space="preserve">received positive stakeholder feedback on </w:t>
      </w:r>
      <w:proofErr w:type="gramStart"/>
      <w:r w:rsidRPr="00F5494B">
        <w:rPr>
          <w:rFonts w:cs="Segoe UI"/>
        </w:rPr>
        <w:t>a number of</w:t>
      </w:r>
      <w:proofErr w:type="gramEnd"/>
      <w:r w:rsidRPr="00F5494B">
        <w:rPr>
          <w:rFonts w:cs="Segoe UI"/>
        </w:rPr>
        <w:t xml:space="preserve"> options that</w:t>
      </w:r>
      <w:r w:rsidR="00462F18">
        <w:rPr>
          <w:rFonts w:cs="Segoe UI"/>
        </w:rPr>
        <w:t xml:space="preserve"> would</w:t>
      </w:r>
      <w:r w:rsidRPr="00F5494B">
        <w:rPr>
          <w:rFonts w:cs="Segoe UI"/>
        </w:rPr>
        <w:t xml:space="preserve"> require significant investment in </w:t>
      </w:r>
      <w:r w:rsidR="00462F18">
        <w:rPr>
          <w:rFonts w:cs="Segoe UI"/>
        </w:rPr>
        <w:t xml:space="preserve">the </w:t>
      </w:r>
      <w:r w:rsidRPr="00F5494B">
        <w:rPr>
          <w:rFonts w:cs="Segoe UI"/>
        </w:rPr>
        <w:t xml:space="preserve">workforce in areas that are distinct from the evaluation workforce, but essential to </w:t>
      </w:r>
      <w:r w:rsidR="00950101">
        <w:rPr>
          <w:rFonts w:cs="Segoe UI"/>
        </w:rPr>
        <w:t xml:space="preserve">an </w:t>
      </w:r>
      <w:r w:rsidRPr="00F5494B">
        <w:rPr>
          <w:rFonts w:cs="Segoe UI"/>
        </w:rPr>
        <w:t>efficien</w:t>
      </w:r>
      <w:r w:rsidR="00950101">
        <w:rPr>
          <w:rFonts w:cs="Segoe UI"/>
        </w:rPr>
        <w:t xml:space="preserve">t </w:t>
      </w:r>
      <w:r w:rsidRPr="00F5494B">
        <w:rPr>
          <w:rFonts w:cs="Segoe UI"/>
        </w:rPr>
        <w:t xml:space="preserve">and effective HTA </w:t>
      </w:r>
      <w:r w:rsidR="00950101">
        <w:rPr>
          <w:rFonts w:cs="Segoe UI"/>
        </w:rPr>
        <w:t>system. They are also vital for</w:t>
      </w:r>
      <w:r w:rsidDel="00950101">
        <w:rPr>
          <w:rFonts w:cs="Segoe UI"/>
        </w:rPr>
        <w:t xml:space="preserve"> </w:t>
      </w:r>
      <w:r w:rsidR="000B7B40">
        <w:rPr>
          <w:rFonts w:cs="Segoe UI"/>
        </w:rPr>
        <w:t xml:space="preserve">the HTA system’s </w:t>
      </w:r>
      <w:r w:rsidR="00F20650">
        <w:rPr>
          <w:rFonts w:cs="Segoe UI"/>
        </w:rPr>
        <w:t xml:space="preserve">role in </w:t>
      </w:r>
      <w:r>
        <w:rPr>
          <w:rFonts w:cs="Segoe UI"/>
        </w:rPr>
        <w:t>improv</w:t>
      </w:r>
      <w:r w:rsidR="000B7B40">
        <w:rPr>
          <w:rFonts w:cs="Segoe UI"/>
        </w:rPr>
        <w:t xml:space="preserve">ing </w:t>
      </w:r>
      <w:r>
        <w:rPr>
          <w:rFonts w:cs="Segoe UI"/>
        </w:rPr>
        <w:t xml:space="preserve">access to health technologies for patients, at a cost individual and </w:t>
      </w:r>
      <w:r w:rsidR="000B7B40">
        <w:rPr>
          <w:rFonts w:cs="Segoe UI"/>
        </w:rPr>
        <w:t xml:space="preserve">the </w:t>
      </w:r>
      <w:r>
        <w:rPr>
          <w:rFonts w:cs="Segoe UI"/>
        </w:rPr>
        <w:t xml:space="preserve">community can afford. </w:t>
      </w:r>
    </w:p>
    <w:p w14:paraId="6711C09D" w14:textId="6FDF364F" w:rsidR="00E23E39" w:rsidRDefault="000B7B40" w:rsidP="00405FD7">
      <w:pPr>
        <w:rPr>
          <w:rFonts w:cs="Segoe UI"/>
        </w:rPr>
      </w:pPr>
      <w:r>
        <w:rPr>
          <w:rFonts w:cs="Segoe UI"/>
        </w:rPr>
        <w:t>The Review emphasises that its recommendations – ranging f</w:t>
      </w:r>
      <w:r w:rsidR="00E23E39">
        <w:rPr>
          <w:rFonts w:cs="Segoe UI"/>
        </w:rPr>
        <w:t xml:space="preserve">rom </w:t>
      </w:r>
      <w:r>
        <w:rPr>
          <w:rFonts w:cs="Segoe UI"/>
        </w:rPr>
        <w:t>those for</w:t>
      </w:r>
      <w:r w:rsidR="00E23E39">
        <w:rPr>
          <w:rFonts w:cs="Segoe UI"/>
        </w:rPr>
        <w:t xml:space="preserve"> enhanced stakeholder engagement</w:t>
      </w:r>
      <w:r>
        <w:rPr>
          <w:rFonts w:cs="Segoe UI"/>
        </w:rPr>
        <w:t xml:space="preserve"> and</w:t>
      </w:r>
      <w:r w:rsidR="00E23E39">
        <w:rPr>
          <w:rFonts w:cs="Segoe UI"/>
        </w:rPr>
        <w:t xml:space="preserve"> </w:t>
      </w:r>
      <w:r>
        <w:rPr>
          <w:rFonts w:cs="Segoe UI"/>
        </w:rPr>
        <w:t xml:space="preserve">collection and use of </w:t>
      </w:r>
      <w:r w:rsidR="00E23E39">
        <w:rPr>
          <w:rFonts w:cs="Segoe UI"/>
        </w:rPr>
        <w:t>evidence</w:t>
      </w:r>
      <w:r>
        <w:rPr>
          <w:rFonts w:cs="Segoe UI"/>
        </w:rPr>
        <w:t>,</w:t>
      </w:r>
      <w:r w:rsidR="00E23E39" w:rsidDel="000B7B40">
        <w:rPr>
          <w:rFonts w:cs="Segoe UI"/>
        </w:rPr>
        <w:t xml:space="preserve"> </w:t>
      </w:r>
      <w:r w:rsidR="00E23E39">
        <w:rPr>
          <w:rFonts w:cs="Segoe UI"/>
        </w:rPr>
        <w:t>to new functions such as horizon scanning and operati</w:t>
      </w:r>
      <w:r>
        <w:rPr>
          <w:rFonts w:cs="Segoe UI"/>
        </w:rPr>
        <w:t xml:space="preserve">ng </w:t>
      </w:r>
      <w:r w:rsidR="00E23E39">
        <w:rPr>
          <w:rFonts w:cs="Segoe UI"/>
        </w:rPr>
        <w:t>a bridging fund</w:t>
      </w:r>
      <w:r>
        <w:rPr>
          <w:rFonts w:cs="Segoe UI"/>
        </w:rPr>
        <w:t xml:space="preserve"> –</w:t>
      </w:r>
      <w:r w:rsidR="00E23E39" w:rsidDel="000B7B40">
        <w:rPr>
          <w:rFonts w:cs="Segoe UI"/>
        </w:rPr>
        <w:t xml:space="preserve"> </w:t>
      </w:r>
      <w:r w:rsidR="00E23E39" w:rsidRPr="00F5494B">
        <w:rPr>
          <w:rFonts w:cs="Segoe UI"/>
        </w:rPr>
        <w:t xml:space="preserve">cannot be delivered effectively within the current </w:t>
      </w:r>
      <w:r w:rsidR="00EE074C">
        <w:rPr>
          <w:rFonts w:cs="Segoe UI"/>
        </w:rPr>
        <w:t>D</w:t>
      </w:r>
      <w:r w:rsidR="00E23E39" w:rsidRPr="00F5494B">
        <w:rPr>
          <w:rFonts w:cs="Segoe UI"/>
        </w:rPr>
        <w:t>epartmental appropriations</w:t>
      </w:r>
      <w:r>
        <w:rPr>
          <w:rFonts w:cs="Segoe UI"/>
        </w:rPr>
        <w:t>. Additionally</w:t>
      </w:r>
      <w:r w:rsidR="00E23E39" w:rsidRPr="00F5494B">
        <w:rPr>
          <w:rFonts w:cs="Segoe UI"/>
        </w:rPr>
        <w:t xml:space="preserve">, </w:t>
      </w:r>
      <w:r>
        <w:rPr>
          <w:rFonts w:cs="Segoe UI"/>
        </w:rPr>
        <w:t>there must be</w:t>
      </w:r>
      <w:r w:rsidR="00E23E39" w:rsidRPr="00F5494B">
        <w:rPr>
          <w:rFonts w:cs="Segoe UI"/>
        </w:rPr>
        <w:t xml:space="preserve"> sufficient opportunity to examine and consult on how best to efficiently and flexibly allocate resources to these activities</w:t>
      </w:r>
      <w:r w:rsidR="00E23E39">
        <w:rPr>
          <w:rFonts w:cs="Segoe UI"/>
        </w:rPr>
        <w:t xml:space="preserve"> (including options for pooling personnel with jurisdictional partners for specific matters). As the Australian Government considers the recommendations in this report, the </w:t>
      </w:r>
      <w:r w:rsidR="00E23E39" w:rsidRPr="00F5494B">
        <w:rPr>
          <w:rFonts w:cs="Segoe UI"/>
        </w:rPr>
        <w:t xml:space="preserve">Review </w:t>
      </w:r>
      <w:r w:rsidR="002D36A0">
        <w:rPr>
          <w:rFonts w:cs="Segoe UI"/>
        </w:rPr>
        <w:t xml:space="preserve">strongly </w:t>
      </w:r>
      <w:r w:rsidR="00E23E39" w:rsidRPr="00F5494B">
        <w:rPr>
          <w:rFonts w:cs="Segoe UI"/>
        </w:rPr>
        <w:t>encourages careful</w:t>
      </w:r>
      <w:r w:rsidR="003C6621" w:rsidRPr="00F5494B">
        <w:rPr>
          <w:rFonts w:cs="Segoe UI"/>
        </w:rPr>
        <w:t xml:space="preserve"> </w:t>
      </w:r>
      <w:r w:rsidR="00F20650" w:rsidRPr="00F5494B">
        <w:rPr>
          <w:rFonts w:cs="Segoe UI"/>
        </w:rPr>
        <w:t xml:space="preserve">consideration of the </w:t>
      </w:r>
      <w:r w:rsidR="00E23E39" w:rsidRPr="00F5494B">
        <w:rPr>
          <w:rFonts w:cs="Segoe UI"/>
        </w:rPr>
        <w:t xml:space="preserve">appropriate capacity and capability </w:t>
      </w:r>
      <w:r w:rsidR="00F20650" w:rsidRPr="00F5494B">
        <w:rPr>
          <w:rFonts w:cs="Segoe UI"/>
        </w:rPr>
        <w:t xml:space="preserve">for </w:t>
      </w:r>
      <w:r w:rsidR="00E23E39" w:rsidRPr="00F5494B">
        <w:rPr>
          <w:rFonts w:cs="Segoe UI"/>
        </w:rPr>
        <w:t>supporting functions</w:t>
      </w:r>
      <w:r w:rsidR="00E23E39">
        <w:rPr>
          <w:rFonts w:cs="Segoe UI"/>
        </w:rPr>
        <w:t xml:space="preserve"> that are essential to support quality HTA submissions, </w:t>
      </w:r>
      <w:r>
        <w:rPr>
          <w:rFonts w:cs="Segoe UI"/>
        </w:rPr>
        <w:t xml:space="preserve">and </w:t>
      </w:r>
      <w:r w:rsidR="00E23E39">
        <w:rPr>
          <w:rFonts w:cs="Segoe UI"/>
        </w:rPr>
        <w:t xml:space="preserve">efficient evaluation and translation of HTA recommendations into practical health technology access for patients. </w:t>
      </w:r>
    </w:p>
    <w:p w14:paraId="26A553EB" w14:textId="77777777" w:rsidR="00E23E39" w:rsidRDefault="00E23E39" w:rsidP="00A318F7">
      <w:pPr>
        <w:pStyle w:val="Heading3"/>
      </w:pPr>
      <w:bookmarkStart w:id="770" w:name="_Toc164691518"/>
      <w:bookmarkStart w:id="771" w:name="_Toc164696311"/>
      <w:bookmarkStart w:id="772" w:name="_Toc164696457"/>
      <w:bookmarkStart w:id="773" w:name="_Toc164767845"/>
      <w:bookmarkStart w:id="774" w:name="_Toc165473778"/>
      <w:r w:rsidRPr="00AB7AA8">
        <w:t>Objectives of recommendations</w:t>
      </w:r>
      <w:bookmarkEnd w:id="770"/>
      <w:bookmarkEnd w:id="771"/>
      <w:bookmarkEnd w:id="772"/>
      <w:bookmarkEnd w:id="773"/>
      <w:bookmarkEnd w:id="774"/>
      <w:r w:rsidRPr="00AB7AA8">
        <w:t xml:space="preserve"> </w:t>
      </w:r>
    </w:p>
    <w:p w14:paraId="2F9121F5" w14:textId="10F82010" w:rsidR="00E23E39" w:rsidRPr="007E5BF4" w:rsidRDefault="00E23E39" w:rsidP="00405FD7">
      <w:pPr>
        <w:rPr>
          <w:rFonts w:cs="Segoe UI"/>
        </w:rPr>
      </w:pPr>
      <w:r w:rsidRPr="007E5BF4">
        <w:rPr>
          <w:rFonts w:cs="Segoe UI"/>
        </w:rPr>
        <w:t>The Review</w:t>
      </w:r>
      <w:r w:rsidR="00E75822">
        <w:rPr>
          <w:rFonts w:cs="Segoe UI"/>
        </w:rPr>
        <w:t>’s</w:t>
      </w:r>
      <w:r w:rsidRPr="007E5BF4">
        <w:rPr>
          <w:rFonts w:cs="Segoe UI"/>
        </w:rPr>
        <w:t xml:space="preserve"> recommendations emphasise the importance of a </w:t>
      </w:r>
      <w:r w:rsidR="000B7B40">
        <w:rPr>
          <w:rFonts w:cs="Segoe UI"/>
        </w:rPr>
        <w:t xml:space="preserve">having </w:t>
      </w:r>
      <w:r w:rsidRPr="007E5BF4">
        <w:rPr>
          <w:rFonts w:cs="Segoe UI"/>
        </w:rPr>
        <w:t>well-resourced and capable HTA program and architecture to support:</w:t>
      </w:r>
    </w:p>
    <w:p w14:paraId="6DD087B2" w14:textId="19F2C953" w:rsidR="00E23E39" w:rsidRPr="0019054D" w:rsidRDefault="00E23E39" w:rsidP="00274AA9">
      <w:pPr>
        <w:pStyle w:val="ListBullet"/>
      </w:pPr>
      <w:r w:rsidRPr="007E5BF4">
        <w:t xml:space="preserve">efficient and effective evaluation of health technologies </w:t>
      </w:r>
    </w:p>
    <w:p w14:paraId="73F2B3BE" w14:textId="40BE6314" w:rsidR="00E23E39" w:rsidRPr="0019054D" w:rsidRDefault="00E23E39" w:rsidP="00281153">
      <w:pPr>
        <w:pStyle w:val="ListBullet"/>
        <w:numPr>
          <w:ilvl w:val="0"/>
          <w:numId w:val="90"/>
        </w:numPr>
      </w:pPr>
      <w:r w:rsidRPr="007E5BF4">
        <w:t xml:space="preserve">delivery of supporting functions and activities required to facilitate access to, and understanding about, health technologies, in line with the </w:t>
      </w:r>
      <w:r w:rsidR="006E0405">
        <w:t>NMP</w:t>
      </w:r>
      <w:r w:rsidRPr="007E5BF4">
        <w:t xml:space="preserve"> </w:t>
      </w:r>
      <w:r w:rsidR="000B7B40">
        <w:t>p</w:t>
      </w:r>
      <w:r w:rsidRPr="007E5BF4">
        <w:t xml:space="preserve">illars and </w:t>
      </w:r>
      <w:r w:rsidR="000B7B40">
        <w:t>p</w:t>
      </w:r>
      <w:r w:rsidRPr="007E5BF4">
        <w:t>rinciples.</w:t>
      </w:r>
      <w:r w:rsidR="000B7B40">
        <w:rPr>
          <w:rStyle w:val="FootnoteReference"/>
        </w:rPr>
        <w:footnoteReference w:id="232"/>
      </w:r>
      <w:r w:rsidRPr="007E5BF4">
        <w:t xml:space="preserve"> </w:t>
      </w:r>
    </w:p>
    <w:p w14:paraId="56259BB4" w14:textId="753EA9B6" w:rsidR="00E23E39" w:rsidRPr="0019054D" w:rsidRDefault="00E23E39" w:rsidP="00A318F7">
      <w:pPr>
        <w:pStyle w:val="Heading3"/>
      </w:pPr>
      <w:bookmarkStart w:id="775" w:name="_Toc164767846"/>
      <w:bookmarkStart w:id="776" w:name="_Toc165473779"/>
      <w:r w:rsidRPr="0019054D">
        <w:t>Recommendations</w:t>
      </w:r>
      <w:bookmarkEnd w:id="775"/>
      <w:bookmarkEnd w:id="776"/>
    </w:p>
    <w:p w14:paraId="2DEEE18A" w14:textId="15D55780" w:rsidR="00E23E39" w:rsidRPr="00921396" w:rsidRDefault="00E23E39" w:rsidP="00074B8A">
      <w:pPr>
        <w:pStyle w:val="Recommendation1"/>
      </w:pPr>
      <w:bookmarkStart w:id="777" w:name="_Hlk167302690"/>
      <w:r w:rsidRPr="00921396">
        <w:t>HTA evaluation workforce</w:t>
      </w:r>
    </w:p>
    <w:bookmarkEnd w:id="777"/>
    <w:p w14:paraId="404F25F4" w14:textId="49419C8C" w:rsidR="00E23E39" w:rsidRPr="00405FD7" w:rsidRDefault="00E23E39" w:rsidP="00F323C1">
      <w:pPr>
        <w:spacing w:before="120" w:after="120"/>
        <w:rPr>
          <w:rFonts w:cs="Segoe UI"/>
        </w:rPr>
      </w:pPr>
      <w:r w:rsidRPr="00405FD7">
        <w:rPr>
          <w:rFonts w:cs="Segoe UI"/>
        </w:rPr>
        <w:t xml:space="preserve">The Review recommends </w:t>
      </w:r>
      <w:r w:rsidR="000B7B40">
        <w:rPr>
          <w:rFonts w:cs="Segoe UI"/>
        </w:rPr>
        <w:t xml:space="preserve">that </w:t>
      </w:r>
      <w:r w:rsidRPr="00405FD7">
        <w:rPr>
          <w:rFonts w:cs="Segoe UI"/>
        </w:rPr>
        <w:t>the Australian Government:</w:t>
      </w:r>
    </w:p>
    <w:p w14:paraId="376FCBAC" w14:textId="66DCD6AF" w:rsidR="00E23E39" w:rsidRPr="008E1E78" w:rsidRDefault="000B7B40" w:rsidP="00281153">
      <w:pPr>
        <w:pStyle w:val="ListParagraph"/>
        <w:numPr>
          <w:ilvl w:val="0"/>
          <w:numId w:val="31"/>
        </w:numPr>
        <w:rPr>
          <w:rFonts w:cs="Segoe UI"/>
        </w:rPr>
      </w:pPr>
      <w:r>
        <w:rPr>
          <w:rFonts w:cs="Segoe UI"/>
        </w:rPr>
        <w:t>c</w:t>
      </w:r>
      <w:r w:rsidR="00E23E39" w:rsidRPr="008E1E78">
        <w:rPr>
          <w:rFonts w:cs="Segoe UI"/>
        </w:rPr>
        <w:t xml:space="preserve">onsult broadly to develop programs </w:t>
      </w:r>
      <w:r>
        <w:rPr>
          <w:rFonts w:cs="Segoe UI"/>
        </w:rPr>
        <w:t>that</w:t>
      </w:r>
      <w:r w:rsidR="00E23E39" w:rsidRPr="008E1E78">
        <w:rPr>
          <w:rFonts w:cs="Segoe UI"/>
        </w:rPr>
        <w:t xml:space="preserve"> enhance the competen</w:t>
      </w:r>
      <w:r w:rsidR="00E23E39">
        <w:rPr>
          <w:rFonts w:cs="Segoe UI"/>
        </w:rPr>
        <w:t>cy</w:t>
      </w:r>
      <w:r w:rsidR="00E23E39" w:rsidRPr="008E1E78">
        <w:rPr>
          <w:rFonts w:cs="Segoe UI"/>
        </w:rPr>
        <w:t xml:space="preserve"> and </w:t>
      </w:r>
      <w:r w:rsidR="00E23E39">
        <w:rPr>
          <w:rFonts w:cs="Segoe UI"/>
        </w:rPr>
        <w:t>capability of the</w:t>
      </w:r>
      <w:r w:rsidR="00E23E39" w:rsidRPr="008E1E78">
        <w:rPr>
          <w:rFonts w:cs="Segoe UI"/>
        </w:rPr>
        <w:t xml:space="preserve"> HTA workforce</w:t>
      </w:r>
      <w:r w:rsidR="00E23E39">
        <w:rPr>
          <w:rFonts w:cs="Segoe UI"/>
        </w:rPr>
        <w:t xml:space="preserve">, </w:t>
      </w:r>
      <w:r w:rsidR="00E23E39" w:rsidRPr="008E1E78">
        <w:rPr>
          <w:rFonts w:cs="Segoe UI"/>
        </w:rPr>
        <w:t>including</w:t>
      </w:r>
      <w:r w:rsidR="00E23E39">
        <w:rPr>
          <w:rFonts w:cs="Segoe UI"/>
        </w:rPr>
        <w:t xml:space="preserve"> (but not limited to):</w:t>
      </w:r>
    </w:p>
    <w:p w14:paraId="56E54AA4" w14:textId="4124E20C" w:rsidR="00E23E39" w:rsidRPr="008E1E78" w:rsidRDefault="000B7B40" w:rsidP="00281153">
      <w:pPr>
        <w:pStyle w:val="ListParagraph"/>
        <w:numPr>
          <w:ilvl w:val="1"/>
          <w:numId w:val="31"/>
        </w:numPr>
        <w:rPr>
          <w:rFonts w:cs="Segoe UI"/>
        </w:rPr>
      </w:pPr>
      <w:r>
        <w:rPr>
          <w:rFonts w:cs="Segoe UI"/>
        </w:rPr>
        <w:lastRenderedPageBreak/>
        <w:t>s</w:t>
      </w:r>
      <w:r w:rsidR="00E23E39" w:rsidRPr="008E1E78">
        <w:rPr>
          <w:rFonts w:cs="Segoe UI"/>
        </w:rPr>
        <w:t xml:space="preserve">ponsored internships between HTA evaluation groups, </w:t>
      </w:r>
      <w:r w:rsidR="00E23E39">
        <w:rPr>
          <w:rFonts w:cs="Segoe UI"/>
        </w:rPr>
        <w:t xml:space="preserve">health departments </w:t>
      </w:r>
      <w:r w:rsidR="00E23E39" w:rsidRPr="008E1E78">
        <w:rPr>
          <w:rFonts w:cs="Segoe UI"/>
        </w:rPr>
        <w:t>and industry</w:t>
      </w:r>
    </w:p>
    <w:p w14:paraId="356D6885" w14:textId="3F00C478" w:rsidR="00E23E39" w:rsidRPr="008E1E78" w:rsidRDefault="000B7B40" w:rsidP="00281153">
      <w:pPr>
        <w:pStyle w:val="ListParagraph"/>
        <w:numPr>
          <w:ilvl w:val="1"/>
          <w:numId w:val="31"/>
        </w:numPr>
        <w:rPr>
          <w:rFonts w:cs="Segoe UI"/>
        </w:rPr>
      </w:pPr>
      <w:r>
        <w:rPr>
          <w:rFonts w:cs="Segoe UI"/>
        </w:rPr>
        <w:t>f</w:t>
      </w:r>
      <w:r w:rsidR="00E23E39" w:rsidRPr="008E1E78">
        <w:rPr>
          <w:rFonts w:cs="Segoe UI"/>
        </w:rPr>
        <w:t xml:space="preserve">acilitated secondments between HTA evaluation groups, </w:t>
      </w:r>
      <w:r w:rsidR="00E23E39">
        <w:rPr>
          <w:rFonts w:cs="Segoe UI"/>
        </w:rPr>
        <w:t xml:space="preserve">health departments </w:t>
      </w:r>
      <w:r w:rsidR="00E23E39" w:rsidRPr="008E1E78">
        <w:rPr>
          <w:rFonts w:cs="Segoe UI"/>
        </w:rPr>
        <w:t>and industry</w:t>
      </w:r>
    </w:p>
    <w:p w14:paraId="414F8238" w14:textId="61336E3B" w:rsidR="00E23E39" w:rsidRDefault="00E23E39" w:rsidP="00281153">
      <w:pPr>
        <w:pStyle w:val="ListParagraph"/>
        <w:numPr>
          <w:ilvl w:val="1"/>
          <w:numId w:val="31"/>
        </w:numPr>
        <w:rPr>
          <w:rFonts w:cs="Segoe UI"/>
        </w:rPr>
      </w:pPr>
      <w:r>
        <w:rPr>
          <w:rFonts w:cs="Segoe UI"/>
        </w:rPr>
        <w:t>i</w:t>
      </w:r>
      <w:r w:rsidRPr="008E1E78">
        <w:rPr>
          <w:rFonts w:cs="Segoe UI"/>
        </w:rPr>
        <w:t xml:space="preserve">nternational secondments between HTA </w:t>
      </w:r>
      <w:r>
        <w:rPr>
          <w:rFonts w:cs="Segoe UI"/>
        </w:rPr>
        <w:t>collaboration countries.</w:t>
      </w:r>
    </w:p>
    <w:p w14:paraId="329E46AE" w14:textId="4E0BAFAF" w:rsidR="001D5C9D" w:rsidRPr="008E1E78" w:rsidRDefault="000B7B40" w:rsidP="00281153">
      <w:pPr>
        <w:pStyle w:val="ListParagraph"/>
        <w:numPr>
          <w:ilvl w:val="0"/>
          <w:numId w:val="31"/>
        </w:numPr>
        <w:rPr>
          <w:rFonts w:cs="Segoe UI"/>
        </w:rPr>
      </w:pPr>
      <w:r>
        <w:rPr>
          <w:rFonts w:cs="Segoe UI"/>
        </w:rPr>
        <w:t>d</w:t>
      </w:r>
      <w:r w:rsidR="00E23E39">
        <w:rPr>
          <w:rFonts w:cs="Segoe UI"/>
        </w:rPr>
        <w:t>iscuss with state and territory health departments</w:t>
      </w:r>
      <w:r>
        <w:rPr>
          <w:rFonts w:cs="Segoe UI"/>
        </w:rPr>
        <w:t>,</w:t>
      </w:r>
      <w:r w:rsidR="00E23E39" w:rsidDel="000B7B40">
        <w:rPr>
          <w:rFonts w:cs="Segoe UI"/>
        </w:rPr>
        <w:t xml:space="preserve"> </w:t>
      </w:r>
      <w:r w:rsidR="00E23E39">
        <w:rPr>
          <w:rFonts w:cs="Segoe UI"/>
        </w:rPr>
        <w:t>opportunities for developing an inter-government evaluation work</w:t>
      </w:r>
      <w:r>
        <w:rPr>
          <w:rFonts w:cs="Segoe UI"/>
        </w:rPr>
        <w:t xml:space="preserve"> </w:t>
      </w:r>
      <w:r w:rsidR="00E23E39">
        <w:rPr>
          <w:rFonts w:cs="Segoe UI"/>
        </w:rPr>
        <w:t xml:space="preserve">group to improve capability development and use of HTA capacity as part of </w:t>
      </w:r>
      <w:r w:rsidR="006570CC">
        <w:rPr>
          <w:rFonts w:cs="Segoe UI"/>
        </w:rPr>
        <w:t xml:space="preserve">achieving </w:t>
      </w:r>
      <w:r w:rsidR="00E23E39">
        <w:rPr>
          <w:rFonts w:cs="Segoe UI"/>
        </w:rPr>
        <w:t>nationally consistent</w:t>
      </w:r>
      <w:r w:rsidR="006570CC">
        <w:rPr>
          <w:rFonts w:cs="Segoe UI"/>
        </w:rPr>
        <w:t> </w:t>
      </w:r>
      <w:r w:rsidR="00E23E39">
        <w:rPr>
          <w:rFonts w:cs="Segoe UI"/>
        </w:rPr>
        <w:t>HTA</w:t>
      </w:r>
      <w:r w:rsidR="006570CC">
        <w:rPr>
          <w:rFonts w:cs="Segoe UI"/>
        </w:rPr>
        <w:t>s</w:t>
      </w:r>
      <w:r w:rsidR="00E23E39">
        <w:rPr>
          <w:rFonts w:cs="Segoe UI"/>
        </w:rPr>
        <w:t xml:space="preserve"> </w:t>
      </w:r>
    </w:p>
    <w:p w14:paraId="1169549F" w14:textId="096DD0B9" w:rsidR="00E23E39" w:rsidRPr="00D20132" w:rsidRDefault="00BA0D6E" w:rsidP="00281153">
      <w:pPr>
        <w:pStyle w:val="ListParagraph"/>
        <w:numPr>
          <w:ilvl w:val="0"/>
          <w:numId w:val="31"/>
        </w:numPr>
        <w:rPr>
          <w:rFonts w:cs="Segoe UI"/>
          <w:lang w:eastAsia="en-AU"/>
        </w:rPr>
      </w:pPr>
      <w:r>
        <w:rPr>
          <w:rFonts w:cs="Segoe UI"/>
          <w:lang w:eastAsia="en-AU"/>
        </w:rPr>
        <w:t>continue</w:t>
      </w:r>
      <w:r w:rsidR="00932D23">
        <w:rPr>
          <w:rFonts w:cs="Segoe UI"/>
          <w:lang w:eastAsia="en-AU"/>
        </w:rPr>
        <w:t xml:space="preserve"> </w:t>
      </w:r>
      <w:r w:rsidR="006570CC">
        <w:rPr>
          <w:rFonts w:cs="Segoe UI"/>
          <w:lang w:eastAsia="en-AU"/>
        </w:rPr>
        <w:t>p</w:t>
      </w:r>
      <w:r w:rsidR="00E23E39" w:rsidRPr="00D20132">
        <w:rPr>
          <w:rFonts w:cs="Segoe UI"/>
          <w:lang w:eastAsia="en-AU"/>
        </w:rPr>
        <w:t>rogress</w:t>
      </w:r>
      <w:r w:rsidR="00932D23">
        <w:rPr>
          <w:rFonts w:cs="Segoe UI"/>
          <w:lang w:eastAsia="en-AU"/>
        </w:rPr>
        <w:t xml:space="preserve"> on</w:t>
      </w:r>
      <w:r w:rsidR="00E23E39" w:rsidRPr="00D20132">
        <w:rPr>
          <w:rFonts w:cs="Segoe UI"/>
          <w:lang w:eastAsia="en-AU"/>
        </w:rPr>
        <w:t xml:space="preserve"> inter-agency collaboration and design relating to common HTA evaluation methodology, as part of supporting testing and (prospective) formal introduction of HTA evaluation work</w:t>
      </w:r>
      <w:r w:rsidR="00932D23">
        <w:rPr>
          <w:rFonts w:cs="Segoe UI"/>
          <w:lang w:eastAsia="en-AU"/>
        </w:rPr>
        <w:t>-</w:t>
      </w:r>
      <w:r w:rsidR="00E23E39" w:rsidRPr="00D20132">
        <w:rPr>
          <w:rFonts w:cs="Segoe UI"/>
          <w:lang w:eastAsia="en-AU"/>
        </w:rPr>
        <w:t>sharing pathways across participating jurisdictions</w:t>
      </w:r>
    </w:p>
    <w:p w14:paraId="10E006AC" w14:textId="54ECEDD9" w:rsidR="00E23E39" w:rsidRPr="00D20132" w:rsidRDefault="00932D23" w:rsidP="00281153">
      <w:pPr>
        <w:pStyle w:val="ListParagraph"/>
        <w:numPr>
          <w:ilvl w:val="0"/>
          <w:numId w:val="31"/>
        </w:numPr>
        <w:spacing w:after="0"/>
        <w:suppressOverlap/>
        <w:rPr>
          <w:rFonts w:eastAsia="Times New Roman" w:cs="Segoe UI"/>
          <w:color w:val="222A35"/>
          <w:kern w:val="24"/>
          <w:lang w:eastAsia="en-AU"/>
        </w:rPr>
      </w:pPr>
      <w:r>
        <w:rPr>
          <w:rFonts w:eastAsia="Times New Roman" w:cs="Segoe UI"/>
          <w:color w:val="222A35"/>
          <w:kern w:val="24"/>
          <w:lang w:eastAsia="en-AU"/>
        </w:rPr>
        <w:t>approve</w:t>
      </w:r>
      <w:r w:rsidR="00E23E39" w:rsidRPr="00D20132">
        <w:rPr>
          <w:rFonts w:eastAsia="Times New Roman" w:cs="Segoe UI"/>
          <w:color w:val="222A35"/>
          <w:kern w:val="24"/>
          <w:lang w:eastAsia="en-AU"/>
        </w:rPr>
        <w:t xml:space="preserve"> reforms to pilot work</w:t>
      </w:r>
      <w:r>
        <w:rPr>
          <w:rFonts w:eastAsia="Times New Roman" w:cs="Segoe UI"/>
          <w:color w:val="222A35"/>
          <w:kern w:val="24"/>
          <w:lang w:eastAsia="en-AU"/>
        </w:rPr>
        <w:t>-</w:t>
      </w:r>
      <w:r w:rsidR="00E23E39" w:rsidRPr="00D20132">
        <w:rPr>
          <w:rFonts w:eastAsia="Times New Roman" w:cs="Segoe UI"/>
          <w:color w:val="222A35"/>
          <w:kern w:val="24"/>
          <w:lang w:eastAsia="en-AU"/>
        </w:rPr>
        <w:t xml:space="preserve">sharing pathways for individual health technology submissions </w:t>
      </w:r>
      <w:r>
        <w:rPr>
          <w:rFonts w:eastAsia="Times New Roman" w:cs="Segoe UI"/>
          <w:color w:val="222A35"/>
          <w:kern w:val="24"/>
          <w:lang w:eastAsia="en-AU"/>
        </w:rPr>
        <w:t xml:space="preserve">that are </w:t>
      </w:r>
      <w:r w:rsidR="00E23E39" w:rsidRPr="00D20132">
        <w:rPr>
          <w:rFonts w:eastAsia="Times New Roman" w:cs="Segoe UI"/>
          <w:color w:val="222A35"/>
          <w:kern w:val="24"/>
          <w:lang w:eastAsia="en-AU"/>
        </w:rPr>
        <w:t>submitted across jurisdictions with comparable approaches to HTA evaluation</w:t>
      </w:r>
      <w:r>
        <w:rPr>
          <w:rFonts w:eastAsia="Times New Roman" w:cs="Segoe UI"/>
          <w:color w:val="222A35"/>
          <w:kern w:val="24"/>
          <w:lang w:eastAsia="en-AU"/>
        </w:rPr>
        <w:t>. This would</w:t>
      </w:r>
      <w:r w:rsidR="00E23E39" w:rsidRPr="00D20132">
        <w:rPr>
          <w:rFonts w:eastAsia="Times New Roman" w:cs="Segoe UI"/>
          <w:color w:val="222A35"/>
          <w:kern w:val="24"/>
          <w:lang w:eastAsia="en-AU"/>
        </w:rPr>
        <w:t xml:space="preserve"> </w:t>
      </w:r>
      <w:r>
        <w:rPr>
          <w:rFonts w:eastAsia="Times New Roman" w:cs="Segoe UI"/>
          <w:color w:val="222A35"/>
          <w:kern w:val="24"/>
          <w:lang w:eastAsia="en-AU"/>
        </w:rPr>
        <w:t xml:space="preserve">reveal </w:t>
      </w:r>
      <w:r w:rsidR="00E23E39" w:rsidRPr="00D20132">
        <w:rPr>
          <w:rFonts w:eastAsia="Times New Roman" w:cs="Segoe UI"/>
          <w:color w:val="222A35"/>
          <w:kern w:val="24"/>
          <w:lang w:eastAsia="en-AU"/>
        </w:rPr>
        <w:t xml:space="preserve">the merits of collaborative evaluation for reimbursement-related </w:t>
      </w:r>
      <w:r>
        <w:rPr>
          <w:rFonts w:eastAsia="Times New Roman" w:cs="Segoe UI"/>
          <w:color w:val="222A35"/>
          <w:kern w:val="24"/>
          <w:lang w:eastAsia="en-AU"/>
        </w:rPr>
        <w:t>activities</w:t>
      </w:r>
      <w:r w:rsidRPr="00D20132">
        <w:rPr>
          <w:rFonts w:eastAsia="Times New Roman" w:cs="Segoe UI"/>
          <w:color w:val="222A35"/>
          <w:kern w:val="24"/>
          <w:lang w:eastAsia="en-AU"/>
        </w:rPr>
        <w:t xml:space="preserve"> </w:t>
      </w:r>
      <w:r>
        <w:rPr>
          <w:rFonts w:eastAsia="Times New Roman" w:cs="Segoe UI"/>
          <w:color w:val="222A35"/>
          <w:kern w:val="24"/>
          <w:lang w:eastAsia="en-AU"/>
        </w:rPr>
        <w:t>that –</w:t>
      </w:r>
      <w:r w:rsidR="00E23E39" w:rsidRPr="00D20132">
        <w:rPr>
          <w:rFonts w:eastAsia="Times New Roman" w:cs="Segoe UI"/>
          <w:color w:val="222A35"/>
          <w:kern w:val="24"/>
          <w:lang w:eastAsia="en-AU"/>
        </w:rPr>
        <w:t xml:space="preserve"> if</w:t>
      </w:r>
      <w:r>
        <w:rPr>
          <w:rFonts w:eastAsia="Times New Roman" w:cs="Segoe UI"/>
          <w:color w:val="222A35"/>
          <w:kern w:val="24"/>
          <w:lang w:eastAsia="en-AU"/>
        </w:rPr>
        <w:t xml:space="preserve"> the experience is</w:t>
      </w:r>
      <w:r w:rsidR="00E23E39" w:rsidRPr="00D20132">
        <w:rPr>
          <w:rFonts w:eastAsia="Times New Roman" w:cs="Segoe UI"/>
          <w:color w:val="222A35"/>
          <w:kern w:val="24"/>
          <w:lang w:eastAsia="en-AU"/>
        </w:rPr>
        <w:t xml:space="preserve"> positive</w:t>
      </w:r>
      <w:r>
        <w:rPr>
          <w:rFonts w:eastAsia="Times New Roman" w:cs="Segoe UI"/>
          <w:color w:val="222A35"/>
          <w:kern w:val="24"/>
          <w:lang w:eastAsia="en-AU"/>
        </w:rPr>
        <w:t xml:space="preserve"> – could be</w:t>
      </w:r>
      <w:r w:rsidR="00E23E39" w:rsidRPr="00D20132">
        <w:rPr>
          <w:rFonts w:eastAsia="Times New Roman" w:cs="Segoe UI"/>
          <w:color w:val="222A35"/>
          <w:kern w:val="24"/>
          <w:lang w:eastAsia="en-AU"/>
        </w:rPr>
        <w:t xml:space="preserve"> embedd</w:t>
      </w:r>
      <w:r>
        <w:rPr>
          <w:rFonts w:eastAsia="Times New Roman" w:cs="Segoe UI"/>
          <w:color w:val="222A35"/>
          <w:kern w:val="24"/>
          <w:lang w:eastAsia="en-AU"/>
        </w:rPr>
        <w:t>ed</w:t>
      </w:r>
      <w:r w:rsidR="00E23E39" w:rsidRPr="00D20132">
        <w:rPr>
          <w:rFonts w:eastAsia="Times New Roman" w:cs="Segoe UI"/>
          <w:color w:val="222A35"/>
          <w:kern w:val="24"/>
          <w:lang w:eastAsia="en-AU"/>
        </w:rPr>
        <w:t xml:space="preserve"> into the HTA framework. Available pathways should include at least one of the following options:</w:t>
      </w:r>
    </w:p>
    <w:p w14:paraId="7D6C9CB8" w14:textId="1F6F161B" w:rsidR="00E23E39" w:rsidRPr="00D20132" w:rsidRDefault="00E23E39" w:rsidP="00281153">
      <w:pPr>
        <w:pStyle w:val="ListNumber"/>
        <w:numPr>
          <w:ilvl w:val="1"/>
          <w:numId w:val="31"/>
        </w:numPr>
        <w:rPr>
          <w:lang w:eastAsia="en-AU"/>
        </w:rPr>
      </w:pPr>
      <w:r w:rsidRPr="00B61FDC">
        <w:rPr>
          <w:b/>
          <w:lang w:eastAsia="en-AU"/>
        </w:rPr>
        <w:t>Work</w:t>
      </w:r>
      <w:r w:rsidR="00932D23" w:rsidRPr="00B61FDC">
        <w:rPr>
          <w:b/>
          <w:lang w:eastAsia="en-AU"/>
        </w:rPr>
        <w:t>-s</w:t>
      </w:r>
      <w:r w:rsidRPr="00B61FDC">
        <w:rPr>
          <w:b/>
          <w:lang w:eastAsia="en-AU"/>
        </w:rPr>
        <w:t xml:space="preserve">haring </w:t>
      </w:r>
      <w:r w:rsidR="00932D23" w:rsidRPr="00B61FDC">
        <w:rPr>
          <w:b/>
          <w:lang w:eastAsia="en-AU"/>
        </w:rPr>
        <w:t>i</w:t>
      </w:r>
      <w:r w:rsidRPr="00B61FDC">
        <w:rPr>
          <w:b/>
          <w:lang w:eastAsia="en-AU"/>
        </w:rPr>
        <w:t>nitiative pathway</w:t>
      </w:r>
      <w:r w:rsidR="00932D23">
        <w:rPr>
          <w:b/>
          <w:lang w:eastAsia="en-AU"/>
        </w:rPr>
        <w:t xml:space="preserve"> </w:t>
      </w:r>
      <w:r w:rsidR="00932D23" w:rsidRPr="00B61FDC">
        <w:rPr>
          <w:lang w:eastAsia="en-AU"/>
        </w:rPr>
        <w:t>–</w:t>
      </w:r>
      <w:r w:rsidRPr="00D20132" w:rsidDel="00932D23">
        <w:rPr>
          <w:lang w:eastAsia="en-AU"/>
        </w:rPr>
        <w:t xml:space="preserve"> </w:t>
      </w:r>
      <w:r w:rsidRPr="00D20132">
        <w:rPr>
          <w:lang w:eastAsia="en-AU"/>
        </w:rPr>
        <w:t xml:space="preserve">concurrent reimbursement submissions are lodged in multiple jurisdictions and </w:t>
      </w:r>
      <w:r w:rsidR="00932D23">
        <w:rPr>
          <w:lang w:eastAsia="en-AU"/>
        </w:rPr>
        <w:t xml:space="preserve">work on </w:t>
      </w:r>
      <w:r w:rsidRPr="00D20132">
        <w:rPr>
          <w:lang w:eastAsia="en-AU"/>
        </w:rPr>
        <w:t xml:space="preserve">dossier modules </w:t>
      </w:r>
      <w:r w:rsidR="00932D23">
        <w:rPr>
          <w:lang w:eastAsia="en-AU"/>
        </w:rPr>
        <w:t xml:space="preserve">is </w:t>
      </w:r>
      <w:r w:rsidRPr="00D20132">
        <w:rPr>
          <w:lang w:eastAsia="en-AU"/>
        </w:rPr>
        <w:t>split among participating agencies</w:t>
      </w:r>
      <w:r w:rsidR="00932D23">
        <w:rPr>
          <w:lang w:eastAsia="en-AU"/>
        </w:rPr>
        <w:t>.</w:t>
      </w:r>
    </w:p>
    <w:p w14:paraId="4AC52D70" w14:textId="640027FD" w:rsidR="00E23E39" w:rsidRPr="00D20132" w:rsidRDefault="00E23E39" w:rsidP="00281153">
      <w:pPr>
        <w:pStyle w:val="ListNumber"/>
        <w:numPr>
          <w:ilvl w:val="1"/>
          <w:numId w:val="31"/>
        </w:numPr>
        <w:rPr>
          <w:lang w:eastAsia="en-AU"/>
        </w:rPr>
      </w:pPr>
      <w:r w:rsidRPr="00B61FDC">
        <w:rPr>
          <w:b/>
          <w:lang w:eastAsia="en-AU"/>
        </w:rPr>
        <w:t xml:space="preserve">Comparable </w:t>
      </w:r>
      <w:r w:rsidR="00932D23">
        <w:rPr>
          <w:b/>
          <w:lang w:eastAsia="en-AU"/>
        </w:rPr>
        <w:t>o</w:t>
      </w:r>
      <w:r w:rsidRPr="00B61FDC">
        <w:rPr>
          <w:b/>
          <w:lang w:eastAsia="en-AU"/>
        </w:rPr>
        <w:t xml:space="preserve">verseas </w:t>
      </w:r>
      <w:r w:rsidR="00932D23">
        <w:rPr>
          <w:b/>
          <w:lang w:eastAsia="en-AU"/>
        </w:rPr>
        <w:t>a</w:t>
      </w:r>
      <w:r w:rsidRPr="00B61FDC">
        <w:rPr>
          <w:b/>
          <w:lang w:eastAsia="en-AU"/>
        </w:rPr>
        <w:t>gency</w:t>
      </w:r>
      <w:r w:rsidRPr="00B61FDC" w:rsidDel="00932D23">
        <w:rPr>
          <w:b/>
          <w:lang w:eastAsia="en-AU"/>
        </w:rPr>
        <w:t xml:space="preserve"> </w:t>
      </w:r>
      <w:r w:rsidRPr="00B61FDC">
        <w:rPr>
          <w:b/>
          <w:lang w:eastAsia="en-AU"/>
        </w:rPr>
        <w:t>pathway</w:t>
      </w:r>
      <w:r w:rsidR="00932D23">
        <w:rPr>
          <w:lang w:eastAsia="en-AU"/>
        </w:rPr>
        <w:t xml:space="preserve"> –</w:t>
      </w:r>
      <w:r w:rsidRPr="00D20132">
        <w:rPr>
          <w:lang w:eastAsia="en-AU"/>
        </w:rPr>
        <w:t xml:space="preserve"> finalised HTA evaluations from comparable agencies are provided for review (with redactions for localised pricing information</w:t>
      </w:r>
      <w:r w:rsidR="00932D23">
        <w:rPr>
          <w:lang w:eastAsia="en-AU"/>
        </w:rPr>
        <w:t>,</w:t>
      </w:r>
      <w:r w:rsidRPr="00D20132">
        <w:rPr>
          <w:lang w:eastAsia="en-AU"/>
        </w:rPr>
        <w:t xml:space="preserve"> as strictly necessary)</w:t>
      </w:r>
      <w:r w:rsidR="00932D23">
        <w:rPr>
          <w:lang w:eastAsia="en-AU"/>
        </w:rPr>
        <w:t>.</w:t>
      </w:r>
    </w:p>
    <w:p w14:paraId="096CFF6D" w14:textId="206D70DB" w:rsidR="00E23E39" w:rsidRPr="00D20132" w:rsidRDefault="00E23E39" w:rsidP="00281153">
      <w:pPr>
        <w:pStyle w:val="ListNumber"/>
        <w:numPr>
          <w:ilvl w:val="1"/>
          <w:numId w:val="31"/>
        </w:numPr>
        <w:rPr>
          <w:lang w:eastAsia="en-AU"/>
        </w:rPr>
      </w:pPr>
      <w:r w:rsidRPr="00B61FDC">
        <w:rPr>
          <w:b/>
          <w:lang w:eastAsia="en-AU"/>
        </w:rPr>
        <w:t xml:space="preserve">Joint </w:t>
      </w:r>
      <w:r w:rsidR="00932D23" w:rsidRPr="00B61FDC">
        <w:rPr>
          <w:b/>
          <w:lang w:eastAsia="en-AU"/>
        </w:rPr>
        <w:t>e</w:t>
      </w:r>
      <w:r w:rsidRPr="00B61FDC">
        <w:rPr>
          <w:b/>
          <w:lang w:eastAsia="en-AU"/>
        </w:rPr>
        <w:t xml:space="preserve">xpression of </w:t>
      </w:r>
      <w:r w:rsidR="00932D23" w:rsidRPr="00B61FDC">
        <w:rPr>
          <w:b/>
          <w:lang w:eastAsia="en-AU"/>
        </w:rPr>
        <w:t>i</w:t>
      </w:r>
      <w:r w:rsidRPr="00B61FDC">
        <w:rPr>
          <w:b/>
          <w:lang w:eastAsia="en-AU"/>
        </w:rPr>
        <w:t>nterest HTA pathway</w:t>
      </w:r>
      <w:r w:rsidR="00932D23" w:rsidRPr="00B61FDC">
        <w:rPr>
          <w:lang w:eastAsia="en-AU"/>
        </w:rPr>
        <w:t xml:space="preserve"> –</w:t>
      </w:r>
      <w:r w:rsidRPr="00D20132" w:rsidDel="00932D23">
        <w:rPr>
          <w:lang w:eastAsia="en-AU"/>
        </w:rPr>
        <w:t xml:space="preserve"> </w:t>
      </w:r>
      <w:r w:rsidRPr="00D20132">
        <w:rPr>
          <w:lang w:eastAsia="en-AU"/>
        </w:rPr>
        <w:t>sponsors are invited by HTA agencies to bring forward priority submissions for joint reimbursement evaluation (e.g. specific rare disease treatments or treatments for narrow indications of relevance)</w:t>
      </w:r>
      <w:r w:rsidR="00932D23">
        <w:rPr>
          <w:lang w:eastAsia="en-AU"/>
        </w:rPr>
        <w:t>.</w:t>
      </w:r>
    </w:p>
    <w:p w14:paraId="358FB4FE" w14:textId="0371EB0C" w:rsidR="00E23E39" w:rsidRPr="00D20132" w:rsidRDefault="00E23E39" w:rsidP="00281153">
      <w:pPr>
        <w:pStyle w:val="ListNumber"/>
        <w:numPr>
          <w:ilvl w:val="1"/>
          <w:numId w:val="31"/>
        </w:numPr>
        <w:spacing w:after="0"/>
        <w:rPr>
          <w:lang w:eastAsia="en-AU"/>
        </w:rPr>
      </w:pPr>
      <w:r w:rsidRPr="00B61FDC">
        <w:rPr>
          <w:b/>
          <w:lang w:eastAsia="en-AU"/>
        </w:rPr>
        <w:t>Hybrid sequential lodgement pathway</w:t>
      </w:r>
      <w:r w:rsidRPr="00D20132">
        <w:rPr>
          <w:lang w:eastAsia="en-AU"/>
        </w:rPr>
        <w:t xml:space="preserve"> </w:t>
      </w:r>
      <w:r w:rsidR="00932D23">
        <w:rPr>
          <w:lang w:eastAsia="en-AU"/>
        </w:rPr>
        <w:t>–</w:t>
      </w:r>
      <w:r w:rsidRPr="00D20132" w:rsidDel="00932D23">
        <w:rPr>
          <w:lang w:eastAsia="en-AU"/>
        </w:rPr>
        <w:t xml:space="preserve"> </w:t>
      </w:r>
      <w:r w:rsidRPr="00D20132">
        <w:rPr>
          <w:lang w:eastAsia="en-AU"/>
        </w:rPr>
        <w:t>dossiers may not be lodged concurrently, but access to interim evaluations from HTA agencies that are further along in HTA considerations are shared with the agreement of the sponsor</w:t>
      </w:r>
      <w:r w:rsidR="00932D23">
        <w:rPr>
          <w:lang w:eastAsia="en-AU"/>
        </w:rPr>
        <w:t>,</w:t>
      </w:r>
      <w:r w:rsidRPr="00D20132">
        <w:rPr>
          <w:lang w:eastAsia="en-AU"/>
        </w:rPr>
        <w:t xml:space="preserve"> to facilitate expedited local evaluation.</w:t>
      </w:r>
    </w:p>
    <w:p w14:paraId="2EBEF478" w14:textId="25DD1873" w:rsidR="007B5DEF" w:rsidRPr="004B2BAF" w:rsidRDefault="00932D23" w:rsidP="00281153">
      <w:pPr>
        <w:pStyle w:val="ListParagraph"/>
        <w:numPr>
          <w:ilvl w:val="0"/>
          <w:numId w:val="31"/>
        </w:numPr>
        <w:spacing w:after="0"/>
        <w:rPr>
          <w:rFonts w:cs="Segoe UI"/>
        </w:rPr>
      </w:pPr>
      <w:r>
        <w:rPr>
          <w:rFonts w:cs="Segoe UI"/>
          <w:lang w:eastAsia="en-AU"/>
        </w:rPr>
        <w:t>u</w:t>
      </w:r>
      <w:r w:rsidR="00E23E39" w:rsidRPr="00D20132">
        <w:rPr>
          <w:rFonts w:cs="Segoe UI"/>
          <w:lang w:eastAsia="en-AU"/>
        </w:rPr>
        <w:t>pdate its parallel scientific advice</w:t>
      </w:r>
      <w:r>
        <w:rPr>
          <w:rFonts w:cs="Segoe UI"/>
          <w:lang w:eastAsia="en-AU"/>
        </w:rPr>
        <w:t xml:space="preserve"> and </w:t>
      </w:r>
      <w:r w:rsidR="00E23E39" w:rsidRPr="00D20132">
        <w:rPr>
          <w:rFonts w:cs="Segoe UI"/>
          <w:lang w:eastAsia="en-AU"/>
        </w:rPr>
        <w:t xml:space="preserve">early dialogue policies to facilitate discussions with industry sponsors, health technology users (principally clinicians and patients) and HTA and regulatory entities earlier than current arrangements (locally </w:t>
      </w:r>
      <w:bookmarkStart w:id="778" w:name="_Int_92pw7iuw"/>
      <w:r w:rsidR="00E23E39" w:rsidRPr="00D20132">
        <w:rPr>
          <w:rFonts w:cs="Segoe UI"/>
          <w:lang w:eastAsia="en-AU"/>
        </w:rPr>
        <w:t>or</w:t>
      </w:r>
      <w:bookmarkEnd w:id="778"/>
      <w:r w:rsidR="00E23E39" w:rsidRPr="00D20132">
        <w:rPr>
          <w:rFonts w:cs="Segoe UI"/>
          <w:lang w:eastAsia="en-AU"/>
        </w:rPr>
        <w:t xml:space="preserve"> regionally)</w:t>
      </w:r>
      <w:r>
        <w:rPr>
          <w:rFonts w:cs="Segoe UI"/>
          <w:lang w:eastAsia="en-AU"/>
        </w:rPr>
        <w:t>,</w:t>
      </w:r>
      <w:r w:rsidR="00E23E39" w:rsidRPr="00D20132">
        <w:rPr>
          <w:rFonts w:cs="Segoe UI"/>
          <w:lang w:eastAsia="en-AU"/>
        </w:rPr>
        <w:t xml:space="preserve"> where a joint HTA evaluation is under consideration.</w:t>
      </w:r>
    </w:p>
    <w:p w14:paraId="608CB819" w14:textId="77777777" w:rsidR="00E23E39" w:rsidRPr="00921396" w:rsidRDefault="00E23E39" w:rsidP="00074B8A">
      <w:pPr>
        <w:pStyle w:val="Recommendation1"/>
      </w:pPr>
      <w:bookmarkStart w:id="779" w:name="_Hlk167302704"/>
      <w:r>
        <w:t>Supporting architecture resourcing</w:t>
      </w:r>
    </w:p>
    <w:bookmarkEnd w:id="779"/>
    <w:p w14:paraId="117F8C33" w14:textId="0E924394" w:rsidR="00E23E39" w:rsidRPr="008E1E78" w:rsidRDefault="00E23E39" w:rsidP="007B5DEF">
      <w:pPr>
        <w:rPr>
          <w:rFonts w:cs="Segoe UI"/>
          <w:b/>
          <w:bCs/>
        </w:rPr>
      </w:pPr>
      <w:r w:rsidRPr="00405FD7">
        <w:rPr>
          <w:rFonts w:cs="Segoe UI"/>
        </w:rPr>
        <w:t xml:space="preserve">The Review recommends </w:t>
      </w:r>
      <w:r w:rsidR="004B2BAF">
        <w:rPr>
          <w:rFonts w:cs="Segoe UI"/>
        </w:rPr>
        <w:t xml:space="preserve">that </w:t>
      </w:r>
      <w:r w:rsidRPr="00405FD7">
        <w:rPr>
          <w:rFonts w:cs="Segoe UI"/>
        </w:rPr>
        <w:t>the Australian Government</w:t>
      </w:r>
      <w:r w:rsidRPr="00770603">
        <w:rPr>
          <w:rFonts w:cs="Segoe UI"/>
          <w:b/>
          <w:bCs/>
        </w:rPr>
        <w:t xml:space="preserve"> </w:t>
      </w:r>
      <w:proofErr w:type="gramStart"/>
      <w:r w:rsidRPr="00770603">
        <w:rPr>
          <w:rFonts w:cs="Segoe UI"/>
          <w:lang w:eastAsia="en-AU"/>
        </w:rPr>
        <w:t>give careful consideration to</w:t>
      </w:r>
      <w:proofErr w:type="gramEnd"/>
      <w:r w:rsidRPr="00770603">
        <w:rPr>
          <w:rFonts w:cs="Segoe UI"/>
          <w:lang w:eastAsia="en-AU"/>
        </w:rPr>
        <w:t xml:space="preserve"> the quantity and alignment of resources (financial and personnel) required to </w:t>
      </w:r>
      <w:r w:rsidRPr="00770603">
        <w:rPr>
          <w:rFonts w:cs="Segoe UI"/>
          <w:lang w:eastAsia="en-AU"/>
        </w:rPr>
        <w:lastRenderedPageBreak/>
        <w:t xml:space="preserve">effectively implement any agreed recommendations arising from this Review. This includes: </w:t>
      </w:r>
    </w:p>
    <w:p w14:paraId="65323054" w14:textId="463D881A" w:rsidR="00E23E39" w:rsidRDefault="00E23E39" w:rsidP="00281153">
      <w:pPr>
        <w:pStyle w:val="ListParagraph"/>
        <w:numPr>
          <w:ilvl w:val="0"/>
          <w:numId w:val="32"/>
        </w:numPr>
        <w:rPr>
          <w:rFonts w:cs="Segoe UI"/>
          <w:lang w:eastAsia="en-AU"/>
        </w:rPr>
      </w:pPr>
      <w:r w:rsidRPr="002B3687">
        <w:rPr>
          <w:rFonts w:cs="Segoe UI"/>
          <w:lang w:eastAsia="en-AU"/>
        </w:rPr>
        <w:t>appropriations for new activities</w:t>
      </w:r>
    </w:p>
    <w:p w14:paraId="5175025F" w14:textId="76D1DD9D" w:rsidR="00E23E39" w:rsidRPr="002B3687" w:rsidRDefault="002D36A0" w:rsidP="00281153">
      <w:pPr>
        <w:pStyle w:val="ListParagraph"/>
        <w:numPr>
          <w:ilvl w:val="0"/>
          <w:numId w:val="32"/>
        </w:numPr>
        <w:spacing w:after="0"/>
        <w:rPr>
          <w:rFonts w:cs="Segoe UI"/>
          <w:lang w:eastAsia="en-AU"/>
        </w:rPr>
      </w:pPr>
      <w:r>
        <w:rPr>
          <w:rFonts w:cs="Segoe UI"/>
          <w:lang w:eastAsia="en-AU"/>
        </w:rPr>
        <w:t xml:space="preserve">additional </w:t>
      </w:r>
      <w:r w:rsidR="00E23E39" w:rsidRPr="002B3687">
        <w:rPr>
          <w:rFonts w:cs="Segoe UI"/>
          <w:lang w:eastAsia="en-AU"/>
        </w:rPr>
        <w:t xml:space="preserve">resourcing necessary to reform and/or strengthen existing functions that are essential to support the </w:t>
      </w:r>
      <w:r w:rsidR="002A2548" w:rsidRPr="002A2548">
        <w:rPr>
          <w:rFonts w:cs="Segoe UI"/>
          <w:lang w:eastAsia="en-AU"/>
        </w:rPr>
        <w:t>HTA</w:t>
      </w:r>
      <w:r w:rsidR="002A2548" w:rsidRPr="002A2548" w:rsidDel="002A2548">
        <w:rPr>
          <w:rFonts w:cs="Segoe UI"/>
          <w:lang w:eastAsia="en-AU"/>
        </w:rPr>
        <w:t xml:space="preserve"> </w:t>
      </w:r>
      <w:r w:rsidR="00E23E39" w:rsidRPr="002B3687">
        <w:rPr>
          <w:rFonts w:cs="Segoe UI"/>
          <w:lang w:eastAsia="en-AU"/>
        </w:rPr>
        <w:t xml:space="preserve">process and translate HTA recommendations into health technology access for patients. These </w:t>
      </w:r>
      <w:r w:rsidR="00E23E39">
        <w:rPr>
          <w:rFonts w:cs="Segoe UI"/>
          <w:lang w:eastAsia="en-AU"/>
        </w:rPr>
        <w:t xml:space="preserve">functions </w:t>
      </w:r>
      <w:r w:rsidR="00E23E39" w:rsidRPr="002B3687">
        <w:rPr>
          <w:rFonts w:cs="Segoe UI"/>
          <w:lang w:eastAsia="en-AU"/>
        </w:rPr>
        <w:t>include, but are not limited to</w:t>
      </w:r>
      <w:r w:rsidR="00E23E39" w:rsidRPr="6CC68A72">
        <w:rPr>
          <w:rFonts w:cs="Segoe UI"/>
          <w:lang w:eastAsia="en-AU"/>
        </w:rPr>
        <w:t>:</w:t>
      </w:r>
    </w:p>
    <w:p w14:paraId="10E8DA05" w14:textId="7F353E6C" w:rsidR="00E23E39" w:rsidRPr="0074601E" w:rsidRDefault="004B2BAF" w:rsidP="00281153">
      <w:pPr>
        <w:pStyle w:val="ListNumber"/>
        <w:numPr>
          <w:ilvl w:val="1"/>
          <w:numId w:val="32"/>
        </w:numPr>
        <w:rPr>
          <w:lang w:eastAsia="en-AU"/>
        </w:rPr>
      </w:pPr>
      <w:r>
        <w:rPr>
          <w:lang w:eastAsia="en-AU"/>
        </w:rPr>
        <w:t>h</w:t>
      </w:r>
      <w:r w:rsidR="00E23E39" w:rsidRPr="0074601E">
        <w:rPr>
          <w:lang w:eastAsia="en-AU"/>
        </w:rPr>
        <w:t>ealth communications</w:t>
      </w:r>
      <w:r w:rsidR="308A170B" w:rsidRPr="58456479">
        <w:rPr>
          <w:lang w:eastAsia="en-AU"/>
        </w:rPr>
        <w:t xml:space="preserve"> expertise</w:t>
      </w:r>
    </w:p>
    <w:p w14:paraId="5000ADAF" w14:textId="394B7232" w:rsidR="00E23E39" w:rsidRPr="0074601E" w:rsidRDefault="004B2BAF" w:rsidP="00281153">
      <w:pPr>
        <w:pStyle w:val="ListNumber"/>
        <w:numPr>
          <w:ilvl w:val="1"/>
          <w:numId w:val="32"/>
        </w:numPr>
        <w:rPr>
          <w:lang w:eastAsia="en-AU"/>
        </w:rPr>
      </w:pPr>
      <w:r>
        <w:rPr>
          <w:lang w:eastAsia="en-AU"/>
        </w:rPr>
        <w:t>e</w:t>
      </w:r>
      <w:r w:rsidR="003A1EF6">
        <w:rPr>
          <w:lang w:eastAsia="en-AU"/>
        </w:rPr>
        <w:t>nhanced s</w:t>
      </w:r>
      <w:r w:rsidR="00E23E39" w:rsidRPr="0074601E">
        <w:rPr>
          <w:lang w:eastAsia="en-AU"/>
        </w:rPr>
        <w:t>takeholder engagement</w:t>
      </w:r>
    </w:p>
    <w:p w14:paraId="4513F16F" w14:textId="34578CFE" w:rsidR="00E23E39" w:rsidRPr="0074601E" w:rsidRDefault="004B2BAF" w:rsidP="00281153">
      <w:pPr>
        <w:pStyle w:val="ListNumber"/>
        <w:numPr>
          <w:ilvl w:val="1"/>
          <w:numId w:val="32"/>
        </w:numPr>
        <w:rPr>
          <w:lang w:eastAsia="en-AU"/>
        </w:rPr>
      </w:pPr>
      <w:r>
        <w:rPr>
          <w:lang w:eastAsia="en-AU"/>
        </w:rPr>
        <w:t>c</w:t>
      </w:r>
      <w:r w:rsidR="00E23E39" w:rsidRPr="0074601E">
        <w:rPr>
          <w:lang w:eastAsia="en-AU"/>
        </w:rPr>
        <w:t>ommercial negotiation</w:t>
      </w:r>
    </w:p>
    <w:p w14:paraId="29220784" w14:textId="1DC8BE66" w:rsidR="00E23E39" w:rsidRPr="0074601E" w:rsidRDefault="00E23E39" w:rsidP="00281153">
      <w:pPr>
        <w:pStyle w:val="ListNumber"/>
        <w:numPr>
          <w:ilvl w:val="1"/>
          <w:numId w:val="32"/>
        </w:numPr>
        <w:rPr>
          <w:lang w:eastAsia="en-AU"/>
        </w:rPr>
      </w:pPr>
      <w:r w:rsidRPr="0074601E">
        <w:rPr>
          <w:lang w:eastAsia="en-AU"/>
        </w:rPr>
        <w:t>HTA evaluation</w:t>
      </w:r>
    </w:p>
    <w:p w14:paraId="47C5CC4D" w14:textId="393D0587" w:rsidR="0071296B" w:rsidRPr="0074601E" w:rsidRDefault="004B2BAF" w:rsidP="00281153">
      <w:pPr>
        <w:pStyle w:val="ListNumber"/>
        <w:numPr>
          <w:ilvl w:val="1"/>
          <w:numId w:val="32"/>
        </w:numPr>
        <w:rPr>
          <w:lang w:eastAsia="en-AU"/>
        </w:rPr>
      </w:pPr>
      <w:r>
        <w:rPr>
          <w:lang w:eastAsia="en-AU"/>
        </w:rPr>
        <w:t>t</w:t>
      </w:r>
      <w:r w:rsidR="00E23E39" w:rsidRPr="0074601E">
        <w:rPr>
          <w:lang w:eastAsia="en-AU"/>
        </w:rPr>
        <w:t>riaging and case management support</w:t>
      </w:r>
      <w:r>
        <w:rPr>
          <w:lang w:eastAsia="en-AU"/>
        </w:rPr>
        <w:t>.</w:t>
      </w:r>
    </w:p>
    <w:p w14:paraId="17A0A8DB" w14:textId="77777777" w:rsidR="002A5680" w:rsidRDefault="002A5680" w:rsidP="00405FD7">
      <w:pPr>
        <w:pStyle w:val="Call-outbox"/>
      </w:pPr>
      <w:r>
        <w:br w:type="page"/>
      </w:r>
    </w:p>
    <w:p w14:paraId="4F40B717" w14:textId="4B27E92B" w:rsidR="00F90D5E" w:rsidRDefault="00F90D5E" w:rsidP="00AD3C9E">
      <w:pPr>
        <w:pStyle w:val="Heading1"/>
      </w:pPr>
      <w:bookmarkStart w:id="780" w:name="_Toc165473780"/>
      <w:bookmarkStart w:id="781" w:name="_Toc171935905"/>
      <w:r>
        <w:lastRenderedPageBreak/>
        <w:t>Glossary</w:t>
      </w:r>
      <w:bookmarkEnd w:id="780"/>
      <w:bookmarkEnd w:id="781"/>
      <w:r>
        <w:t xml:space="preserve"> </w:t>
      </w:r>
    </w:p>
    <w:p w14:paraId="0FD2B9EC" w14:textId="387BBEB6" w:rsidR="008E5D8D" w:rsidRPr="008E5D8D" w:rsidRDefault="008E5D8D" w:rsidP="008E5D8D">
      <w:r w:rsidRPr="008E5D8D">
        <w:t>Words and phrases used in the Review are to be interpreted as follows (unless otherwise specified):</w:t>
      </w:r>
    </w:p>
    <w:tbl>
      <w:tblPr>
        <w:tblStyle w:val="ListTable1Light-Accent1"/>
        <w:tblW w:w="9498" w:type="dxa"/>
        <w:tblLayout w:type="fixed"/>
        <w:tblLook w:val="04A0" w:firstRow="1" w:lastRow="0" w:firstColumn="1" w:lastColumn="0" w:noHBand="0" w:noVBand="1"/>
      </w:tblPr>
      <w:tblGrid>
        <w:gridCol w:w="2410"/>
        <w:gridCol w:w="7088"/>
      </w:tblGrid>
      <w:tr w:rsidR="00F76981" w:rsidRPr="00AD74F4" w14:paraId="5A168A7C" w14:textId="77777777" w:rsidTr="00BD34D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90C06E6" w14:textId="77777777" w:rsidR="00F90D5E" w:rsidRPr="00D8736A" w:rsidRDefault="00F90D5E" w:rsidP="00BD34D3">
            <w:pPr>
              <w:jc w:val="left"/>
              <w:rPr>
                <w:rFonts w:cs="Segoe UI"/>
              </w:rPr>
            </w:pPr>
            <w:r w:rsidRPr="00D8736A">
              <w:rPr>
                <w:rFonts w:cs="Segoe UI"/>
              </w:rPr>
              <w:t>Term</w:t>
            </w:r>
          </w:p>
        </w:tc>
        <w:tc>
          <w:tcPr>
            <w:tcW w:w="7088" w:type="dxa"/>
          </w:tcPr>
          <w:p w14:paraId="0D719966" w14:textId="77777777" w:rsidR="00F90D5E" w:rsidRPr="00D8736A" w:rsidRDefault="00F90D5E">
            <w:pPr>
              <w:cnfStyle w:val="100000000000" w:firstRow="1" w:lastRow="0" w:firstColumn="0" w:lastColumn="0" w:oddVBand="0" w:evenVBand="0" w:oddHBand="0" w:evenHBand="0" w:firstRowFirstColumn="0" w:firstRowLastColumn="0" w:lastRowFirstColumn="0" w:lastRowLastColumn="0"/>
              <w:rPr>
                <w:rFonts w:cs="Segoe UI"/>
              </w:rPr>
            </w:pPr>
            <w:r w:rsidRPr="00D8736A">
              <w:rPr>
                <w:rFonts w:cs="Segoe UI"/>
              </w:rPr>
              <w:t>Definition</w:t>
            </w:r>
          </w:p>
        </w:tc>
      </w:tr>
      <w:tr w:rsidR="007A6833" w:rsidRPr="00AD74F4" w14:paraId="2F96CC46"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44BAD866" w14:textId="120D9125" w:rsidR="007A6833" w:rsidRPr="00D8736A" w:rsidRDefault="007A6833" w:rsidP="007A6833">
            <w:pPr>
              <w:jc w:val="left"/>
              <w:rPr>
                <w:rStyle w:val="s1"/>
                <w:rFonts w:cs="Segoe UI"/>
              </w:rPr>
            </w:pPr>
            <w:r w:rsidRPr="007650F8">
              <w:rPr>
                <w:rFonts w:cs="Segoe UI"/>
                <w:b w:val="0"/>
                <w:bCs w:val="0"/>
              </w:rPr>
              <w:t>2020</w:t>
            </w:r>
            <w:r w:rsidRPr="007A6833">
              <w:rPr>
                <w:rFonts w:cs="Segoe UI"/>
                <w:b w:val="0"/>
                <w:bCs w:val="0"/>
              </w:rPr>
              <w:t>–</w:t>
            </w:r>
            <w:r w:rsidRPr="007650F8">
              <w:rPr>
                <w:rFonts w:cs="Segoe UI"/>
                <w:b w:val="0"/>
                <w:bCs w:val="0"/>
              </w:rPr>
              <w:t>25</w:t>
            </w:r>
            <w:r w:rsidRPr="007A6833">
              <w:rPr>
                <w:rFonts w:cs="Segoe UI"/>
                <w:b w:val="0"/>
                <w:bCs w:val="0"/>
              </w:rPr>
              <w:t xml:space="preserve"> </w:t>
            </w:r>
            <w:r w:rsidRPr="007650F8">
              <w:rPr>
                <w:rFonts w:cs="Segoe UI"/>
                <w:b w:val="0"/>
                <w:bCs w:val="0"/>
              </w:rPr>
              <w:t xml:space="preserve">Addendum </w:t>
            </w:r>
            <w:r>
              <w:rPr>
                <w:rFonts w:cs="Segoe UI"/>
                <w:b w:val="0"/>
                <w:bCs w:val="0"/>
              </w:rPr>
              <w:t xml:space="preserve">to the </w:t>
            </w:r>
            <w:r w:rsidRPr="007650F8">
              <w:rPr>
                <w:rFonts w:cs="Segoe UI"/>
                <w:b w:val="0"/>
                <w:bCs w:val="0"/>
              </w:rPr>
              <w:t xml:space="preserve">National Health Reform Agreement (NHRA) </w:t>
            </w:r>
          </w:p>
        </w:tc>
        <w:tc>
          <w:tcPr>
            <w:tcW w:w="7088" w:type="dxa"/>
          </w:tcPr>
          <w:p w14:paraId="4F0C8D55" w14:textId="0F6DDAE0" w:rsidR="007A6833" w:rsidRPr="009D6022" w:rsidRDefault="007A6833" w:rsidP="007A6833">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Fonts w:eastAsia="Open Sans" w:cs="Segoe UI"/>
                <w:color w:val="222222"/>
              </w:rPr>
              <w:t>An agreement between the Australian Government and all state and territory governments that commits to improving health outcomes for Australians, by providing better coordinated and joined</w:t>
            </w:r>
            <w:r>
              <w:rPr>
                <w:rFonts w:eastAsia="Open Sans" w:cs="Segoe UI"/>
                <w:color w:val="222222"/>
              </w:rPr>
              <w:t>-</w:t>
            </w:r>
            <w:r w:rsidRPr="009D6022">
              <w:rPr>
                <w:rFonts w:eastAsia="Open Sans" w:cs="Segoe UI"/>
                <w:color w:val="222222"/>
              </w:rPr>
              <w:t>up care in the community and ensuring the future sustainability of Australia’s health system. It is the key mechanism for the transparency, governance and financing of Australia’s public hospital system. Through this agreement, the Australian Government contributes funds to the states and territories for public hospital services. This includes services delivered through emergency departments, hospitals and community health settings.</w:t>
            </w:r>
          </w:p>
        </w:tc>
      </w:tr>
      <w:tr w:rsidR="00DB5EBC" w:rsidRPr="00AD74F4" w14:paraId="5762E032"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2DCBAC3C" w14:textId="7DFEC6F3" w:rsidR="00F90D5E" w:rsidRPr="00D8736A" w:rsidRDefault="00F90D5E" w:rsidP="00BD34D3">
            <w:pPr>
              <w:jc w:val="left"/>
              <w:rPr>
                <w:rStyle w:val="s1"/>
                <w:rFonts w:cs="Segoe UI"/>
                <w:b w:val="0"/>
                <w:bCs w:val="0"/>
              </w:rPr>
            </w:pPr>
            <w:r w:rsidRPr="00D8736A">
              <w:rPr>
                <w:rStyle w:val="s1"/>
                <w:rFonts w:cs="Segoe UI"/>
                <w:b w:val="0"/>
              </w:rPr>
              <w:t xml:space="preserve">Australia’s </w:t>
            </w:r>
            <w:r w:rsidR="00845E81">
              <w:rPr>
                <w:rStyle w:val="s1"/>
                <w:rFonts w:cs="Segoe UI"/>
                <w:b w:val="0"/>
              </w:rPr>
              <w:t>National Medicine Policy</w:t>
            </w:r>
            <w:r w:rsidR="00845E81" w:rsidRPr="00D8736A">
              <w:rPr>
                <w:rStyle w:val="s1"/>
                <w:rFonts w:cs="Segoe UI"/>
                <w:b w:val="0"/>
              </w:rPr>
              <w:t xml:space="preserve"> </w:t>
            </w:r>
            <w:r w:rsidRPr="00D8736A">
              <w:rPr>
                <w:rStyle w:val="s1"/>
                <w:rFonts w:cs="Segoe UI"/>
                <w:b w:val="0"/>
              </w:rPr>
              <w:t>(</w:t>
            </w:r>
            <w:r w:rsidRPr="00D8736A">
              <w:rPr>
                <w:rFonts w:cs="Segoe UI"/>
                <w:b w:val="0"/>
              </w:rPr>
              <w:t>NMP) 2022</w:t>
            </w:r>
          </w:p>
        </w:tc>
        <w:tc>
          <w:tcPr>
            <w:tcW w:w="7088" w:type="dxa"/>
          </w:tcPr>
          <w:p w14:paraId="799B56EE" w14:textId="3EB1FA83"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 high-level framework focused on the availability and use of medicines and medicines-related services. The NMP relates to medicines research and development, manufacture, regulation, evaluation, supply, dispensing, storage and access. It promotes the quality use of medicines and medicines safety by focusing on the current and future health needs of people and the responsibilities of all partners to achieve the best health, social and economic outcomes for all Australians.</w:t>
            </w:r>
            <w:r w:rsidRPr="009D6022">
              <w:rPr>
                <w:rStyle w:val="s1"/>
                <w:rFonts w:cs="Segoe UI"/>
              </w:rPr>
              <w:cr/>
              <w:t xml:space="preserve"> </w:t>
            </w:r>
          </w:p>
        </w:tc>
      </w:tr>
      <w:tr w:rsidR="00F90D5E" w:rsidRPr="00AD74F4" w14:paraId="74DC03C9"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073FC232" w14:textId="77777777" w:rsidR="00F90D5E" w:rsidRPr="00D8736A" w:rsidRDefault="00F90D5E" w:rsidP="00BD34D3">
            <w:pPr>
              <w:jc w:val="left"/>
              <w:rPr>
                <w:rFonts w:cs="Segoe UI"/>
                <w:b w:val="0"/>
              </w:rPr>
            </w:pPr>
            <w:r w:rsidRPr="00D8736A">
              <w:rPr>
                <w:rFonts w:cs="Segoe UI"/>
                <w:b w:val="0"/>
              </w:rPr>
              <w:t>Cabinet</w:t>
            </w:r>
          </w:p>
        </w:tc>
        <w:tc>
          <w:tcPr>
            <w:tcW w:w="7088" w:type="dxa"/>
          </w:tcPr>
          <w:p w14:paraId="3409BE73" w14:textId="368A69E7"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The Cabinet is the council of senior ministers empowered by the Australian Government to take binding decision on its behalf.</w:t>
            </w:r>
            <w:r w:rsidR="00453069">
              <w:rPr>
                <w:rStyle w:val="s1"/>
                <w:rFonts w:cs="Segoe UI"/>
              </w:rPr>
              <w:t xml:space="preserve"> </w:t>
            </w:r>
          </w:p>
        </w:tc>
      </w:tr>
      <w:tr w:rsidR="00DB5EBC" w:rsidRPr="00AD74F4" w14:paraId="267B9535"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78A3732" w14:textId="77777777" w:rsidR="00F90D5E" w:rsidRPr="00D8736A" w:rsidRDefault="00F90D5E" w:rsidP="00BD34D3">
            <w:pPr>
              <w:jc w:val="left"/>
              <w:rPr>
                <w:rFonts w:cs="Segoe UI"/>
                <w:b w:val="0"/>
              </w:rPr>
            </w:pPr>
            <w:r w:rsidRPr="00D8736A">
              <w:rPr>
                <w:rFonts w:cs="Segoe UI"/>
                <w:b w:val="0"/>
              </w:rPr>
              <w:t>Cell therapy</w:t>
            </w:r>
          </w:p>
        </w:tc>
        <w:tc>
          <w:tcPr>
            <w:tcW w:w="7088" w:type="dxa"/>
          </w:tcPr>
          <w:p w14:paraId="4C7458B2" w14:textId="666CAA66"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r w:rsidRPr="009D6022">
              <w:rPr>
                <w:rFonts w:cs="Segoe UI"/>
              </w:rPr>
              <w:t xml:space="preserve">The transfer of cells into a patient with the goal of treating a disease. The cells may be from the patient or from a donor. Cell therapies include gene modified cell therapy, which involves removing cells from a patient’s body, to introduce a new gene or correct a faulty gene in vitro. The modified cells are then put back into the body. </w:t>
            </w:r>
          </w:p>
        </w:tc>
      </w:tr>
      <w:tr w:rsidR="00F90D5E" w:rsidRPr="00AD74F4" w14:paraId="4911698F"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E17E559" w14:textId="77777777" w:rsidR="00F90D5E" w:rsidRPr="00D8736A" w:rsidRDefault="00F90D5E" w:rsidP="00BD34D3">
            <w:pPr>
              <w:jc w:val="left"/>
              <w:rPr>
                <w:rFonts w:cs="Segoe UI"/>
                <w:b w:val="0"/>
              </w:rPr>
            </w:pPr>
            <w:r w:rsidRPr="00D8736A">
              <w:rPr>
                <w:rFonts w:cs="Segoe UI"/>
                <w:b w:val="0"/>
                <w:lang w:eastAsia="en-AU"/>
              </w:rPr>
              <w:t>Consumer (health)</w:t>
            </w:r>
          </w:p>
        </w:tc>
        <w:tc>
          <w:tcPr>
            <w:tcW w:w="7088" w:type="dxa"/>
          </w:tcPr>
          <w:p w14:paraId="25C67208"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Fonts w:cs="Segoe UI"/>
              </w:rPr>
            </w:pPr>
            <w:r w:rsidRPr="009D6022">
              <w:rPr>
                <w:rFonts w:cs="Segoe UI"/>
              </w:rPr>
              <w:t>A person who uses (or may use) a health service, or someone who provides support for a person using a health service. Consumers can be patients, carers, family members or other support people.</w:t>
            </w:r>
          </w:p>
        </w:tc>
      </w:tr>
      <w:tr w:rsidR="00DB5EBC" w:rsidRPr="00AD74F4" w14:paraId="773FA1A4"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C0B65D2" w14:textId="71D1FA18" w:rsidR="00F90D5E" w:rsidRPr="00D8736A" w:rsidRDefault="00F90D5E" w:rsidP="00BD34D3">
            <w:pPr>
              <w:jc w:val="left"/>
              <w:rPr>
                <w:rFonts w:cs="Segoe UI"/>
                <w:b w:val="0"/>
              </w:rPr>
            </w:pPr>
            <w:r w:rsidRPr="00D8736A">
              <w:rPr>
                <w:rFonts w:cs="Segoe UI"/>
                <w:b w:val="0"/>
              </w:rPr>
              <w:t xml:space="preserve">Consumer Consultative Committee </w:t>
            </w:r>
          </w:p>
        </w:tc>
        <w:tc>
          <w:tcPr>
            <w:tcW w:w="7088" w:type="dxa"/>
          </w:tcPr>
          <w:p w14:paraId="1C4DFF16"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The Consumer Consultative Committee is a committee that provides strategic advice and support to the principal Commonwealth HTA advisory committees. It brings consumer views into HTA processes and relevant matters. </w:t>
            </w:r>
          </w:p>
        </w:tc>
      </w:tr>
      <w:tr w:rsidR="00F90D5E" w:rsidRPr="00AD74F4" w14:paraId="45FC9596"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F2908B0" w14:textId="1F747244" w:rsidR="00F90D5E" w:rsidRPr="00D8736A" w:rsidRDefault="00F90D5E" w:rsidP="00BD34D3">
            <w:pPr>
              <w:jc w:val="left"/>
              <w:rPr>
                <w:rFonts w:cs="Segoe UI"/>
                <w:b w:val="0"/>
              </w:rPr>
            </w:pPr>
            <w:r w:rsidRPr="00D8736A">
              <w:rPr>
                <w:rFonts w:cs="Segoe UI"/>
                <w:b w:val="0"/>
              </w:rPr>
              <w:t xml:space="preserve">Consumer Evidence and Engagement Unit </w:t>
            </w:r>
          </w:p>
        </w:tc>
        <w:tc>
          <w:tcPr>
            <w:tcW w:w="7088" w:type="dxa"/>
          </w:tcPr>
          <w:p w14:paraId="443F285F" w14:textId="42343403"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A unit that was set up in 2019 to develop structured engagement projects with consumer and patient groups. The unit creates opportunities for consumers and patients to contribute to HTA </w:t>
            </w:r>
            <w:r w:rsidRPr="009D6022" w:rsidDel="00830AFC">
              <w:rPr>
                <w:rStyle w:val="s1"/>
                <w:rFonts w:cs="Segoe UI"/>
              </w:rPr>
              <w:lastRenderedPageBreak/>
              <w:t>decision</w:t>
            </w:r>
            <w:r w:rsidR="00830AFC">
              <w:rPr>
                <w:rStyle w:val="s1"/>
                <w:rFonts w:cs="Segoe UI"/>
              </w:rPr>
              <w:t>-making</w:t>
            </w:r>
            <w:r w:rsidRPr="009D6022">
              <w:rPr>
                <w:rStyle w:val="s1"/>
                <w:rFonts w:cs="Segoe UI"/>
              </w:rPr>
              <w:t xml:space="preserve"> processes. In addition, the </w:t>
            </w:r>
            <w:r w:rsidR="006810F8">
              <w:rPr>
                <w:rStyle w:val="s1"/>
                <w:rFonts w:cs="Segoe UI"/>
              </w:rPr>
              <w:t xml:space="preserve">unit </w:t>
            </w:r>
            <w:r w:rsidRPr="009D6022">
              <w:rPr>
                <w:rStyle w:val="s1"/>
                <w:rFonts w:cs="Segoe UI"/>
              </w:rPr>
              <w:t xml:space="preserve">is also the </w:t>
            </w:r>
            <w:r w:rsidR="002641E8">
              <w:rPr>
                <w:rStyle w:val="s1"/>
                <w:rFonts w:cs="Segoe UI"/>
              </w:rPr>
              <w:t>S</w:t>
            </w:r>
            <w:r w:rsidRPr="009D6022">
              <w:rPr>
                <w:rStyle w:val="s1"/>
                <w:rFonts w:cs="Segoe UI"/>
              </w:rPr>
              <w:t>ecretariat for the C</w:t>
            </w:r>
            <w:r w:rsidR="000E08BE">
              <w:rPr>
                <w:rStyle w:val="s1"/>
                <w:rFonts w:cs="Segoe UI"/>
              </w:rPr>
              <w:t xml:space="preserve">onsumer </w:t>
            </w:r>
            <w:r w:rsidRPr="009D6022">
              <w:rPr>
                <w:rStyle w:val="s1"/>
                <w:rFonts w:cs="Segoe UI"/>
              </w:rPr>
              <w:t>C</w:t>
            </w:r>
            <w:r w:rsidR="000E08BE">
              <w:rPr>
                <w:rStyle w:val="s1"/>
                <w:rFonts w:cs="Segoe UI"/>
              </w:rPr>
              <w:t xml:space="preserve">onsultative </w:t>
            </w:r>
            <w:r w:rsidRPr="009D6022">
              <w:rPr>
                <w:rStyle w:val="s1"/>
                <w:rFonts w:cs="Segoe UI"/>
              </w:rPr>
              <w:t>C</w:t>
            </w:r>
            <w:r w:rsidR="000E08BE">
              <w:rPr>
                <w:rStyle w:val="s1"/>
                <w:rFonts w:cs="Segoe UI"/>
              </w:rPr>
              <w:t>ommittee</w:t>
            </w:r>
            <w:r w:rsidRPr="009D6022">
              <w:rPr>
                <w:rStyle w:val="s1"/>
                <w:rFonts w:cs="Segoe UI"/>
              </w:rPr>
              <w:t xml:space="preserve">. </w:t>
            </w:r>
          </w:p>
        </w:tc>
      </w:tr>
      <w:tr w:rsidR="00DB5EBC" w:rsidRPr="00AD74F4" w14:paraId="4A1FFBA2"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06036381" w14:textId="77777777" w:rsidR="00F90D5E" w:rsidRPr="00D8736A" w:rsidRDefault="00F90D5E" w:rsidP="00BD34D3">
            <w:pPr>
              <w:jc w:val="left"/>
              <w:rPr>
                <w:rFonts w:cs="Segoe UI"/>
                <w:b w:val="0"/>
              </w:rPr>
            </w:pPr>
            <w:r w:rsidRPr="00D8736A">
              <w:rPr>
                <w:rFonts w:cs="Segoe UI"/>
                <w:b w:val="0"/>
              </w:rPr>
              <w:lastRenderedPageBreak/>
              <w:t xml:space="preserve">Conversations for Change </w:t>
            </w:r>
          </w:p>
        </w:tc>
        <w:tc>
          <w:tcPr>
            <w:tcW w:w="7088" w:type="dxa"/>
          </w:tcPr>
          <w:p w14:paraId="4B0CEE54" w14:textId="5481FE09"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A series of consultations held by the </w:t>
            </w:r>
            <w:r w:rsidR="006810F8" w:rsidRPr="00D8736A">
              <w:rPr>
                <w:rFonts w:cs="Segoe UI"/>
              </w:rPr>
              <w:t>Consumer Evidence and Engagement Unit</w:t>
            </w:r>
            <w:r w:rsidRPr="009D6022">
              <w:rPr>
                <w:rStyle w:val="s1"/>
                <w:rFonts w:cs="Segoe UI"/>
              </w:rPr>
              <w:t xml:space="preserve">. The consultations considered how to improve the way the Department </w:t>
            </w:r>
            <w:r w:rsidR="001B43AE">
              <w:rPr>
                <w:rFonts w:cs="Segoe UI"/>
              </w:rPr>
              <w:t>of Health and Aged Care</w:t>
            </w:r>
            <w:r w:rsidR="001B43AE" w:rsidRPr="009D6022">
              <w:rPr>
                <w:rStyle w:val="s1"/>
                <w:rFonts w:cs="Segoe UI"/>
              </w:rPr>
              <w:t xml:space="preserve"> </w:t>
            </w:r>
            <w:r w:rsidRPr="009D6022">
              <w:rPr>
                <w:rStyle w:val="s1"/>
                <w:rFonts w:cs="Segoe UI"/>
              </w:rPr>
              <w:t>communicates and engages with</w:t>
            </w:r>
            <w:r w:rsidR="00035D9A">
              <w:rPr>
                <w:rStyle w:val="s1"/>
                <w:rFonts w:cs="Segoe UI"/>
              </w:rPr>
              <w:t>,</w:t>
            </w:r>
            <w:r w:rsidRPr="009D6022">
              <w:rPr>
                <w:rStyle w:val="s1"/>
                <w:rFonts w:cs="Segoe UI"/>
              </w:rPr>
              <w:t xml:space="preserve"> and </w:t>
            </w:r>
            <w:proofErr w:type="gramStart"/>
            <w:r w:rsidRPr="009D6022">
              <w:rPr>
                <w:rStyle w:val="s1"/>
                <w:rFonts w:cs="Segoe UI"/>
              </w:rPr>
              <w:t>include</w:t>
            </w:r>
            <w:r w:rsidR="00035D9A">
              <w:rPr>
                <w:rStyle w:val="s1"/>
                <w:rFonts w:cs="Segoe UI"/>
              </w:rPr>
              <w:t>s,</w:t>
            </w:r>
            <w:proofErr w:type="gramEnd"/>
            <w:r w:rsidRPr="009D6022">
              <w:rPr>
                <w:rStyle w:val="s1"/>
                <w:rFonts w:cs="Segoe UI"/>
              </w:rPr>
              <w:t xml:space="preserve"> consumers and carers in HTA</w:t>
            </w:r>
            <w:r w:rsidR="00035D9A">
              <w:rPr>
                <w:rStyle w:val="s1"/>
                <w:rFonts w:cs="Segoe UI"/>
              </w:rPr>
              <w:t>s</w:t>
            </w:r>
            <w:r w:rsidRPr="009D6022">
              <w:rPr>
                <w:rStyle w:val="s1"/>
                <w:rFonts w:cs="Segoe UI"/>
              </w:rPr>
              <w:t xml:space="preserve">. </w:t>
            </w:r>
          </w:p>
        </w:tc>
      </w:tr>
      <w:tr w:rsidR="00F90D5E" w:rsidRPr="00AD74F4" w14:paraId="7E6DCCF6"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48055E00" w14:textId="4CE43D8B" w:rsidR="00F90D5E" w:rsidRPr="00D8736A" w:rsidRDefault="00F90D5E" w:rsidP="00BD34D3">
            <w:pPr>
              <w:jc w:val="left"/>
              <w:rPr>
                <w:rStyle w:val="s1"/>
                <w:rFonts w:cs="Segoe UI"/>
                <w:b w:val="0"/>
                <w:bCs w:val="0"/>
              </w:rPr>
            </w:pPr>
            <w:r w:rsidRPr="00D8736A">
              <w:rPr>
                <w:rFonts w:cs="Segoe UI"/>
                <w:b w:val="0"/>
              </w:rPr>
              <w:t xml:space="preserve">Cost-effectiveness analysis </w:t>
            </w:r>
          </w:p>
        </w:tc>
        <w:tc>
          <w:tcPr>
            <w:tcW w:w="7088" w:type="dxa"/>
          </w:tcPr>
          <w:p w14:paraId="10F41246" w14:textId="5C21DC9E"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An economic evaluation that compares health technologies that have a common health outcome</w:t>
            </w:r>
            <w:r w:rsidR="00035D9A">
              <w:rPr>
                <w:rStyle w:val="s1"/>
                <w:rFonts w:cs="Segoe UI"/>
              </w:rPr>
              <w:t>,</w:t>
            </w:r>
            <w:r w:rsidRPr="009D6022">
              <w:rPr>
                <w:rStyle w:val="s1"/>
                <w:rFonts w:cs="Segoe UI"/>
              </w:rPr>
              <w:t xml:space="preserve"> in which costs are measured in monetary terms and the outcome is measured in natural units. </w:t>
            </w:r>
          </w:p>
        </w:tc>
      </w:tr>
      <w:tr w:rsidR="00DB5EBC" w:rsidRPr="00AD74F4" w14:paraId="106982DF"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555CE8C9" w14:textId="6B19E20C" w:rsidR="00F90D5E" w:rsidRPr="00D8736A" w:rsidRDefault="00F90D5E" w:rsidP="00BD34D3">
            <w:pPr>
              <w:jc w:val="left"/>
              <w:rPr>
                <w:rStyle w:val="s1"/>
                <w:rFonts w:cs="Segoe UI"/>
                <w:b w:val="0"/>
                <w:bCs w:val="0"/>
              </w:rPr>
            </w:pPr>
            <w:r w:rsidRPr="00D8736A">
              <w:rPr>
                <w:rFonts w:cs="Segoe UI"/>
                <w:b w:val="0"/>
              </w:rPr>
              <w:t xml:space="preserve">Cost-minimisation analysis </w:t>
            </w:r>
          </w:p>
        </w:tc>
        <w:tc>
          <w:tcPr>
            <w:tcW w:w="7088" w:type="dxa"/>
          </w:tcPr>
          <w:p w14:paraId="685B44C1"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Fonts w:cs="Segoe UI"/>
              </w:rPr>
              <w:t xml:space="preserve">An economic evaluation that identifies the least costly health technology after the proposed health technology has been demonstrated to be no worse than its main comparator(s) in terms of effectiveness and toxicity. </w:t>
            </w:r>
          </w:p>
        </w:tc>
      </w:tr>
      <w:tr w:rsidR="00F90D5E" w:rsidRPr="00AD74F4" w14:paraId="0C188580"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ACE67EC" w14:textId="5B01DD6B" w:rsidR="00F90D5E" w:rsidRPr="00D8736A" w:rsidRDefault="00F90D5E" w:rsidP="00BD34D3">
            <w:pPr>
              <w:jc w:val="left"/>
              <w:rPr>
                <w:rStyle w:val="s1"/>
                <w:rFonts w:cs="Segoe UI"/>
                <w:b w:val="0"/>
                <w:bCs w:val="0"/>
              </w:rPr>
            </w:pPr>
            <w:r w:rsidRPr="00D8736A">
              <w:rPr>
                <w:rFonts w:cs="Segoe UI"/>
                <w:b w:val="0"/>
              </w:rPr>
              <w:t xml:space="preserve">Cost-utility analysis </w:t>
            </w:r>
          </w:p>
        </w:tc>
        <w:tc>
          <w:tcPr>
            <w:tcW w:w="7088" w:type="dxa"/>
          </w:tcPr>
          <w:p w14:paraId="1B75AA72" w14:textId="2FE76C3F"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An economic evaluation that compares health technologies in which costs are measured in monetary terms, and outcomes are measured in terms of extension of life and the utility value of that extension (such as quality-adjusted life</w:t>
            </w:r>
            <w:r w:rsidR="006F165A">
              <w:rPr>
                <w:rStyle w:val="s1"/>
                <w:rFonts w:cs="Segoe UI"/>
              </w:rPr>
              <w:t xml:space="preserve"> </w:t>
            </w:r>
            <w:r w:rsidRPr="009D6022">
              <w:rPr>
                <w:rStyle w:val="s1"/>
                <w:rFonts w:cs="Segoe UI"/>
              </w:rPr>
              <w:t xml:space="preserve">years or healthy-year equivalents). </w:t>
            </w:r>
          </w:p>
        </w:tc>
      </w:tr>
      <w:tr w:rsidR="00DB5EBC" w:rsidRPr="00AD74F4" w14:paraId="7B9F8373"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23C627D0" w14:textId="77777777" w:rsidR="00F90D5E" w:rsidRPr="00D8736A" w:rsidRDefault="00F90D5E" w:rsidP="00BD34D3">
            <w:pPr>
              <w:jc w:val="left"/>
              <w:rPr>
                <w:rStyle w:val="s1"/>
                <w:rFonts w:cs="Segoe UI"/>
                <w:b w:val="0"/>
                <w:bCs w:val="0"/>
              </w:rPr>
            </w:pPr>
            <w:r w:rsidRPr="00D8736A">
              <w:rPr>
                <w:rFonts w:cs="Segoe UI"/>
                <w:b w:val="0"/>
              </w:rPr>
              <w:t>Effectiveness, clinical</w:t>
            </w:r>
          </w:p>
        </w:tc>
        <w:tc>
          <w:tcPr>
            <w:tcW w:w="7088" w:type="dxa"/>
          </w:tcPr>
          <w:p w14:paraId="03F225C4"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The extent to which a health technology produces its intended outcome(s) in a defined population in uncontrolled or routine circumstances. </w:t>
            </w:r>
          </w:p>
        </w:tc>
      </w:tr>
      <w:tr w:rsidR="00F90D5E" w:rsidRPr="00AD74F4" w14:paraId="05B2AD44"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182DC46" w14:textId="719843D6" w:rsidR="00F90D5E" w:rsidRPr="00D8736A" w:rsidRDefault="00F90D5E" w:rsidP="00BD34D3">
            <w:pPr>
              <w:jc w:val="left"/>
              <w:rPr>
                <w:rFonts w:cs="Segoe UI"/>
                <w:b w:val="0"/>
              </w:rPr>
            </w:pPr>
            <w:r w:rsidRPr="00D8736A">
              <w:rPr>
                <w:rFonts w:cs="Segoe UI"/>
                <w:b w:val="0"/>
              </w:rPr>
              <w:t xml:space="preserve">Enhanced Consumer Engagement Process </w:t>
            </w:r>
          </w:p>
        </w:tc>
        <w:tc>
          <w:tcPr>
            <w:tcW w:w="7088" w:type="dxa"/>
          </w:tcPr>
          <w:p w14:paraId="044928E6" w14:textId="796F4D25" w:rsidR="00F90D5E" w:rsidRPr="009D6022" w:rsidRDefault="00F90D5E">
            <w:pPr>
              <w:shd w:val="clear" w:color="auto" w:fill="FFFFFF"/>
              <w:spacing w:after="90" w:line="300" w:lineRule="atLeast"/>
              <w:ind w:right="150"/>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A commitment in the Strategic Agreement between the Commonwealth and Medicines Australia that the Commonwealth</w:t>
            </w:r>
            <w:r w:rsidRPr="009D6022" w:rsidDel="001A7441">
              <w:rPr>
                <w:rStyle w:val="s1"/>
                <w:rFonts w:cs="Segoe UI"/>
              </w:rPr>
              <w:t xml:space="preserve"> </w:t>
            </w:r>
            <w:r w:rsidRPr="009D6022">
              <w:rPr>
                <w:rStyle w:val="s1"/>
                <w:rFonts w:cs="Segoe UI"/>
              </w:rPr>
              <w:t>work with Medicines Australia</w:t>
            </w:r>
            <w:r w:rsidR="001A7441">
              <w:rPr>
                <w:rStyle w:val="s1"/>
                <w:rFonts w:cs="Segoe UI"/>
              </w:rPr>
              <w:t>,</w:t>
            </w:r>
            <w:r w:rsidRPr="009D6022">
              <w:rPr>
                <w:rStyle w:val="s1"/>
                <w:rFonts w:cs="Segoe UI"/>
              </w:rPr>
              <w:t xml:space="preserve"> and consumer, clinician and other stakeholder groups</w:t>
            </w:r>
            <w:r w:rsidR="001A7441">
              <w:rPr>
                <w:rStyle w:val="s1"/>
                <w:rFonts w:cs="Segoe UI"/>
              </w:rPr>
              <w:t>,</w:t>
            </w:r>
            <w:r w:rsidRPr="009D6022">
              <w:rPr>
                <w:rStyle w:val="s1"/>
                <w:rFonts w:cs="Segoe UI"/>
              </w:rPr>
              <w:t xml:space="preserve"> to co-design and agree upon an Enhanced Consumer Engagement Process to capture consumer voices in </w:t>
            </w:r>
            <w:r w:rsidR="009A3C7B">
              <w:rPr>
                <w:rStyle w:val="s1"/>
                <w:rFonts w:cs="Segoe UI"/>
              </w:rPr>
              <w:t>relation to</w:t>
            </w:r>
            <w:r w:rsidRPr="009D6022" w:rsidDel="00833EA3">
              <w:rPr>
                <w:rStyle w:val="s1"/>
                <w:rFonts w:cs="Segoe UI"/>
              </w:rPr>
              <w:t xml:space="preserve"> </w:t>
            </w:r>
            <w:r w:rsidRPr="009D6022">
              <w:rPr>
                <w:rStyle w:val="s1"/>
                <w:rFonts w:cs="Segoe UI"/>
              </w:rPr>
              <w:t xml:space="preserve">applications to list new medicines on the Pharmaceutical Benefits Scheme. This co-designed process could reduce the likelihood of multiple reimbursement submissions by assisting the Pharmaceutical Benefits Advisory Committee and other independent HTA advisory bodies, at an early stage, to obtain an understanding of issues arising from new technologies, innovations and associated implications for consumers. </w:t>
            </w:r>
          </w:p>
        </w:tc>
      </w:tr>
      <w:tr w:rsidR="00DB5EBC" w:rsidRPr="00AD74F4" w14:paraId="002CDB26"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2ADB58A" w14:textId="77777777" w:rsidR="00F90D5E" w:rsidRPr="00D8736A" w:rsidRDefault="00F90D5E" w:rsidP="00BD34D3">
            <w:pPr>
              <w:jc w:val="left"/>
              <w:rPr>
                <w:rStyle w:val="s1"/>
                <w:rFonts w:cs="Segoe UI"/>
                <w:b w:val="0"/>
                <w:bCs w:val="0"/>
              </w:rPr>
            </w:pPr>
            <w:r w:rsidRPr="00D8736A">
              <w:rPr>
                <w:rFonts w:cs="Segoe UI"/>
                <w:b w:val="0"/>
              </w:rPr>
              <w:t>Equity</w:t>
            </w:r>
          </w:p>
        </w:tc>
        <w:tc>
          <w:tcPr>
            <w:tcW w:w="7088" w:type="dxa"/>
          </w:tcPr>
          <w:p w14:paraId="4D1A2C93" w14:textId="04726F83" w:rsidR="00F90D5E" w:rsidRPr="00BD34D3" w:rsidRDefault="00F90D5E">
            <w:pPr>
              <w:cnfStyle w:val="000000000000" w:firstRow="0" w:lastRow="0" w:firstColumn="0" w:lastColumn="0" w:oddVBand="0" w:evenVBand="0" w:oddHBand="0" w:evenHBand="0" w:firstRowFirstColumn="0" w:firstRowLastColumn="0" w:lastRowFirstColumn="0" w:lastRowLastColumn="0"/>
              <w:rPr>
                <w:rStyle w:val="s1"/>
                <w:rFonts w:cs="Segoe UI"/>
                <w:highlight w:val="yellow"/>
              </w:rPr>
            </w:pPr>
            <w:r w:rsidRPr="00E55E1B">
              <w:rPr>
                <w:rStyle w:val="s1"/>
                <w:rFonts w:cs="Segoe UI"/>
              </w:rPr>
              <w:t xml:space="preserve">The principles of fairness informing </w:t>
            </w:r>
            <w:r w:rsidRPr="00E55E1B" w:rsidDel="00830AFC">
              <w:rPr>
                <w:rStyle w:val="s1"/>
                <w:rFonts w:cs="Segoe UI"/>
              </w:rPr>
              <w:t>decision</w:t>
            </w:r>
            <w:r w:rsidR="00830AFC">
              <w:rPr>
                <w:rStyle w:val="s1"/>
                <w:rFonts w:cs="Segoe UI"/>
              </w:rPr>
              <w:t>-making</w:t>
            </w:r>
            <w:r w:rsidR="00E55E1B" w:rsidRPr="00E55E1B">
              <w:rPr>
                <w:rStyle w:val="s1"/>
                <w:rFonts w:cs="Segoe UI"/>
              </w:rPr>
              <w:t xml:space="preserve">. Also refer to </w:t>
            </w:r>
            <w:r w:rsidR="001A7441">
              <w:rPr>
                <w:rStyle w:val="s1"/>
                <w:rFonts w:cs="Segoe UI"/>
              </w:rPr>
              <w:t xml:space="preserve">the </w:t>
            </w:r>
            <w:r w:rsidR="00E55E1B" w:rsidRPr="00E55E1B">
              <w:rPr>
                <w:rStyle w:val="s1"/>
                <w:rFonts w:cs="Segoe UI"/>
              </w:rPr>
              <w:t xml:space="preserve">NMP description of </w:t>
            </w:r>
            <w:r w:rsidR="001A7441">
              <w:rPr>
                <w:rStyle w:val="s1"/>
                <w:rFonts w:cs="Segoe UI"/>
              </w:rPr>
              <w:t>‘e</w:t>
            </w:r>
            <w:r w:rsidR="00E55E1B" w:rsidRPr="00E55E1B">
              <w:rPr>
                <w:rStyle w:val="s1"/>
                <w:rFonts w:cs="Segoe UI"/>
              </w:rPr>
              <w:t>quity</w:t>
            </w:r>
            <w:r w:rsidR="001A7441">
              <w:rPr>
                <w:rStyle w:val="s1"/>
                <w:rFonts w:cs="Segoe UI"/>
              </w:rPr>
              <w:t>’.</w:t>
            </w:r>
            <w:r w:rsidRPr="00E55E1B">
              <w:rPr>
                <w:rStyle w:val="s1"/>
                <w:rFonts w:cs="Segoe UI"/>
              </w:rPr>
              <w:t xml:space="preserve"> </w:t>
            </w:r>
          </w:p>
        </w:tc>
      </w:tr>
      <w:tr w:rsidR="00F90D5E" w:rsidRPr="00AD74F4" w14:paraId="49A74685" w14:textId="77777777" w:rsidTr="00BD34D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10" w:type="dxa"/>
          </w:tcPr>
          <w:p w14:paraId="53DFE8D1" w14:textId="781ECC5F" w:rsidR="00F90D5E" w:rsidRPr="00D8736A" w:rsidRDefault="00F90D5E" w:rsidP="00BD34D3">
            <w:pPr>
              <w:jc w:val="left"/>
              <w:rPr>
                <w:rFonts w:cs="Segoe UI"/>
                <w:b w:val="0"/>
              </w:rPr>
            </w:pPr>
            <w:r w:rsidRPr="00D8736A">
              <w:rPr>
                <w:rFonts w:cs="Segoe UI"/>
                <w:b w:val="0"/>
              </w:rPr>
              <w:t xml:space="preserve">Evaluation (for HTA </w:t>
            </w:r>
            <w:r w:rsidR="00C16518">
              <w:rPr>
                <w:rFonts w:cs="Segoe UI"/>
                <w:b w:val="0"/>
              </w:rPr>
              <w:t xml:space="preserve">advisory </w:t>
            </w:r>
            <w:r w:rsidRPr="00D8736A">
              <w:rPr>
                <w:rFonts w:cs="Segoe UI"/>
                <w:b w:val="0"/>
              </w:rPr>
              <w:t>committees)</w:t>
            </w:r>
          </w:p>
        </w:tc>
        <w:tc>
          <w:tcPr>
            <w:tcW w:w="7088" w:type="dxa"/>
          </w:tcPr>
          <w:p w14:paraId="4FF3739E" w14:textId="5BB37F91" w:rsidR="00F90D5E" w:rsidRPr="009D6022" w:rsidRDefault="00F90D5E">
            <w:pPr>
              <w:cnfStyle w:val="000000100000" w:firstRow="0" w:lastRow="0" w:firstColumn="0" w:lastColumn="0" w:oddVBand="0" w:evenVBand="0" w:oddHBand="1" w:evenHBand="0" w:firstRowFirstColumn="0" w:firstRowLastColumn="0" w:lastRowFirstColumn="0" w:lastRowLastColumn="0"/>
              <w:rPr>
                <w:rFonts w:cs="Segoe UI"/>
              </w:rPr>
            </w:pPr>
            <w:r w:rsidRPr="009D6022">
              <w:rPr>
                <w:rFonts w:cs="Segoe UI"/>
              </w:rPr>
              <w:t xml:space="preserve">Refers to the process undertaken to assess the clinical, economic, financial and use aspects of health technologies. </w:t>
            </w:r>
          </w:p>
        </w:tc>
      </w:tr>
      <w:tr w:rsidR="00DB5EBC" w:rsidRPr="00AD74F4" w14:paraId="0912FAAB"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1493927" w14:textId="6109235A" w:rsidR="00F90D5E" w:rsidRPr="00D8736A" w:rsidRDefault="00F90D5E" w:rsidP="00BD34D3">
            <w:pPr>
              <w:jc w:val="left"/>
              <w:rPr>
                <w:rFonts w:cs="Segoe UI"/>
                <w:b w:val="0"/>
              </w:rPr>
            </w:pPr>
            <w:r w:rsidRPr="00D8736A">
              <w:rPr>
                <w:rFonts w:cs="Segoe UI"/>
                <w:b w:val="0"/>
              </w:rPr>
              <w:t>First</w:t>
            </w:r>
            <w:r w:rsidR="001A7441">
              <w:rPr>
                <w:rFonts w:cs="Segoe UI"/>
                <w:b w:val="0"/>
              </w:rPr>
              <w:t>-</w:t>
            </w:r>
            <w:r w:rsidRPr="00D8736A">
              <w:rPr>
                <w:rFonts w:cs="Segoe UI"/>
                <w:b w:val="0"/>
              </w:rPr>
              <w:t>in</w:t>
            </w:r>
            <w:r w:rsidR="001A7441">
              <w:rPr>
                <w:rFonts w:cs="Segoe UI"/>
                <w:b w:val="0"/>
              </w:rPr>
              <w:t>-</w:t>
            </w:r>
            <w:r w:rsidRPr="00D8736A">
              <w:rPr>
                <w:rFonts w:cs="Segoe UI"/>
                <w:b w:val="0"/>
              </w:rPr>
              <w:t>class technology</w:t>
            </w:r>
          </w:p>
        </w:tc>
        <w:tc>
          <w:tcPr>
            <w:tcW w:w="7088" w:type="dxa"/>
          </w:tcPr>
          <w:p w14:paraId="61226907" w14:textId="6A9F19BD"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 first</w:t>
            </w:r>
            <w:r w:rsidR="001A7441">
              <w:rPr>
                <w:rStyle w:val="s1"/>
                <w:rFonts w:cs="Segoe UI"/>
              </w:rPr>
              <w:t>-</w:t>
            </w:r>
            <w:r w:rsidRPr="009D6022">
              <w:rPr>
                <w:rStyle w:val="s1"/>
                <w:rFonts w:cs="Segoe UI"/>
              </w:rPr>
              <w:t>in</w:t>
            </w:r>
            <w:r w:rsidR="001A7441">
              <w:rPr>
                <w:rStyle w:val="s1"/>
                <w:rFonts w:cs="Segoe UI"/>
              </w:rPr>
              <w:t>-</w:t>
            </w:r>
            <w:r w:rsidRPr="009D6022">
              <w:rPr>
                <w:rStyle w:val="s1"/>
                <w:rFonts w:cs="Segoe UI"/>
              </w:rPr>
              <w:t>class medicine or vaccine, and/or a medicine or vaccine for a new population.</w:t>
            </w:r>
          </w:p>
          <w:p w14:paraId="002425E9" w14:textId="77777777" w:rsidR="00F90D5E" w:rsidRPr="009D6022" w:rsidRDefault="00F90D5E" w:rsidP="00281153">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 first-in-class medicine or vaccine represents a drug or vaccine with a unique mechanism of action that has not been considered by the PBAC.</w:t>
            </w:r>
          </w:p>
          <w:p w14:paraId="05CF127F" w14:textId="77777777" w:rsidR="00F90D5E" w:rsidRPr="009D6022" w:rsidRDefault="00F90D5E" w:rsidP="00281153">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lastRenderedPageBreak/>
              <w:t>A new population could include a disease or medical condition not previously considered by the PBAC.</w:t>
            </w:r>
          </w:p>
          <w:p w14:paraId="7405441D" w14:textId="77777777" w:rsidR="00F90D5E" w:rsidRPr="009D6022" w:rsidRDefault="00F90D5E" w:rsidP="00281153">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 disease is intended to cover whole diseases when all stages and genetic subtypes are considered.</w:t>
            </w:r>
          </w:p>
        </w:tc>
      </w:tr>
      <w:tr w:rsidR="00F90D5E" w:rsidRPr="00AD74F4" w14:paraId="0C568B9C"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82735A2" w14:textId="77777777" w:rsidR="00F90D5E" w:rsidRPr="00D8736A" w:rsidRDefault="00F90D5E" w:rsidP="00BD34D3">
            <w:pPr>
              <w:jc w:val="left"/>
              <w:rPr>
                <w:rFonts w:cs="Segoe UI"/>
                <w:b w:val="0"/>
              </w:rPr>
            </w:pPr>
            <w:r w:rsidRPr="00D8736A">
              <w:rPr>
                <w:rFonts w:cs="Segoe UI"/>
                <w:b w:val="0"/>
              </w:rPr>
              <w:lastRenderedPageBreak/>
              <w:t>Gene therapy</w:t>
            </w:r>
          </w:p>
        </w:tc>
        <w:tc>
          <w:tcPr>
            <w:tcW w:w="7088" w:type="dxa"/>
          </w:tcPr>
          <w:p w14:paraId="53415494"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Fonts w:cs="Segoe UI"/>
              </w:rPr>
            </w:pPr>
            <w:r w:rsidRPr="009D6022">
              <w:rPr>
                <w:rFonts w:cs="Segoe UI"/>
              </w:rPr>
              <w:t>A therapy that uses a gene or genes to treat, prevent or cure a disease or medical disorder. Often, gene therapy works by adding new copies of a gene that is defective, or by replacing a defective or missing gene in a patient’s cells with a healthy version of that gene.</w:t>
            </w:r>
          </w:p>
        </w:tc>
      </w:tr>
      <w:tr w:rsidR="00DB5EBC" w:rsidRPr="00AD74F4" w14:paraId="05B00DB5"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6F368AFA" w14:textId="77777777" w:rsidR="00F90D5E" w:rsidRPr="00D8736A" w:rsidRDefault="00F90D5E" w:rsidP="00BD34D3">
            <w:pPr>
              <w:jc w:val="left"/>
              <w:rPr>
                <w:rStyle w:val="s1"/>
                <w:rFonts w:cs="Segoe UI"/>
                <w:b w:val="0"/>
                <w:bCs w:val="0"/>
              </w:rPr>
            </w:pPr>
            <w:r w:rsidRPr="00D8736A">
              <w:rPr>
                <w:rFonts w:cs="Segoe UI"/>
                <w:b w:val="0"/>
              </w:rPr>
              <w:t>Health technology</w:t>
            </w:r>
          </w:p>
        </w:tc>
        <w:tc>
          <w:tcPr>
            <w:tcW w:w="7088" w:type="dxa"/>
          </w:tcPr>
          <w:p w14:paraId="1A7E9893" w14:textId="0D2446C2"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Health technology refers to health products and services, such as pharmaceuticals (including vaccines), highly specialised therapies, diagnostic tests, medical devices, surgically implanted prostheses, medical procedures, digital health technologies and public health interventions.</w:t>
            </w:r>
          </w:p>
        </w:tc>
      </w:tr>
      <w:tr w:rsidR="00F90D5E" w:rsidRPr="00AD74F4" w14:paraId="4087EA96"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4E0A851C" w14:textId="6BB15E01" w:rsidR="00F90D5E" w:rsidRPr="00D8736A" w:rsidRDefault="00F90D5E" w:rsidP="00BD34D3">
            <w:pPr>
              <w:jc w:val="left"/>
              <w:rPr>
                <w:rStyle w:val="s1"/>
                <w:rFonts w:cs="Segoe UI"/>
                <w:b w:val="0"/>
                <w:bCs w:val="0"/>
              </w:rPr>
            </w:pPr>
            <w:r w:rsidRPr="00D8736A">
              <w:rPr>
                <w:rStyle w:val="s1"/>
                <w:rFonts w:cs="Segoe UI"/>
                <w:b w:val="0"/>
              </w:rPr>
              <w:t xml:space="preserve">Health </w:t>
            </w:r>
            <w:r w:rsidR="00A72F2E">
              <w:rPr>
                <w:rStyle w:val="s1"/>
                <w:rFonts w:cs="Segoe UI"/>
                <w:b w:val="0"/>
              </w:rPr>
              <w:t>t</w:t>
            </w:r>
            <w:r w:rsidRPr="00D8736A">
              <w:rPr>
                <w:rStyle w:val="s1"/>
                <w:rFonts w:cs="Segoe UI"/>
                <w:b w:val="0"/>
              </w:rPr>
              <w:t xml:space="preserve">echnology </w:t>
            </w:r>
            <w:r w:rsidR="00A72F2E">
              <w:rPr>
                <w:rStyle w:val="s1"/>
                <w:rFonts w:cs="Segoe UI"/>
                <w:b w:val="0"/>
              </w:rPr>
              <w:t>a</w:t>
            </w:r>
            <w:r w:rsidRPr="00D8736A">
              <w:rPr>
                <w:rStyle w:val="s1"/>
                <w:rFonts w:cs="Segoe UI"/>
                <w:b w:val="0"/>
              </w:rPr>
              <w:t>ssessment (</w:t>
            </w:r>
            <w:r w:rsidRPr="00D8736A">
              <w:rPr>
                <w:rFonts w:cs="Segoe UI"/>
                <w:b w:val="0"/>
              </w:rPr>
              <w:t>HTA)</w:t>
            </w:r>
          </w:p>
        </w:tc>
        <w:tc>
          <w:tcPr>
            <w:tcW w:w="7088" w:type="dxa"/>
          </w:tcPr>
          <w:p w14:paraId="04A17165" w14:textId="4B6EE13B"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Health </w:t>
            </w:r>
            <w:r w:rsidR="00A72F2E">
              <w:rPr>
                <w:rStyle w:val="s1"/>
                <w:rFonts w:cs="Segoe UI"/>
              </w:rPr>
              <w:t>t</w:t>
            </w:r>
            <w:r w:rsidRPr="009D6022">
              <w:rPr>
                <w:rStyle w:val="s1"/>
                <w:rFonts w:cs="Segoe UI"/>
              </w:rPr>
              <w:t xml:space="preserve">echnology </w:t>
            </w:r>
            <w:r w:rsidR="00A72F2E">
              <w:rPr>
                <w:rStyle w:val="s1"/>
                <w:rFonts w:cs="Segoe UI"/>
              </w:rPr>
              <w:t>a</w:t>
            </w:r>
            <w:r w:rsidRPr="009D6022">
              <w:rPr>
                <w:rStyle w:val="s1"/>
                <w:rFonts w:cs="Segoe UI"/>
              </w:rPr>
              <w:t>ssessment</w:t>
            </w:r>
            <w:r w:rsidR="00A72F2E">
              <w:rPr>
                <w:rStyle w:val="s1"/>
                <w:rFonts w:cs="Segoe UI"/>
              </w:rPr>
              <w:t>s</w:t>
            </w:r>
            <w:r w:rsidRPr="009D6022">
              <w:rPr>
                <w:rStyle w:val="s1"/>
                <w:rFonts w:cs="Segoe UI"/>
              </w:rPr>
              <w:t xml:space="preserve"> involve a range of processes and mechanisms that use scientific evidence to assess the quality, safety, efficacy, </w:t>
            </w:r>
            <w:r w:rsidR="00BB34D8">
              <w:rPr>
                <w:rStyle w:val="s1"/>
                <w:rFonts w:cs="Segoe UI"/>
              </w:rPr>
              <w:t xml:space="preserve">clinical </w:t>
            </w:r>
            <w:r w:rsidRPr="009D6022">
              <w:rPr>
                <w:rStyle w:val="s1"/>
                <w:rFonts w:cs="Segoe UI"/>
              </w:rPr>
              <w:t>effectiveness and cost</w:t>
            </w:r>
            <w:r w:rsidR="00BB34D8">
              <w:rPr>
                <w:rStyle w:val="s1"/>
                <w:rFonts w:cs="Segoe UI"/>
              </w:rPr>
              <w:t>-</w:t>
            </w:r>
            <w:r w:rsidRPr="009D6022">
              <w:rPr>
                <w:rStyle w:val="s1"/>
                <w:rFonts w:cs="Segoe UI"/>
              </w:rPr>
              <w:t xml:space="preserve">effectiveness of health </w:t>
            </w:r>
            <w:r w:rsidR="009E3FDA">
              <w:rPr>
                <w:rStyle w:val="s1"/>
                <w:rFonts w:cs="Segoe UI"/>
              </w:rPr>
              <w:t xml:space="preserve">technologies and </w:t>
            </w:r>
            <w:r w:rsidRPr="009D6022">
              <w:rPr>
                <w:rStyle w:val="s1"/>
                <w:rFonts w:cs="Segoe UI"/>
              </w:rPr>
              <w:t xml:space="preserve">services. The purpose of </w:t>
            </w:r>
            <w:r w:rsidR="00A72F2E">
              <w:rPr>
                <w:rStyle w:val="s1"/>
                <w:rFonts w:cs="Segoe UI"/>
              </w:rPr>
              <w:t xml:space="preserve">an </w:t>
            </w:r>
            <w:r w:rsidRPr="009D6022">
              <w:rPr>
                <w:rStyle w:val="s1"/>
                <w:rFonts w:cs="Segoe UI"/>
              </w:rPr>
              <w:t>HTA is to provide policymakers, funders, health professionals and health consumers with the necessary information to understand the benefits and comparative value of health technologies and procedures. This information is then used to inform policy, funding and clinical decisions, and assist with consumer decision-making.</w:t>
            </w:r>
          </w:p>
        </w:tc>
      </w:tr>
      <w:tr w:rsidR="00DB5EBC" w:rsidRPr="00AD74F4" w14:paraId="37C2B78D"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93F4D7E" w14:textId="4F37FCF8" w:rsidR="00F90D5E" w:rsidRPr="00D8736A" w:rsidRDefault="00F90D5E" w:rsidP="00BD34D3">
            <w:pPr>
              <w:jc w:val="left"/>
              <w:rPr>
                <w:rFonts w:cs="Segoe UI"/>
                <w:b w:val="0"/>
              </w:rPr>
            </w:pPr>
            <w:r w:rsidRPr="00D8736A">
              <w:rPr>
                <w:rFonts w:cs="Segoe UI"/>
                <w:b w:val="0"/>
              </w:rPr>
              <w:t xml:space="preserve">Highly </w:t>
            </w:r>
            <w:r w:rsidR="007F02AF">
              <w:rPr>
                <w:rFonts w:cs="Segoe UI"/>
                <w:b w:val="0"/>
              </w:rPr>
              <w:t>s</w:t>
            </w:r>
            <w:r w:rsidRPr="00D8736A">
              <w:rPr>
                <w:rFonts w:cs="Segoe UI"/>
                <w:b w:val="0"/>
              </w:rPr>
              <w:t xml:space="preserve">pecialised </w:t>
            </w:r>
            <w:r w:rsidR="007F02AF">
              <w:rPr>
                <w:rFonts w:cs="Segoe UI"/>
                <w:b w:val="0"/>
              </w:rPr>
              <w:t>t</w:t>
            </w:r>
            <w:r w:rsidRPr="00D8736A">
              <w:rPr>
                <w:rFonts w:cs="Segoe UI"/>
                <w:b w:val="0"/>
              </w:rPr>
              <w:t>herapies (HST</w:t>
            </w:r>
            <w:r w:rsidR="007F02AF">
              <w:rPr>
                <w:rFonts w:cs="Segoe UI"/>
                <w:b w:val="0"/>
              </w:rPr>
              <w:t>s</w:t>
            </w:r>
            <w:r w:rsidRPr="00D8736A">
              <w:rPr>
                <w:rFonts w:cs="Segoe UI"/>
                <w:b w:val="0"/>
              </w:rPr>
              <w:t>)</w:t>
            </w:r>
          </w:p>
        </w:tc>
        <w:tc>
          <w:tcPr>
            <w:tcW w:w="7088" w:type="dxa"/>
          </w:tcPr>
          <w:p w14:paraId="4C8C9BD0" w14:textId="5ECD44AD"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r w:rsidRPr="009D6022">
              <w:rPr>
                <w:rFonts w:cs="Segoe UI"/>
              </w:rPr>
              <w:t xml:space="preserve">A category of therapies created under the </w:t>
            </w:r>
            <w:r w:rsidR="001F42CC">
              <w:rPr>
                <w:rFonts w:cs="Segoe UI"/>
              </w:rPr>
              <w:t xml:space="preserve">2020–25 </w:t>
            </w:r>
            <w:r w:rsidR="000E285A">
              <w:rPr>
                <w:rFonts w:cs="Segoe UI"/>
              </w:rPr>
              <w:t xml:space="preserve">Addendum to the </w:t>
            </w:r>
            <w:r w:rsidRPr="009D6022">
              <w:rPr>
                <w:rFonts w:cs="Segoe UI"/>
              </w:rPr>
              <w:t>National Health Reform Agreement regarding</w:t>
            </w:r>
            <w:r w:rsidRPr="009D6022" w:rsidDel="001A7441">
              <w:rPr>
                <w:rFonts w:cs="Segoe UI"/>
              </w:rPr>
              <w:t xml:space="preserve"> </w:t>
            </w:r>
            <w:r w:rsidRPr="009D6022">
              <w:rPr>
                <w:rFonts w:cs="Segoe UI"/>
              </w:rPr>
              <w:t>HTA</w:t>
            </w:r>
            <w:r w:rsidR="001A7441">
              <w:rPr>
                <w:rFonts w:cs="Segoe UI"/>
              </w:rPr>
              <w:t>s</w:t>
            </w:r>
            <w:r w:rsidRPr="009D6022">
              <w:rPr>
                <w:rFonts w:cs="Segoe UI"/>
              </w:rPr>
              <w:t xml:space="preserve"> and funding.</w:t>
            </w:r>
            <w:r w:rsidRPr="009D6022" w:rsidDel="4C55C6DA">
              <w:rPr>
                <w:rFonts w:cs="Segoe UI"/>
              </w:rPr>
              <w:t xml:space="preserve"> </w:t>
            </w:r>
          </w:p>
          <w:p w14:paraId="49424783" w14:textId="297FA76B" w:rsidR="00F90D5E" w:rsidRPr="009D6022" w:rsidRDefault="00331D61">
            <w:pPr>
              <w:cnfStyle w:val="000000000000" w:firstRow="0" w:lastRow="0" w:firstColumn="0" w:lastColumn="0" w:oddVBand="0" w:evenVBand="0" w:oddHBand="0" w:evenHBand="0" w:firstRowFirstColumn="0" w:firstRowLastColumn="0" w:lastRowFirstColumn="0" w:lastRowLastColumn="0"/>
              <w:rPr>
                <w:rFonts w:cs="Segoe UI"/>
              </w:rPr>
            </w:pPr>
            <w:r>
              <w:rPr>
                <w:rFonts w:cs="Segoe UI"/>
              </w:rPr>
              <w:t xml:space="preserve">Medicines </w:t>
            </w:r>
            <w:r w:rsidRPr="009D6022">
              <w:rPr>
                <w:rFonts w:cs="Segoe UI"/>
              </w:rPr>
              <w:t xml:space="preserve">and biologicals </w:t>
            </w:r>
            <w:r>
              <w:rPr>
                <w:rFonts w:cs="Segoe UI"/>
              </w:rPr>
              <w:t xml:space="preserve">approved by the </w:t>
            </w:r>
            <w:r w:rsidR="00F90D5E" w:rsidRPr="009D6022">
              <w:rPr>
                <w:rFonts w:cs="Segoe UI"/>
              </w:rPr>
              <w:t xml:space="preserve">Therapeutic Goods Administration </w:t>
            </w:r>
            <w:r>
              <w:rPr>
                <w:rFonts w:cs="Segoe UI"/>
              </w:rPr>
              <w:t xml:space="preserve">and </w:t>
            </w:r>
            <w:r w:rsidR="00F90D5E" w:rsidRPr="009D6022">
              <w:rPr>
                <w:rFonts w:cs="Segoe UI"/>
              </w:rPr>
              <w:t xml:space="preserve">delivered in public hospitals where the therapy and its conditions of use are recommended by </w:t>
            </w:r>
            <w:r w:rsidR="001A7441">
              <w:rPr>
                <w:rFonts w:cs="Segoe UI"/>
              </w:rPr>
              <w:t xml:space="preserve">the </w:t>
            </w:r>
            <w:r w:rsidR="00F90D5E" w:rsidRPr="009D6022">
              <w:rPr>
                <w:rFonts w:cs="Segoe UI"/>
              </w:rPr>
              <w:t xml:space="preserve">Medical Services Advisory Committee </w:t>
            </w:r>
            <w:r>
              <w:rPr>
                <w:rFonts w:cs="Segoe UI"/>
              </w:rPr>
              <w:t xml:space="preserve">(MSAC) </w:t>
            </w:r>
            <w:r w:rsidR="00F90D5E" w:rsidRPr="009D6022">
              <w:rPr>
                <w:rFonts w:cs="Segoe UI"/>
              </w:rPr>
              <w:t xml:space="preserve">or </w:t>
            </w:r>
            <w:r w:rsidR="001A7441">
              <w:rPr>
                <w:rFonts w:cs="Segoe UI"/>
              </w:rPr>
              <w:t>the Pharmaceutical Benefits Advisory Committee</w:t>
            </w:r>
            <w:r>
              <w:rPr>
                <w:rFonts w:cs="Segoe UI"/>
              </w:rPr>
              <w:t xml:space="preserve"> (PBAC)</w:t>
            </w:r>
            <w:r w:rsidR="00F90D5E" w:rsidRPr="009D6022">
              <w:rPr>
                <w:rFonts w:cs="Segoe UI"/>
              </w:rPr>
              <w:t xml:space="preserve">; and the average annual treatment cost at the commencement of funding exceeds $200,000 per patient (including ancillary services) as determined by the MSAC or </w:t>
            </w:r>
            <w:r w:rsidR="00DE77FC">
              <w:rPr>
                <w:rFonts w:cs="Segoe UI"/>
              </w:rPr>
              <w:t xml:space="preserve">the </w:t>
            </w:r>
            <w:r w:rsidR="00F90D5E" w:rsidRPr="009D6022">
              <w:rPr>
                <w:rFonts w:cs="Segoe UI"/>
              </w:rPr>
              <w:t>PBAC</w:t>
            </w:r>
            <w:r w:rsidR="00DE77FC">
              <w:rPr>
                <w:rFonts w:cs="Segoe UI"/>
              </w:rPr>
              <w:t>,</w:t>
            </w:r>
            <w:r w:rsidR="00F90D5E" w:rsidRPr="009D6022">
              <w:rPr>
                <w:rFonts w:cs="Segoe UI"/>
              </w:rPr>
              <w:t xml:space="preserve"> with input from the Independent Hospital Pricing Authority; and where the therapy is not otherwise funded through a Commonwealth program or the costs of the therapy would be appropriately funded through a component of an existing pricing classification.</w:t>
            </w:r>
          </w:p>
          <w:p w14:paraId="0EBE5B56" w14:textId="75A277FE"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proofErr w:type="gramStart"/>
            <w:r w:rsidRPr="009D6022">
              <w:rPr>
                <w:rFonts w:cs="Segoe UI"/>
              </w:rPr>
              <w:t>For the purpose of</w:t>
            </w:r>
            <w:proofErr w:type="gramEnd"/>
            <w:r w:rsidRPr="009D6022">
              <w:rPr>
                <w:rFonts w:cs="Segoe UI"/>
              </w:rPr>
              <w:t xml:space="preserve"> the Review, HST is intended to refer to cell and gene therapies irrespective of the arrangement where those therapies are ultimately funded. </w:t>
            </w:r>
          </w:p>
        </w:tc>
      </w:tr>
      <w:tr w:rsidR="00F90D5E" w:rsidRPr="00AD74F4" w14:paraId="460CC874"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440876BC" w14:textId="74E23465" w:rsidR="00F90D5E" w:rsidRPr="00D8736A" w:rsidRDefault="00F90D5E" w:rsidP="00BD34D3">
            <w:pPr>
              <w:jc w:val="left"/>
              <w:rPr>
                <w:rStyle w:val="s1"/>
                <w:rFonts w:cs="Segoe UI"/>
                <w:b w:val="0"/>
                <w:bCs w:val="0"/>
              </w:rPr>
            </w:pPr>
            <w:r w:rsidRPr="00D8736A">
              <w:rPr>
                <w:rFonts w:cs="Segoe UI"/>
                <w:b w:val="0"/>
              </w:rPr>
              <w:t>Incremental cost-effectiveness ratios (ICER)</w:t>
            </w:r>
          </w:p>
        </w:tc>
        <w:tc>
          <w:tcPr>
            <w:tcW w:w="7088" w:type="dxa"/>
          </w:tcPr>
          <w:p w14:paraId="13BFF453" w14:textId="5C31A6B6"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A comparison of two alternative health technologies calculated by dividing the incremental costs from substituting the proposed </w:t>
            </w:r>
            <w:r w:rsidRPr="009D6022">
              <w:rPr>
                <w:rStyle w:val="s1"/>
                <w:rFonts w:cs="Segoe UI"/>
              </w:rPr>
              <w:lastRenderedPageBreak/>
              <w:t xml:space="preserve">health technology </w:t>
            </w:r>
            <w:r w:rsidR="00331D61">
              <w:rPr>
                <w:rStyle w:val="s1"/>
                <w:rFonts w:cs="Segoe UI"/>
              </w:rPr>
              <w:t>with</w:t>
            </w:r>
            <w:r w:rsidR="00331D61" w:rsidRPr="009D6022">
              <w:rPr>
                <w:rStyle w:val="s1"/>
                <w:rFonts w:cs="Segoe UI"/>
              </w:rPr>
              <w:t xml:space="preserve"> </w:t>
            </w:r>
            <w:r w:rsidRPr="009D6022">
              <w:rPr>
                <w:rStyle w:val="s1"/>
                <w:rFonts w:cs="Segoe UI"/>
              </w:rPr>
              <w:t>its main comparator by the incremental health outcomes from th</w:t>
            </w:r>
            <w:r w:rsidR="00331D61">
              <w:rPr>
                <w:rStyle w:val="s1"/>
                <w:rFonts w:cs="Segoe UI"/>
              </w:rPr>
              <w:t>e</w:t>
            </w:r>
            <w:r w:rsidRPr="009D6022">
              <w:rPr>
                <w:rStyle w:val="s1"/>
                <w:rFonts w:cs="Segoe UI"/>
              </w:rPr>
              <w:t xml:space="preserve"> substitution. </w:t>
            </w:r>
          </w:p>
        </w:tc>
      </w:tr>
      <w:tr w:rsidR="00DB5EBC" w:rsidRPr="00AD74F4" w14:paraId="6A5D5BF9"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7372DBBC" w14:textId="250100E7" w:rsidR="00F90D5E" w:rsidRPr="00D8736A" w:rsidRDefault="00F90D5E" w:rsidP="00BD34D3">
            <w:pPr>
              <w:jc w:val="left"/>
              <w:rPr>
                <w:rFonts w:cs="Segoe UI"/>
                <w:b w:val="0"/>
              </w:rPr>
            </w:pPr>
            <w:r w:rsidRPr="00D8736A">
              <w:rPr>
                <w:rFonts w:cs="Segoe UI"/>
                <w:b w:val="0"/>
              </w:rPr>
              <w:lastRenderedPageBreak/>
              <w:t>Life Saving Drugs Program (LSDP)</w:t>
            </w:r>
          </w:p>
        </w:tc>
        <w:tc>
          <w:tcPr>
            <w:tcW w:w="7088" w:type="dxa"/>
          </w:tcPr>
          <w:p w14:paraId="1864B416"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 Commonwealth program that provides fully subsidised access to expensive essential medicines for eligible patients with ultra-rare and life-threatening diseases.</w:t>
            </w:r>
          </w:p>
        </w:tc>
      </w:tr>
      <w:tr w:rsidR="00F90D5E" w:rsidRPr="00AD74F4" w14:paraId="31CE98AB"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1A9E5133" w14:textId="328C5B49" w:rsidR="00F90D5E" w:rsidRPr="00D8736A" w:rsidRDefault="00F90D5E" w:rsidP="00BD34D3">
            <w:pPr>
              <w:jc w:val="left"/>
              <w:rPr>
                <w:rFonts w:cs="Segoe UI"/>
                <w:b w:val="0"/>
              </w:rPr>
            </w:pPr>
            <w:r w:rsidRPr="00D8736A">
              <w:rPr>
                <w:rFonts w:cs="Segoe UI"/>
                <w:b w:val="0"/>
              </w:rPr>
              <w:t>Life Saving Drugs Program Expert Panel (LSDP</w:t>
            </w:r>
            <w:r w:rsidR="0026163B">
              <w:rPr>
                <w:rFonts w:cs="Segoe UI"/>
                <w:b w:val="0"/>
              </w:rPr>
              <w:t xml:space="preserve"> </w:t>
            </w:r>
            <w:r w:rsidRPr="00D8736A">
              <w:rPr>
                <w:rFonts w:cs="Segoe UI"/>
                <w:b w:val="0"/>
              </w:rPr>
              <w:t>EP)</w:t>
            </w:r>
          </w:p>
        </w:tc>
        <w:tc>
          <w:tcPr>
            <w:tcW w:w="7088" w:type="dxa"/>
          </w:tcPr>
          <w:p w14:paraId="469DE107" w14:textId="4D96D04B"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The expert panel that considers applications to list new medicines on the LSDP</w:t>
            </w:r>
            <w:r w:rsidR="00331D61">
              <w:rPr>
                <w:rStyle w:val="s1"/>
                <w:rFonts w:cs="Segoe UI"/>
              </w:rPr>
              <w:t>.</w:t>
            </w:r>
          </w:p>
        </w:tc>
      </w:tr>
      <w:tr w:rsidR="00DB5EBC" w:rsidRPr="00AD74F4" w14:paraId="29002F85"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5DC3AAC4" w14:textId="77777777" w:rsidR="00F90D5E" w:rsidRPr="00D8736A" w:rsidRDefault="00F90D5E" w:rsidP="00BD34D3">
            <w:pPr>
              <w:jc w:val="left"/>
              <w:rPr>
                <w:rFonts w:cs="Segoe UI"/>
                <w:b w:val="0"/>
              </w:rPr>
            </w:pPr>
            <w:r w:rsidRPr="00D8736A">
              <w:rPr>
                <w:rFonts w:cs="Segoe UI"/>
                <w:b w:val="0"/>
              </w:rPr>
              <w:t>Lifecycle of a medicine</w:t>
            </w:r>
          </w:p>
        </w:tc>
        <w:tc>
          <w:tcPr>
            <w:tcW w:w="7088" w:type="dxa"/>
          </w:tcPr>
          <w:p w14:paraId="367B0875" w14:textId="1E637F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Refers to the </w:t>
            </w:r>
            <w:proofErr w:type="gramStart"/>
            <w:r w:rsidRPr="009D6022">
              <w:rPr>
                <w:rStyle w:val="s1"/>
                <w:rFonts w:cs="Segoe UI"/>
              </w:rPr>
              <w:t>time period</w:t>
            </w:r>
            <w:proofErr w:type="gramEnd"/>
            <w:r w:rsidRPr="009D6022">
              <w:rPr>
                <w:rStyle w:val="s1"/>
                <w:rFonts w:cs="Segoe UI"/>
              </w:rPr>
              <w:t xml:space="preserve"> from the development of a medicine, through to being made available to consumers, to termination of market supply.</w:t>
            </w:r>
            <w:r w:rsidR="00453069">
              <w:rPr>
                <w:rStyle w:val="s1"/>
                <w:rFonts w:cs="Segoe UI"/>
              </w:rPr>
              <w:t xml:space="preserve"> </w:t>
            </w:r>
          </w:p>
        </w:tc>
      </w:tr>
      <w:tr w:rsidR="00F90D5E" w:rsidRPr="00AD74F4" w14:paraId="271346BB"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072BD1F1" w14:textId="77777777" w:rsidR="00F90D5E" w:rsidRPr="00D8736A" w:rsidRDefault="00F90D5E" w:rsidP="00BD34D3">
            <w:pPr>
              <w:jc w:val="left"/>
              <w:rPr>
                <w:rStyle w:val="s1"/>
                <w:rFonts w:cs="Segoe UI"/>
                <w:b w:val="0"/>
                <w:bCs w:val="0"/>
              </w:rPr>
            </w:pPr>
            <w:r w:rsidRPr="00D8736A">
              <w:rPr>
                <w:rFonts w:cs="Segoe UI"/>
                <w:b w:val="0"/>
              </w:rPr>
              <w:t>Medical Services Advisory Committee (MSAC)</w:t>
            </w:r>
          </w:p>
        </w:tc>
        <w:tc>
          <w:tcPr>
            <w:tcW w:w="7088" w:type="dxa"/>
          </w:tcPr>
          <w:p w14:paraId="3721CF1C" w14:textId="5F190056"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b/>
              </w:rPr>
            </w:pPr>
            <w:r w:rsidRPr="009D6022">
              <w:rPr>
                <w:rFonts w:cs="Segoe UI"/>
              </w:rPr>
              <w:t>The Medical Services Advisory Committee is an independent, expert non-statutory committee that appraises medical services</w:t>
            </w:r>
            <w:r w:rsidR="00331D61">
              <w:rPr>
                <w:rFonts w:cs="Segoe UI"/>
              </w:rPr>
              <w:t xml:space="preserve"> and </w:t>
            </w:r>
            <w:r w:rsidRPr="009D6022">
              <w:rPr>
                <w:rFonts w:cs="Segoe UI"/>
              </w:rPr>
              <w:t xml:space="preserve">technologies proposed for public funding and provides advice to </w:t>
            </w:r>
            <w:r w:rsidR="00331D61">
              <w:rPr>
                <w:rFonts w:cs="Segoe UI"/>
              </w:rPr>
              <w:t xml:space="preserve">the </w:t>
            </w:r>
            <w:r w:rsidRPr="009D6022">
              <w:rPr>
                <w:rFonts w:cs="Segoe UI"/>
              </w:rPr>
              <w:t>Government on whether a medical service</w:t>
            </w:r>
            <w:r w:rsidR="00331D61">
              <w:rPr>
                <w:rFonts w:cs="Segoe UI"/>
              </w:rPr>
              <w:t xml:space="preserve"> or </w:t>
            </w:r>
            <w:r w:rsidRPr="009D6022">
              <w:rPr>
                <w:rFonts w:cs="Segoe UI"/>
              </w:rPr>
              <w:t xml:space="preserve">technology should be publicly funded. </w:t>
            </w:r>
            <w:r w:rsidR="00331D61">
              <w:rPr>
                <w:rFonts w:cs="Segoe UI"/>
              </w:rPr>
              <w:t>It also amend</w:t>
            </w:r>
            <w:r w:rsidRPr="009D6022">
              <w:rPr>
                <w:rFonts w:cs="Segoe UI"/>
              </w:rPr>
              <w:t>s and reviews</w:t>
            </w:r>
            <w:r w:rsidRPr="009D6022" w:rsidDel="00331D61">
              <w:rPr>
                <w:rFonts w:cs="Segoe UI"/>
              </w:rPr>
              <w:t xml:space="preserve"> </w:t>
            </w:r>
            <w:r w:rsidRPr="009D6022">
              <w:rPr>
                <w:rFonts w:cs="Segoe UI"/>
              </w:rPr>
              <w:t>existing services funded on the Medicare Benefits Schedule or through other programs</w:t>
            </w:r>
            <w:r w:rsidR="00331D61">
              <w:rPr>
                <w:rFonts w:cs="Segoe UI"/>
              </w:rPr>
              <w:t>.</w:t>
            </w:r>
          </w:p>
        </w:tc>
      </w:tr>
      <w:tr w:rsidR="00DB5EBC" w:rsidRPr="00AD74F4" w14:paraId="09F5138C"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298D3A71" w14:textId="77777777" w:rsidR="00F90D5E" w:rsidRPr="00D8736A" w:rsidRDefault="00F90D5E" w:rsidP="00BD34D3">
            <w:pPr>
              <w:jc w:val="left"/>
              <w:rPr>
                <w:rFonts w:cs="Segoe UI"/>
                <w:b w:val="0"/>
              </w:rPr>
            </w:pPr>
            <w:r w:rsidRPr="00D8736A">
              <w:rPr>
                <w:rFonts w:cs="Segoe UI"/>
                <w:b w:val="0"/>
              </w:rPr>
              <w:t>Medicare Benefits Schedule (MBS)</w:t>
            </w:r>
          </w:p>
        </w:tc>
        <w:tc>
          <w:tcPr>
            <w:tcW w:w="7088" w:type="dxa"/>
          </w:tcPr>
          <w:p w14:paraId="2A07D7F8" w14:textId="1BD455EC" w:rsidR="00F90D5E" w:rsidRPr="009D6022" w:rsidRDefault="00F90D5E">
            <w:pPr>
              <w:cnfStyle w:val="000000000000" w:firstRow="0" w:lastRow="0" w:firstColumn="0" w:lastColumn="0" w:oddVBand="0" w:evenVBand="0" w:oddHBand="0" w:evenHBand="0" w:firstRowFirstColumn="0" w:firstRowLastColumn="0" w:lastRowFirstColumn="0" w:lastRowLastColumn="0"/>
              <w:rPr>
                <w:rFonts w:eastAsia="Open Sans" w:cs="Segoe UI"/>
                <w:color w:val="222222"/>
              </w:rPr>
            </w:pPr>
            <w:r w:rsidRPr="009D6022">
              <w:rPr>
                <w:rFonts w:eastAsia="Open Sans" w:cs="Segoe UI"/>
                <w:color w:val="222222"/>
              </w:rPr>
              <w:t>The Medicare Benefits Schedule is a list of health professional services the Australian Government subsidises. MBS items provide patient benefits for a wide range of health services including consultations, diagnostic tests and operations.</w:t>
            </w:r>
          </w:p>
        </w:tc>
      </w:tr>
      <w:tr w:rsidR="00DB5EBC" w:rsidRPr="00AD74F4" w14:paraId="3FBE261C"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2EC4D8BC" w14:textId="77777777" w:rsidR="00F90D5E" w:rsidRPr="00D8736A" w:rsidRDefault="00F90D5E" w:rsidP="00BD34D3">
            <w:pPr>
              <w:jc w:val="left"/>
              <w:rPr>
                <w:rFonts w:cs="Segoe UI"/>
                <w:b w:val="0"/>
              </w:rPr>
            </w:pPr>
            <w:r w:rsidRPr="00D8736A">
              <w:rPr>
                <w:rFonts w:cs="Segoe UI"/>
                <w:b w:val="0"/>
              </w:rPr>
              <w:t>National Immunisation Program (NIP)</w:t>
            </w:r>
          </w:p>
        </w:tc>
        <w:tc>
          <w:tcPr>
            <w:tcW w:w="7088" w:type="dxa"/>
          </w:tcPr>
          <w:p w14:paraId="50BB627D" w14:textId="2DC19FBE" w:rsidR="00F90D5E" w:rsidRPr="009D6022" w:rsidRDefault="00F90D5E">
            <w:pPr>
              <w:cnfStyle w:val="000000100000" w:firstRow="0" w:lastRow="0" w:firstColumn="0" w:lastColumn="0" w:oddVBand="0" w:evenVBand="0" w:oddHBand="1" w:evenHBand="0" w:firstRowFirstColumn="0" w:firstRowLastColumn="0" w:lastRowFirstColumn="0" w:lastRowLastColumn="0"/>
              <w:rPr>
                <w:rFonts w:eastAsia="Open Sans" w:cs="Segoe UI"/>
                <w:color w:val="222222"/>
              </w:rPr>
            </w:pPr>
            <w:r w:rsidRPr="009D6022">
              <w:rPr>
                <w:rFonts w:eastAsia="Open Sans" w:cs="Segoe UI"/>
                <w:color w:val="222222"/>
              </w:rPr>
              <w:t xml:space="preserve">A Commonwealth funding program that provides free vaccines to eligible people to help reduce diseases that can be prevented by vaccination. The immunisations range from birth through to adulthood. The program provides free essential vaccines to protect eligible people against a range of diseases. </w:t>
            </w:r>
          </w:p>
        </w:tc>
      </w:tr>
      <w:tr w:rsidR="00F90D5E" w:rsidRPr="00AD74F4" w14:paraId="092FEF31"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7CC8CBB2" w14:textId="77777777" w:rsidR="00F90D5E" w:rsidRPr="00D8736A" w:rsidRDefault="00F90D5E" w:rsidP="00BD34D3">
            <w:pPr>
              <w:jc w:val="left"/>
              <w:rPr>
                <w:rStyle w:val="s1"/>
                <w:rFonts w:cs="Segoe UI"/>
                <w:b w:val="0"/>
                <w:bCs w:val="0"/>
              </w:rPr>
            </w:pPr>
            <w:r w:rsidRPr="00D8736A">
              <w:rPr>
                <w:rFonts w:cs="Segoe UI"/>
                <w:b w:val="0"/>
              </w:rPr>
              <w:t>Patient</w:t>
            </w:r>
          </w:p>
        </w:tc>
        <w:tc>
          <w:tcPr>
            <w:tcW w:w="7088" w:type="dxa"/>
          </w:tcPr>
          <w:p w14:paraId="3E3B6F77"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An individual awaiting or under medical care and treatment.</w:t>
            </w:r>
          </w:p>
        </w:tc>
      </w:tr>
      <w:tr w:rsidR="00DB5EBC" w:rsidRPr="00AD74F4" w14:paraId="537262DB"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0EF7DECE" w14:textId="335D9B69" w:rsidR="00F90D5E" w:rsidRPr="00D8736A" w:rsidRDefault="00F90D5E" w:rsidP="00BD34D3">
            <w:pPr>
              <w:jc w:val="left"/>
              <w:rPr>
                <w:rStyle w:val="s1"/>
                <w:rFonts w:cs="Segoe UI"/>
                <w:b w:val="0"/>
                <w:bCs w:val="0"/>
              </w:rPr>
            </w:pPr>
            <w:r w:rsidRPr="00D8736A">
              <w:rPr>
                <w:rFonts w:cs="Segoe UI"/>
                <w:b w:val="0"/>
              </w:rPr>
              <w:t>Patient</w:t>
            </w:r>
            <w:r w:rsidR="007A6833">
              <w:rPr>
                <w:rFonts w:cs="Segoe UI"/>
                <w:b w:val="0"/>
              </w:rPr>
              <w:t>-</w:t>
            </w:r>
            <w:r w:rsidRPr="00D8736A">
              <w:rPr>
                <w:rFonts w:cs="Segoe UI"/>
                <w:b w:val="0"/>
              </w:rPr>
              <w:t xml:space="preserve">relevant outcomes </w:t>
            </w:r>
          </w:p>
        </w:tc>
        <w:tc>
          <w:tcPr>
            <w:tcW w:w="7088" w:type="dxa"/>
          </w:tcPr>
          <w:p w14:paraId="562B3A8F" w14:textId="291FCBBC"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An umbrella term covering any health outcome that is perceptible to the patient (the more meaningful to the patient, the greater the patient relevance); any resource provided as part of ongoing clinical management of the patient’s medical condition, disease or disorder; any working time changes; or any intangible outcome. Common examples of patient-relevant outcomes include primary outcomes, quality-of-life or utility measures, and economic outcomes.</w:t>
            </w:r>
          </w:p>
        </w:tc>
      </w:tr>
      <w:tr w:rsidR="00F90D5E" w:rsidRPr="00AD74F4" w14:paraId="561EB514"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66473C67" w14:textId="43D7B4CD" w:rsidR="00F90D5E" w:rsidRPr="00D8736A" w:rsidRDefault="00F90D5E" w:rsidP="00BD34D3">
            <w:pPr>
              <w:jc w:val="left"/>
              <w:rPr>
                <w:rFonts w:cs="Segoe UI"/>
                <w:b w:val="0"/>
              </w:rPr>
            </w:pPr>
            <w:r w:rsidRPr="00D8736A">
              <w:rPr>
                <w:rFonts w:cs="Segoe UI"/>
                <w:b w:val="0"/>
              </w:rPr>
              <w:t xml:space="preserve">PBAC </w:t>
            </w:r>
            <w:r w:rsidR="00F659F0">
              <w:rPr>
                <w:rFonts w:cs="Segoe UI"/>
                <w:b w:val="0"/>
              </w:rPr>
              <w:t>s</w:t>
            </w:r>
            <w:r w:rsidRPr="00D8736A">
              <w:rPr>
                <w:rFonts w:cs="Segoe UI"/>
                <w:b w:val="0"/>
              </w:rPr>
              <w:t xml:space="preserve">ubmission </w:t>
            </w:r>
          </w:p>
        </w:tc>
        <w:tc>
          <w:tcPr>
            <w:tcW w:w="7088" w:type="dxa"/>
          </w:tcPr>
          <w:p w14:paraId="55E53B3F" w14:textId="453FFD94"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The submission that a sponsor/pharmaceutical company must make for the PBAC to consider listing a medicine on the PBS. </w:t>
            </w:r>
          </w:p>
        </w:tc>
      </w:tr>
      <w:tr w:rsidR="00DB5EBC" w:rsidRPr="00AD74F4" w14:paraId="05B2BFBE"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7315AE42" w14:textId="77777777" w:rsidR="00F90D5E" w:rsidRPr="00D8736A" w:rsidRDefault="00F90D5E" w:rsidP="00BD34D3">
            <w:pPr>
              <w:jc w:val="left"/>
              <w:rPr>
                <w:rFonts w:cs="Segoe UI"/>
                <w:b w:val="0"/>
              </w:rPr>
            </w:pPr>
            <w:r w:rsidRPr="00D8736A">
              <w:rPr>
                <w:rFonts w:cs="Segoe UI"/>
                <w:b w:val="0"/>
              </w:rPr>
              <w:t>Person-centred approach</w:t>
            </w:r>
          </w:p>
        </w:tc>
        <w:tc>
          <w:tcPr>
            <w:tcW w:w="7088" w:type="dxa"/>
          </w:tcPr>
          <w:p w14:paraId="21CB0CB2"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Fonts w:cs="Segoe UI"/>
              </w:rPr>
            </w:pPr>
            <w:r w:rsidRPr="009D6022">
              <w:rPr>
                <w:rFonts w:cs="Segoe UI"/>
              </w:rPr>
              <w:t>Refers to an approach that treats each person respectfully as an individual human being, and not just as a condition to be treated. It involves seeking out and understanding what is important to the patient, their families, carers, and support people, fostering trust and establishing mutual respect. It also means working together to share decisions and plan care.</w:t>
            </w:r>
          </w:p>
        </w:tc>
      </w:tr>
      <w:tr w:rsidR="00F90D5E" w:rsidRPr="00AD74F4" w14:paraId="75A21208"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5727C8B" w14:textId="77777777" w:rsidR="00F90D5E" w:rsidRPr="00D8736A" w:rsidRDefault="00F90D5E" w:rsidP="00BD34D3">
            <w:pPr>
              <w:jc w:val="left"/>
              <w:rPr>
                <w:rStyle w:val="s1"/>
                <w:rFonts w:cs="Segoe UI"/>
                <w:b w:val="0"/>
                <w:bCs w:val="0"/>
              </w:rPr>
            </w:pPr>
            <w:r w:rsidRPr="00D8736A">
              <w:rPr>
                <w:rStyle w:val="s1"/>
                <w:rFonts w:cs="Segoe UI"/>
                <w:b w:val="0"/>
              </w:rPr>
              <w:lastRenderedPageBreak/>
              <w:t>Pharmaceutical Benefits Advisory Committee (</w:t>
            </w:r>
            <w:r w:rsidRPr="00D8736A">
              <w:rPr>
                <w:rFonts w:cs="Segoe UI"/>
                <w:b w:val="0"/>
              </w:rPr>
              <w:t>PBAC)</w:t>
            </w:r>
          </w:p>
        </w:tc>
        <w:tc>
          <w:tcPr>
            <w:tcW w:w="7088" w:type="dxa"/>
          </w:tcPr>
          <w:p w14:paraId="0420B3E5" w14:textId="781A1556" w:rsidR="00F90D5E" w:rsidRPr="009D6022" w:rsidRDefault="00F90D5E">
            <w:pPr>
              <w:spacing w:line="259" w:lineRule="auto"/>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The independent, expert advisory committee provided for under the National Health Act 1953. Its primary function is to recommend new medicines for listing on the </w:t>
            </w:r>
            <w:r w:rsidR="007A6833">
              <w:rPr>
                <w:rStyle w:val="s1"/>
                <w:rFonts w:cs="Segoe UI"/>
              </w:rPr>
              <w:t>Pharmaceutical Benefits Scheme</w:t>
            </w:r>
            <w:r w:rsidRPr="009D6022">
              <w:rPr>
                <w:rStyle w:val="s1"/>
                <w:rFonts w:cs="Segoe UI"/>
              </w:rPr>
              <w:t xml:space="preserve"> and vaccines for listing on the National Immunisation Program (NIP). The </w:t>
            </w:r>
            <w:r w:rsidR="007A6833" w:rsidRPr="00D8736A">
              <w:rPr>
                <w:rStyle w:val="s1"/>
                <w:rFonts w:cs="Segoe UI"/>
              </w:rPr>
              <w:t>Pharmaceutical Benefits Advisory Committee</w:t>
            </w:r>
            <w:r w:rsidRPr="009D6022">
              <w:rPr>
                <w:rStyle w:val="s1"/>
                <w:rFonts w:cs="Segoe UI"/>
              </w:rPr>
              <w:t xml:space="preserve"> is appointed by the Australian Government. </w:t>
            </w:r>
          </w:p>
        </w:tc>
      </w:tr>
      <w:tr w:rsidR="00DB5EBC" w:rsidRPr="00AD74F4" w14:paraId="75BF8F0B"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59AC5CC" w14:textId="77777777" w:rsidR="00F90D5E" w:rsidRPr="00D8736A" w:rsidRDefault="00F90D5E" w:rsidP="00BD34D3">
            <w:pPr>
              <w:jc w:val="left"/>
              <w:rPr>
                <w:rStyle w:val="s1"/>
                <w:rFonts w:cs="Segoe UI"/>
                <w:b w:val="0"/>
                <w:bCs w:val="0"/>
              </w:rPr>
            </w:pPr>
            <w:r w:rsidRPr="00D8736A">
              <w:rPr>
                <w:rStyle w:val="s1"/>
                <w:rFonts w:cs="Segoe UI"/>
                <w:b w:val="0"/>
              </w:rPr>
              <w:t>Pharmaceutical Benefits Scheme (</w:t>
            </w:r>
            <w:r w:rsidRPr="00D8736A">
              <w:rPr>
                <w:rFonts w:cs="Segoe UI"/>
                <w:b w:val="0"/>
              </w:rPr>
              <w:t>PBS)</w:t>
            </w:r>
          </w:p>
        </w:tc>
        <w:tc>
          <w:tcPr>
            <w:tcW w:w="7088" w:type="dxa"/>
          </w:tcPr>
          <w:p w14:paraId="7DA31DEA" w14:textId="5A9830CD"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An Australian Government </w:t>
            </w:r>
            <w:r w:rsidR="007A6833">
              <w:rPr>
                <w:rStyle w:val="s1"/>
                <w:rFonts w:cs="Segoe UI"/>
              </w:rPr>
              <w:t>p</w:t>
            </w:r>
            <w:r w:rsidRPr="009D6022">
              <w:rPr>
                <w:rStyle w:val="s1"/>
                <w:rFonts w:cs="Segoe UI"/>
              </w:rPr>
              <w:t xml:space="preserve">rogram </w:t>
            </w:r>
            <w:r w:rsidR="007A6833">
              <w:rPr>
                <w:rStyle w:val="s1"/>
                <w:rFonts w:cs="Segoe UI"/>
              </w:rPr>
              <w:t>that</w:t>
            </w:r>
            <w:r w:rsidRPr="009D6022">
              <w:rPr>
                <w:rStyle w:val="s1"/>
                <w:rFonts w:cs="Segoe UI"/>
              </w:rPr>
              <w:t xml:space="preserve"> provides Australians subsidised access to a wide range of medicines for most medical conditions. </w:t>
            </w:r>
          </w:p>
        </w:tc>
      </w:tr>
      <w:tr w:rsidR="00F90D5E" w:rsidRPr="00AD74F4" w14:paraId="670C7418"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50DF8EB5" w14:textId="419FE50A" w:rsidR="00F90D5E" w:rsidRPr="00D8736A" w:rsidRDefault="00F90D5E" w:rsidP="00BD34D3">
            <w:pPr>
              <w:jc w:val="left"/>
              <w:rPr>
                <w:rFonts w:cs="Segoe UI"/>
                <w:b w:val="0"/>
              </w:rPr>
            </w:pPr>
            <w:r w:rsidRPr="00D8736A">
              <w:rPr>
                <w:rFonts w:cs="Segoe UI"/>
                <w:b w:val="0"/>
              </w:rPr>
              <w:t>Post</w:t>
            </w:r>
            <w:r w:rsidR="00F659F0">
              <w:rPr>
                <w:rFonts w:cs="Segoe UI"/>
                <w:b w:val="0"/>
              </w:rPr>
              <w:t>-</w:t>
            </w:r>
            <w:r w:rsidRPr="00D8736A">
              <w:rPr>
                <w:rFonts w:cs="Segoe UI"/>
                <w:b w:val="0"/>
              </w:rPr>
              <w:t>market review</w:t>
            </w:r>
            <w:r w:rsidR="007A6833">
              <w:rPr>
                <w:rFonts w:cs="Segoe UI"/>
                <w:b w:val="0"/>
              </w:rPr>
              <w:t xml:space="preserve"> (PMR)</w:t>
            </w:r>
          </w:p>
        </w:tc>
        <w:tc>
          <w:tcPr>
            <w:tcW w:w="7088" w:type="dxa"/>
          </w:tcPr>
          <w:p w14:paraId="2B729D62" w14:textId="1BB171DD"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A review that is undertaken at a certain period after a health technology is subsidised. Post-market reviews may be initiated at any time, but the main drivers for a review are recommendations by the </w:t>
            </w:r>
            <w:r w:rsidR="007A6833" w:rsidRPr="00D8736A">
              <w:rPr>
                <w:rStyle w:val="s1"/>
                <w:rFonts w:cs="Segoe UI"/>
              </w:rPr>
              <w:t>Pharmaceutical Benefits Advisory Committee</w:t>
            </w:r>
            <w:r w:rsidRPr="009D6022">
              <w:rPr>
                <w:rStyle w:val="s1"/>
                <w:rFonts w:cs="Segoe UI"/>
              </w:rPr>
              <w:t xml:space="preserve"> or issues identified through the routine monitoring</w:t>
            </w:r>
            <w:r w:rsidR="001B46C4">
              <w:rPr>
                <w:rStyle w:val="s1"/>
                <w:rFonts w:cs="Segoe UI"/>
              </w:rPr>
              <w:t xml:space="preserve"> </w:t>
            </w:r>
            <w:r w:rsidR="007A6833">
              <w:rPr>
                <w:rStyle w:val="s1"/>
                <w:rFonts w:cs="Segoe UI"/>
              </w:rPr>
              <w:t>by</w:t>
            </w:r>
            <w:r w:rsidR="001B46C4">
              <w:rPr>
                <w:rStyle w:val="s1"/>
                <w:rFonts w:cs="Segoe UI"/>
              </w:rPr>
              <w:t xml:space="preserve"> the </w:t>
            </w:r>
            <w:r w:rsidR="007A6833" w:rsidRPr="0073146B">
              <w:rPr>
                <w:rFonts w:eastAsia="Times New Roman" w:cs="Segoe UI"/>
                <w:color w:val="000000"/>
                <w:lang w:eastAsia="en-AU"/>
              </w:rPr>
              <w:t>Drug Utilisation Sub-Committee</w:t>
            </w:r>
            <w:r w:rsidRPr="009D6022">
              <w:rPr>
                <w:rStyle w:val="s1"/>
                <w:rFonts w:cs="Segoe UI"/>
              </w:rPr>
              <w:t xml:space="preserve">. Routine monitoring occurs at 24 months post-listing for new major listings, and changes to existing listings of medicines on the </w:t>
            </w:r>
            <w:r w:rsidR="007A6833" w:rsidRPr="00D8736A">
              <w:rPr>
                <w:rStyle w:val="s1"/>
                <w:rFonts w:cs="Segoe UI"/>
              </w:rPr>
              <w:t xml:space="preserve">Pharmaceutical Benefits Scheme </w:t>
            </w:r>
            <w:r w:rsidR="007A6833">
              <w:rPr>
                <w:rStyle w:val="s1"/>
                <w:rFonts w:cs="Segoe UI"/>
              </w:rPr>
              <w:t>(</w:t>
            </w:r>
            <w:r w:rsidRPr="009D6022">
              <w:rPr>
                <w:rStyle w:val="s1"/>
                <w:rFonts w:cs="Segoe UI"/>
              </w:rPr>
              <w:t>PBS</w:t>
            </w:r>
            <w:r w:rsidR="007A6833">
              <w:rPr>
                <w:rStyle w:val="s1"/>
                <w:rFonts w:cs="Segoe UI"/>
              </w:rPr>
              <w:t>)</w:t>
            </w:r>
            <w:r w:rsidRPr="009D6022">
              <w:rPr>
                <w:rStyle w:val="s1"/>
                <w:rFonts w:cs="Segoe UI"/>
              </w:rPr>
              <w:t xml:space="preserve">. It is important for the Government to continue to monitor clinical </w:t>
            </w:r>
            <w:r w:rsidR="00BB34D8">
              <w:rPr>
                <w:rStyle w:val="s1"/>
                <w:rFonts w:cs="Segoe UI"/>
              </w:rPr>
              <w:t xml:space="preserve">effectiveness </w:t>
            </w:r>
            <w:r w:rsidRPr="009D6022">
              <w:rPr>
                <w:rStyle w:val="s1"/>
                <w:rFonts w:cs="Segoe UI"/>
              </w:rPr>
              <w:t xml:space="preserve">and cost-effectiveness of medicines after they have been listed on the PBS. </w:t>
            </w:r>
            <w:r w:rsidRPr="6CC68A72">
              <w:rPr>
                <w:rStyle w:val="s1"/>
                <w:rFonts w:cs="Segoe UI"/>
              </w:rPr>
              <w:t xml:space="preserve">Reviews of </w:t>
            </w:r>
            <w:r w:rsidR="239C770A" w:rsidRPr="6CC68A72">
              <w:rPr>
                <w:rStyle w:val="s1"/>
                <w:rFonts w:cs="Segoe UI"/>
              </w:rPr>
              <w:t>cost-</w:t>
            </w:r>
            <w:r w:rsidRPr="009D6022">
              <w:rPr>
                <w:rStyle w:val="s1"/>
                <w:rFonts w:cs="Segoe UI"/>
              </w:rPr>
              <w:t>effectiveness ensure that the cost of medicines to the PBS appropriately reflects the health outcomes expected and subsequently produced. These reviews are to ensure the quality use of PBS</w:t>
            </w:r>
            <w:r w:rsidR="007A6833">
              <w:rPr>
                <w:rStyle w:val="s1"/>
                <w:rFonts w:cs="Segoe UI"/>
              </w:rPr>
              <w:t>-</w:t>
            </w:r>
            <w:r w:rsidRPr="009D6022">
              <w:rPr>
                <w:rStyle w:val="s1"/>
                <w:rFonts w:cs="Segoe UI"/>
              </w:rPr>
              <w:t xml:space="preserve">listed medicines and the ongoing sustainability of the PBS. </w:t>
            </w:r>
          </w:p>
        </w:tc>
      </w:tr>
      <w:tr w:rsidR="00DB5EBC" w:rsidRPr="00AD74F4" w14:paraId="72AE9B81"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3CE9F19" w14:textId="3FD29D7D" w:rsidR="00F90D5E" w:rsidRPr="00D8736A" w:rsidRDefault="00F90D5E" w:rsidP="00BD34D3">
            <w:pPr>
              <w:jc w:val="left"/>
              <w:rPr>
                <w:rStyle w:val="s1"/>
                <w:rFonts w:cs="Segoe UI"/>
                <w:b w:val="0"/>
                <w:bCs w:val="0"/>
              </w:rPr>
            </w:pPr>
            <w:r w:rsidRPr="00D8736A">
              <w:rPr>
                <w:rFonts w:cs="Segoe UI"/>
                <w:b w:val="0"/>
              </w:rPr>
              <w:t xml:space="preserve">Quality use of medicines </w:t>
            </w:r>
          </w:p>
        </w:tc>
        <w:tc>
          <w:tcPr>
            <w:tcW w:w="7088" w:type="dxa"/>
          </w:tcPr>
          <w:p w14:paraId="08BA6EE2"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A policy objective that seeks to ensure that medicines are used only when needed, choosing suitable medicines and</w:t>
            </w:r>
          </w:p>
          <w:p w14:paraId="733C7DAF"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using medicines safely.</w:t>
            </w:r>
          </w:p>
        </w:tc>
      </w:tr>
      <w:tr w:rsidR="00F90D5E" w:rsidRPr="00AD74F4" w14:paraId="1D6C3179"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2F90AAA9" w14:textId="77777777" w:rsidR="00F90D5E" w:rsidRPr="00D8736A" w:rsidRDefault="00F90D5E" w:rsidP="00BD34D3">
            <w:pPr>
              <w:jc w:val="left"/>
              <w:rPr>
                <w:rStyle w:val="s1"/>
                <w:rFonts w:cs="Segoe UI"/>
                <w:b w:val="0"/>
                <w:bCs w:val="0"/>
              </w:rPr>
            </w:pPr>
            <w:r w:rsidRPr="00D8736A">
              <w:rPr>
                <w:rFonts w:cs="Segoe UI"/>
                <w:b w:val="0"/>
              </w:rPr>
              <w:t>Randomised controlled trial (RCT)</w:t>
            </w:r>
          </w:p>
        </w:tc>
        <w:tc>
          <w:tcPr>
            <w:tcW w:w="7088" w:type="dxa"/>
          </w:tcPr>
          <w:p w14:paraId="5BEFE68A"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An experiment in which investigators randomly allocate eligible people into intervention groups to receive or not to receive one or more interventions that are being compared. The results are assessed by comparing outcomes in the treatment and control groups.</w:t>
            </w:r>
          </w:p>
        </w:tc>
      </w:tr>
      <w:tr w:rsidR="00DB5EBC" w:rsidRPr="00AD74F4" w14:paraId="5D162BE1"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AB2B3AA" w14:textId="77777777" w:rsidR="00F90D5E" w:rsidRPr="00D8736A" w:rsidRDefault="00F90D5E" w:rsidP="00BD34D3">
            <w:pPr>
              <w:jc w:val="left"/>
              <w:rPr>
                <w:rFonts w:cs="Segoe UI"/>
                <w:b w:val="0"/>
              </w:rPr>
            </w:pPr>
            <w:r w:rsidRPr="00D8736A">
              <w:rPr>
                <w:rFonts w:cs="Segoe UI"/>
                <w:b w:val="0"/>
              </w:rPr>
              <w:t>Rare disease</w:t>
            </w:r>
          </w:p>
        </w:tc>
        <w:tc>
          <w:tcPr>
            <w:tcW w:w="7088" w:type="dxa"/>
          </w:tcPr>
          <w:p w14:paraId="14A37041" w14:textId="6A8233CA" w:rsidR="00F90D5E" w:rsidRPr="009D6022" w:rsidRDefault="00F90D5E">
            <w:pPr>
              <w:cnfStyle w:val="000000100000" w:firstRow="0" w:lastRow="0" w:firstColumn="0" w:lastColumn="0" w:oddVBand="0" w:evenVBand="0" w:oddHBand="1" w:evenHBand="0" w:firstRowFirstColumn="0" w:firstRowLastColumn="0" w:lastRowFirstColumn="0" w:lastRowLastColumn="0"/>
              <w:rPr>
                <w:rFonts w:cs="Segoe UI"/>
              </w:rPr>
            </w:pPr>
            <w:r w:rsidRPr="009D6022">
              <w:rPr>
                <w:rFonts w:cs="Segoe UI"/>
              </w:rPr>
              <w:t xml:space="preserve">A disease that affects </w:t>
            </w:r>
            <w:r w:rsidR="00FA396E">
              <w:rPr>
                <w:rFonts w:cs="Segoe UI"/>
              </w:rPr>
              <w:t xml:space="preserve">fewer </w:t>
            </w:r>
            <w:r w:rsidRPr="009D6022">
              <w:rPr>
                <w:rFonts w:cs="Segoe UI"/>
              </w:rPr>
              <w:t xml:space="preserve">than </w:t>
            </w:r>
            <w:r w:rsidR="00FA396E">
              <w:rPr>
                <w:rFonts w:cs="Segoe UI"/>
              </w:rPr>
              <w:t>5</w:t>
            </w:r>
            <w:r w:rsidRPr="009D6022">
              <w:rPr>
                <w:rFonts w:cs="Segoe UI"/>
              </w:rPr>
              <w:t xml:space="preserve"> in 10,000 people. </w:t>
            </w:r>
          </w:p>
        </w:tc>
      </w:tr>
      <w:tr w:rsidR="00F90D5E" w:rsidRPr="00AD74F4" w14:paraId="178EB89D"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369E2E68" w14:textId="77777777" w:rsidR="00F90D5E" w:rsidRPr="00D8736A" w:rsidRDefault="00F90D5E" w:rsidP="00BD34D3">
            <w:pPr>
              <w:jc w:val="left"/>
              <w:rPr>
                <w:rFonts w:cs="Segoe UI"/>
                <w:b w:val="0"/>
              </w:rPr>
            </w:pPr>
            <w:r w:rsidRPr="00D8736A">
              <w:rPr>
                <w:rFonts w:cs="Segoe UI"/>
                <w:b w:val="0"/>
              </w:rPr>
              <w:t>Reference pricing</w:t>
            </w:r>
          </w:p>
        </w:tc>
        <w:tc>
          <w:tcPr>
            <w:tcW w:w="7088" w:type="dxa"/>
          </w:tcPr>
          <w:p w14:paraId="6D67132F" w14:textId="6185E160"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r w:rsidRPr="009D6022">
              <w:rPr>
                <w:rFonts w:cs="Segoe UI"/>
              </w:rPr>
              <w:t xml:space="preserve">Reference pricing is an Australian Government pricing policy where drugs that </w:t>
            </w:r>
            <w:proofErr w:type="gramStart"/>
            <w:r w:rsidRPr="009D6022">
              <w:rPr>
                <w:rFonts w:cs="Segoe UI"/>
              </w:rPr>
              <w:t>are considered to be</w:t>
            </w:r>
            <w:proofErr w:type="gramEnd"/>
            <w:r w:rsidRPr="009D6022">
              <w:rPr>
                <w:rFonts w:cs="Segoe UI"/>
              </w:rPr>
              <w:t xml:space="preserve"> of similar safety and efficacy for pricing purposes are linked and recommended by the PBAC as </w:t>
            </w:r>
            <w:r w:rsidR="00DE77FC">
              <w:rPr>
                <w:rFonts w:cs="Segoe UI"/>
              </w:rPr>
              <w:t>‘</w:t>
            </w:r>
            <w:r w:rsidRPr="009D6022">
              <w:rPr>
                <w:rFonts w:cs="Segoe UI"/>
              </w:rPr>
              <w:t>cost-minimised</w:t>
            </w:r>
            <w:r w:rsidR="00DE77FC">
              <w:rPr>
                <w:rFonts w:cs="Segoe UI"/>
              </w:rPr>
              <w:t>’</w:t>
            </w:r>
            <w:r w:rsidRPr="009D6022">
              <w:rPr>
                <w:rFonts w:cs="Segoe UI"/>
              </w:rPr>
              <w:t xml:space="preserve">. </w:t>
            </w:r>
          </w:p>
          <w:p w14:paraId="2657F640" w14:textId="77777777"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r w:rsidRPr="009D6022">
              <w:rPr>
                <w:rFonts w:cs="Segoe UI"/>
              </w:rPr>
              <w:t>The lowest priced drug (or brand) sets a benchmark price for either the other brands of that drug, or the other drugs within the same sub-group of therapeutically related drugs.</w:t>
            </w:r>
          </w:p>
        </w:tc>
      </w:tr>
      <w:tr w:rsidR="00DB5EBC" w:rsidRPr="00AD74F4" w14:paraId="44484238"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94D1DD3" w14:textId="77777777" w:rsidR="00F90D5E" w:rsidRPr="00D8736A" w:rsidRDefault="00F90D5E" w:rsidP="00BD34D3">
            <w:pPr>
              <w:jc w:val="left"/>
              <w:rPr>
                <w:rStyle w:val="s1"/>
                <w:rFonts w:cs="Segoe UI"/>
                <w:b w:val="0"/>
                <w:bCs w:val="0"/>
              </w:rPr>
            </w:pPr>
            <w:r w:rsidRPr="00D8736A">
              <w:rPr>
                <w:rFonts w:cs="Segoe UI"/>
                <w:b w:val="0"/>
              </w:rPr>
              <w:t>Safety</w:t>
            </w:r>
          </w:p>
        </w:tc>
        <w:tc>
          <w:tcPr>
            <w:tcW w:w="7088" w:type="dxa"/>
          </w:tcPr>
          <w:p w14:paraId="7E7E09BB" w14:textId="6823FAE9"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The inverse of toxicity (harm to health caused by a health technology considering the entire profile of adverse reactions and adverse outcomes). Comparative safety is the safety of one health technology compared to an alternative health technology. </w:t>
            </w:r>
            <w:r w:rsidRPr="009D6022">
              <w:rPr>
                <w:rStyle w:val="s1"/>
                <w:rFonts w:cs="Segoe UI"/>
              </w:rPr>
              <w:lastRenderedPageBreak/>
              <w:t xml:space="preserve">Incremental safety is the absolute difference between the safety profiles of alternate health technologies for the same medical condition, disease or disorder. </w:t>
            </w:r>
          </w:p>
        </w:tc>
      </w:tr>
      <w:tr w:rsidR="00F90D5E" w:rsidRPr="00AD74F4" w14:paraId="2FA9C328"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23213EC7" w14:textId="77777777" w:rsidR="00F90D5E" w:rsidRPr="00D8736A" w:rsidRDefault="00F90D5E" w:rsidP="00BD34D3">
            <w:pPr>
              <w:jc w:val="left"/>
              <w:rPr>
                <w:rStyle w:val="s1"/>
                <w:rFonts w:cs="Segoe UI"/>
                <w:b w:val="0"/>
                <w:bCs w:val="0"/>
              </w:rPr>
            </w:pPr>
            <w:r w:rsidRPr="00D8736A">
              <w:rPr>
                <w:rFonts w:cs="Segoe UI"/>
                <w:b w:val="0"/>
              </w:rPr>
              <w:lastRenderedPageBreak/>
              <w:t>Standing Committee on Health, Aged Care and Sport (Standing Committee)</w:t>
            </w:r>
          </w:p>
        </w:tc>
        <w:tc>
          <w:tcPr>
            <w:tcW w:w="7088" w:type="dxa"/>
          </w:tcPr>
          <w:p w14:paraId="4D72295D" w14:textId="43994401"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Fonts w:cs="Segoe UI"/>
              </w:rPr>
              <w:t xml:space="preserve">A parliamentary committee that investigates specific matters of policy or government administration or performance in the areas of </w:t>
            </w:r>
            <w:r w:rsidR="007A6833">
              <w:rPr>
                <w:rFonts w:cs="Segoe UI"/>
              </w:rPr>
              <w:t>h</w:t>
            </w:r>
            <w:r w:rsidRPr="009D6022">
              <w:rPr>
                <w:rFonts w:cs="Segoe UI"/>
              </w:rPr>
              <w:t xml:space="preserve">ealth, </w:t>
            </w:r>
            <w:r w:rsidR="007A6833">
              <w:rPr>
                <w:rFonts w:cs="Segoe UI"/>
              </w:rPr>
              <w:t>a</w:t>
            </w:r>
            <w:r w:rsidRPr="009D6022">
              <w:rPr>
                <w:rFonts w:cs="Segoe UI"/>
              </w:rPr>
              <w:t xml:space="preserve">ged </w:t>
            </w:r>
            <w:r w:rsidR="007A6833">
              <w:rPr>
                <w:rFonts w:cs="Segoe UI"/>
              </w:rPr>
              <w:t>c</w:t>
            </w:r>
            <w:r w:rsidRPr="009D6022">
              <w:rPr>
                <w:rFonts w:cs="Segoe UI"/>
              </w:rPr>
              <w:t xml:space="preserve">are and </w:t>
            </w:r>
            <w:r w:rsidR="007A6833">
              <w:rPr>
                <w:rFonts w:cs="Segoe UI"/>
              </w:rPr>
              <w:t>s</w:t>
            </w:r>
            <w:r w:rsidRPr="009D6022">
              <w:rPr>
                <w:rFonts w:cs="Segoe UI"/>
              </w:rPr>
              <w:t xml:space="preserve">port. </w:t>
            </w:r>
          </w:p>
        </w:tc>
      </w:tr>
      <w:tr w:rsidR="00DB5EBC" w:rsidRPr="00AD74F4" w14:paraId="4A787C48"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1EB09E5D" w14:textId="77777777" w:rsidR="00F90D5E" w:rsidRPr="007A6833" w:rsidRDefault="00F90D5E" w:rsidP="00BD34D3">
            <w:pPr>
              <w:jc w:val="left"/>
              <w:rPr>
                <w:rFonts w:cs="Segoe UI"/>
                <w:b w:val="0"/>
                <w:bCs w:val="0"/>
                <w:highlight w:val="cyan"/>
              </w:rPr>
            </w:pPr>
            <w:r w:rsidRPr="00B61FDC">
              <w:rPr>
                <w:rFonts w:cs="Segoe UI"/>
                <w:b w:val="0"/>
                <w:bCs w:val="0"/>
              </w:rPr>
              <w:t xml:space="preserve">Strategic Agreement </w:t>
            </w:r>
          </w:p>
        </w:tc>
        <w:tc>
          <w:tcPr>
            <w:tcW w:w="7088" w:type="dxa"/>
          </w:tcPr>
          <w:p w14:paraId="78B81E8A" w14:textId="5A6DF130" w:rsidR="00F90D5E" w:rsidRPr="009D6022" w:rsidRDefault="00F90D5E">
            <w:pPr>
              <w:cnfStyle w:val="000000100000" w:firstRow="0" w:lastRow="0" w:firstColumn="0" w:lastColumn="0" w:oddVBand="0" w:evenVBand="0" w:oddHBand="1" w:evenHBand="0" w:firstRowFirstColumn="0" w:firstRowLastColumn="0" w:lastRowFirstColumn="0" w:lastRowLastColumn="0"/>
              <w:rPr>
                <w:rFonts w:eastAsia="Open Sans" w:cs="Segoe UI"/>
                <w:color w:val="222222"/>
              </w:rPr>
            </w:pPr>
            <w:r w:rsidRPr="009D6022">
              <w:rPr>
                <w:rFonts w:eastAsia="Open Sans" w:cs="Segoe UI"/>
                <w:color w:val="222222"/>
              </w:rPr>
              <w:t xml:space="preserve">An agreement between the Commonwealth and Medicines Australia. The current Strategic Agreement runs from 2022 to 2027. </w:t>
            </w:r>
            <w:r w:rsidR="007A6833">
              <w:rPr>
                <w:rFonts w:eastAsia="Open Sans" w:cs="Segoe UI"/>
                <w:color w:val="222222"/>
              </w:rPr>
              <w:t>It</w:t>
            </w:r>
            <w:r w:rsidRPr="009D6022">
              <w:rPr>
                <w:rFonts w:eastAsia="Open Sans" w:cs="Segoe UI"/>
                <w:color w:val="222222"/>
              </w:rPr>
              <w:t xml:space="preserve"> contains a comprehensive package of reforms to ensure that Australians continue to gain access to breakthrough new medicines as early as possible. The</w:t>
            </w:r>
            <w:r w:rsidRPr="009D6022" w:rsidDel="00391BF2">
              <w:rPr>
                <w:rFonts w:eastAsia="Open Sans" w:cs="Segoe UI"/>
                <w:color w:val="222222"/>
              </w:rPr>
              <w:t xml:space="preserve"> </w:t>
            </w:r>
            <w:r w:rsidRPr="009D6022">
              <w:rPr>
                <w:rFonts w:eastAsia="Open Sans" w:cs="Segoe UI"/>
                <w:color w:val="222222"/>
              </w:rPr>
              <w:t xml:space="preserve">Review is one of the commitments under the Strategic Agreement. </w:t>
            </w:r>
          </w:p>
        </w:tc>
      </w:tr>
      <w:tr w:rsidR="00F90D5E" w:rsidRPr="00AD74F4" w14:paraId="032993FA"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0B44C295" w14:textId="46CA9548" w:rsidR="00F90D5E" w:rsidRPr="00D8736A" w:rsidRDefault="00F90D5E" w:rsidP="00BD34D3">
            <w:pPr>
              <w:jc w:val="left"/>
              <w:rPr>
                <w:rStyle w:val="s1"/>
                <w:rFonts w:cs="Segoe UI"/>
                <w:b w:val="0"/>
                <w:bCs w:val="0"/>
              </w:rPr>
            </w:pPr>
            <w:r w:rsidRPr="00B61FDC">
              <w:rPr>
                <w:rFonts w:cs="Segoe UI"/>
                <w:b w:val="0"/>
                <w:bCs w:val="0"/>
                <w:iCs/>
              </w:rPr>
              <w:t xml:space="preserve">The </w:t>
            </w:r>
            <w:r w:rsidR="00C34588" w:rsidRPr="00B61FDC">
              <w:rPr>
                <w:rFonts w:cs="Segoe UI"/>
                <w:b w:val="0"/>
                <w:bCs w:val="0"/>
                <w:iCs/>
              </w:rPr>
              <w:t>New Frontier</w:t>
            </w:r>
            <w:r w:rsidR="00C34588">
              <w:rPr>
                <w:rFonts w:cs="Segoe UI"/>
                <w:b w:val="0"/>
              </w:rPr>
              <w:t xml:space="preserve"> </w:t>
            </w:r>
            <w:r w:rsidR="00F33A9E">
              <w:rPr>
                <w:rFonts w:cs="Segoe UI"/>
                <w:b w:val="0"/>
              </w:rPr>
              <w:t>i</w:t>
            </w:r>
            <w:r w:rsidRPr="00D8736A">
              <w:rPr>
                <w:rFonts w:cs="Segoe UI"/>
                <w:b w:val="0"/>
              </w:rPr>
              <w:t>nquiry</w:t>
            </w:r>
          </w:p>
        </w:tc>
        <w:tc>
          <w:tcPr>
            <w:tcW w:w="7088" w:type="dxa"/>
          </w:tcPr>
          <w:p w14:paraId="67E97B3C" w14:textId="64CDB2A3"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Fonts w:cs="Segoe UI"/>
              </w:rPr>
              <w:t>The House of Representatives Standing Committee on Health, Aged Care and Sport inquiry into the approval processes for new drugs and novel medical technologies in Australia. Th</w:t>
            </w:r>
            <w:r w:rsidR="00C34588">
              <w:rPr>
                <w:rFonts w:cs="Segoe UI"/>
              </w:rPr>
              <w:t>is i</w:t>
            </w:r>
            <w:r w:rsidRPr="009D6022">
              <w:rPr>
                <w:rFonts w:cs="Segoe UI"/>
              </w:rPr>
              <w:t>nquiry commenced following a referral on 14 August 2020 from the then Minister for Health. Th</w:t>
            </w:r>
            <w:r w:rsidR="00C34588">
              <w:rPr>
                <w:rFonts w:cs="Segoe UI"/>
              </w:rPr>
              <w:t>is</w:t>
            </w:r>
            <w:r w:rsidRPr="009D6022">
              <w:rPr>
                <w:rFonts w:cs="Segoe UI"/>
              </w:rPr>
              <w:t xml:space="preserve"> </w:t>
            </w:r>
            <w:r w:rsidR="00C34588">
              <w:rPr>
                <w:rFonts w:cs="Segoe UI"/>
              </w:rPr>
              <w:t>i</w:t>
            </w:r>
            <w:r w:rsidRPr="009D6022">
              <w:rPr>
                <w:rFonts w:cs="Segoe UI"/>
              </w:rPr>
              <w:t xml:space="preserve">nquiry </w:t>
            </w:r>
            <w:r w:rsidR="00C34588">
              <w:rPr>
                <w:rFonts w:cs="Segoe UI"/>
              </w:rPr>
              <w:t xml:space="preserve">has been occasionally referred to colloquially in some </w:t>
            </w:r>
            <w:r w:rsidR="00284698">
              <w:rPr>
                <w:rFonts w:cs="Segoe UI"/>
              </w:rPr>
              <w:t xml:space="preserve">external </w:t>
            </w:r>
            <w:r w:rsidR="00C34588">
              <w:rPr>
                <w:rFonts w:cs="Segoe UI"/>
              </w:rPr>
              <w:t xml:space="preserve">publications </w:t>
            </w:r>
            <w:r w:rsidRPr="009D6022">
              <w:rPr>
                <w:rFonts w:cs="Segoe UI"/>
              </w:rPr>
              <w:t xml:space="preserve">as the </w:t>
            </w:r>
            <w:r w:rsidR="007A6833">
              <w:rPr>
                <w:rFonts w:cs="Segoe UI"/>
              </w:rPr>
              <w:t>‘</w:t>
            </w:r>
            <w:r w:rsidRPr="009D6022">
              <w:rPr>
                <w:rFonts w:cs="Segoe UI"/>
              </w:rPr>
              <w:t>Zimmerman Inquiry</w:t>
            </w:r>
            <w:r w:rsidR="007A6833">
              <w:rPr>
                <w:rFonts w:cs="Segoe UI"/>
              </w:rPr>
              <w:t>’</w:t>
            </w:r>
            <w:r w:rsidRPr="009D6022">
              <w:rPr>
                <w:rFonts w:cs="Segoe UI"/>
              </w:rPr>
              <w:t>.</w:t>
            </w:r>
          </w:p>
        </w:tc>
      </w:tr>
      <w:tr w:rsidR="00DB5EBC" w:rsidRPr="00AD74F4" w14:paraId="3E950FE1"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D1E95DD" w14:textId="77777777" w:rsidR="00F90D5E" w:rsidRPr="00D8736A" w:rsidRDefault="00F90D5E" w:rsidP="00BD34D3">
            <w:pPr>
              <w:jc w:val="left"/>
              <w:rPr>
                <w:rFonts w:cs="Segoe UI"/>
                <w:b w:val="0"/>
              </w:rPr>
            </w:pPr>
            <w:r w:rsidRPr="00D8736A">
              <w:rPr>
                <w:rFonts w:cs="Segoe UI"/>
                <w:b w:val="0"/>
              </w:rPr>
              <w:t>Therapeutic Goods Administration (TGA)</w:t>
            </w:r>
          </w:p>
        </w:tc>
        <w:tc>
          <w:tcPr>
            <w:tcW w:w="7088" w:type="dxa"/>
          </w:tcPr>
          <w:p w14:paraId="49683A65" w14:textId="424AFBFE"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The part of the Australian Government Department of Health and Aged Care that regulates the quality, safety and efficacy of therapeutic goods available within Australia. </w:t>
            </w:r>
          </w:p>
        </w:tc>
      </w:tr>
      <w:tr w:rsidR="00F90D5E" w:rsidRPr="00AD74F4" w14:paraId="17E667FC"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778F06BF" w14:textId="0169FB3D" w:rsidR="00F90D5E" w:rsidRPr="00D8736A" w:rsidRDefault="00F90D5E" w:rsidP="00BD34D3">
            <w:pPr>
              <w:jc w:val="left"/>
              <w:rPr>
                <w:rFonts w:cs="Segoe UI"/>
                <w:b w:val="0"/>
              </w:rPr>
            </w:pPr>
            <w:r w:rsidRPr="00D8736A">
              <w:rPr>
                <w:rFonts w:cs="Segoe UI"/>
                <w:b w:val="0"/>
              </w:rPr>
              <w:t>Ultra-rare disease</w:t>
            </w:r>
          </w:p>
        </w:tc>
        <w:tc>
          <w:tcPr>
            <w:tcW w:w="7088" w:type="dxa"/>
          </w:tcPr>
          <w:p w14:paraId="4502CFB0" w14:textId="76F4B79B" w:rsidR="00F90D5E" w:rsidRPr="009D6022" w:rsidRDefault="00F90D5E">
            <w:pPr>
              <w:cnfStyle w:val="000000000000" w:firstRow="0" w:lastRow="0" w:firstColumn="0" w:lastColumn="0" w:oddVBand="0" w:evenVBand="0" w:oddHBand="0" w:evenHBand="0" w:firstRowFirstColumn="0" w:firstRowLastColumn="0" w:lastRowFirstColumn="0" w:lastRowLastColumn="0"/>
              <w:rPr>
                <w:rFonts w:cs="Segoe UI"/>
              </w:rPr>
            </w:pPr>
            <w:r w:rsidRPr="009D6022">
              <w:rPr>
                <w:rFonts w:cs="Segoe UI"/>
              </w:rPr>
              <w:t xml:space="preserve">A disease that affects </w:t>
            </w:r>
            <w:r w:rsidR="002602EF">
              <w:rPr>
                <w:rFonts w:cs="Segoe UI"/>
              </w:rPr>
              <w:t>no more than</w:t>
            </w:r>
            <w:r w:rsidRPr="009D6022">
              <w:rPr>
                <w:rFonts w:cs="Segoe UI"/>
              </w:rPr>
              <w:t xml:space="preserve"> 1 </w:t>
            </w:r>
            <w:r w:rsidR="002602EF">
              <w:rPr>
                <w:rFonts w:cs="Segoe UI"/>
              </w:rPr>
              <w:t>person</w:t>
            </w:r>
            <w:r w:rsidRPr="009D6022">
              <w:rPr>
                <w:rFonts w:cs="Segoe UI"/>
              </w:rPr>
              <w:t xml:space="preserve"> in 50,000</w:t>
            </w:r>
            <w:r w:rsidR="007A6833">
              <w:rPr>
                <w:rFonts w:cs="Segoe UI"/>
              </w:rPr>
              <w:t>.</w:t>
            </w:r>
          </w:p>
        </w:tc>
      </w:tr>
      <w:tr w:rsidR="00DB5EBC" w:rsidRPr="00AD74F4" w14:paraId="5564366B" w14:textId="77777777" w:rsidTr="00BD34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7D2FE83D" w14:textId="77777777" w:rsidR="00F90D5E" w:rsidRPr="00D8736A" w:rsidRDefault="00F90D5E" w:rsidP="00BD34D3">
            <w:pPr>
              <w:jc w:val="left"/>
              <w:rPr>
                <w:rStyle w:val="s1"/>
                <w:rFonts w:cs="Segoe UI"/>
                <w:b w:val="0"/>
                <w:bCs w:val="0"/>
              </w:rPr>
            </w:pPr>
            <w:r w:rsidRPr="00D8736A">
              <w:rPr>
                <w:rFonts w:cs="Segoe UI"/>
                <w:b w:val="0"/>
              </w:rPr>
              <w:t>Uncertainty</w:t>
            </w:r>
          </w:p>
        </w:tc>
        <w:tc>
          <w:tcPr>
            <w:tcW w:w="7088" w:type="dxa"/>
          </w:tcPr>
          <w:p w14:paraId="31ED671E" w14:textId="77777777"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 xml:space="preserve">Any reduction of confidence in a conclusion. Statistical uncertainty arises from chance (or random variation), when a variable includes a range of estimates within which the true value of the variable is likely to be found. </w:t>
            </w:r>
          </w:p>
          <w:p w14:paraId="7B99C695" w14:textId="0CD38B29" w:rsidR="00F90D5E" w:rsidRPr="009D6022" w:rsidRDefault="00F90D5E">
            <w:pPr>
              <w:cnfStyle w:val="000000100000" w:firstRow="0" w:lastRow="0" w:firstColumn="0" w:lastColumn="0" w:oddVBand="0" w:evenVBand="0" w:oddHBand="1" w:evenHBand="0" w:firstRowFirstColumn="0" w:firstRowLastColumn="0" w:lastRowFirstColumn="0" w:lastRowLastColumn="0"/>
              <w:rPr>
                <w:rStyle w:val="s1"/>
                <w:rFonts w:cs="Segoe UI"/>
              </w:rPr>
            </w:pPr>
            <w:r w:rsidRPr="009D6022">
              <w:rPr>
                <w:rStyle w:val="s1"/>
                <w:rFonts w:cs="Segoe UI"/>
              </w:rPr>
              <w:t>Clinical uncertainty arises when the proposed health technology has both clinical advantages and disadvantages compared with its main comparator(s). Uncertainty also arises when assumptions need to be made in the absence of relevant data.</w:t>
            </w:r>
          </w:p>
        </w:tc>
      </w:tr>
      <w:tr w:rsidR="00F90D5E" w:rsidRPr="00AD74F4" w14:paraId="709E1F05" w14:textId="77777777" w:rsidTr="00BD34D3">
        <w:tc>
          <w:tcPr>
            <w:cnfStyle w:val="001000000000" w:firstRow="0" w:lastRow="0" w:firstColumn="1" w:lastColumn="0" w:oddVBand="0" w:evenVBand="0" w:oddHBand="0" w:evenHBand="0" w:firstRowFirstColumn="0" w:firstRowLastColumn="0" w:lastRowFirstColumn="0" w:lastRowLastColumn="0"/>
            <w:tcW w:w="2410" w:type="dxa"/>
          </w:tcPr>
          <w:p w14:paraId="00887D1E" w14:textId="77777777" w:rsidR="00F90D5E" w:rsidRPr="00D8736A" w:rsidRDefault="00F90D5E" w:rsidP="00BD34D3">
            <w:pPr>
              <w:jc w:val="left"/>
              <w:rPr>
                <w:rStyle w:val="s1"/>
                <w:rFonts w:cs="Segoe UI"/>
                <w:b w:val="0"/>
                <w:bCs w:val="0"/>
              </w:rPr>
            </w:pPr>
            <w:r w:rsidRPr="00D8736A">
              <w:rPr>
                <w:rFonts w:cs="Segoe UI"/>
                <w:b w:val="0"/>
              </w:rPr>
              <w:t xml:space="preserve">Unmet clinical need </w:t>
            </w:r>
          </w:p>
        </w:tc>
        <w:tc>
          <w:tcPr>
            <w:tcW w:w="7088" w:type="dxa"/>
          </w:tcPr>
          <w:p w14:paraId="0F349E00" w14:textId="1651A75E" w:rsidR="00F90D5E" w:rsidRPr="009D6022" w:rsidRDefault="00F90D5E">
            <w:pPr>
              <w:cnfStyle w:val="000000000000" w:firstRow="0" w:lastRow="0" w:firstColumn="0" w:lastColumn="0" w:oddVBand="0" w:evenVBand="0" w:oddHBand="0" w:evenHBand="0" w:firstRowFirstColumn="0" w:firstRowLastColumn="0" w:lastRowFirstColumn="0" w:lastRowLastColumn="0"/>
              <w:rPr>
                <w:rStyle w:val="s1"/>
                <w:rFonts w:cs="Segoe UI"/>
              </w:rPr>
            </w:pPr>
            <w:r w:rsidRPr="009D6022">
              <w:rPr>
                <w:rStyle w:val="s1"/>
                <w:rFonts w:cs="Segoe UI"/>
              </w:rPr>
              <w:t xml:space="preserve">A condition </w:t>
            </w:r>
            <w:r w:rsidR="00F659F0">
              <w:rPr>
                <w:rStyle w:val="s1"/>
                <w:rFonts w:cs="Segoe UI"/>
              </w:rPr>
              <w:t>with</w:t>
            </w:r>
            <w:r w:rsidRPr="009D6022">
              <w:rPr>
                <w:rStyle w:val="s1"/>
                <w:rFonts w:cs="Segoe UI"/>
              </w:rPr>
              <w:t xml:space="preserve"> no satisfactory method of diagnosis, prevention or treatment.</w:t>
            </w:r>
          </w:p>
        </w:tc>
      </w:tr>
    </w:tbl>
    <w:p w14:paraId="35753BCA" w14:textId="5CB259A8" w:rsidR="00A13713" w:rsidRDefault="00A13713">
      <w:pPr>
        <w:rPr>
          <w:rFonts w:eastAsia="Times New Roman" w:cs="Segoe UI"/>
          <w:color w:val="094868"/>
          <w:kern w:val="28"/>
          <w:sz w:val="44"/>
          <w:szCs w:val="44"/>
        </w:rPr>
      </w:pPr>
      <w:r w:rsidRPr="36345243">
        <w:rPr>
          <w:rFonts w:eastAsia="Times New Roman" w:cs="Segoe UI"/>
          <w:color w:val="094868"/>
          <w:sz w:val="44"/>
          <w:szCs w:val="44"/>
        </w:rPr>
        <w:br w:type="page"/>
      </w:r>
    </w:p>
    <w:p w14:paraId="377F49AB" w14:textId="2F76BBDB" w:rsidR="00D0173D" w:rsidRDefault="00D0173D" w:rsidP="00AD3C9E">
      <w:pPr>
        <w:pStyle w:val="Heading1"/>
      </w:pPr>
      <w:bookmarkStart w:id="782" w:name="_Toc157029141"/>
      <w:bookmarkStart w:id="783" w:name="_Toc157029506"/>
      <w:bookmarkStart w:id="784" w:name="_Toc157030198"/>
      <w:bookmarkStart w:id="785" w:name="_Toc165473781"/>
      <w:bookmarkStart w:id="786" w:name="_Toc171935906"/>
      <w:r>
        <w:lastRenderedPageBreak/>
        <w:t xml:space="preserve">List of </w:t>
      </w:r>
      <w:r w:rsidR="00E56288">
        <w:t>a</w:t>
      </w:r>
      <w:r>
        <w:t xml:space="preserve">cronyms and </w:t>
      </w:r>
      <w:r w:rsidR="00E56288">
        <w:t>a</w:t>
      </w:r>
      <w:r>
        <w:t>bbreviations</w:t>
      </w:r>
      <w:bookmarkEnd w:id="782"/>
      <w:bookmarkEnd w:id="783"/>
      <w:bookmarkEnd w:id="784"/>
      <w:bookmarkEnd w:id="785"/>
      <w:bookmarkEnd w:id="786"/>
    </w:p>
    <w:tbl>
      <w:tblPr>
        <w:tblStyle w:val="ListTable1Light-Accent1"/>
        <w:tblW w:w="9315" w:type="dxa"/>
        <w:tblLook w:val="04A0" w:firstRow="1" w:lastRow="0" w:firstColumn="1" w:lastColumn="0" w:noHBand="0" w:noVBand="1"/>
      </w:tblPr>
      <w:tblGrid>
        <w:gridCol w:w="2511"/>
        <w:gridCol w:w="6804"/>
      </w:tblGrid>
      <w:tr w:rsidR="00D0173D" w:rsidRPr="0073146B" w14:paraId="639E2A4A" w14:textId="77777777" w:rsidTr="00B61FD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93A05A1" w14:textId="77777777" w:rsidR="00D0173D" w:rsidRPr="003C33D9" w:rsidRDefault="00D0173D">
            <w:pPr>
              <w:rPr>
                <w:rFonts w:eastAsia="Times New Roman" w:cs="Segoe UI"/>
                <w:color w:val="000000"/>
                <w:lang w:eastAsia="en-AU"/>
              </w:rPr>
            </w:pPr>
            <w:r w:rsidRPr="003C33D9">
              <w:rPr>
                <w:rFonts w:eastAsia="Times New Roman" w:cs="Segoe UI"/>
                <w:color w:val="000000"/>
                <w:lang w:eastAsia="en-AU"/>
              </w:rPr>
              <w:t xml:space="preserve">Acronym </w:t>
            </w:r>
          </w:p>
        </w:tc>
        <w:tc>
          <w:tcPr>
            <w:tcW w:w="6804" w:type="dxa"/>
            <w:hideMark/>
          </w:tcPr>
          <w:p w14:paraId="31F6C988" w14:textId="26AD31CC" w:rsidR="00D0173D" w:rsidRPr="0073146B" w:rsidRDefault="00D0173D">
            <w:pPr>
              <w:cnfStyle w:val="100000000000" w:firstRow="1"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Full</w:t>
            </w:r>
          </w:p>
        </w:tc>
      </w:tr>
      <w:tr w:rsidR="00D0173D" w:rsidRPr="0073146B" w14:paraId="0C0AE96C"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45C94873"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ABS</w:t>
            </w:r>
          </w:p>
        </w:tc>
        <w:tc>
          <w:tcPr>
            <w:tcW w:w="6804" w:type="dxa"/>
            <w:noWrap/>
            <w:hideMark/>
          </w:tcPr>
          <w:p w14:paraId="55ED4F60"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 xml:space="preserve">Australian Bureau of Statistics </w:t>
            </w:r>
          </w:p>
        </w:tc>
      </w:tr>
      <w:tr w:rsidR="00D0173D" w:rsidRPr="0073146B" w14:paraId="30759125"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19A99C05" w14:textId="558E8F39"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ACCHSs</w:t>
            </w:r>
          </w:p>
        </w:tc>
        <w:tc>
          <w:tcPr>
            <w:tcW w:w="6804" w:type="dxa"/>
            <w:hideMark/>
          </w:tcPr>
          <w:p w14:paraId="1AD31FBF" w14:textId="4867561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 xml:space="preserve">Aboriginal </w:t>
            </w:r>
            <w:r w:rsidR="0012058D">
              <w:rPr>
                <w:rFonts w:eastAsia="Times New Roman" w:cs="Segoe UI"/>
                <w:color w:val="000000"/>
                <w:lang w:eastAsia="en-AU"/>
              </w:rPr>
              <w:t>C</w:t>
            </w:r>
            <w:r w:rsidRPr="0073146B">
              <w:rPr>
                <w:rFonts w:eastAsia="Times New Roman" w:cs="Segoe UI"/>
                <w:color w:val="000000"/>
                <w:lang w:eastAsia="en-AU"/>
              </w:rPr>
              <w:t>ommunity</w:t>
            </w:r>
            <w:r w:rsidR="0012058D">
              <w:rPr>
                <w:rFonts w:eastAsia="Times New Roman" w:cs="Segoe UI"/>
                <w:color w:val="000000"/>
                <w:lang w:eastAsia="en-AU"/>
              </w:rPr>
              <w:t xml:space="preserve"> C</w:t>
            </w:r>
            <w:r w:rsidRPr="0073146B">
              <w:rPr>
                <w:rFonts w:eastAsia="Times New Roman" w:cs="Segoe UI"/>
                <w:color w:val="000000"/>
                <w:lang w:eastAsia="en-AU"/>
              </w:rPr>
              <w:t xml:space="preserve">ontrolled </w:t>
            </w:r>
            <w:r w:rsidR="0012058D">
              <w:rPr>
                <w:rFonts w:eastAsia="Times New Roman" w:cs="Segoe UI"/>
                <w:color w:val="000000"/>
                <w:lang w:eastAsia="en-AU"/>
              </w:rPr>
              <w:t>H</w:t>
            </w:r>
            <w:r w:rsidRPr="0073146B">
              <w:rPr>
                <w:rFonts w:eastAsia="Times New Roman" w:cs="Segoe UI"/>
                <w:color w:val="000000"/>
                <w:lang w:eastAsia="en-AU"/>
              </w:rPr>
              <w:t xml:space="preserve">ealth </w:t>
            </w:r>
            <w:r w:rsidR="0012058D">
              <w:rPr>
                <w:rFonts w:eastAsia="Times New Roman" w:cs="Segoe UI"/>
                <w:color w:val="000000"/>
                <w:lang w:eastAsia="en-AU"/>
              </w:rPr>
              <w:t>S</w:t>
            </w:r>
            <w:r w:rsidRPr="0073146B">
              <w:rPr>
                <w:rFonts w:eastAsia="Times New Roman" w:cs="Segoe UI"/>
                <w:color w:val="000000"/>
                <w:lang w:eastAsia="en-AU"/>
              </w:rPr>
              <w:t xml:space="preserve">ervices </w:t>
            </w:r>
          </w:p>
        </w:tc>
      </w:tr>
      <w:tr w:rsidR="00D0173D" w:rsidRPr="0073146B" w14:paraId="1EC7F119"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402A92E1"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AHTA</w:t>
            </w:r>
          </w:p>
        </w:tc>
        <w:tc>
          <w:tcPr>
            <w:tcW w:w="6804" w:type="dxa"/>
            <w:hideMark/>
          </w:tcPr>
          <w:p w14:paraId="3C51877F"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Adelaide Health Technology Assessment</w:t>
            </w:r>
          </w:p>
        </w:tc>
      </w:tr>
      <w:tr w:rsidR="00D0173D" w:rsidRPr="0073146B" w14:paraId="60AB67A2"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77791D60" w14:textId="59D7FF5E"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AMR</w:t>
            </w:r>
          </w:p>
        </w:tc>
        <w:tc>
          <w:tcPr>
            <w:tcW w:w="6804" w:type="dxa"/>
            <w:hideMark/>
          </w:tcPr>
          <w:p w14:paraId="7C68EF25"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Antimicrobial resistance</w:t>
            </w:r>
          </w:p>
        </w:tc>
      </w:tr>
      <w:tr w:rsidR="00D0173D" w:rsidRPr="0073146B" w14:paraId="5381FF0B"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2AB3A22C"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ARTG</w:t>
            </w:r>
          </w:p>
        </w:tc>
        <w:tc>
          <w:tcPr>
            <w:tcW w:w="6804" w:type="dxa"/>
            <w:hideMark/>
          </w:tcPr>
          <w:p w14:paraId="4861302D"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bookmarkStart w:id="787" w:name="_Hlk156913074"/>
            <w:bookmarkStart w:id="788" w:name="RANGE!B7"/>
            <w:r w:rsidRPr="0073146B">
              <w:rPr>
                <w:rFonts w:eastAsia="Times New Roman" w:cs="Segoe UI"/>
                <w:color w:val="000000"/>
                <w:lang w:eastAsia="en-AU"/>
              </w:rPr>
              <w:t>Australian Register of Therapeutic Goods</w:t>
            </w:r>
            <w:bookmarkEnd w:id="787"/>
            <w:bookmarkEnd w:id="788"/>
          </w:p>
        </w:tc>
      </w:tr>
      <w:tr w:rsidR="00D0173D" w:rsidRPr="0073146B" w14:paraId="7B4EABCC"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3D223AE3" w14:textId="2FEEBDE1"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ATs</w:t>
            </w:r>
          </w:p>
        </w:tc>
        <w:tc>
          <w:tcPr>
            <w:tcW w:w="6804" w:type="dxa"/>
            <w:hideMark/>
          </w:tcPr>
          <w:p w14:paraId="6539F3E6" w14:textId="74F71AF4"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 xml:space="preserve">Advanced </w:t>
            </w:r>
            <w:r w:rsidR="007A6833">
              <w:rPr>
                <w:rFonts w:eastAsia="Times New Roman" w:cs="Segoe UI"/>
                <w:color w:val="000000"/>
                <w:lang w:eastAsia="en-AU"/>
              </w:rPr>
              <w:t>t</w:t>
            </w:r>
            <w:r w:rsidRPr="0073146B">
              <w:rPr>
                <w:rFonts w:eastAsia="Times New Roman" w:cs="Segoe UI"/>
                <w:color w:val="000000"/>
                <w:lang w:eastAsia="en-AU"/>
              </w:rPr>
              <w:t>herapies (see also ATMPs and HSTs)</w:t>
            </w:r>
          </w:p>
        </w:tc>
      </w:tr>
      <w:tr w:rsidR="00D0173D" w:rsidRPr="0073146B" w14:paraId="533C21F6"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1421AADF" w14:textId="46D20803"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ATAGI</w:t>
            </w:r>
          </w:p>
        </w:tc>
        <w:tc>
          <w:tcPr>
            <w:tcW w:w="6804" w:type="dxa"/>
            <w:hideMark/>
          </w:tcPr>
          <w:p w14:paraId="6AA4E6EE" w14:textId="028A4139"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Australian Technical Advisory Group on Immunisation (Australia)</w:t>
            </w:r>
          </w:p>
        </w:tc>
      </w:tr>
      <w:tr w:rsidR="00D0173D" w:rsidRPr="0073146B" w14:paraId="476A397B"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44EFAA9E" w14:textId="77777777" w:rsidR="00D0173D" w:rsidRPr="003C33D9" w:rsidRDefault="00D0173D">
            <w:pPr>
              <w:rPr>
                <w:rFonts w:eastAsia="Times New Roman" w:cs="Segoe UI"/>
                <w:b w:val="0"/>
                <w:bCs w:val="0"/>
                <w:color w:val="000000"/>
                <w:lang w:eastAsia="en-AU"/>
              </w:rPr>
            </w:pPr>
            <w:r w:rsidRPr="003C33D9">
              <w:rPr>
                <w:rFonts w:eastAsia="Arial" w:cs="Arial"/>
                <w:b w:val="0"/>
                <w:bCs w:val="0"/>
                <w:color w:val="000000"/>
                <w:lang w:eastAsia="en-AU"/>
              </w:rPr>
              <w:t>ATMP</w:t>
            </w:r>
          </w:p>
        </w:tc>
        <w:tc>
          <w:tcPr>
            <w:tcW w:w="6804" w:type="dxa"/>
            <w:hideMark/>
          </w:tcPr>
          <w:p w14:paraId="3971377B" w14:textId="374705ED" w:rsidR="00D0173D" w:rsidRPr="007A6833"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A6833">
              <w:rPr>
                <w:rFonts w:eastAsia="Times New Roman" w:cs="Segoe UI"/>
                <w:color w:val="000000"/>
                <w:lang w:eastAsia="en-AU"/>
              </w:rPr>
              <w:t xml:space="preserve">Advanced </w:t>
            </w:r>
            <w:r w:rsidR="00B138D7" w:rsidRPr="007A6833">
              <w:rPr>
                <w:rFonts w:eastAsia="Times New Roman" w:cs="Segoe UI"/>
                <w:color w:val="000000"/>
                <w:lang w:eastAsia="en-AU"/>
              </w:rPr>
              <w:t>t</w:t>
            </w:r>
            <w:r w:rsidRPr="007A6833">
              <w:rPr>
                <w:rFonts w:eastAsia="Times New Roman" w:cs="Segoe UI"/>
                <w:color w:val="000000"/>
                <w:lang w:eastAsia="en-AU"/>
              </w:rPr>
              <w:t xml:space="preserve">herapy </w:t>
            </w:r>
            <w:r w:rsidR="00B138D7" w:rsidRPr="007A6833">
              <w:rPr>
                <w:rFonts w:eastAsia="Times New Roman" w:cs="Segoe UI"/>
                <w:color w:val="000000"/>
                <w:lang w:eastAsia="en-AU"/>
              </w:rPr>
              <w:t>m</w:t>
            </w:r>
            <w:r w:rsidRPr="007A6833">
              <w:rPr>
                <w:rFonts w:eastAsia="Times New Roman" w:cs="Segoe UI"/>
                <w:color w:val="000000"/>
                <w:lang w:eastAsia="en-AU"/>
              </w:rPr>
              <w:t xml:space="preserve">edicinal </w:t>
            </w:r>
            <w:r w:rsidR="00B138D7" w:rsidRPr="007A6833">
              <w:rPr>
                <w:rFonts w:eastAsia="Times New Roman" w:cs="Segoe UI"/>
                <w:color w:val="000000"/>
                <w:lang w:eastAsia="en-AU"/>
              </w:rPr>
              <w:t>p</w:t>
            </w:r>
            <w:r w:rsidRPr="007A6833">
              <w:rPr>
                <w:rFonts w:eastAsia="Times New Roman" w:cs="Segoe UI"/>
                <w:color w:val="000000"/>
                <w:lang w:eastAsia="en-AU"/>
              </w:rPr>
              <w:t>roducts</w:t>
            </w:r>
            <w:r w:rsidRPr="007A6833">
              <w:rPr>
                <w:rFonts w:eastAsia="Times New Roman" w:cs="Segoe UI"/>
                <w:color w:val="000000"/>
                <w:lang w:eastAsia="en-AU"/>
              </w:rPr>
              <w:br/>
            </w:r>
            <w:r w:rsidRPr="00B61FDC">
              <w:rPr>
                <w:rFonts w:eastAsia="Times New Roman" w:cs="Segoe UI"/>
                <w:color w:val="000000"/>
                <w:lang w:eastAsia="en-AU"/>
              </w:rPr>
              <w:t xml:space="preserve">also sometimes known as ‘advanced therapies’, ‘highly specialised technologies’, or </w:t>
            </w:r>
            <w:r w:rsidR="00FA396E">
              <w:rPr>
                <w:rFonts w:eastAsia="Times New Roman" w:cs="Segoe UI"/>
                <w:color w:val="000000"/>
                <w:lang w:eastAsia="en-AU"/>
              </w:rPr>
              <w:t>‘</w:t>
            </w:r>
            <w:r w:rsidRPr="00B61FDC">
              <w:rPr>
                <w:rFonts w:eastAsia="Times New Roman" w:cs="Segoe UI"/>
                <w:color w:val="000000"/>
                <w:lang w:eastAsia="en-AU"/>
              </w:rPr>
              <w:t xml:space="preserve">cell and gene </w:t>
            </w:r>
            <w:proofErr w:type="gramStart"/>
            <w:r w:rsidRPr="00B61FDC">
              <w:rPr>
                <w:rFonts w:eastAsia="Times New Roman" w:cs="Segoe UI"/>
                <w:color w:val="000000"/>
                <w:lang w:eastAsia="en-AU"/>
              </w:rPr>
              <w:t>therapies</w:t>
            </w:r>
            <w:r w:rsidR="00FA396E">
              <w:rPr>
                <w:rFonts w:eastAsia="Times New Roman" w:cs="Segoe UI"/>
                <w:color w:val="000000"/>
                <w:lang w:eastAsia="en-AU"/>
              </w:rPr>
              <w:t>’</w:t>
            </w:r>
            <w:proofErr w:type="gramEnd"/>
            <w:r w:rsidRPr="00B61FDC">
              <w:rPr>
                <w:rFonts w:eastAsia="Times New Roman" w:cs="Segoe UI"/>
                <w:color w:val="000000"/>
                <w:lang w:eastAsia="en-AU"/>
              </w:rPr>
              <w:t>.</w:t>
            </w:r>
          </w:p>
        </w:tc>
      </w:tr>
      <w:tr w:rsidR="00D0173D" w:rsidRPr="0073146B" w14:paraId="4B3AFCF9"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D92D77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CADTH</w:t>
            </w:r>
          </w:p>
        </w:tc>
        <w:tc>
          <w:tcPr>
            <w:tcW w:w="6804" w:type="dxa"/>
            <w:hideMark/>
          </w:tcPr>
          <w:p w14:paraId="6560BCE1" w14:textId="1F943EAE" w:rsidR="00D0173D" w:rsidRPr="007A6833"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A6833">
              <w:rPr>
                <w:rFonts w:eastAsia="Times New Roman" w:cs="Segoe UI"/>
                <w:color w:val="000000"/>
                <w:lang w:eastAsia="en-AU"/>
              </w:rPr>
              <w:t xml:space="preserve">Canadian Agency for Drugs </w:t>
            </w:r>
            <w:r w:rsidR="007A6833">
              <w:rPr>
                <w:rFonts w:eastAsia="Times New Roman" w:cs="Segoe UI"/>
                <w:color w:val="000000"/>
                <w:lang w:eastAsia="en-AU"/>
              </w:rPr>
              <w:t>&amp;</w:t>
            </w:r>
            <w:r w:rsidR="007A6833" w:rsidRPr="007A6833">
              <w:rPr>
                <w:rFonts w:eastAsia="Times New Roman" w:cs="Segoe UI"/>
                <w:color w:val="000000"/>
                <w:lang w:eastAsia="en-AU"/>
              </w:rPr>
              <w:t xml:space="preserve"> </w:t>
            </w:r>
            <w:r w:rsidRPr="007A6833">
              <w:rPr>
                <w:rFonts w:eastAsia="Times New Roman" w:cs="Segoe UI"/>
                <w:color w:val="000000"/>
                <w:lang w:eastAsia="en-AU"/>
              </w:rPr>
              <w:t>Technologies in Health</w:t>
            </w:r>
          </w:p>
        </w:tc>
      </w:tr>
      <w:tr w:rsidR="00D0173D" w:rsidRPr="0073146B" w14:paraId="42527473"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3107B240"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CAR-T</w:t>
            </w:r>
          </w:p>
        </w:tc>
        <w:tc>
          <w:tcPr>
            <w:tcW w:w="6804" w:type="dxa"/>
            <w:hideMark/>
          </w:tcPr>
          <w:p w14:paraId="0F4E1A45"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Chimeric antigen receptor T cell therapy (a type of gene modified cell therapy)</w:t>
            </w:r>
          </w:p>
        </w:tc>
      </w:tr>
      <w:tr w:rsidR="00D0173D" w:rsidRPr="0073146B" w14:paraId="281ACB3C"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08CFED47" w14:textId="77777777" w:rsidR="00D0173D" w:rsidRPr="003C33D9" w:rsidRDefault="00D0173D">
            <w:pPr>
              <w:rPr>
                <w:rFonts w:eastAsia="Times New Roman" w:cs="Segoe UI"/>
                <w:b w:val="0"/>
                <w:bCs w:val="0"/>
                <w:color w:val="000000"/>
                <w:lang w:eastAsia="en-AU"/>
              </w:rPr>
            </w:pPr>
            <w:r w:rsidRPr="003C33D9">
              <w:rPr>
                <w:rFonts w:eastAsia="Calibri" w:cs="Segoe UI"/>
                <w:b w:val="0"/>
                <w:bCs w:val="0"/>
                <w:color w:val="000000"/>
                <w:lang w:eastAsia="en-AU"/>
              </w:rPr>
              <w:t xml:space="preserve">CDC </w:t>
            </w:r>
          </w:p>
        </w:tc>
        <w:tc>
          <w:tcPr>
            <w:tcW w:w="6804" w:type="dxa"/>
            <w:noWrap/>
            <w:hideMark/>
          </w:tcPr>
          <w:p w14:paraId="2BCE658E"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Australian Centre for Disease Control</w:t>
            </w:r>
          </w:p>
        </w:tc>
      </w:tr>
      <w:tr w:rsidR="00D0173D" w:rsidRPr="0073146B" w14:paraId="639797D3"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DDA8FD3"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CHERE</w:t>
            </w:r>
          </w:p>
        </w:tc>
        <w:tc>
          <w:tcPr>
            <w:tcW w:w="6804" w:type="dxa"/>
            <w:hideMark/>
          </w:tcPr>
          <w:p w14:paraId="74CC7B00"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Centre for Health Economics Research and Evaluation</w:t>
            </w:r>
          </w:p>
        </w:tc>
      </w:tr>
      <w:tr w:rsidR="00D0173D" w:rsidRPr="0073146B" w14:paraId="45ED7289"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426C98D1"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CO2</w:t>
            </w:r>
          </w:p>
        </w:tc>
        <w:tc>
          <w:tcPr>
            <w:tcW w:w="6804" w:type="dxa"/>
            <w:noWrap/>
            <w:hideMark/>
          </w:tcPr>
          <w:p w14:paraId="5B2F7020"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Carbon dioxide (Chemical compound)</w:t>
            </w:r>
          </w:p>
        </w:tc>
      </w:tr>
      <w:tr w:rsidR="00D0173D" w:rsidRPr="0073146B" w14:paraId="1BB74CCC"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2A06105"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Consultation Hub</w:t>
            </w:r>
          </w:p>
        </w:tc>
        <w:tc>
          <w:tcPr>
            <w:tcW w:w="6804" w:type="dxa"/>
            <w:hideMark/>
          </w:tcPr>
          <w:p w14:paraId="6DB6DFDF"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Office of Health Technology Assessment Consultation Hub</w:t>
            </w:r>
          </w:p>
        </w:tc>
      </w:tr>
      <w:tr w:rsidR="00D0173D" w:rsidRPr="0073146B" w14:paraId="5B1BF9A2"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0FE2843C"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DUSC</w:t>
            </w:r>
          </w:p>
        </w:tc>
        <w:tc>
          <w:tcPr>
            <w:tcW w:w="6804" w:type="dxa"/>
            <w:noWrap/>
            <w:hideMark/>
          </w:tcPr>
          <w:p w14:paraId="7FF7A904"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 xml:space="preserve">Drug Utilisation Sub-Committee </w:t>
            </w:r>
          </w:p>
        </w:tc>
      </w:tr>
      <w:tr w:rsidR="00D0173D" w:rsidRPr="0073146B" w14:paraId="07152BC4"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103F78C" w14:textId="77777777" w:rsidR="00D0173D" w:rsidRPr="003C33D9" w:rsidRDefault="00D0173D">
            <w:pPr>
              <w:rPr>
                <w:rFonts w:eastAsia="Times New Roman" w:cs="Segoe UI"/>
                <w:b w:val="0"/>
                <w:bCs w:val="0"/>
                <w:color w:val="000000"/>
                <w:lang w:eastAsia="en-AU"/>
              </w:rPr>
            </w:pPr>
            <w:bookmarkStart w:id="789" w:name="RANGE!A30"/>
            <w:r w:rsidRPr="003C33D9">
              <w:rPr>
                <w:rFonts w:eastAsia="Times New Roman" w:cs="Segoe UI"/>
                <w:b w:val="0"/>
                <w:bCs w:val="0"/>
                <w:color w:val="000000"/>
                <w:lang w:eastAsia="en-AU"/>
              </w:rPr>
              <w:t>ESC (PBAC ESC)</w:t>
            </w:r>
            <w:bookmarkEnd w:id="789"/>
          </w:p>
        </w:tc>
        <w:tc>
          <w:tcPr>
            <w:tcW w:w="6804" w:type="dxa"/>
            <w:hideMark/>
          </w:tcPr>
          <w:p w14:paraId="603C5EFE" w14:textId="6D9B5429" w:rsidR="00D0173D" w:rsidRPr="0073146B" w:rsidRDefault="007A6833">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D8736A">
              <w:rPr>
                <w:rStyle w:val="s1"/>
                <w:rFonts w:cs="Segoe UI"/>
              </w:rPr>
              <w:t xml:space="preserve">Pharmaceutical Benefits Advisory Committee </w:t>
            </w:r>
            <w:r>
              <w:rPr>
                <w:rStyle w:val="s1"/>
                <w:rFonts w:cs="Segoe UI"/>
              </w:rPr>
              <w:t>(</w:t>
            </w:r>
            <w:r w:rsidR="00D0173D" w:rsidRPr="0073146B">
              <w:rPr>
                <w:rFonts w:eastAsia="Times New Roman" w:cs="Segoe UI"/>
                <w:color w:val="000000"/>
                <w:lang w:eastAsia="en-AU"/>
              </w:rPr>
              <w:t>PBAC</w:t>
            </w:r>
            <w:r>
              <w:rPr>
                <w:rFonts w:eastAsia="Times New Roman" w:cs="Segoe UI"/>
                <w:color w:val="000000"/>
                <w:lang w:eastAsia="en-AU"/>
              </w:rPr>
              <w:t>)</w:t>
            </w:r>
            <w:r w:rsidR="00D0173D" w:rsidRPr="0073146B">
              <w:rPr>
                <w:rFonts w:eastAsia="Times New Roman" w:cs="Segoe UI"/>
                <w:color w:val="000000"/>
                <w:lang w:eastAsia="en-AU"/>
              </w:rPr>
              <w:t xml:space="preserve"> Economic Sub-Committee</w:t>
            </w:r>
            <w:r>
              <w:rPr>
                <w:rFonts w:eastAsia="Times New Roman" w:cs="Segoe UI"/>
                <w:color w:val="000000"/>
                <w:lang w:eastAsia="en-AU"/>
              </w:rPr>
              <w:t>.</w:t>
            </w:r>
            <w:r w:rsidR="00D0173D" w:rsidRPr="0073146B">
              <w:rPr>
                <w:rFonts w:eastAsia="Times New Roman" w:cs="Segoe UI"/>
                <w:color w:val="000000"/>
                <w:lang w:eastAsia="en-AU"/>
              </w:rPr>
              <w:br/>
            </w:r>
            <w:r w:rsidR="00D0173D" w:rsidRPr="00B61FDC">
              <w:rPr>
                <w:rFonts w:eastAsia="Times New Roman" w:cs="Segoe UI"/>
                <w:color w:val="000000"/>
                <w:lang w:eastAsia="en-AU"/>
              </w:rPr>
              <w:t xml:space="preserve">Note: </w:t>
            </w:r>
            <w:r w:rsidR="00DE77FC" w:rsidRPr="00B61FDC">
              <w:rPr>
                <w:rFonts w:eastAsia="Times New Roman" w:cs="Segoe UI"/>
                <w:color w:val="000000"/>
                <w:lang w:eastAsia="en-AU"/>
              </w:rPr>
              <w:t xml:space="preserve">The </w:t>
            </w:r>
            <w:r w:rsidRPr="00D8736A">
              <w:rPr>
                <w:rFonts w:cs="Segoe UI"/>
              </w:rPr>
              <w:t xml:space="preserve">Medical Services Advisory Committee </w:t>
            </w:r>
            <w:r>
              <w:rPr>
                <w:rFonts w:cs="Segoe UI"/>
              </w:rPr>
              <w:t>(</w:t>
            </w:r>
            <w:r w:rsidR="00D0173D" w:rsidRPr="00B61FDC">
              <w:rPr>
                <w:rFonts w:eastAsia="Times New Roman" w:cs="Segoe UI"/>
                <w:color w:val="000000"/>
                <w:lang w:eastAsia="en-AU"/>
              </w:rPr>
              <w:t>MSAC</w:t>
            </w:r>
            <w:r>
              <w:rPr>
                <w:rFonts w:eastAsia="Times New Roman" w:cs="Segoe UI"/>
                <w:color w:val="000000"/>
                <w:lang w:eastAsia="en-AU"/>
              </w:rPr>
              <w:t>)</w:t>
            </w:r>
            <w:r w:rsidR="00D0173D" w:rsidRPr="00B61FDC">
              <w:rPr>
                <w:rFonts w:eastAsia="Times New Roman" w:cs="Segoe UI"/>
                <w:color w:val="000000"/>
                <w:lang w:eastAsia="en-AU"/>
              </w:rPr>
              <w:t xml:space="preserve"> also has a sub-committee called the ‘evaluation sub-committee’, which is often also abbreviated to ESC. For the purposes of this document</w:t>
            </w:r>
            <w:r>
              <w:rPr>
                <w:rFonts w:eastAsia="Times New Roman" w:cs="Segoe UI"/>
                <w:color w:val="000000"/>
                <w:lang w:eastAsia="en-AU"/>
              </w:rPr>
              <w:t>,</w:t>
            </w:r>
            <w:r w:rsidR="00D0173D" w:rsidRPr="00B61FDC">
              <w:rPr>
                <w:rFonts w:eastAsia="Times New Roman" w:cs="Segoe UI"/>
                <w:color w:val="000000"/>
                <w:lang w:eastAsia="en-AU"/>
              </w:rPr>
              <w:t xml:space="preserve"> ‘ESC’ refers to the </w:t>
            </w:r>
            <w:r>
              <w:rPr>
                <w:rFonts w:eastAsia="Times New Roman" w:cs="Segoe UI"/>
                <w:color w:val="000000"/>
                <w:lang w:eastAsia="en-AU"/>
              </w:rPr>
              <w:t>e</w:t>
            </w:r>
            <w:r w:rsidR="00D0173D" w:rsidRPr="00B61FDC">
              <w:rPr>
                <w:rFonts w:eastAsia="Times New Roman" w:cs="Segoe UI"/>
                <w:color w:val="000000"/>
                <w:lang w:eastAsia="en-AU"/>
              </w:rPr>
              <w:t xml:space="preserve">conomic sub-committee, and the MSAC sub-committee will be referred to as </w:t>
            </w:r>
            <w:r>
              <w:rPr>
                <w:rFonts w:eastAsia="Times New Roman" w:cs="Segoe UI"/>
                <w:color w:val="000000"/>
                <w:lang w:eastAsia="en-AU"/>
              </w:rPr>
              <w:t>‘</w:t>
            </w:r>
            <w:r w:rsidR="00D0173D" w:rsidRPr="00B61FDC">
              <w:rPr>
                <w:rFonts w:eastAsia="Times New Roman" w:cs="Segoe UI"/>
                <w:color w:val="000000"/>
                <w:lang w:eastAsia="en-AU"/>
              </w:rPr>
              <w:t>MSAC ESC</w:t>
            </w:r>
            <w:r>
              <w:rPr>
                <w:rFonts w:eastAsia="Times New Roman" w:cs="Segoe UI"/>
                <w:color w:val="000000"/>
                <w:lang w:eastAsia="en-AU"/>
              </w:rPr>
              <w:t>’</w:t>
            </w:r>
            <w:r w:rsidR="00D0173D" w:rsidRPr="00B61FDC">
              <w:rPr>
                <w:rFonts w:eastAsia="Times New Roman" w:cs="Segoe UI"/>
                <w:color w:val="000000"/>
                <w:lang w:eastAsia="en-AU"/>
              </w:rPr>
              <w:t>.</w:t>
            </w:r>
            <w:r w:rsidR="00D0173D" w:rsidRPr="0073146B">
              <w:rPr>
                <w:rFonts w:eastAsia="Times New Roman" w:cs="Segoe UI"/>
                <w:i/>
                <w:iCs/>
                <w:color w:val="000000"/>
                <w:lang w:eastAsia="en-AU"/>
              </w:rPr>
              <w:t xml:space="preserve"> </w:t>
            </w:r>
          </w:p>
        </w:tc>
      </w:tr>
      <w:tr w:rsidR="00D0173D" w:rsidRPr="0073146B" w14:paraId="4C398DF6"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39F8909C"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FINOSE</w:t>
            </w:r>
          </w:p>
        </w:tc>
        <w:tc>
          <w:tcPr>
            <w:tcW w:w="6804" w:type="dxa"/>
            <w:hideMark/>
          </w:tcPr>
          <w:p w14:paraId="0FD07C34" w14:textId="3ABB1D54" w:rsidR="00D0173D" w:rsidRPr="0073146B" w:rsidRDefault="007F1822">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Pr>
                <w:rFonts w:eastAsia="Times New Roman" w:cs="Segoe UI"/>
                <w:color w:val="000000" w:themeColor="text1"/>
                <w:lang w:eastAsia="en-AU"/>
              </w:rPr>
              <w:t xml:space="preserve">Nordic HTA collaboration </w:t>
            </w:r>
            <w:r w:rsidR="0021012E">
              <w:rPr>
                <w:rFonts w:eastAsia="Times New Roman" w:cs="Segoe UI"/>
                <w:color w:val="000000" w:themeColor="text1"/>
                <w:lang w:eastAsia="en-AU"/>
              </w:rPr>
              <w:t xml:space="preserve">arrangement </w:t>
            </w:r>
            <w:r w:rsidR="007A6833">
              <w:rPr>
                <w:rFonts w:eastAsia="Times New Roman" w:cs="Segoe UI"/>
                <w:color w:val="000000" w:themeColor="text1"/>
                <w:lang w:eastAsia="en-AU"/>
              </w:rPr>
              <w:t>–</w:t>
            </w:r>
            <w:r w:rsidR="0021012E">
              <w:rPr>
                <w:rFonts w:eastAsia="Times New Roman" w:cs="Segoe UI"/>
                <w:color w:val="000000" w:themeColor="text1"/>
                <w:lang w:eastAsia="en-AU"/>
              </w:rPr>
              <w:t xml:space="preserve"> originally </w:t>
            </w:r>
            <w:r>
              <w:rPr>
                <w:rFonts w:eastAsia="Times New Roman" w:cs="Segoe UI"/>
                <w:color w:val="000000" w:themeColor="text1"/>
                <w:lang w:eastAsia="en-AU"/>
              </w:rPr>
              <w:t>between Finland, Norway and Sweden</w:t>
            </w:r>
            <w:r w:rsidR="0021012E">
              <w:rPr>
                <w:rFonts w:eastAsia="Times New Roman" w:cs="Segoe UI"/>
                <w:color w:val="000000" w:themeColor="text1"/>
                <w:lang w:eastAsia="en-AU"/>
              </w:rPr>
              <w:t>; now includes Denmark and Iceland</w:t>
            </w:r>
            <w:r w:rsidR="0062220B">
              <w:rPr>
                <w:rFonts w:eastAsia="Times New Roman" w:cs="Segoe UI"/>
                <w:color w:val="000000" w:themeColor="text1"/>
                <w:lang w:eastAsia="en-AU"/>
              </w:rPr>
              <w:t>.</w:t>
            </w:r>
          </w:p>
        </w:tc>
      </w:tr>
      <w:tr w:rsidR="00D0173D" w:rsidRPr="0073146B" w14:paraId="592F692B"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708039D"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G7</w:t>
            </w:r>
          </w:p>
        </w:tc>
        <w:tc>
          <w:tcPr>
            <w:tcW w:w="6804" w:type="dxa"/>
            <w:hideMark/>
          </w:tcPr>
          <w:p w14:paraId="697F716E"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Group of Seven </w:t>
            </w:r>
          </w:p>
        </w:tc>
      </w:tr>
      <w:tr w:rsidR="00D0173D" w:rsidRPr="0073146B" w14:paraId="3C97F2D7"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0AE27928" w14:textId="3760FD40"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HATV</w:t>
            </w:r>
          </w:p>
        </w:tc>
        <w:tc>
          <w:tcPr>
            <w:tcW w:w="6804" w:type="dxa"/>
            <w:hideMark/>
          </w:tcPr>
          <w:p w14:paraId="2D4EA18A" w14:textId="75B15BD6" w:rsidR="00D0173D" w:rsidRPr="0073146B" w:rsidRDefault="007A6833">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bookmarkStart w:id="790" w:name="RANGE!B34"/>
            <w:r>
              <w:rPr>
                <w:rFonts w:eastAsia="Times New Roman" w:cs="Segoe UI"/>
                <w:color w:val="000000"/>
                <w:lang w:eastAsia="en-AU"/>
              </w:rPr>
              <w:t>H</w:t>
            </w:r>
            <w:r w:rsidR="00D0173D" w:rsidRPr="0073146B">
              <w:rPr>
                <w:rFonts w:eastAsia="Times New Roman" w:cs="Segoe UI"/>
                <w:color w:val="000000"/>
                <w:lang w:eastAsia="en-AU"/>
              </w:rPr>
              <w:t>igh added therapeutic value</w:t>
            </w:r>
            <w:bookmarkEnd w:id="790"/>
          </w:p>
        </w:tc>
      </w:tr>
      <w:tr w:rsidR="00D0173D" w:rsidRPr="0073146B" w14:paraId="701F0B64"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C4BF56D" w14:textId="1EE06302"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HST</w:t>
            </w:r>
          </w:p>
        </w:tc>
        <w:tc>
          <w:tcPr>
            <w:tcW w:w="6804" w:type="dxa"/>
            <w:hideMark/>
          </w:tcPr>
          <w:p w14:paraId="79132FD6" w14:textId="5C3A749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High</w:t>
            </w:r>
            <w:r w:rsidR="007A6833">
              <w:rPr>
                <w:rFonts w:eastAsia="Times New Roman" w:cs="Segoe UI"/>
                <w:color w:val="000000"/>
                <w:lang w:eastAsia="en-AU"/>
              </w:rPr>
              <w:t>-</w:t>
            </w:r>
            <w:r w:rsidRPr="0073146B">
              <w:rPr>
                <w:rFonts w:eastAsia="Times New Roman" w:cs="Segoe UI"/>
                <w:color w:val="000000"/>
                <w:lang w:eastAsia="en-AU"/>
              </w:rPr>
              <w:t>cost</w:t>
            </w:r>
            <w:r w:rsidR="007A6833">
              <w:rPr>
                <w:rFonts w:eastAsia="Times New Roman" w:cs="Segoe UI"/>
                <w:color w:val="000000"/>
                <w:lang w:eastAsia="en-AU"/>
              </w:rPr>
              <w:t>,</w:t>
            </w:r>
            <w:r w:rsidRPr="0073146B">
              <w:rPr>
                <w:rFonts w:eastAsia="Times New Roman" w:cs="Segoe UI"/>
                <w:color w:val="000000"/>
                <w:lang w:eastAsia="en-AU"/>
              </w:rPr>
              <w:t xml:space="preserve"> Highly Specialised Therapy delivered to public hospital inpatients as defined under the </w:t>
            </w:r>
            <w:r w:rsidR="001F42CC">
              <w:rPr>
                <w:rFonts w:eastAsia="Times New Roman" w:cs="Segoe UI"/>
                <w:color w:val="000000"/>
                <w:lang w:eastAsia="en-AU"/>
              </w:rPr>
              <w:t xml:space="preserve">2020–25 </w:t>
            </w:r>
            <w:r w:rsidR="0014352E">
              <w:rPr>
                <w:rFonts w:eastAsia="Times New Roman" w:cs="Segoe UI"/>
                <w:color w:val="000000"/>
                <w:lang w:eastAsia="en-AU"/>
              </w:rPr>
              <w:t xml:space="preserve">Addendum to the </w:t>
            </w:r>
            <w:r w:rsidR="00BF2B6E">
              <w:rPr>
                <w:rFonts w:eastAsia="Times New Roman" w:cs="Segoe UI"/>
                <w:color w:val="000000"/>
                <w:lang w:eastAsia="en-AU"/>
              </w:rPr>
              <w:t>National Health Reform Agreement</w:t>
            </w:r>
            <w:r w:rsidR="007A6833">
              <w:rPr>
                <w:rFonts w:eastAsia="Times New Roman" w:cs="Segoe UI"/>
                <w:color w:val="000000"/>
                <w:lang w:eastAsia="en-AU"/>
              </w:rPr>
              <w:t>.</w:t>
            </w:r>
            <w:r w:rsidR="00BF2B6E">
              <w:rPr>
                <w:rFonts w:eastAsia="Times New Roman" w:cs="Segoe UI"/>
                <w:color w:val="000000"/>
                <w:lang w:eastAsia="en-AU"/>
              </w:rPr>
              <w:t xml:space="preserve"> </w:t>
            </w:r>
          </w:p>
        </w:tc>
      </w:tr>
      <w:tr w:rsidR="00D0173D" w:rsidRPr="0073146B" w14:paraId="1F04E2EA"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204F5D5"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HTA</w:t>
            </w:r>
          </w:p>
        </w:tc>
        <w:tc>
          <w:tcPr>
            <w:tcW w:w="6804" w:type="dxa"/>
            <w:hideMark/>
          </w:tcPr>
          <w:p w14:paraId="4357EBFB" w14:textId="5A705029"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 xml:space="preserve">Health </w:t>
            </w:r>
            <w:r w:rsidR="00A72F2E">
              <w:rPr>
                <w:rFonts w:eastAsia="Times New Roman" w:cs="Segoe UI"/>
                <w:color w:val="000000"/>
                <w:lang w:eastAsia="en-AU"/>
              </w:rPr>
              <w:t>t</w:t>
            </w:r>
            <w:r w:rsidRPr="0073146B">
              <w:rPr>
                <w:rFonts w:eastAsia="Times New Roman" w:cs="Segoe UI"/>
                <w:color w:val="000000"/>
                <w:lang w:eastAsia="en-AU"/>
              </w:rPr>
              <w:t xml:space="preserve">echnology </w:t>
            </w:r>
            <w:r w:rsidR="00A72F2E">
              <w:rPr>
                <w:rFonts w:eastAsia="Times New Roman" w:cs="Segoe UI"/>
                <w:color w:val="000000"/>
                <w:lang w:eastAsia="en-AU"/>
              </w:rPr>
              <w:t>a</w:t>
            </w:r>
            <w:r w:rsidRPr="0073146B">
              <w:rPr>
                <w:rFonts w:eastAsia="Times New Roman" w:cs="Segoe UI"/>
                <w:color w:val="000000"/>
                <w:lang w:eastAsia="en-AU"/>
              </w:rPr>
              <w:t>ssessment</w:t>
            </w:r>
          </w:p>
        </w:tc>
      </w:tr>
      <w:tr w:rsidR="00D0173D" w:rsidRPr="0073146B" w14:paraId="4C3FE966"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2D342711"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HTAR</w:t>
            </w:r>
          </w:p>
        </w:tc>
        <w:tc>
          <w:tcPr>
            <w:tcW w:w="6804" w:type="dxa"/>
            <w:noWrap/>
            <w:hideMark/>
          </w:tcPr>
          <w:p w14:paraId="44CB7478" w14:textId="14AD96EF"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6CC68A72">
              <w:rPr>
                <w:rFonts w:eastAsia="Times New Roman" w:cs="Segoe UI"/>
                <w:color w:val="000000" w:themeColor="text1"/>
                <w:lang w:eastAsia="en-AU"/>
              </w:rPr>
              <w:t>Health Technology Assessment Regulation (EU)</w:t>
            </w:r>
          </w:p>
        </w:tc>
      </w:tr>
      <w:tr w:rsidR="00D0173D" w:rsidRPr="0073146B" w14:paraId="400EF308"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0D6925A" w14:textId="214306A4"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HUCN</w:t>
            </w:r>
          </w:p>
        </w:tc>
        <w:tc>
          <w:tcPr>
            <w:tcW w:w="6804" w:type="dxa"/>
            <w:hideMark/>
          </w:tcPr>
          <w:p w14:paraId="22B976CA" w14:textId="23627CEC" w:rsidR="00D0173D" w:rsidRPr="0073146B" w:rsidRDefault="00F129DB">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Pr>
                <w:rFonts w:eastAsia="Times New Roman" w:cs="Segoe UI"/>
                <w:color w:val="000000"/>
                <w:lang w:eastAsia="en-AU"/>
              </w:rPr>
              <w:t>H</w:t>
            </w:r>
            <w:r w:rsidR="007D6E91" w:rsidRPr="0073146B">
              <w:rPr>
                <w:rFonts w:eastAsia="Times New Roman" w:cs="Segoe UI"/>
                <w:color w:val="000000"/>
                <w:lang w:eastAsia="en-AU"/>
              </w:rPr>
              <w:t>igh unmet clinical need</w:t>
            </w:r>
          </w:p>
        </w:tc>
      </w:tr>
      <w:tr w:rsidR="00D0173D" w:rsidRPr="0073146B" w14:paraId="6DBD1A22"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88E56F8"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ICER</w:t>
            </w:r>
          </w:p>
        </w:tc>
        <w:tc>
          <w:tcPr>
            <w:tcW w:w="6804" w:type="dxa"/>
            <w:hideMark/>
          </w:tcPr>
          <w:p w14:paraId="27AB3280" w14:textId="145F3E2E"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6CC68A72">
              <w:rPr>
                <w:rFonts w:eastAsia="Times New Roman" w:cs="Segoe UI"/>
                <w:color w:val="000000" w:themeColor="text1"/>
                <w:lang w:eastAsia="en-AU"/>
              </w:rPr>
              <w:t xml:space="preserve">Incremental </w:t>
            </w:r>
            <w:r w:rsidR="00BB34D8">
              <w:rPr>
                <w:rFonts w:eastAsia="Times New Roman" w:cs="Segoe UI"/>
                <w:color w:val="000000" w:themeColor="text1"/>
                <w:lang w:eastAsia="en-AU"/>
              </w:rPr>
              <w:t>c</w:t>
            </w:r>
            <w:r w:rsidRPr="6CC68A72">
              <w:rPr>
                <w:rFonts w:eastAsia="Times New Roman" w:cs="Segoe UI"/>
                <w:color w:val="000000" w:themeColor="text1"/>
                <w:lang w:eastAsia="en-AU"/>
              </w:rPr>
              <w:t>ost</w:t>
            </w:r>
            <w:r w:rsidR="00BB34D8">
              <w:rPr>
                <w:rFonts w:eastAsia="Times New Roman" w:cs="Segoe UI"/>
                <w:color w:val="000000" w:themeColor="text1"/>
                <w:lang w:eastAsia="en-AU"/>
              </w:rPr>
              <w:t>-e</w:t>
            </w:r>
            <w:r w:rsidRPr="6CC68A72">
              <w:rPr>
                <w:rFonts w:eastAsia="Times New Roman" w:cs="Segoe UI"/>
                <w:color w:val="000000" w:themeColor="text1"/>
                <w:lang w:eastAsia="en-AU"/>
              </w:rPr>
              <w:t xml:space="preserve">ffectiveness </w:t>
            </w:r>
            <w:r w:rsidR="00BB34D8">
              <w:rPr>
                <w:rFonts w:eastAsia="Times New Roman" w:cs="Segoe UI"/>
                <w:color w:val="000000" w:themeColor="text1"/>
                <w:lang w:eastAsia="en-AU"/>
              </w:rPr>
              <w:t>r</w:t>
            </w:r>
            <w:r w:rsidRPr="6CC68A72">
              <w:rPr>
                <w:rFonts w:eastAsia="Times New Roman" w:cs="Segoe UI"/>
                <w:color w:val="000000" w:themeColor="text1"/>
                <w:lang w:eastAsia="en-AU"/>
              </w:rPr>
              <w:t>atio</w:t>
            </w:r>
            <w:r>
              <w:br/>
            </w:r>
            <w:r w:rsidRPr="00B61FDC">
              <w:rPr>
                <w:rFonts w:eastAsia="Times New Roman" w:cs="Segoe UI"/>
                <w:iCs/>
                <w:color w:val="000000" w:themeColor="text1"/>
                <w:lang w:eastAsia="en-AU"/>
              </w:rPr>
              <w:t xml:space="preserve">Note: </w:t>
            </w:r>
            <w:bookmarkStart w:id="791" w:name="_Int_spTU2qIM"/>
            <w:proofErr w:type="gramStart"/>
            <w:r w:rsidRPr="00B61FDC">
              <w:rPr>
                <w:rFonts w:eastAsia="Times New Roman" w:cs="Segoe UI"/>
                <w:iCs/>
                <w:color w:val="000000" w:themeColor="text1"/>
                <w:lang w:eastAsia="en-AU"/>
              </w:rPr>
              <w:t>the</w:t>
            </w:r>
            <w:bookmarkEnd w:id="791"/>
            <w:proofErr w:type="gramEnd"/>
            <w:r w:rsidRPr="00B61FDC">
              <w:rPr>
                <w:rFonts w:eastAsia="Times New Roman" w:cs="Segoe UI"/>
                <w:iCs/>
                <w:color w:val="000000" w:themeColor="text1"/>
                <w:lang w:eastAsia="en-AU"/>
              </w:rPr>
              <w:t xml:space="preserve"> Institute for Clinical and Economic Review also abbreviates its name to ICER, so will be referred to in full in this document).</w:t>
            </w:r>
          </w:p>
        </w:tc>
      </w:tr>
      <w:tr w:rsidR="00D0173D" w:rsidRPr="0073146B" w14:paraId="52D90838"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06C2166F"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lastRenderedPageBreak/>
              <w:t>KPI</w:t>
            </w:r>
          </w:p>
        </w:tc>
        <w:tc>
          <w:tcPr>
            <w:tcW w:w="6804" w:type="dxa"/>
            <w:hideMark/>
          </w:tcPr>
          <w:p w14:paraId="5EE358F8"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Key performance indicator</w:t>
            </w:r>
          </w:p>
        </w:tc>
      </w:tr>
      <w:tr w:rsidR="00D0173D" w:rsidRPr="0073146B" w14:paraId="701D4098"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B1D3C49" w14:textId="24E13963"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LSDP</w:t>
            </w:r>
          </w:p>
        </w:tc>
        <w:tc>
          <w:tcPr>
            <w:tcW w:w="6804" w:type="dxa"/>
            <w:hideMark/>
          </w:tcPr>
          <w:p w14:paraId="5B9EA498" w14:textId="6F635A29"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Life Saving Drugs Program</w:t>
            </w:r>
          </w:p>
        </w:tc>
      </w:tr>
      <w:tr w:rsidR="00D0173D" w:rsidRPr="0073146B" w14:paraId="43783C1F"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D43FE35"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MAP</w:t>
            </w:r>
          </w:p>
        </w:tc>
        <w:tc>
          <w:tcPr>
            <w:tcW w:w="6804" w:type="dxa"/>
            <w:hideMark/>
          </w:tcPr>
          <w:p w14:paraId="247BFBD1" w14:textId="63251C05" w:rsidR="00D0173D" w:rsidRPr="00F129D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F129DB">
              <w:rPr>
                <w:rFonts w:eastAsia="Times New Roman" w:cs="Segoe UI"/>
                <w:color w:val="000000"/>
                <w:lang w:eastAsia="en-AU"/>
              </w:rPr>
              <w:t>Managed Access Program</w:t>
            </w:r>
            <w:r w:rsidRPr="00F129DB">
              <w:rPr>
                <w:rFonts w:eastAsia="Times New Roman" w:cs="Segoe UI"/>
                <w:color w:val="000000"/>
                <w:lang w:eastAsia="en-AU"/>
              </w:rPr>
              <w:br/>
              <w:t xml:space="preserve">also sometimes known as </w:t>
            </w:r>
            <w:r w:rsidR="00FA396E">
              <w:rPr>
                <w:rFonts w:eastAsia="Times New Roman" w:cs="Segoe UI"/>
                <w:color w:val="000000"/>
                <w:lang w:eastAsia="en-AU"/>
              </w:rPr>
              <w:t>‘</w:t>
            </w:r>
            <w:r w:rsidRPr="00F129DB">
              <w:rPr>
                <w:rFonts w:eastAsia="Times New Roman" w:cs="Segoe UI"/>
                <w:color w:val="000000"/>
                <w:lang w:eastAsia="en-AU"/>
              </w:rPr>
              <w:t>Manage</w:t>
            </w:r>
            <w:r w:rsidR="00FA396E">
              <w:rPr>
                <w:rFonts w:eastAsia="Times New Roman" w:cs="Segoe UI"/>
                <w:color w:val="000000"/>
                <w:lang w:eastAsia="en-AU"/>
              </w:rPr>
              <w:t>d</w:t>
            </w:r>
            <w:r w:rsidRPr="00F129DB">
              <w:rPr>
                <w:rFonts w:eastAsia="Times New Roman" w:cs="Segoe UI"/>
                <w:color w:val="000000"/>
                <w:lang w:eastAsia="en-AU"/>
              </w:rPr>
              <w:t xml:space="preserve"> Entry Programs</w:t>
            </w:r>
            <w:r w:rsidR="00FA396E">
              <w:rPr>
                <w:rFonts w:eastAsia="Times New Roman" w:cs="Segoe UI"/>
                <w:color w:val="000000"/>
                <w:lang w:eastAsia="en-AU"/>
              </w:rPr>
              <w:t>’</w:t>
            </w:r>
            <w:r w:rsidRPr="00F129DB">
              <w:rPr>
                <w:rFonts w:eastAsia="Times New Roman" w:cs="Segoe UI"/>
                <w:color w:val="000000"/>
                <w:lang w:eastAsia="en-AU"/>
              </w:rPr>
              <w:br/>
            </w:r>
            <w:r w:rsidRPr="00B61FDC">
              <w:rPr>
                <w:rFonts w:eastAsia="Times New Roman" w:cs="Segoe UI"/>
                <w:color w:val="000000"/>
                <w:lang w:eastAsia="en-AU"/>
              </w:rPr>
              <w:t>Note: not to be confused with ‘Medicines Access Programs’.</w:t>
            </w:r>
          </w:p>
        </w:tc>
      </w:tr>
      <w:tr w:rsidR="00D0173D" w:rsidRPr="0073146B" w14:paraId="690FFE7F"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6A737C4"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MBS</w:t>
            </w:r>
          </w:p>
        </w:tc>
        <w:tc>
          <w:tcPr>
            <w:tcW w:w="6804" w:type="dxa"/>
            <w:hideMark/>
          </w:tcPr>
          <w:p w14:paraId="0813577D"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Medicare Benefits Schedule (Australia)</w:t>
            </w:r>
          </w:p>
        </w:tc>
      </w:tr>
      <w:tr w:rsidR="00D0173D" w:rsidRPr="0073146B" w14:paraId="40002637"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5A32ECC"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MCDA</w:t>
            </w:r>
          </w:p>
        </w:tc>
        <w:tc>
          <w:tcPr>
            <w:tcW w:w="6804" w:type="dxa"/>
            <w:hideMark/>
          </w:tcPr>
          <w:p w14:paraId="004707BA" w14:textId="1A333AD0" w:rsidR="00D0173D" w:rsidRPr="0073146B" w:rsidRDefault="00EB5CFF">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M</w:t>
            </w:r>
            <w:r w:rsidR="00D0173D" w:rsidRPr="0073146B">
              <w:rPr>
                <w:rFonts w:eastAsia="Times New Roman" w:cs="Segoe UI"/>
                <w:color w:val="000000"/>
                <w:lang w:eastAsia="en-AU"/>
              </w:rPr>
              <w:t>ultiple</w:t>
            </w:r>
            <w:r>
              <w:rPr>
                <w:rFonts w:eastAsia="Times New Roman" w:cs="Segoe UI"/>
                <w:color w:val="000000"/>
                <w:lang w:eastAsia="en-AU"/>
              </w:rPr>
              <w:t>-</w:t>
            </w:r>
            <w:r w:rsidR="00D0173D" w:rsidRPr="0073146B">
              <w:rPr>
                <w:rFonts w:eastAsia="Times New Roman" w:cs="Segoe UI"/>
                <w:color w:val="000000"/>
                <w:lang w:eastAsia="en-AU"/>
              </w:rPr>
              <w:t>criteria decision analys</w:t>
            </w:r>
            <w:r>
              <w:rPr>
                <w:rFonts w:eastAsia="Times New Roman" w:cs="Segoe UI"/>
                <w:color w:val="000000"/>
                <w:lang w:eastAsia="en-AU"/>
              </w:rPr>
              <w:t>i</w:t>
            </w:r>
            <w:r w:rsidR="00D0173D" w:rsidRPr="0073146B">
              <w:rPr>
                <w:rFonts w:eastAsia="Times New Roman" w:cs="Segoe UI"/>
                <w:color w:val="000000"/>
                <w:lang w:eastAsia="en-AU"/>
              </w:rPr>
              <w:t>s</w:t>
            </w:r>
          </w:p>
        </w:tc>
      </w:tr>
      <w:tr w:rsidR="00D0173D" w:rsidRPr="0073146B" w14:paraId="6B313F1A"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0C6D5EF"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MEAs</w:t>
            </w:r>
          </w:p>
        </w:tc>
        <w:tc>
          <w:tcPr>
            <w:tcW w:w="6804" w:type="dxa"/>
            <w:hideMark/>
          </w:tcPr>
          <w:p w14:paraId="470A24C4" w14:textId="27707AD1" w:rsidR="00D0173D" w:rsidRPr="0073146B" w:rsidRDefault="00F129DB">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Pr>
                <w:rFonts w:eastAsia="Times New Roman" w:cs="Segoe UI"/>
                <w:color w:val="000000"/>
                <w:lang w:eastAsia="en-AU"/>
              </w:rPr>
              <w:t>M</w:t>
            </w:r>
            <w:r w:rsidR="00D0173D" w:rsidRPr="0073146B">
              <w:rPr>
                <w:rFonts w:eastAsia="Times New Roman" w:cs="Segoe UI"/>
                <w:color w:val="000000"/>
                <w:lang w:eastAsia="en-AU"/>
              </w:rPr>
              <w:t>anaged entry agreements</w:t>
            </w:r>
            <w:r w:rsidR="00D0173D" w:rsidRPr="0073146B">
              <w:rPr>
                <w:rFonts w:eastAsia="Times New Roman" w:cs="Segoe UI"/>
                <w:color w:val="000000"/>
                <w:lang w:eastAsia="en-AU"/>
              </w:rPr>
              <w:br/>
              <w:t>(includes Managed Access Programs (MAPs)</w:t>
            </w:r>
            <w:r>
              <w:rPr>
                <w:rFonts w:eastAsia="Times New Roman" w:cs="Segoe UI"/>
                <w:color w:val="000000"/>
                <w:lang w:eastAsia="en-AU"/>
              </w:rPr>
              <w:t xml:space="preserve"> and</w:t>
            </w:r>
            <w:r w:rsidR="00D0173D" w:rsidRPr="0073146B">
              <w:rPr>
                <w:rFonts w:eastAsia="Times New Roman" w:cs="Segoe UI"/>
                <w:color w:val="000000"/>
                <w:lang w:eastAsia="en-AU"/>
              </w:rPr>
              <w:t xml:space="preserve"> risk-share arrangements (RSAs)).</w:t>
            </w:r>
          </w:p>
        </w:tc>
      </w:tr>
      <w:tr w:rsidR="00D0173D" w:rsidRPr="0073146B" w14:paraId="6C6CB55F"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7972732"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MSAC</w:t>
            </w:r>
          </w:p>
        </w:tc>
        <w:tc>
          <w:tcPr>
            <w:tcW w:w="6804" w:type="dxa"/>
            <w:hideMark/>
          </w:tcPr>
          <w:p w14:paraId="5CC77F55"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Medical Services Advisory Committee (Australia)</w:t>
            </w:r>
          </w:p>
        </w:tc>
      </w:tr>
      <w:tr w:rsidR="00D0173D" w:rsidRPr="0073146B" w14:paraId="58C2706F"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176E105"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MSAC ESC</w:t>
            </w:r>
          </w:p>
        </w:tc>
        <w:tc>
          <w:tcPr>
            <w:tcW w:w="6804" w:type="dxa"/>
            <w:hideMark/>
          </w:tcPr>
          <w:p w14:paraId="68A338AF"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MSAC evaluation sub-committee (Australia)</w:t>
            </w:r>
            <w:r w:rsidRPr="0073146B">
              <w:rPr>
                <w:rFonts w:eastAsia="Times New Roman" w:cs="Segoe UI"/>
                <w:color w:val="000000"/>
                <w:lang w:eastAsia="en-AU"/>
              </w:rPr>
              <w:br/>
            </w:r>
            <w:r w:rsidRPr="00B61FDC">
              <w:rPr>
                <w:rFonts w:eastAsia="Times New Roman" w:cs="Segoe UI"/>
                <w:color w:val="000000"/>
                <w:lang w:eastAsia="en-AU"/>
              </w:rPr>
              <w:t>Note: not the same as ESC, economic sub-committee)</w:t>
            </w:r>
          </w:p>
        </w:tc>
      </w:tr>
      <w:tr w:rsidR="00D0173D" w:rsidRPr="0073146B" w14:paraId="533B2241"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36602A84"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NACCHO</w:t>
            </w:r>
          </w:p>
        </w:tc>
        <w:tc>
          <w:tcPr>
            <w:tcW w:w="6804" w:type="dxa"/>
            <w:hideMark/>
          </w:tcPr>
          <w:p w14:paraId="224BDBC7"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National Aboriginal Community Controlled Health Organisation</w:t>
            </w:r>
          </w:p>
        </w:tc>
      </w:tr>
      <w:tr w:rsidR="00D0173D" w:rsidRPr="0073146B" w14:paraId="78A7D6D8"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FBD0278" w14:textId="2009C58B" w:rsidR="00D0173D" w:rsidRPr="003C33D9" w:rsidRDefault="004B2E1F">
            <w:pPr>
              <w:rPr>
                <w:rFonts w:eastAsia="Times New Roman" w:cs="Segoe UI"/>
                <w:b w:val="0"/>
                <w:bCs w:val="0"/>
                <w:color w:val="0563C1"/>
                <w:u w:val="single"/>
                <w:lang w:eastAsia="en-AU"/>
              </w:rPr>
            </w:pPr>
            <w:r w:rsidRPr="003C33D9">
              <w:rPr>
                <w:rFonts w:eastAsia="Times New Roman" w:cs="Segoe UI"/>
                <w:b w:val="0"/>
                <w:bCs w:val="0"/>
                <w:color w:val="0563C1"/>
                <w:u w:val="single"/>
                <w:lang w:eastAsia="en-AU"/>
              </w:rPr>
              <w:t>NHRA</w:t>
            </w:r>
          </w:p>
        </w:tc>
        <w:tc>
          <w:tcPr>
            <w:tcW w:w="6804" w:type="dxa"/>
            <w:hideMark/>
          </w:tcPr>
          <w:p w14:paraId="311473B6" w14:textId="7095796D" w:rsidR="00D0173D" w:rsidRPr="0073146B" w:rsidRDefault="00847484">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hyperlink r:id="rId33" w:history="1">
              <w:r w:rsidR="00D0173D" w:rsidRPr="004B2E1F">
                <w:rPr>
                  <w:rStyle w:val="Hyperlink"/>
                  <w:rFonts w:eastAsia="Times New Roman" w:cs="Segoe UI"/>
                  <w:lang w:eastAsia="en-AU"/>
                </w:rPr>
                <w:t>National Health Reform Agreement</w:t>
              </w:r>
            </w:hyperlink>
          </w:p>
        </w:tc>
      </w:tr>
      <w:tr w:rsidR="00D0173D" w:rsidRPr="0073146B" w14:paraId="415EFC34"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DA5F94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NICE</w:t>
            </w:r>
          </w:p>
        </w:tc>
        <w:tc>
          <w:tcPr>
            <w:tcW w:w="6804" w:type="dxa"/>
            <w:hideMark/>
          </w:tcPr>
          <w:p w14:paraId="4358D137"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National Institute for Health and Care Excellence (UK)</w:t>
            </w:r>
          </w:p>
        </w:tc>
      </w:tr>
      <w:tr w:rsidR="00D0173D" w:rsidRPr="0073146B" w14:paraId="2E9A5C89"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3FE2CD5"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NIHRIO</w:t>
            </w:r>
          </w:p>
        </w:tc>
        <w:tc>
          <w:tcPr>
            <w:tcW w:w="6804" w:type="dxa"/>
            <w:hideMark/>
          </w:tcPr>
          <w:p w14:paraId="790ACE54"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National Institute for Health and Care Research Innovation Observatory (UK)</w:t>
            </w:r>
          </w:p>
        </w:tc>
      </w:tr>
      <w:tr w:rsidR="00D0173D" w:rsidRPr="0073146B" w14:paraId="45ABD970"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2DCBC8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NIP</w:t>
            </w:r>
          </w:p>
        </w:tc>
        <w:tc>
          <w:tcPr>
            <w:tcW w:w="6804" w:type="dxa"/>
            <w:hideMark/>
          </w:tcPr>
          <w:p w14:paraId="193948D5"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National Immunisation Program (Australia)</w:t>
            </w:r>
          </w:p>
        </w:tc>
      </w:tr>
      <w:tr w:rsidR="00D0173D" w:rsidRPr="0073146B" w14:paraId="1E58DA25"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B4747DF"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NMP</w:t>
            </w:r>
          </w:p>
        </w:tc>
        <w:tc>
          <w:tcPr>
            <w:tcW w:w="6804" w:type="dxa"/>
            <w:hideMark/>
          </w:tcPr>
          <w:p w14:paraId="589D1C70" w14:textId="1C378A8F" w:rsidR="00D0173D" w:rsidRPr="0073146B" w:rsidRDefault="00847484">
            <w:pPr>
              <w:cnfStyle w:val="000000000000" w:firstRow="0" w:lastRow="0" w:firstColumn="0" w:lastColumn="0" w:oddVBand="0" w:evenVBand="0" w:oddHBand="0" w:evenHBand="0" w:firstRowFirstColumn="0" w:firstRowLastColumn="0" w:lastRowFirstColumn="0" w:lastRowLastColumn="0"/>
              <w:rPr>
                <w:rFonts w:eastAsia="Times New Roman" w:cs="Segoe UI"/>
                <w:color w:val="0563C1"/>
                <w:u w:val="single"/>
                <w:lang w:eastAsia="en-AU"/>
              </w:rPr>
            </w:pPr>
            <w:hyperlink r:id="rId34" w:history="1">
              <w:r w:rsidR="00845E81">
                <w:rPr>
                  <w:rFonts w:eastAsia="Times New Roman" w:cs="Segoe UI"/>
                  <w:color w:val="0563C1"/>
                  <w:u w:val="single"/>
                  <w:lang w:eastAsia="en-AU"/>
                </w:rPr>
                <w:t>N</w:t>
              </w:r>
              <w:r w:rsidR="00845E81">
                <w:rPr>
                  <w:rFonts w:eastAsia="Times New Roman"/>
                  <w:color w:val="0563C1"/>
                  <w:u w:val="single"/>
                  <w:lang w:eastAsia="en-AU"/>
                </w:rPr>
                <w:t>ational</w:t>
              </w:r>
            </w:hyperlink>
            <w:r w:rsidR="00845E81">
              <w:rPr>
                <w:rFonts w:eastAsia="Times New Roman" w:cs="Segoe UI"/>
                <w:color w:val="0563C1"/>
                <w:u w:val="single"/>
                <w:lang w:eastAsia="en-AU"/>
              </w:rPr>
              <w:t xml:space="preserve"> </w:t>
            </w:r>
            <w:r w:rsidR="00845E81">
              <w:rPr>
                <w:rFonts w:eastAsia="Times New Roman"/>
                <w:color w:val="0563C1"/>
                <w:u w:val="single"/>
                <w:lang w:eastAsia="en-AU"/>
              </w:rPr>
              <w:t>Medicines Policy</w:t>
            </w:r>
          </w:p>
        </w:tc>
      </w:tr>
      <w:tr w:rsidR="00D0173D" w:rsidRPr="0073146B" w14:paraId="5BBC4BAA"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1B56EAB"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OECD</w:t>
            </w:r>
          </w:p>
        </w:tc>
        <w:tc>
          <w:tcPr>
            <w:tcW w:w="6804" w:type="dxa"/>
            <w:hideMark/>
          </w:tcPr>
          <w:p w14:paraId="38637CEC"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Organisation for Economic Co-operation and Development</w:t>
            </w:r>
          </w:p>
        </w:tc>
      </w:tr>
      <w:tr w:rsidR="00D0173D" w:rsidRPr="0073146B" w14:paraId="443D2248"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3F27A90"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PBAC</w:t>
            </w:r>
          </w:p>
        </w:tc>
        <w:tc>
          <w:tcPr>
            <w:tcW w:w="6804" w:type="dxa"/>
            <w:hideMark/>
          </w:tcPr>
          <w:p w14:paraId="5854B1FD"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Pharmaceutical Benefits Advisory Committee (Australia)</w:t>
            </w:r>
          </w:p>
        </w:tc>
      </w:tr>
      <w:tr w:rsidR="00D0173D" w:rsidRPr="0073146B" w14:paraId="3275DEE0"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8590928"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PBS</w:t>
            </w:r>
          </w:p>
        </w:tc>
        <w:tc>
          <w:tcPr>
            <w:tcW w:w="6804" w:type="dxa"/>
            <w:hideMark/>
          </w:tcPr>
          <w:p w14:paraId="0AC13E0B"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Pharmaceutical Benefits Scheme (Australia)</w:t>
            </w:r>
          </w:p>
        </w:tc>
      </w:tr>
      <w:tr w:rsidR="00D0173D" w:rsidRPr="0073146B" w14:paraId="0F6B7A08"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0E159468"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PhRMA</w:t>
            </w:r>
          </w:p>
        </w:tc>
        <w:tc>
          <w:tcPr>
            <w:tcW w:w="6804" w:type="dxa"/>
            <w:hideMark/>
          </w:tcPr>
          <w:p w14:paraId="6CEB06A9"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Pharmaceutical Research and Manufacturers of America</w:t>
            </w:r>
          </w:p>
        </w:tc>
      </w:tr>
      <w:tr w:rsidR="00D0173D" w:rsidRPr="0073146B" w14:paraId="2D127AE4"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9354978" w14:textId="5186D6DF"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PICO</w:t>
            </w:r>
          </w:p>
        </w:tc>
        <w:tc>
          <w:tcPr>
            <w:tcW w:w="6804" w:type="dxa"/>
            <w:hideMark/>
          </w:tcPr>
          <w:p w14:paraId="7C503BC9"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Population, Intervention, Comparator, and Outcome</w:t>
            </w:r>
          </w:p>
        </w:tc>
      </w:tr>
      <w:tr w:rsidR="00D0173D" w:rsidRPr="0073146B" w14:paraId="36BD4F2B"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4869D3C"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PO</w:t>
            </w:r>
          </w:p>
        </w:tc>
        <w:tc>
          <w:tcPr>
            <w:tcW w:w="6804" w:type="dxa"/>
            <w:hideMark/>
          </w:tcPr>
          <w:p w14:paraId="6B4AFC48"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pricing offer</w:t>
            </w:r>
          </w:p>
        </w:tc>
      </w:tr>
      <w:tr w:rsidR="00D0173D" w:rsidRPr="0073146B" w14:paraId="02D421D3"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792E59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PREM</w:t>
            </w:r>
          </w:p>
        </w:tc>
        <w:tc>
          <w:tcPr>
            <w:tcW w:w="6804" w:type="dxa"/>
            <w:hideMark/>
          </w:tcPr>
          <w:p w14:paraId="797E7179" w14:textId="6ADA1186"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Patient</w:t>
            </w:r>
            <w:r w:rsidR="00E56288">
              <w:rPr>
                <w:rFonts w:eastAsia="Times New Roman" w:cs="Segoe UI"/>
                <w:color w:val="000000"/>
                <w:lang w:eastAsia="en-AU"/>
              </w:rPr>
              <w:t>-r</w:t>
            </w:r>
            <w:r w:rsidRPr="0073146B">
              <w:rPr>
                <w:rFonts w:eastAsia="Times New Roman" w:cs="Segoe UI"/>
                <w:color w:val="000000"/>
                <w:lang w:eastAsia="en-AU"/>
              </w:rPr>
              <w:t xml:space="preserve">eported </w:t>
            </w:r>
            <w:r w:rsidR="00E56288">
              <w:rPr>
                <w:rFonts w:eastAsia="Times New Roman" w:cs="Segoe UI"/>
                <w:color w:val="000000"/>
                <w:lang w:eastAsia="en-AU"/>
              </w:rPr>
              <w:t>e</w:t>
            </w:r>
            <w:r w:rsidRPr="0073146B">
              <w:rPr>
                <w:rFonts w:eastAsia="Times New Roman" w:cs="Segoe UI"/>
                <w:color w:val="000000"/>
                <w:lang w:eastAsia="en-AU"/>
              </w:rPr>
              <w:t xml:space="preserve">xperience </w:t>
            </w:r>
            <w:r w:rsidR="00E56288">
              <w:rPr>
                <w:rFonts w:eastAsia="Times New Roman" w:cs="Segoe UI"/>
                <w:color w:val="000000"/>
                <w:lang w:eastAsia="en-AU"/>
              </w:rPr>
              <w:t>m</w:t>
            </w:r>
            <w:r w:rsidRPr="0073146B">
              <w:rPr>
                <w:rFonts w:eastAsia="Times New Roman" w:cs="Segoe UI"/>
                <w:color w:val="000000"/>
                <w:lang w:eastAsia="en-AU"/>
              </w:rPr>
              <w:t xml:space="preserve">easure </w:t>
            </w:r>
          </w:p>
        </w:tc>
      </w:tr>
      <w:tr w:rsidR="00D0173D" w:rsidRPr="0073146B" w14:paraId="172BEC34"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F2260AA"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PROM</w:t>
            </w:r>
          </w:p>
        </w:tc>
        <w:tc>
          <w:tcPr>
            <w:tcW w:w="6804" w:type="dxa"/>
            <w:hideMark/>
          </w:tcPr>
          <w:p w14:paraId="04E31867" w14:textId="1A0A7C89"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Patient</w:t>
            </w:r>
            <w:r w:rsidR="00E56288">
              <w:rPr>
                <w:rFonts w:eastAsia="Times New Roman" w:cs="Segoe UI"/>
                <w:color w:val="000000"/>
                <w:lang w:eastAsia="en-AU"/>
              </w:rPr>
              <w:t>-r</w:t>
            </w:r>
            <w:r w:rsidRPr="0073146B">
              <w:rPr>
                <w:rFonts w:eastAsia="Times New Roman" w:cs="Segoe UI"/>
                <w:color w:val="000000"/>
                <w:lang w:eastAsia="en-AU"/>
              </w:rPr>
              <w:t xml:space="preserve">eported </w:t>
            </w:r>
            <w:r w:rsidR="00E56288">
              <w:rPr>
                <w:rFonts w:eastAsia="Times New Roman" w:cs="Segoe UI"/>
                <w:color w:val="000000"/>
                <w:lang w:eastAsia="en-AU"/>
              </w:rPr>
              <w:t>o</w:t>
            </w:r>
            <w:r w:rsidRPr="0073146B">
              <w:rPr>
                <w:rFonts w:eastAsia="Times New Roman" w:cs="Segoe UI"/>
                <w:color w:val="000000"/>
                <w:lang w:eastAsia="en-AU"/>
              </w:rPr>
              <w:t xml:space="preserve">utcome </w:t>
            </w:r>
            <w:r w:rsidR="00E56288">
              <w:rPr>
                <w:rFonts w:eastAsia="Times New Roman" w:cs="Segoe UI"/>
                <w:color w:val="000000"/>
                <w:lang w:eastAsia="en-AU"/>
              </w:rPr>
              <w:t>m</w:t>
            </w:r>
            <w:r w:rsidRPr="0073146B">
              <w:rPr>
                <w:rFonts w:eastAsia="Times New Roman" w:cs="Segoe UI"/>
                <w:color w:val="000000"/>
                <w:lang w:eastAsia="en-AU"/>
              </w:rPr>
              <w:t>easure</w:t>
            </w:r>
          </w:p>
        </w:tc>
      </w:tr>
      <w:tr w:rsidR="00D0173D" w:rsidRPr="0073146B" w14:paraId="2DA6C8EA"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0B1156FE" w14:textId="7887D597" w:rsidR="00D0173D" w:rsidRPr="003C33D9" w:rsidRDefault="00D0173D">
            <w:pPr>
              <w:rPr>
                <w:rFonts w:eastAsia="Times New Roman" w:cs="Segoe UI"/>
                <w:b w:val="0"/>
                <w:bCs w:val="0"/>
                <w:color w:val="000000"/>
                <w:lang w:eastAsia="en-AU"/>
              </w:rPr>
            </w:pPr>
            <w:r w:rsidRPr="003C33D9">
              <w:rPr>
                <w:rFonts w:eastAsia="Segoe UI" w:cs="Segoe UI"/>
                <w:b w:val="0"/>
                <w:bCs w:val="0"/>
                <w:color w:val="000000"/>
                <w:lang w:val="en-US" w:eastAsia="en-AU"/>
              </w:rPr>
              <w:t>PSD</w:t>
            </w:r>
            <w:r w:rsidR="00E56288">
              <w:rPr>
                <w:rFonts w:eastAsia="Segoe UI" w:cs="Segoe UI"/>
                <w:b w:val="0"/>
                <w:bCs w:val="0"/>
                <w:color w:val="000000"/>
                <w:lang w:val="en-US" w:eastAsia="en-AU"/>
              </w:rPr>
              <w:t>s</w:t>
            </w:r>
          </w:p>
        </w:tc>
        <w:tc>
          <w:tcPr>
            <w:tcW w:w="6804" w:type="dxa"/>
            <w:noWrap/>
            <w:hideMark/>
          </w:tcPr>
          <w:p w14:paraId="3343086B" w14:textId="1C6C62A0"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val="en-US" w:eastAsia="en-AU"/>
              </w:rPr>
              <w:t xml:space="preserve">Public </w:t>
            </w:r>
            <w:r w:rsidR="00AB1F2E">
              <w:rPr>
                <w:rFonts w:eastAsia="Times New Roman" w:cs="Segoe UI"/>
                <w:color w:val="000000"/>
                <w:lang w:val="en-US" w:eastAsia="en-AU"/>
              </w:rPr>
              <w:t>s</w:t>
            </w:r>
            <w:r w:rsidRPr="0073146B">
              <w:rPr>
                <w:rFonts w:eastAsia="Times New Roman" w:cs="Segoe UI"/>
                <w:color w:val="000000"/>
                <w:lang w:val="en-US" w:eastAsia="en-AU"/>
              </w:rPr>
              <w:t xml:space="preserve">ummary </w:t>
            </w:r>
            <w:r w:rsidR="00AB1F2E">
              <w:rPr>
                <w:rFonts w:eastAsia="Times New Roman" w:cs="Segoe UI"/>
                <w:color w:val="000000"/>
                <w:lang w:val="en-US" w:eastAsia="en-AU"/>
              </w:rPr>
              <w:t>d</w:t>
            </w:r>
            <w:r w:rsidRPr="0073146B">
              <w:rPr>
                <w:rFonts w:eastAsia="Times New Roman" w:cs="Segoe UI"/>
                <w:color w:val="000000"/>
                <w:lang w:val="en-US" w:eastAsia="en-AU"/>
              </w:rPr>
              <w:t xml:space="preserve">ocuments </w:t>
            </w:r>
          </w:p>
        </w:tc>
      </w:tr>
      <w:tr w:rsidR="00D0173D" w:rsidRPr="0073146B" w14:paraId="55A7DC5D"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2767CE4"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QALY</w:t>
            </w:r>
          </w:p>
        </w:tc>
        <w:tc>
          <w:tcPr>
            <w:tcW w:w="6804" w:type="dxa"/>
            <w:hideMark/>
          </w:tcPr>
          <w:p w14:paraId="46A22665" w14:textId="440820A3" w:rsidR="00D0173D" w:rsidRPr="0073146B" w:rsidRDefault="00E56288">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Pr>
                <w:rFonts w:eastAsia="Times New Roman" w:cs="Segoe UI"/>
                <w:color w:val="000000"/>
                <w:lang w:eastAsia="en-AU"/>
              </w:rPr>
              <w:t>Q</w:t>
            </w:r>
            <w:r w:rsidR="00D0173D" w:rsidRPr="0073146B">
              <w:rPr>
                <w:rFonts w:eastAsia="Times New Roman" w:cs="Segoe UI"/>
                <w:color w:val="000000"/>
                <w:lang w:eastAsia="en-AU"/>
              </w:rPr>
              <w:t>uality</w:t>
            </w:r>
            <w:r>
              <w:rPr>
                <w:rFonts w:eastAsia="Times New Roman" w:cs="Segoe UI"/>
                <w:color w:val="000000"/>
                <w:lang w:eastAsia="en-AU"/>
              </w:rPr>
              <w:t>-</w:t>
            </w:r>
            <w:r w:rsidR="00D0173D" w:rsidRPr="0073146B">
              <w:rPr>
                <w:rFonts w:eastAsia="Times New Roman" w:cs="Segoe UI"/>
                <w:color w:val="000000"/>
                <w:lang w:eastAsia="en-AU"/>
              </w:rPr>
              <w:t>adjusted life</w:t>
            </w:r>
            <w:r>
              <w:rPr>
                <w:rFonts w:eastAsia="Times New Roman" w:cs="Segoe UI"/>
                <w:color w:val="000000"/>
                <w:lang w:eastAsia="en-AU"/>
              </w:rPr>
              <w:t xml:space="preserve"> </w:t>
            </w:r>
            <w:r w:rsidR="00D0173D" w:rsidRPr="0073146B">
              <w:rPr>
                <w:rFonts w:eastAsia="Times New Roman" w:cs="Segoe UI"/>
                <w:color w:val="000000"/>
                <w:lang w:eastAsia="en-AU"/>
              </w:rPr>
              <w:t>year</w:t>
            </w:r>
          </w:p>
        </w:tc>
      </w:tr>
      <w:tr w:rsidR="00D0173D" w:rsidRPr="0073146B" w14:paraId="77B90083"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23BDB64D"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RCTs</w:t>
            </w:r>
          </w:p>
        </w:tc>
        <w:tc>
          <w:tcPr>
            <w:tcW w:w="6804" w:type="dxa"/>
            <w:hideMark/>
          </w:tcPr>
          <w:p w14:paraId="40076BA2" w14:textId="06D8F345" w:rsidR="00D0173D" w:rsidRPr="0073146B" w:rsidRDefault="00E56288">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Pr>
                <w:rFonts w:eastAsia="Times New Roman" w:cs="Segoe UI"/>
                <w:color w:val="000000"/>
                <w:lang w:eastAsia="en-AU"/>
              </w:rPr>
              <w:t>R</w:t>
            </w:r>
            <w:r w:rsidR="00D0173D" w:rsidRPr="0073146B">
              <w:rPr>
                <w:rFonts w:eastAsia="Times New Roman" w:cs="Segoe UI"/>
                <w:color w:val="000000"/>
                <w:lang w:eastAsia="en-AU"/>
              </w:rPr>
              <w:t>andomised controlled trials</w:t>
            </w:r>
          </w:p>
        </w:tc>
      </w:tr>
      <w:tr w:rsidR="00D0173D" w:rsidRPr="0073146B" w14:paraId="601DE9BF"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B0CF02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RPBS</w:t>
            </w:r>
          </w:p>
        </w:tc>
        <w:tc>
          <w:tcPr>
            <w:tcW w:w="6804" w:type="dxa"/>
            <w:hideMark/>
          </w:tcPr>
          <w:p w14:paraId="6A65D80A" w14:textId="4BF960AD"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Repatriation Pharmaceutical Benefits Scheme</w:t>
            </w:r>
          </w:p>
        </w:tc>
      </w:tr>
      <w:tr w:rsidR="00D0173D" w:rsidRPr="0073146B" w14:paraId="01B95CBD"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769D36B9"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RWD</w:t>
            </w:r>
          </w:p>
        </w:tc>
        <w:tc>
          <w:tcPr>
            <w:tcW w:w="6804" w:type="dxa"/>
            <w:hideMark/>
          </w:tcPr>
          <w:p w14:paraId="08495E75" w14:textId="1F0DBFED"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Real-</w:t>
            </w:r>
            <w:r w:rsidR="00E56288">
              <w:rPr>
                <w:rFonts w:eastAsia="Times New Roman" w:cs="Segoe UI"/>
                <w:color w:val="000000"/>
                <w:lang w:eastAsia="en-AU"/>
              </w:rPr>
              <w:t>w</w:t>
            </w:r>
            <w:r w:rsidRPr="0073146B">
              <w:rPr>
                <w:rFonts w:eastAsia="Times New Roman" w:cs="Segoe UI"/>
                <w:color w:val="000000"/>
                <w:lang w:eastAsia="en-AU"/>
              </w:rPr>
              <w:t xml:space="preserve">orld </w:t>
            </w:r>
            <w:r w:rsidR="00E56288">
              <w:rPr>
                <w:rFonts w:eastAsia="Times New Roman" w:cs="Segoe UI"/>
                <w:color w:val="000000"/>
                <w:lang w:eastAsia="en-AU"/>
              </w:rPr>
              <w:t>d</w:t>
            </w:r>
            <w:r w:rsidRPr="0073146B">
              <w:rPr>
                <w:rFonts w:eastAsia="Times New Roman" w:cs="Segoe UI"/>
                <w:color w:val="000000"/>
                <w:lang w:eastAsia="en-AU"/>
              </w:rPr>
              <w:t>ata</w:t>
            </w:r>
          </w:p>
        </w:tc>
      </w:tr>
      <w:tr w:rsidR="00D0173D" w:rsidRPr="0073146B" w14:paraId="525B6650"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3F2774E9" w14:textId="3CEE0C24"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RWE</w:t>
            </w:r>
          </w:p>
        </w:tc>
        <w:tc>
          <w:tcPr>
            <w:tcW w:w="6804" w:type="dxa"/>
            <w:hideMark/>
          </w:tcPr>
          <w:p w14:paraId="67BCD59A" w14:textId="3078BEB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Real-</w:t>
            </w:r>
            <w:r w:rsidR="00E56288">
              <w:rPr>
                <w:rFonts w:eastAsia="Times New Roman" w:cs="Segoe UI"/>
                <w:color w:val="000000"/>
                <w:lang w:eastAsia="en-AU"/>
              </w:rPr>
              <w:t>w</w:t>
            </w:r>
            <w:r w:rsidRPr="0073146B">
              <w:rPr>
                <w:rFonts w:eastAsia="Times New Roman" w:cs="Segoe UI"/>
                <w:color w:val="000000"/>
                <w:lang w:eastAsia="en-AU"/>
              </w:rPr>
              <w:t xml:space="preserve">orld </w:t>
            </w:r>
            <w:r w:rsidR="00E56288">
              <w:rPr>
                <w:rFonts w:eastAsia="Times New Roman" w:cs="Segoe UI"/>
                <w:color w:val="000000"/>
                <w:lang w:eastAsia="en-AU"/>
              </w:rPr>
              <w:t>e</w:t>
            </w:r>
            <w:r w:rsidRPr="0073146B">
              <w:rPr>
                <w:rFonts w:eastAsia="Times New Roman" w:cs="Segoe UI"/>
                <w:color w:val="000000"/>
                <w:lang w:eastAsia="en-AU"/>
              </w:rPr>
              <w:t>vidence</w:t>
            </w:r>
          </w:p>
        </w:tc>
      </w:tr>
      <w:tr w:rsidR="00D0173D" w:rsidRPr="0073146B" w14:paraId="2EC82D32"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1770DE1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SOC</w:t>
            </w:r>
          </w:p>
        </w:tc>
        <w:tc>
          <w:tcPr>
            <w:tcW w:w="6804" w:type="dxa"/>
            <w:hideMark/>
          </w:tcPr>
          <w:p w14:paraId="6004AF5B" w14:textId="233951DE" w:rsidR="00D0173D" w:rsidRPr="0073146B" w:rsidRDefault="00E56288">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Pr>
                <w:rFonts w:eastAsia="Times New Roman" w:cs="Segoe UI"/>
                <w:color w:val="000000"/>
                <w:lang w:eastAsia="en-AU"/>
              </w:rPr>
              <w:t>s</w:t>
            </w:r>
            <w:r w:rsidR="00D0173D" w:rsidRPr="0073146B">
              <w:rPr>
                <w:rFonts w:eastAsia="Times New Roman" w:cs="Segoe UI"/>
                <w:color w:val="000000"/>
                <w:lang w:eastAsia="en-AU"/>
              </w:rPr>
              <w:t>tandard of care</w:t>
            </w:r>
          </w:p>
        </w:tc>
      </w:tr>
      <w:tr w:rsidR="00D0173D" w:rsidRPr="0073146B" w14:paraId="78A1BA5F"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507AA9A9"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STEDI</w:t>
            </w:r>
          </w:p>
        </w:tc>
        <w:tc>
          <w:tcPr>
            <w:tcW w:w="6804" w:type="dxa"/>
            <w:hideMark/>
          </w:tcPr>
          <w:p w14:paraId="0CCB91B6" w14:textId="69066DE3"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bookmarkStart w:id="792" w:name="_Hlk167731051"/>
            <w:r w:rsidRPr="0073146B">
              <w:rPr>
                <w:rFonts w:eastAsia="Times New Roman" w:cs="Segoe UI"/>
                <w:color w:val="000000"/>
                <w:lang w:eastAsia="en-AU"/>
              </w:rPr>
              <w:t>Spectrum, Transmission, Enablement, Diversity</w:t>
            </w:r>
            <w:r w:rsidR="00E56288">
              <w:rPr>
                <w:rFonts w:eastAsia="Times New Roman" w:cs="Segoe UI"/>
                <w:color w:val="000000"/>
                <w:lang w:eastAsia="en-AU"/>
              </w:rPr>
              <w:t xml:space="preserve"> and</w:t>
            </w:r>
            <w:r w:rsidRPr="0073146B">
              <w:rPr>
                <w:rFonts w:eastAsia="Times New Roman" w:cs="Segoe UI"/>
                <w:color w:val="000000"/>
                <w:lang w:eastAsia="en-AU"/>
              </w:rPr>
              <w:t xml:space="preserve"> Insurance Value</w:t>
            </w:r>
            <w:bookmarkEnd w:id="792"/>
          </w:p>
        </w:tc>
      </w:tr>
      <w:tr w:rsidR="00D0173D" w:rsidRPr="0073146B" w14:paraId="517CB1EA"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6F77C4BF"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TGA</w:t>
            </w:r>
          </w:p>
        </w:tc>
        <w:tc>
          <w:tcPr>
            <w:tcW w:w="6804" w:type="dxa"/>
            <w:hideMark/>
          </w:tcPr>
          <w:p w14:paraId="60C3C580"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Therapeutic Goods Administration (Australia)</w:t>
            </w:r>
          </w:p>
        </w:tc>
      </w:tr>
      <w:tr w:rsidR="00D0173D" w:rsidRPr="0073146B" w14:paraId="623CAF75"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31569336"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TIS</w:t>
            </w:r>
          </w:p>
        </w:tc>
        <w:tc>
          <w:tcPr>
            <w:tcW w:w="6804" w:type="dxa"/>
            <w:hideMark/>
          </w:tcPr>
          <w:p w14:paraId="615A5A07"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proofErr w:type="spellStart"/>
            <w:r w:rsidRPr="0073146B">
              <w:rPr>
                <w:rFonts w:eastAsia="Times New Roman" w:cs="Segoe UI"/>
                <w:color w:val="000000"/>
                <w:lang w:eastAsia="en-AU"/>
              </w:rPr>
              <w:t>tisagenlecleucel</w:t>
            </w:r>
            <w:proofErr w:type="spellEnd"/>
            <w:r w:rsidRPr="0073146B">
              <w:rPr>
                <w:rFonts w:eastAsia="Times New Roman" w:cs="Segoe UI"/>
                <w:color w:val="000000"/>
                <w:lang w:eastAsia="en-AU"/>
              </w:rPr>
              <w:t xml:space="preserve"> (a type of CAR-T therapy)</w:t>
            </w:r>
          </w:p>
        </w:tc>
      </w:tr>
      <w:tr w:rsidR="00D0173D" w:rsidRPr="0073146B" w14:paraId="40FF43F7"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hideMark/>
          </w:tcPr>
          <w:p w14:paraId="4D241171"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UK</w:t>
            </w:r>
          </w:p>
        </w:tc>
        <w:tc>
          <w:tcPr>
            <w:tcW w:w="6804" w:type="dxa"/>
            <w:hideMark/>
          </w:tcPr>
          <w:p w14:paraId="7BBDF224" w14:textId="77777777"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United Kingdom</w:t>
            </w:r>
          </w:p>
        </w:tc>
      </w:tr>
      <w:tr w:rsidR="00D0173D" w:rsidRPr="0073146B" w14:paraId="576EB963" w14:textId="77777777" w:rsidTr="00B61FDC">
        <w:trPr>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1BDF425C" w14:textId="4F46041D"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US</w:t>
            </w:r>
          </w:p>
        </w:tc>
        <w:tc>
          <w:tcPr>
            <w:tcW w:w="6804" w:type="dxa"/>
            <w:hideMark/>
          </w:tcPr>
          <w:p w14:paraId="5F017EEA" w14:textId="77777777" w:rsidR="00D0173D" w:rsidRPr="0073146B" w:rsidRDefault="00D0173D">
            <w:pPr>
              <w:cnfStyle w:val="000000000000" w:firstRow="0" w:lastRow="0" w:firstColumn="0" w:lastColumn="0" w:oddVBand="0" w:evenVBand="0" w:oddHBand="0" w:evenHBand="0" w:firstRowFirstColumn="0" w:firstRowLastColumn="0" w:lastRowFirstColumn="0" w:lastRowLastColumn="0"/>
              <w:rPr>
                <w:rFonts w:eastAsia="Times New Roman" w:cs="Segoe UI"/>
                <w:color w:val="000000"/>
                <w:lang w:eastAsia="en-AU"/>
              </w:rPr>
            </w:pPr>
            <w:r w:rsidRPr="0073146B">
              <w:rPr>
                <w:rFonts w:eastAsia="Times New Roman" w:cs="Segoe UI"/>
                <w:color w:val="000000"/>
                <w:lang w:eastAsia="en-AU"/>
              </w:rPr>
              <w:t>United States of America</w:t>
            </w:r>
          </w:p>
        </w:tc>
      </w:tr>
      <w:tr w:rsidR="00D0173D" w:rsidRPr="0073146B" w14:paraId="6C56EEF4" w14:textId="77777777" w:rsidTr="00B61FD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11" w:type="dxa"/>
            <w:noWrap/>
            <w:hideMark/>
          </w:tcPr>
          <w:p w14:paraId="4DCAF7C3" w14:textId="77777777" w:rsidR="00D0173D" w:rsidRPr="003C33D9" w:rsidRDefault="00D0173D">
            <w:pPr>
              <w:rPr>
                <w:rFonts w:eastAsia="Times New Roman" w:cs="Segoe UI"/>
                <w:b w:val="0"/>
                <w:bCs w:val="0"/>
                <w:color w:val="000000"/>
                <w:lang w:eastAsia="en-AU"/>
              </w:rPr>
            </w:pPr>
            <w:r w:rsidRPr="003C33D9">
              <w:rPr>
                <w:rFonts w:eastAsia="Times New Roman" w:cs="Segoe UI"/>
                <w:b w:val="0"/>
                <w:bCs w:val="0"/>
                <w:color w:val="000000"/>
                <w:lang w:eastAsia="en-AU"/>
              </w:rPr>
              <w:t>WHO</w:t>
            </w:r>
          </w:p>
        </w:tc>
        <w:tc>
          <w:tcPr>
            <w:tcW w:w="6804" w:type="dxa"/>
            <w:noWrap/>
            <w:hideMark/>
          </w:tcPr>
          <w:p w14:paraId="7E8FC3C9" w14:textId="45759BEB" w:rsidR="00D0173D" w:rsidRPr="0073146B" w:rsidRDefault="00D0173D">
            <w:pPr>
              <w:cnfStyle w:val="000000100000" w:firstRow="0" w:lastRow="0" w:firstColumn="0" w:lastColumn="0" w:oddVBand="0" w:evenVBand="0" w:oddHBand="1" w:evenHBand="0" w:firstRowFirstColumn="0" w:firstRowLastColumn="0" w:lastRowFirstColumn="0" w:lastRowLastColumn="0"/>
              <w:rPr>
                <w:rFonts w:eastAsia="Times New Roman" w:cs="Segoe UI"/>
                <w:color w:val="000000"/>
                <w:lang w:eastAsia="en-AU"/>
              </w:rPr>
            </w:pPr>
            <w:bookmarkStart w:id="793" w:name="RANGE!B88"/>
            <w:r w:rsidRPr="0073146B">
              <w:rPr>
                <w:rFonts w:eastAsia="Times New Roman" w:cs="Segoe UI"/>
                <w:color w:val="000000"/>
                <w:lang w:eastAsia="en-AU"/>
              </w:rPr>
              <w:t xml:space="preserve">World Health </w:t>
            </w:r>
            <w:bookmarkEnd w:id="793"/>
            <w:r w:rsidRPr="0073146B">
              <w:rPr>
                <w:rFonts w:eastAsia="Times New Roman" w:cs="Segoe UI"/>
                <w:color w:val="000000"/>
                <w:lang w:eastAsia="en-AU"/>
              </w:rPr>
              <w:t>Organi</w:t>
            </w:r>
            <w:r w:rsidR="00E56288">
              <w:rPr>
                <w:rFonts w:eastAsia="Times New Roman" w:cs="Segoe UI"/>
                <w:color w:val="000000"/>
                <w:lang w:eastAsia="en-AU"/>
              </w:rPr>
              <w:t>z</w:t>
            </w:r>
            <w:r w:rsidRPr="0073146B">
              <w:rPr>
                <w:rFonts w:eastAsia="Times New Roman" w:cs="Segoe UI"/>
                <w:color w:val="000000"/>
                <w:lang w:eastAsia="en-AU"/>
              </w:rPr>
              <w:t>ation</w:t>
            </w:r>
          </w:p>
        </w:tc>
      </w:tr>
    </w:tbl>
    <w:p w14:paraId="0F4A506C" w14:textId="68268DB9" w:rsidR="00997DB9" w:rsidRDefault="00997DB9">
      <w:r>
        <w:br w:type="page"/>
      </w:r>
    </w:p>
    <w:p w14:paraId="15842D4B" w14:textId="475C0674" w:rsidR="00997DB9" w:rsidRPr="00997DB9" w:rsidRDefault="00997DB9" w:rsidP="00AD3C9E">
      <w:pPr>
        <w:pStyle w:val="Heading1"/>
        <w:rPr>
          <w:rFonts w:eastAsiaTheme="majorEastAsia"/>
        </w:rPr>
      </w:pPr>
      <w:bookmarkStart w:id="794" w:name="_Toc165473782"/>
      <w:bookmarkStart w:id="795" w:name="_Toc171935907"/>
      <w:r w:rsidRPr="00997DB9">
        <w:rPr>
          <w:rFonts w:eastAsiaTheme="majorEastAsia"/>
        </w:rPr>
        <w:lastRenderedPageBreak/>
        <w:t xml:space="preserve">Reference </w:t>
      </w:r>
      <w:bookmarkEnd w:id="794"/>
      <w:r w:rsidR="00A72F2E">
        <w:rPr>
          <w:rFonts w:eastAsiaTheme="majorEastAsia"/>
        </w:rPr>
        <w:t>d</w:t>
      </w:r>
      <w:r w:rsidRPr="00997DB9">
        <w:rPr>
          <w:rFonts w:eastAsiaTheme="majorEastAsia"/>
        </w:rPr>
        <w:t>ocuments</w:t>
      </w:r>
      <w:bookmarkEnd w:id="795"/>
    </w:p>
    <w:p w14:paraId="0ACA51AB" w14:textId="265C0CB3" w:rsidR="00997DB9" w:rsidRPr="00997DB9" w:rsidRDefault="00FA396E" w:rsidP="00FA396E">
      <w:r>
        <w:t>The following lists s</w:t>
      </w:r>
      <w:r w:rsidR="00997DB9" w:rsidRPr="00997DB9">
        <w:t>ome of the documents referred to and u</w:t>
      </w:r>
      <w:r w:rsidR="00C13640">
        <w:t>sed</w:t>
      </w:r>
      <w:r w:rsidR="00997DB9" w:rsidRPr="00997DB9">
        <w:t xml:space="preserve"> during the Review</w:t>
      </w:r>
      <w:r>
        <w:t>.</w:t>
      </w:r>
      <w:r w:rsidR="00997DB9" w:rsidRPr="00997DB9">
        <w:t> </w:t>
      </w:r>
    </w:p>
    <w:p w14:paraId="0EABC22C" w14:textId="0609786B" w:rsidR="00997DB9" w:rsidRPr="00997DB9" w:rsidRDefault="00847484" w:rsidP="003C2BB1">
      <w:pPr>
        <w:spacing w:before="240" w:after="0"/>
      </w:pPr>
      <w:hyperlink r:id="rId35" w:history="1">
        <w:r w:rsidR="00997DB9" w:rsidRPr="00B82724">
          <w:rPr>
            <w:rStyle w:val="Hyperlink"/>
          </w:rPr>
          <w:t>Health Technology Assessment Policy and Methods Review – Terms of Reference </w:t>
        </w:r>
      </w:hyperlink>
    </w:p>
    <w:p w14:paraId="7D5D1AFE" w14:textId="0FCFF779" w:rsidR="00997DB9" w:rsidRPr="00997DB9" w:rsidRDefault="00847484" w:rsidP="00BD34D3">
      <w:pPr>
        <w:spacing w:before="240" w:after="0"/>
      </w:pPr>
      <w:hyperlink r:id="rId36" w:history="1">
        <w:r w:rsidR="00B82724" w:rsidRPr="00B82724">
          <w:rPr>
            <w:rStyle w:val="Hyperlink"/>
          </w:rPr>
          <w:t>Strategic Agreement 2022-2027</w:t>
        </w:r>
      </w:hyperlink>
      <w:r w:rsidR="00453069">
        <w:t xml:space="preserve"> </w:t>
      </w:r>
    </w:p>
    <w:p w14:paraId="77E18518" w14:textId="421EC0F0" w:rsidR="00997DB9" w:rsidRPr="00997DB9" w:rsidRDefault="00847484" w:rsidP="003C2BB1">
      <w:pPr>
        <w:spacing w:before="240" w:after="0"/>
      </w:pPr>
      <w:hyperlink r:id="rId37" w:history="1">
        <w:r w:rsidR="00B82724" w:rsidRPr="00B82724">
          <w:rPr>
            <w:rStyle w:val="Hyperlink"/>
          </w:rPr>
          <w:t>National Medicines Policy</w:t>
        </w:r>
      </w:hyperlink>
    </w:p>
    <w:p w14:paraId="6E10C2BB" w14:textId="3E486014" w:rsidR="00997DB9" w:rsidRPr="00997DB9" w:rsidRDefault="00847484" w:rsidP="00BD34D3">
      <w:pPr>
        <w:spacing w:before="240" w:after="0"/>
      </w:pPr>
      <w:hyperlink r:id="rId38" w:history="1">
        <w:r w:rsidR="00B82724" w:rsidRPr="00B82724">
          <w:rPr>
            <w:rStyle w:val="Hyperlink"/>
          </w:rPr>
          <w:t>National Agreement on Closing the Gap</w:t>
        </w:r>
      </w:hyperlink>
      <w:r w:rsidR="00997DB9" w:rsidRPr="00997DB9">
        <w:t> </w:t>
      </w:r>
    </w:p>
    <w:p w14:paraId="140B6683" w14:textId="293BCB35" w:rsidR="00997DB9" w:rsidRPr="00997DB9" w:rsidRDefault="00847484" w:rsidP="003C2BB1">
      <w:pPr>
        <w:spacing w:before="240" w:after="0"/>
      </w:pPr>
      <w:hyperlink r:id="rId39" w:history="1">
        <w:r w:rsidR="00997DB9" w:rsidRPr="00B82724">
          <w:rPr>
            <w:rStyle w:val="Hyperlink"/>
          </w:rPr>
          <w:t>Inquiry into approval processes for new drugs and novel medical technologies in Australia</w:t>
        </w:r>
      </w:hyperlink>
      <w:r w:rsidR="00997DB9" w:rsidRPr="00997DB9">
        <w:t> </w:t>
      </w:r>
    </w:p>
    <w:p w14:paraId="4D7E1EAD" w14:textId="2A51797B" w:rsidR="00E34537" w:rsidRDefault="00847484" w:rsidP="00E34537">
      <w:pPr>
        <w:spacing w:before="240" w:after="0"/>
      </w:pPr>
      <w:hyperlink r:id="rId40" w:history="1">
        <w:r w:rsidR="00E34537" w:rsidRPr="00301472">
          <w:rPr>
            <w:rStyle w:val="Hyperlink"/>
          </w:rPr>
          <w:t>Review of the Discount Rate in the PBAC Guidelines</w:t>
        </w:r>
      </w:hyperlink>
    </w:p>
    <w:p w14:paraId="24565A64" w14:textId="1354A6D5" w:rsidR="00F16DB6" w:rsidRPr="00997DB9" w:rsidRDefault="00847484" w:rsidP="003C2BB1">
      <w:pPr>
        <w:spacing w:before="240" w:after="0"/>
      </w:pPr>
      <w:hyperlink r:id="rId41" w:history="1">
        <w:r w:rsidR="00F16DB6" w:rsidRPr="00E34537">
          <w:rPr>
            <w:rStyle w:val="Hyperlink"/>
          </w:rPr>
          <w:t>PBAC Public Summary Document: Review of the base discount rate in the PBAC Guidelines</w:t>
        </w:r>
      </w:hyperlink>
      <w:r w:rsidR="00F16DB6">
        <w:t xml:space="preserve"> </w:t>
      </w:r>
    </w:p>
    <w:p w14:paraId="4E2DFF11" w14:textId="29046A0D" w:rsidR="003C2BB1" w:rsidRPr="00997DB9" w:rsidRDefault="00847484" w:rsidP="003C2BB1">
      <w:pPr>
        <w:spacing w:before="240" w:after="0"/>
      </w:pPr>
      <w:hyperlink r:id="rId42" w:history="1">
        <w:r w:rsidR="00B82724" w:rsidRPr="00B82724">
          <w:rPr>
            <w:rStyle w:val="Hyperlink"/>
          </w:rPr>
          <w:t>Health Technology Assessment Policy and Methods Review - Consultation 1 Report</w:t>
        </w:r>
      </w:hyperlink>
      <w:r w:rsidR="003C2BB1" w:rsidRPr="00997DB9">
        <w:t> </w:t>
      </w:r>
    </w:p>
    <w:p w14:paraId="507D37E2" w14:textId="1F3E92C0" w:rsidR="003C2BB1" w:rsidRPr="00997DB9" w:rsidRDefault="00847484" w:rsidP="003C2BB1">
      <w:pPr>
        <w:spacing w:before="240" w:after="0"/>
      </w:pPr>
      <w:hyperlink r:id="rId43" w:history="1">
        <w:r w:rsidR="003C2BB1" w:rsidRPr="00BC7632">
          <w:rPr>
            <w:rStyle w:val="Hyperlink"/>
          </w:rPr>
          <w:t>Health Technology Assessment Policy and Methods Review – Consultation 2 Report </w:t>
        </w:r>
      </w:hyperlink>
    </w:p>
    <w:p w14:paraId="0784689F" w14:textId="4FEC3BAD" w:rsidR="003C2BB1" w:rsidRPr="00997DB9" w:rsidRDefault="00997DB9" w:rsidP="003C2BB1">
      <w:pPr>
        <w:spacing w:before="240" w:after="0"/>
      </w:pPr>
      <w:r w:rsidRPr="00997DB9">
        <w:t>Health Technology Assessment Policy and Methods Review – Research and analysis papers</w:t>
      </w:r>
      <w:r w:rsidR="00B82724">
        <w:t>:</w:t>
      </w:r>
    </w:p>
    <w:p w14:paraId="7DAE58D3" w14:textId="4F376AD3" w:rsidR="00997DB9" w:rsidRPr="00997DB9" w:rsidRDefault="00997DB9" w:rsidP="00732D12">
      <w:pPr>
        <w:spacing w:before="240" w:after="0"/>
        <w:ind w:firstLine="360"/>
      </w:pPr>
      <w:bookmarkStart w:id="796" w:name="_Hlk165390576"/>
      <w:r w:rsidRPr="00997DB9">
        <w:rPr>
          <w:i/>
          <w:iCs/>
        </w:rPr>
        <w:t xml:space="preserve">Adelaide Health Technology Assessment </w:t>
      </w:r>
      <w:bookmarkEnd w:id="796"/>
      <w:r w:rsidRPr="00997DB9">
        <w:rPr>
          <w:i/>
          <w:iCs/>
        </w:rPr>
        <w:t>(AHTA)</w:t>
      </w:r>
      <w:r w:rsidRPr="00997DB9">
        <w:t> </w:t>
      </w:r>
    </w:p>
    <w:p w14:paraId="28386D6F" w14:textId="75EF8B24" w:rsidR="00B82724" w:rsidRDefault="0064199D" w:rsidP="00281153">
      <w:pPr>
        <w:pStyle w:val="ListBullet"/>
        <w:numPr>
          <w:ilvl w:val="0"/>
          <w:numId w:val="94"/>
        </w:numPr>
      </w:pPr>
      <w:r w:rsidRPr="0064199D">
        <w:t>Paper 1. International health technology market approval, funding and assessment pathways</w:t>
      </w:r>
      <w:r w:rsidR="00B82724" w:rsidRPr="008202B7">
        <w:t xml:space="preserve"> </w:t>
      </w:r>
    </w:p>
    <w:p w14:paraId="17CB097A" w14:textId="01B9CA96" w:rsidR="00B82724" w:rsidRPr="008202B7" w:rsidRDefault="0064199D" w:rsidP="00281153">
      <w:pPr>
        <w:pStyle w:val="ListBullet"/>
        <w:numPr>
          <w:ilvl w:val="0"/>
          <w:numId w:val="94"/>
        </w:numPr>
      </w:pPr>
      <w:r w:rsidRPr="0064199D">
        <w:t>Paper 2. Horizon Scanning and Early Assessment</w:t>
      </w:r>
    </w:p>
    <w:p w14:paraId="6337521A" w14:textId="23B27301" w:rsidR="00B82724" w:rsidRPr="00514023" w:rsidRDefault="0064199D" w:rsidP="00281153">
      <w:pPr>
        <w:pStyle w:val="ListBullet"/>
        <w:numPr>
          <w:ilvl w:val="0"/>
          <w:numId w:val="94"/>
        </w:numPr>
      </w:pPr>
      <w:r w:rsidRPr="0064199D">
        <w:t>Paper 3. HTA Methods: Determination of Population Intervention Comparator Outcome (PICO)</w:t>
      </w:r>
    </w:p>
    <w:p w14:paraId="5C55A5E8" w14:textId="67B210E8" w:rsidR="00B82724" w:rsidRDefault="0064199D" w:rsidP="00281153">
      <w:pPr>
        <w:pStyle w:val="ListBullet"/>
        <w:numPr>
          <w:ilvl w:val="0"/>
          <w:numId w:val="94"/>
        </w:numPr>
      </w:pPr>
      <w:r w:rsidRPr="0064199D">
        <w:t>Paper 4. HTA Methods: Clinical Evaluation</w:t>
      </w:r>
    </w:p>
    <w:p w14:paraId="7312D064" w14:textId="5D9ED000" w:rsidR="00AB7343" w:rsidRPr="007D0FEE" w:rsidRDefault="009D7E1D" w:rsidP="005D0347">
      <w:pPr>
        <w:spacing w:before="240" w:after="0"/>
        <w:ind w:left="360"/>
        <w:rPr>
          <w:rStyle w:val="Hyperlink"/>
          <w:color w:val="auto"/>
          <w:u w:val="none"/>
        </w:rPr>
      </w:pPr>
      <w:bookmarkStart w:id="797" w:name="_Hlk171709816"/>
      <w:r>
        <w:t xml:space="preserve">Final versions of </w:t>
      </w:r>
      <w:r w:rsidR="00A77272">
        <w:t>Papers 1-4 prepared by AHTA have been consolidated into a single paper</w:t>
      </w:r>
      <w:r w:rsidR="00694641">
        <w:t xml:space="preserve">: </w:t>
      </w:r>
      <w:hyperlink r:id="rId44" w:history="1">
        <w:r w:rsidR="00357E24" w:rsidRPr="000715B3">
          <w:rPr>
            <w:rStyle w:val="Hyperlink"/>
            <w:i/>
            <w:iCs/>
          </w:rPr>
          <w:t xml:space="preserve">HTA </w:t>
        </w:r>
        <w:r w:rsidR="00F8314F" w:rsidRPr="000715B3">
          <w:rPr>
            <w:rStyle w:val="Hyperlink"/>
            <w:i/>
            <w:iCs/>
          </w:rPr>
          <w:t>P</w:t>
        </w:r>
        <w:r w:rsidR="00357E24" w:rsidRPr="000715B3">
          <w:rPr>
            <w:rStyle w:val="Hyperlink"/>
            <w:i/>
            <w:iCs/>
          </w:rPr>
          <w:t xml:space="preserve">athways and </w:t>
        </w:r>
        <w:r w:rsidRPr="000715B3">
          <w:rPr>
            <w:rStyle w:val="Hyperlink"/>
            <w:i/>
            <w:iCs/>
          </w:rPr>
          <w:t>P</w:t>
        </w:r>
        <w:r w:rsidR="00357E24" w:rsidRPr="000715B3">
          <w:rPr>
            <w:rStyle w:val="Hyperlink"/>
            <w:i/>
            <w:iCs/>
          </w:rPr>
          <w:t xml:space="preserve">rocesses, </w:t>
        </w:r>
        <w:r w:rsidRPr="000715B3">
          <w:rPr>
            <w:rStyle w:val="Hyperlink"/>
            <w:i/>
            <w:iCs/>
          </w:rPr>
          <w:t>C</w:t>
        </w:r>
        <w:r w:rsidR="00357E24" w:rsidRPr="000715B3">
          <w:rPr>
            <w:rStyle w:val="Hyperlink"/>
            <w:i/>
            <w:iCs/>
          </w:rPr>
          <w:t xml:space="preserve">linical </w:t>
        </w:r>
        <w:r w:rsidRPr="000715B3">
          <w:rPr>
            <w:rStyle w:val="Hyperlink"/>
            <w:i/>
            <w:iCs/>
          </w:rPr>
          <w:t>E</w:t>
        </w:r>
        <w:r w:rsidR="00357E24" w:rsidRPr="000715B3">
          <w:rPr>
            <w:rStyle w:val="Hyperlink"/>
            <w:i/>
            <w:iCs/>
          </w:rPr>
          <w:t xml:space="preserve">valuation </w:t>
        </w:r>
        <w:r w:rsidRPr="000715B3">
          <w:rPr>
            <w:rStyle w:val="Hyperlink"/>
            <w:i/>
            <w:iCs/>
          </w:rPr>
          <w:t>M</w:t>
        </w:r>
        <w:r w:rsidR="00357E24" w:rsidRPr="000715B3">
          <w:rPr>
            <w:rStyle w:val="Hyperlink"/>
            <w:i/>
            <w:iCs/>
          </w:rPr>
          <w:t xml:space="preserve">ethods and </w:t>
        </w:r>
        <w:r w:rsidRPr="000715B3">
          <w:rPr>
            <w:rStyle w:val="Hyperlink"/>
            <w:i/>
            <w:iCs/>
          </w:rPr>
          <w:t>H</w:t>
        </w:r>
        <w:r w:rsidR="00357E24" w:rsidRPr="000715B3">
          <w:rPr>
            <w:rStyle w:val="Hyperlink"/>
            <w:i/>
            <w:iCs/>
          </w:rPr>
          <w:t xml:space="preserve">orizon </w:t>
        </w:r>
        <w:r w:rsidRPr="000715B3">
          <w:rPr>
            <w:rStyle w:val="Hyperlink"/>
            <w:i/>
            <w:iCs/>
          </w:rPr>
          <w:t>S</w:t>
        </w:r>
        <w:r w:rsidR="00357E24" w:rsidRPr="000715B3">
          <w:rPr>
            <w:rStyle w:val="Hyperlink"/>
            <w:i/>
            <w:iCs/>
          </w:rPr>
          <w:t>canning</w:t>
        </w:r>
      </w:hyperlink>
      <w:r w:rsidR="00357E24">
        <w:t>.</w:t>
      </w:r>
    </w:p>
    <w:bookmarkEnd w:id="797"/>
    <w:p w14:paraId="4C1C30E8" w14:textId="2B7AD699" w:rsidR="00997DB9" w:rsidRPr="00997DB9" w:rsidRDefault="00997DB9" w:rsidP="00732D12">
      <w:pPr>
        <w:spacing w:before="240" w:after="0"/>
        <w:ind w:firstLine="360"/>
        <w:rPr>
          <w:i/>
          <w:iCs/>
        </w:rPr>
      </w:pPr>
      <w:r w:rsidRPr="00997DB9">
        <w:rPr>
          <w:i/>
          <w:iCs/>
        </w:rPr>
        <w:t>Centre for Health Economics Research and Evaluation (CHERE) </w:t>
      </w:r>
    </w:p>
    <w:p w14:paraId="12C550AA" w14:textId="77777777" w:rsidR="00B82724" w:rsidRPr="00514023" w:rsidRDefault="00847484" w:rsidP="00281153">
      <w:pPr>
        <w:pStyle w:val="ListBullet"/>
        <w:numPr>
          <w:ilvl w:val="0"/>
          <w:numId w:val="95"/>
        </w:numPr>
      </w:pPr>
      <w:hyperlink r:id="rId45" w:history="1">
        <w:r w:rsidR="00B82724" w:rsidRPr="00F03BAE">
          <w:rPr>
            <w:rStyle w:val="Hyperlink"/>
          </w:rPr>
          <w:t>Paper 5. HTA Methods: Economic Evaluation</w:t>
        </w:r>
      </w:hyperlink>
    </w:p>
    <w:p w14:paraId="36B43298" w14:textId="0FF2AA6F" w:rsidR="00B82724" w:rsidRPr="007D0FEE" w:rsidRDefault="00847484" w:rsidP="00281153">
      <w:pPr>
        <w:pStyle w:val="ListBullet"/>
        <w:numPr>
          <w:ilvl w:val="0"/>
          <w:numId w:val="95"/>
        </w:numPr>
        <w:rPr>
          <w:rStyle w:val="Hyperlink"/>
          <w:color w:val="auto"/>
          <w:u w:val="none"/>
        </w:rPr>
      </w:pPr>
      <w:hyperlink r:id="rId46" w:history="1">
        <w:r w:rsidR="00B82724" w:rsidRPr="001C4042">
          <w:rPr>
            <w:rStyle w:val="Hyperlink"/>
          </w:rPr>
          <w:t>Paper 6. Funding and purchasing decisions and managing uncertainty</w:t>
        </w:r>
      </w:hyperlink>
    </w:p>
    <w:p w14:paraId="1F57785F" w14:textId="48AC137C" w:rsidR="00997DB9" w:rsidRPr="00997DB9" w:rsidRDefault="00997DB9" w:rsidP="005D0347">
      <w:pPr>
        <w:keepNext/>
        <w:spacing w:before="240" w:after="0"/>
        <w:ind w:firstLine="360"/>
        <w:rPr>
          <w:i/>
          <w:iCs/>
        </w:rPr>
      </w:pPr>
      <w:r w:rsidRPr="00997DB9">
        <w:rPr>
          <w:i/>
          <w:iCs/>
        </w:rPr>
        <w:lastRenderedPageBreak/>
        <w:t>Centre of Research Excellence in Medicines Intelligence (MI-CRE) </w:t>
      </w:r>
    </w:p>
    <w:p w14:paraId="7EED8987" w14:textId="6B811939" w:rsidR="00B82724" w:rsidRPr="00405FD7" w:rsidRDefault="00847484" w:rsidP="00CD422F">
      <w:pPr>
        <w:pStyle w:val="ListBullet"/>
        <w:numPr>
          <w:ilvl w:val="0"/>
          <w:numId w:val="96"/>
        </w:numPr>
        <w:rPr>
          <w:rStyle w:val="Hyperlink"/>
          <w:rFonts w:eastAsiaTheme="minorHAnsi" w:cs="Times New Roman"/>
          <w:color w:val="auto"/>
          <w:u w:val="none"/>
        </w:rPr>
      </w:pPr>
      <w:hyperlink r:id="rId47" w:history="1">
        <w:r w:rsidR="00B82724" w:rsidRPr="000A2279">
          <w:rPr>
            <w:rStyle w:val="Hyperlink"/>
            <w:shd w:val="clear" w:color="auto" w:fill="FFFFFF"/>
          </w:rPr>
          <w:t>Paper 7. Optimising the availability and use of real</w:t>
        </w:r>
        <w:r w:rsidR="00B82724">
          <w:rPr>
            <w:rStyle w:val="Hyperlink"/>
            <w:shd w:val="clear" w:color="auto" w:fill="FFFFFF"/>
          </w:rPr>
          <w:t>-</w:t>
        </w:r>
        <w:r w:rsidR="00B82724" w:rsidRPr="000A2279">
          <w:rPr>
            <w:rStyle w:val="Hyperlink"/>
            <w:shd w:val="clear" w:color="auto" w:fill="FFFFFF"/>
          </w:rPr>
          <w:t>world data and real</w:t>
        </w:r>
        <w:r w:rsidR="00B82724">
          <w:rPr>
            <w:rStyle w:val="Hyperlink"/>
            <w:shd w:val="clear" w:color="auto" w:fill="FFFFFF"/>
          </w:rPr>
          <w:t>-</w:t>
        </w:r>
        <w:r w:rsidR="00B82724" w:rsidRPr="000A2279">
          <w:rPr>
            <w:rStyle w:val="Hyperlink"/>
            <w:shd w:val="clear" w:color="auto" w:fill="FFFFFF"/>
          </w:rPr>
          <w:t>world evidence to support health technology assessment in Australia</w:t>
        </w:r>
      </w:hyperlink>
      <w:r w:rsidR="00B82724">
        <w:rPr>
          <w:rStyle w:val="Hyperlink"/>
          <w:shd w:val="clear" w:color="auto" w:fill="FFFFFF"/>
        </w:rPr>
        <w:t>.</w:t>
      </w:r>
    </w:p>
    <w:p w14:paraId="2C86B1E4" w14:textId="65D3CDE5" w:rsidR="00997DB9" w:rsidRPr="00997DB9" w:rsidRDefault="00997DB9" w:rsidP="00732D12">
      <w:pPr>
        <w:spacing w:before="240" w:after="0"/>
        <w:ind w:firstLine="360"/>
        <w:rPr>
          <w:i/>
          <w:iCs/>
        </w:rPr>
      </w:pPr>
      <w:r w:rsidRPr="00997DB9">
        <w:rPr>
          <w:i/>
          <w:iCs/>
        </w:rPr>
        <w:t>The Department of Health and Aged Care </w:t>
      </w:r>
    </w:p>
    <w:p w14:paraId="46634A2D" w14:textId="7B3F8A74" w:rsidR="00997DB9" w:rsidRPr="00997DB9" w:rsidRDefault="00847484" w:rsidP="00281153">
      <w:pPr>
        <w:pStyle w:val="ListBullet"/>
        <w:numPr>
          <w:ilvl w:val="0"/>
          <w:numId w:val="96"/>
        </w:numPr>
      </w:pPr>
      <w:hyperlink r:id="rId48">
        <w:r w:rsidR="00B82724">
          <w:rPr>
            <w:rStyle w:val="Hyperlink"/>
          </w:rPr>
          <w:t xml:space="preserve">Paper 8. Australian market authorisation, funding and assessment pathways and timelines </w:t>
        </w:r>
      </w:hyperlink>
      <w:r w:rsidR="00453069">
        <w:t xml:space="preserve"> </w:t>
      </w:r>
    </w:p>
    <w:p w14:paraId="465B2A8A" w14:textId="241C727E" w:rsidR="00482896" w:rsidRDefault="00847484" w:rsidP="00281153">
      <w:pPr>
        <w:pStyle w:val="ListBullet"/>
        <w:numPr>
          <w:ilvl w:val="0"/>
          <w:numId w:val="96"/>
        </w:numPr>
      </w:pPr>
      <w:hyperlink r:id="rId49">
        <w:r w:rsidR="00B82724">
          <w:rPr>
            <w:rStyle w:val="Hyperlink"/>
          </w:rPr>
          <w:t xml:space="preserve">Paper 9. Emerging Health Technologies </w:t>
        </w:r>
      </w:hyperlink>
      <w:r w:rsidR="00453069">
        <w:t xml:space="preserve"> </w:t>
      </w:r>
    </w:p>
    <w:p w14:paraId="6169B5AB" w14:textId="5E5945F9" w:rsidR="00034146" w:rsidRDefault="00034146">
      <w:pPr>
        <w:jc w:val="left"/>
        <w:rPr>
          <w:rFonts w:eastAsia="Segoe UI" w:cs="Segoe UI"/>
        </w:rPr>
      </w:pPr>
      <w:r>
        <w:br w:type="page"/>
      </w:r>
    </w:p>
    <w:p w14:paraId="40E473F2" w14:textId="1C955C50" w:rsidR="006D7B93" w:rsidRDefault="006D7B93" w:rsidP="006D7B93">
      <w:pPr>
        <w:pStyle w:val="Heading1"/>
      </w:pPr>
      <w:bookmarkStart w:id="798" w:name="_Toc165473783"/>
      <w:bookmarkStart w:id="799" w:name="_Ref166770790"/>
      <w:bookmarkStart w:id="800" w:name="_Ref166771144"/>
      <w:bookmarkStart w:id="801" w:name="_Ref166771647"/>
      <w:bookmarkStart w:id="802" w:name="_Ref166771697"/>
      <w:bookmarkStart w:id="803" w:name="_Toc171935908"/>
      <w:r>
        <w:lastRenderedPageBreak/>
        <w:t>Terms of Reference</w:t>
      </w:r>
      <w:bookmarkEnd w:id="798"/>
      <w:bookmarkEnd w:id="799"/>
      <w:bookmarkEnd w:id="800"/>
      <w:bookmarkEnd w:id="801"/>
      <w:bookmarkEnd w:id="802"/>
      <w:bookmarkEnd w:id="803"/>
    </w:p>
    <w:p w14:paraId="28E3E3A5" w14:textId="77777777" w:rsidR="00EA38F7" w:rsidRPr="00EA38F7" w:rsidRDefault="00EA38F7" w:rsidP="00405FD7"/>
    <w:p w14:paraId="7CCB44B3" w14:textId="6988BB8B" w:rsidR="00EA38F7" w:rsidRPr="001E5D51" w:rsidRDefault="00EA38F7" w:rsidP="00EA38F7">
      <w:pPr>
        <w:rPr>
          <w:color w:val="094868"/>
          <w:sz w:val="44"/>
          <w:szCs w:val="44"/>
        </w:rPr>
      </w:pPr>
      <w:bookmarkStart w:id="804" w:name="_Toc127368757"/>
      <w:bookmarkStart w:id="805" w:name="_Toc165457942"/>
      <w:r w:rsidRPr="001E5D51">
        <w:rPr>
          <w:color w:val="094868"/>
          <w:sz w:val="44"/>
          <w:szCs w:val="44"/>
        </w:rPr>
        <w:t>1.</w:t>
      </w:r>
      <w:r w:rsidR="00FA396E">
        <w:rPr>
          <w:color w:val="094868"/>
          <w:sz w:val="44"/>
          <w:szCs w:val="44"/>
        </w:rPr>
        <w:t xml:space="preserve"> </w:t>
      </w:r>
      <w:r w:rsidRPr="001E5D51">
        <w:rPr>
          <w:color w:val="094868"/>
          <w:sz w:val="44"/>
          <w:szCs w:val="44"/>
        </w:rPr>
        <w:t>Health Technology Assessment (HTA) Policy and Methods Review</w:t>
      </w:r>
      <w:bookmarkEnd w:id="804"/>
      <w:bookmarkEnd w:id="805"/>
    </w:p>
    <w:p w14:paraId="1D176F1B" w14:textId="3A46D18E" w:rsidR="00EA38F7" w:rsidRPr="001E5D51" w:rsidRDefault="00EA38F7" w:rsidP="00EA38F7">
      <w:pPr>
        <w:rPr>
          <w:color w:val="00808A"/>
          <w:sz w:val="36"/>
          <w:szCs w:val="36"/>
        </w:rPr>
      </w:pPr>
      <w:bookmarkStart w:id="806" w:name="_Toc127368758"/>
      <w:bookmarkStart w:id="807" w:name="_Toc165457943"/>
      <w:r w:rsidRPr="001E5D51">
        <w:rPr>
          <w:color w:val="00808A"/>
          <w:sz w:val="36"/>
          <w:szCs w:val="36"/>
        </w:rPr>
        <w:t>1.1.</w:t>
      </w:r>
      <w:r w:rsidR="00453069">
        <w:rPr>
          <w:color w:val="00808A"/>
          <w:sz w:val="36"/>
          <w:szCs w:val="36"/>
        </w:rPr>
        <w:t xml:space="preserve"> </w:t>
      </w:r>
      <w:r w:rsidRPr="001E5D51">
        <w:rPr>
          <w:color w:val="00808A"/>
          <w:sz w:val="36"/>
          <w:szCs w:val="36"/>
        </w:rPr>
        <w:t>A commitment under the Strategic Agreement</w:t>
      </w:r>
      <w:bookmarkEnd w:id="806"/>
      <w:bookmarkEnd w:id="807"/>
    </w:p>
    <w:p w14:paraId="270E1DD3" w14:textId="77777777" w:rsidR="00EA38F7" w:rsidRPr="005D2393" w:rsidRDefault="00EA38F7" w:rsidP="00EA38F7">
      <w:pPr>
        <w:spacing w:line="240" w:lineRule="auto"/>
        <w:rPr>
          <w:rFonts w:cs="Arial"/>
          <w:szCs w:val="20"/>
        </w:rPr>
      </w:pPr>
      <w:r w:rsidRPr="005D2393">
        <w:rPr>
          <w:rFonts w:cs="Arial"/>
          <w:szCs w:val="20"/>
        </w:rPr>
        <w:t>The HTA Review is a commitment in the 2022-2027 Strategic Agreement between the Commonwealth and Medicines Australia (Strategic Agreement) (</w:t>
      </w:r>
      <w:r w:rsidRPr="005D2393">
        <w:rPr>
          <w:rFonts w:cs="Arial"/>
          <w:b/>
          <w:bCs/>
          <w:szCs w:val="20"/>
        </w:rPr>
        <w:t>Attachment A</w:t>
      </w:r>
      <w:r w:rsidRPr="005D2393">
        <w:rPr>
          <w:rFonts w:cs="Arial"/>
          <w:szCs w:val="20"/>
        </w:rPr>
        <w:t xml:space="preserve">). Under clause 5.3 of the Strategic Agreement the Commonwealth agreed to support and resource a </w:t>
      </w:r>
      <w:r w:rsidRPr="005D2393">
        <w:rPr>
          <w:rFonts w:cs="Arial"/>
        </w:rPr>
        <w:t xml:space="preserve">HTA </w:t>
      </w:r>
      <w:r w:rsidRPr="005D2393">
        <w:rPr>
          <w:rFonts w:cs="Arial"/>
          <w:szCs w:val="20"/>
        </w:rPr>
        <w:t xml:space="preserve">Policy and Methods Review (the Review). This commitment is in recognition of the shared goals set out at clause 5.1 of the Strategic Agreement of: </w:t>
      </w:r>
    </w:p>
    <w:p w14:paraId="639AF846" w14:textId="77777777" w:rsidR="00EA38F7" w:rsidRPr="005D2393" w:rsidRDefault="00EA38F7" w:rsidP="00281153">
      <w:pPr>
        <w:pStyle w:val="ListBullet"/>
        <w:numPr>
          <w:ilvl w:val="0"/>
          <w:numId w:val="91"/>
        </w:numPr>
        <w:rPr>
          <w:rFonts w:cs="Arial"/>
          <w:szCs w:val="20"/>
        </w:rPr>
      </w:pPr>
      <w:r w:rsidRPr="005D2393">
        <w:rPr>
          <w:rFonts w:cs="Arial"/>
          <w:szCs w:val="20"/>
        </w:rPr>
        <w:t>reducing time to access for Australian</w:t>
      </w:r>
      <w:r>
        <w:rPr>
          <w:rFonts w:cs="Arial"/>
          <w:szCs w:val="20"/>
        </w:rPr>
        <w:t>s</w:t>
      </w:r>
      <w:r w:rsidRPr="005D2393">
        <w:rPr>
          <w:rFonts w:cs="Arial"/>
          <w:szCs w:val="20"/>
        </w:rPr>
        <w:t xml:space="preserve"> so that they can access new health technologies as early as possible</w:t>
      </w:r>
    </w:p>
    <w:p w14:paraId="4B33805A" w14:textId="12446AA1" w:rsidR="00EA38F7" w:rsidRPr="005D2393" w:rsidRDefault="00EA38F7" w:rsidP="00281153">
      <w:pPr>
        <w:pStyle w:val="ListBullet"/>
        <w:numPr>
          <w:ilvl w:val="0"/>
          <w:numId w:val="91"/>
        </w:numPr>
        <w:rPr>
          <w:rFonts w:cs="Arial"/>
          <w:szCs w:val="20"/>
        </w:rPr>
      </w:pPr>
      <w:r w:rsidRPr="005D2393">
        <w:rPr>
          <w:rFonts w:cs="Arial"/>
          <w:szCs w:val="20"/>
        </w:rPr>
        <w:t>maintaining the attractiveness of Australia as a first-launch country to build on Australia’s status as a world leader in providing access to affordable health</w:t>
      </w:r>
      <w:r w:rsidR="002D33A5">
        <w:rPr>
          <w:rFonts w:cs="Arial"/>
          <w:szCs w:val="20"/>
        </w:rPr>
        <w:t xml:space="preserve"> </w:t>
      </w:r>
      <w:r w:rsidRPr="005D2393">
        <w:rPr>
          <w:rFonts w:cs="Arial"/>
          <w:szCs w:val="20"/>
        </w:rPr>
        <w:t>care,</w:t>
      </w:r>
    </w:p>
    <w:p w14:paraId="1B029A7C" w14:textId="2EE6C329" w:rsidR="00EA38F7" w:rsidRPr="005D2393" w:rsidRDefault="00EA38F7" w:rsidP="00EA38F7">
      <w:pPr>
        <w:spacing w:line="240" w:lineRule="auto"/>
        <w:rPr>
          <w:rFonts w:cs="Arial"/>
          <w:szCs w:val="20"/>
        </w:rPr>
      </w:pPr>
      <w:r w:rsidRPr="005D2393">
        <w:rPr>
          <w:rFonts w:cs="Arial"/>
          <w:szCs w:val="20"/>
        </w:rPr>
        <w:t xml:space="preserve">by ensuring that our assessment processes keep pace with rapid advances in health technology and barriers to access are minimised. </w:t>
      </w:r>
    </w:p>
    <w:p w14:paraId="6E8E2A1E" w14:textId="77777777" w:rsidR="00EA38F7" w:rsidRPr="001E5D51" w:rsidRDefault="00EA38F7" w:rsidP="00EA38F7">
      <w:pPr>
        <w:rPr>
          <w:color w:val="00808A"/>
          <w:sz w:val="36"/>
          <w:szCs w:val="36"/>
        </w:rPr>
      </w:pPr>
      <w:bookmarkStart w:id="808" w:name="_Toc127368759"/>
      <w:bookmarkStart w:id="809" w:name="_Toc165457944"/>
      <w:r w:rsidRPr="001E5D51">
        <w:rPr>
          <w:color w:val="00808A"/>
          <w:sz w:val="36"/>
          <w:szCs w:val="36"/>
        </w:rPr>
        <w:t>1.2. HTA Review process</w:t>
      </w:r>
      <w:bookmarkEnd w:id="808"/>
      <w:bookmarkEnd w:id="809"/>
    </w:p>
    <w:p w14:paraId="5EF2BE2D" w14:textId="77777777" w:rsidR="00EA38F7" w:rsidRPr="005D2393" w:rsidRDefault="00EA38F7" w:rsidP="00EA38F7">
      <w:pPr>
        <w:rPr>
          <w:rFonts w:cs="Arial"/>
          <w:szCs w:val="20"/>
        </w:rPr>
      </w:pPr>
      <w:r w:rsidRPr="005D2393">
        <w:rPr>
          <w:rFonts w:cs="Arial"/>
          <w:szCs w:val="20"/>
        </w:rPr>
        <w:t xml:space="preserve">Under Clause 5.3.1 of the Strategic Agreement, it was agreed that a Reference Committee would be established and would include an Independent Chair, the Chair of the </w:t>
      </w:r>
      <w:r w:rsidRPr="005D2393">
        <w:rPr>
          <w:rFonts w:cs="Arial"/>
        </w:rPr>
        <w:t>Pharmaceutical Benefits Advisory Committee (PBAC)</w:t>
      </w:r>
      <w:r w:rsidRPr="005D2393">
        <w:rPr>
          <w:rFonts w:cs="Arial"/>
          <w:szCs w:val="20"/>
        </w:rPr>
        <w:t xml:space="preserve">, a </w:t>
      </w:r>
      <w:proofErr w:type="gramStart"/>
      <w:r w:rsidRPr="005D2393">
        <w:rPr>
          <w:rFonts w:cs="Arial"/>
          <w:szCs w:val="20"/>
        </w:rPr>
        <w:t>Government</w:t>
      </w:r>
      <w:proofErr w:type="gramEnd"/>
      <w:r w:rsidRPr="005D2393">
        <w:rPr>
          <w:rFonts w:cs="Arial"/>
          <w:szCs w:val="20"/>
        </w:rPr>
        <w:t xml:space="preserve"> nominee, a member nominated by Medicines Australia and a patient representative. It was subsequently agreed that the Reference Committee would be expanded to include two patient representatives and a clinical / scientific representative. The Minister for Health and Aged Care also agreed to extend the deadline for the HTA Review to 31 December 2023. </w:t>
      </w:r>
    </w:p>
    <w:p w14:paraId="2176B92A" w14:textId="77777777" w:rsidR="00EA38F7" w:rsidRPr="005D2393" w:rsidRDefault="00EA38F7" w:rsidP="00EA38F7">
      <w:pPr>
        <w:spacing w:after="0" w:line="240" w:lineRule="auto"/>
        <w:rPr>
          <w:rFonts w:cs="Arial"/>
          <w:szCs w:val="20"/>
        </w:rPr>
      </w:pPr>
      <w:r w:rsidRPr="005D2393">
        <w:rPr>
          <w:rFonts w:cs="Arial"/>
          <w:szCs w:val="20"/>
        </w:rPr>
        <w:t>Under clause 5.3 of the Strategic Agreement, it was agreed that the Reference Committee would:</w:t>
      </w:r>
    </w:p>
    <w:p w14:paraId="62AA3A8D" w14:textId="17BC7456" w:rsidR="00EA38F7" w:rsidRPr="005D2393" w:rsidRDefault="00EA38F7" w:rsidP="00281153">
      <w:pPr>
        <w:pStyle w:val="ListNumber"/>
        <w:numPr>
          <w:ilvl w:val="0"/>
          <w:numId w:val="138"/>
        </w:numPr>
      </w:pPr>
      <w:r w:rsidRPr="005D2393">
        <w:t>develop the Terms of Reference for the HTA Review, in consultation with the PBAC and other stakeholders including Medicines Australia</w:t>
      </w:r>
    </w:p>
    <w:p w14:paraId="37951933" w14:textId="77777777" w:rsidR="00EA38F7" w:rsidRPr="005D2393" w:rsidRDefault="00EA38F7" w:rsidP="00BD34D3">
      <w:pPr>
        <w:pStyle w:val="ListNumber"/>
      </w:pPr>
      <w:r w:rsidRPr="005D2393">
        <w:t>agree to an expert in HTA to undertake an analysis of current methods used by the PBAC, contemporary research and relevant methodologies and purchasing practices used by comparable jurisdictions guided by the Terms of Reference</w:t>
      </w:r>
    </w:p>
    <w:p w14:paraId="6DF49B88" w14:textId="77777777" w:rsidR="00EA38F7" w:rsidRPr="005D2393" w:rsidRDefault="00EA38F7" w:rsidP="00BD34D3">
      <w:pPr>
        <w:pStyle w:val="ListNumber"/>
      </w:pPr>
      <w:r w:rsidRPr="005D2393">
        <w:t>oversee public consultations and consider submissions to the HTA Review</w:t>
      </w:r>
    </w:p>
    <w:p w14:paraId="5BFFA0B9" w14:textId="77777777" w:rsidR="00EA38F7" w:rsidRPr="005D2393" w:rsidRDefault="00EA38F7" w:rsidP="00BD34D3">
      <w:pPr>
        <w:pStyle w:val="ListNumber"/>
      </w:pPr>
      <w:r w:rsidRPr="005D2393">
        <w:t>oversee the analysis undertaken by the expert in HTA and</w:t>
      </w:r>
    </w:p>
    <w:p w14:paraId="78C5BDD5" w14:textId="77777777" w:rsidR="00EA38F7" w:rsidRPr="005D2393" w:rsidRDefault="00EA38F7" w:rsidP="00BD34D3">
      <w:pPr>
        <w:pStyle w:val="ListNumber"/>
      </w:pPr>
      <w:r w:rsidRPr="005D2393">
        <w:lastRenderedPageBreak/>
        <w:t>prepare and agree the final report and recommendations to the PBAC and the Commonwealth.</w:t>
      </w:r>
    </w:p>
    <w:p w14:paraId="55109268" w14:textId="2F0B9A2D" w:rsidR="00EA38F7" w:rsidRPr="005D2393" w:rsidRDefault="00EA38F7" w:rsidP="00EA38F7">
      <w:pPr>
        <w:rPr>
          <w:rFonts w:cs="Arial"/>
          <w:szCs w:val="20"/>
        </w:rPr>
      </w:pPr>
      <w:r w:rsidRPr="005D2393">
        <w:rPr>
          <w:rFonts w:cs="Arial"/>
          <w:szCs w:val="20"/>
        </w:rPr>
        <w:t>Under clause 5.4 of the Strategic Agreement, it was agreed that the final report of the Reference Committee, including recommendations, will be provided to the PBAC (and its technical subcommittees) and the Commonwealth for consideration by the Australian Government.</w:t>
      </w:r>
      <w:r w:rsidR="00453069">
        <w:rPr>
          <w:rFonts w:cs="Arial"/>
          <w:szCs w:val="20"/>
        </w:rPr>
        <w:t xml:space="preserve"> </w:t>
      </w:r>
    </w:p>
    <w:p w14:paraId="77CD8DB3" w14:textId="6DC7D0B3" w:rsidR="00EA38F7" w:rsidRPr="001E5D51" w:rsidRDefault="00EA38F7" w:rsidP="00EA38F7">
      <w:pPr>
        <w:rPr>
          <w:color w:val="094868"/>
          <w:sz w:val="44"/>
          <w:szCs w:val="44"/>
        </w:rPr>
      </w:pPr>
      <w:bookmarkStart w:id="810" w:name="_Toc127368760"/>
      <w:bookmarkStart w:id="811" w:name="_Toc165457945"/>
      <w:r w:rsidRPr="001E5D51">
        <w:rPr>
          <w:color w:val="094868"/>
          <w:sz w:val="44"/>
          <w:szCs w:val="44"/>
        </w:rPr>
        <w:t>2.</w:t>
      </w:r>
      <w:r w:rsidR="00453069">
        <w:rPr>
          <w:color w:val="094868"/>
          <w:sz w:val="44"/>
          <w:szCs w:val="44"/>
        </w:rPr>
        <w:t xml:space="preserve"> </w:t>
      </w:r>
      <w:r w:rsidRPr="001E5D51">
        <w:rPr>
          <w:color w:val="094868"/>
          <w:sz w:val="44"/>
          <w:szCs w:val="44"/>
        </w:rPr>
        <w:t>Context</w:t>
      </w:r>
      <w:bookmarkEnd w:id="810"/>
      <w:bookmarkEnd w:id="811"/>
    </w:p>
    <w:p w14:paraId="23C1F7C7" w14:textId="77777777" w:rsidR="00EA38F7" w:rsidRPr="001E5D51" w:rsidRDefault="00EA38F7" w:rsidP="00EA38F7">
      <w:pPr>
        <w:rPr>
          <w:color w:val="00808A"/>
          <w:sz w:val="36"/>
          <w:szCs w:val="36"/>
        </w:rPr>
      </w:pPr>
      <w:bookmarkStart w:id="812" w:name="_Toc127368761"/>
      <w:bookmarkStart w:id="813" w:name="_Toc165457946"/>
      <w:r w:rsidRPr="001E5D51">
        <w:rPr>
          <w:color w:val="00808A"/>
          <w:sz w:val="36"/>
          <w:szCs w:val="36"/>
        </w:rPr>
        <w:t>2.1. Australia’s National Medicines Policy</w:t>
      </w:r>
      <w:bookmarkEnd w:id="812"/>
      <w:bookmarkEnd w:id="813"/>
    </w:p>
    <w:p w14:paraId="634B488F" w14:textId="77777777" w:rsidR="00EA38F7" w:rsidRPr="005D2393" w:rsidRDefault="00EA38F7" w:rsidP="00EA38F7">
      <w:pPr>
        <w:rPr>
          <w:rFonts w:cs="Arial"/>
          <w:szCs w:val="20"/>
        </w:rPr>
      </w:pPr>
      <w:r w:rsidRPr="005D2393">
        <w:rPr>
          <w:rFonts w:cs="Arial"/>
          <w:szCs w:val="20"/>
        </w:rPr>
        <w:t>The vision of the National Medicines Policy (NMP) is to achieve the world’s best health, social and economic outcomes for all Australians through a highly supportive medicines policy environment.</w:t>
      </w:r>
    </w:p>
    <w:p w14:paraId="5A2B89C9" w14:textId="77777777" w:rsidR="00EA38F7" w:rsidRPr="005D2393" w:rsidRDefault="00EA38F7" w:rsidP="00EA38F7">
      <w:pPr>
        <w:pStyle w:val="paragraph"/>
        <w:spacing w:before="0" w:beforeAutospacing="0" w:after="0" w:afterAutospacing="0"/>
        <w:textAlignment w:val="baseline"/>
        <w:rPr>
          <w:rStyle w:val="eop"/>
          <w:rFonts w:asciiTheme="minorHAnsi" w:eastAsiaTheme="minorHAnsi" w:hAnsiTheme="minorHAnsi" w:cstheme="minorHAnsi"/>
          <w:szCs w:val="22"/>
          <w:lang w:eastAsia="en-US"/>
        </w:rPr>
      </w:pPr>
      <w:r w:rsidRPr="005D2393">
        <w:rPr>
          <w:rStyle w:val="normaltextrun"/>
          <w:rFonts w:asciiTheme="minorHAnsi" w:eastAsiaTheme="majorEastAsia" w:hAnsiTheme="minorHAnsi" w:cstheme="minorHAnsi"/>
          <w:color w:val="000000" w:themeColor="text1"/>
        </w:rPr>
        <w:t>The aim of the NMP is t</w:t>
      </w:r>
      <w:r w:rsidRPr="005D2393">
        <w:rPr>
          <w:rStyle w:val="normaltextrun"/>
          <w:rFonts w:asciiTheme="minorHAnsi" w:eastAsiaTheme="majorEastAsia" w:hAnsiTheme="minorHAnsi" w:cstheme="minorHAnsi"/>
        </w:rPr>
        <w:t>o ensure:</w:t>
      </w:r>
    </w:p>
    <w:p w14:paraId="5351DD2D" w14:textId="77777777" w:rsidR="00EA38F7" w:rsidRPr="00EC77D1" w:rsidRDefault="00EA38F7" w:rsidP="00281153">
      <w:pPr>
        <w:pStyle w:val="ListBullet"/>
        <w:numPr>
          <w:ilvl w:val="0"/>
          <w:numId w:val="91"/>
        </w:numPr>
        <w:rPr>
          <w:rFonts w:cs="Arial"/>
          <w:szCs w:val="20"/>
        </w:rPr>
      </w:pPr>
      <w:r w:rsidRPr="00EC77D1">
        <w:rPr>
          <w:rFonts w:cs="Arial"/>
          <w:szCs w:val="20"/>
        </w:rPr>
        <w:t>Equitable, timely, safe and affordable access to a high-quality and reliable supply of medicines and medicines-related services for all Australians.</w:t>
      </w:r>
    </w:p>
    <w:p w14:paraId="069EFC8A" w14:textId="77777777" w:rsidR="00EA38F7" w:rsidRPr="00EC77D1" w:rsidRDefault="00EA38F7" w:rsidP="00281153">
      <w:pPr>
        <w:pStyle w:val="ListBullet"/>
        <w:numPr>
          <w:ilvl w:val="0"/>
          <w:numId w:val="91"/>
        </w:numPr>
        <w:rPr>
          <w:rFonts w:cs="Arial"/>
          <w:szCs w:val="20"/>
        </w:rPr>
      </w:pPr>
      <w:r w:rsidRPr="00EC77D1">
        <w:rPr>
          <w:rFonts w:cs="Arial"/>
          <w:szCs w:val="20"/>
        </w:rPr>
        <w:t>Medicines are used safely, optimally and judiciously, with a focus on informed choice and well-coordinated person-centred care.</w:t>
      </w:r>
    </w:p>
    <w:p w14:paraId="1C4AF0E8" w14:textId="77777777" w:rsidR="00EA38F7" w:rsidRPr="005D2393" w:rsidRDefault="00EA38F7" w:rsidP="00281153">
      <w:pPr>
        <w:pStyle w:val="ListBullet"/>
        <w:numPr>
          <w:ilvl w:val="0"/>
          <w:numId w:val="91"/>
        </w:numPr>
      </w:pPr>
      <w:r w:rsidRPr="00EC77D1">
        <w:rPr>
          <w:rFonts w:cs="Arial"/>
          <w:szCs w:val="20"/>
        </w:rPr>
        <w:t>Support for a positive and sustainable policy environment to drive world-class innovation</w:t>
      </w:r>
      <w:r w:rsidRPr="005D2393">
        <w:t xml:space="preserve"> and research, including translational research, and the successful development of medicines and medicines-related services in Australia.</w:t>
      </w:r>
    </w:p>
    <w:p w14:paraId="0208C5A8" w14:textId="77777777" w:rsidR="00EA38F7" w:rsidRPr="001E5D51" w:rsidRDefault="00EA38F7" w:rsidP="00EA38F7">
      <w:pPr>
        <w:rPr>
          <w:color w:val="00808A"/>
          <w:sz w:val="36"/>
          <w:szCs w:val="36"/>
        </w:rPr>
      </w:pPr>
      <w:bookmarkStart w:id="814" w:name="_Toc127368762"/>
      <w:bookmarkStart w:id="815" w:name="_Toc165457947"/>
      <w:r w:rsidRPr="001E5D51">
        <w:rPr>
          <w:color w:val="00808A"/>
          <w:sz w:val="36"/>
          <w:szCs w:val="36"/>
        </w:rPr>
        <w:t>2.2. HTA in Australia</w:t>
      </w:r>
      <w:bookmarkEnd w:id="814"/>
      <w:bookmarkEnd w:id="815"/>
    </w:p>
    <w:p w14:paraId="25937B8D" w14:textId="7EEF71D3" w:rsidR="00EA38F7" w:rsidRPr="005D2393" w:rsidRDefault="00EA38F7" w:rsidP="00EA38F7">
      <w:pPr>
        <w:spacing w:line="240" w:lineRule="auto"/>
        <w:rPr>
          <w:rFonts w:cs="Arial"/>
        </w:rPr>
      </w:pPr>
      <w:r w:rsidRPr="005D2393">
        <w:rPr>
          <w:rFonts w:cs="Arial"/>
          <w:szCs w:val="20"/>
        </w:rPr>
        <w:t xml:space="preserve">The NMP vision and aims are supported by subsidy schemes and funding programs like the Pharmaceutical Benefits Scheme (PBS), the Medicare Benefits Schedule, the National Immunisation Program and the Life Saving Drugs Program (LSDP) and through the National Health Reform Agreement </w:t>
      </w:r>
      <w:r>
        <w:rPr>
          <w:rFonts w:cs="Arial"/>
          <w:szCs w:val="20"/>
        </w:rPr>
        <w:t>between the Australian Government and all</w:t>
      </w:r>
      <w:r w:rsidRPr="005D2393">
        <w:rPr>
          <w:rFonts w:cs="Arial"/>
          <w:szCs w:val="20"/>
        </w:rPr>
        <w:t xml:space="preserve"> state and territor</w:t>
      </w:r>
      <w:r>
        <w:rPr>
          <w:rFonts w:cs="Arial"/>
          <w:szCs w:val="20"/>
        </w:rPr>
        <w:t>y governments</w:t>
      </w:r>
      <w:r w:rsidRPr="005D2393">
        <w:rPr>
          <w:rFonts w:cs="Arial"/>
          <w:szCs w:val="20"/>
        </w:rPr>
        <w:t>. These programs have, over many years, enabled</w:t>
      </w:r>
      <w:r w:rsidRPr="005D2393">
        <w:rPr>
          <w:rFonts w:cs="Arial"/>
        </w:rPr>
        <w:t xml:space="preserve"> </w:t>
      </w:r>
      <w:r w:rsidRPr="005D2393">
        <w:rPr>
          <w:rFonts w:cs="Arial"/>
          <w:szCs w:val="20"/>
        </w:rPr>
        <w:t xml:space="preserve">Australians to gain subsidised access to the most effective health technologies for the prevention, management, and treatment of medical conditions. </w:t>
      </w:r>
      <w:r w:rsidRPr="005D2393">
        <w:rPr>
          <w:rFonts w:cs="Arial"/>
        </w:rPr>
        <w:t xml:space="preserve">The purpose of these programs is ensuring </w:t>
      </w:r>
      <w:r>
        <w:rPr>
          <w:rFonts w:cs="Arial"/>
        </w:rPr>
        <w:t>Australians</w:t>
      </w:r>
      <w:r w:rsidRPr="005D2393">
        <w:rPr>
          <w:rFonts w:cs="Arial"/>
        </w:rPr>
        <w:t xml:space="preserve"> have access to the treatments that they need. </w:t>
      </w:r>
      <w:r>
        <w:rPr>
          <w:rFonts w:cs="Arial"/>
        </w:rPr>
        <w:t>The</w:t>
      </w:r>
      <w:r w:rsidRPr="005D2393">
        <w:rPr>
          <w:rFonts w:cs="Arial"/>
        </w:rPr>
        <w:t xml:space="preserve"> processes of acquiring these medicines by necessity involves commercial negotiations and arrangements between the suppliers and the Australian Government.</w:t>
      </w:r>
    </w:p>
    <w:p w14:paraId="25F78893" w14:textId="78041B7B" w:rsidR="00EA38F7" w:rsidRPr="005D2393" w:rsidRDefault="00EA38F7" w:rsidP="00EA38F7">
      <w:pPr>
        <w:spacing w:line="240" w:lineRule="auto"/>
        <w:rPr>
          <w:rFonts w:cs="Arial"/>
        </w:rPr>
      </w:pPr>
      <w:r w:rsidRPr="005D2393">
        <w:rPr>
          <w:rFonts w:cs="Arial"/>
        </w:rPr>
        <w:t>To ensure value for the expenditure of public funds, an essential step in Government decisions to subsidise health technologies involves advice from independent expert committees comprising doctors, health professionals, health economists and consumer representatives. These members are appointed to be the pre</w:t>
      </w:r>
      <w:r w:rsidR="0025509B">
        <w:rPr>
          <w:rFonts w:cs="Arial"/>
        </w:rPr>
        <w:t>-</w:t>
      </w:r>
      <w:r w:rsidRPr="005D2393">
        <w:rPr>
          <w:rFonts w:cs="Arial"/>
        </w:rPr>
        <w:t xml:space="preserve">eminent source of advice to Government on decisions to subsidise health technologies (including for whom and at what cost). When deciding their advice, the expert advisory committees consider an evaluation which summarises relevant information including clinical safety, effectiveness and cost of health technologies compared to alternatives and a range of </w:t>
      </w:r>
      <w:r w:rsidRPr="005D2393">
        <w:rPr>
          <w:rFonts w:cs="Arial"/>
        </w:rPr>
        <w:lastRenderedPageBreak/>
        <w:t xml:space="preserve">other factors. </w:t>
      </w:r>
      <w:bookmarkStart w:id="816" w:name="_Hlk122612171"/>
      <w:r w:rsidRPr="005D2393">
        <w:rPr>
          <w:rFonts w:cs="Arial"/>
        </w:rPr>
        <w:t>HTA enables recommendations to Government that synthesise these elements, enabling decisions on subsidy to be based on the most robust estimates of the health gains produced if a given health technology is purchased at the price offered by the sponsor.</w:t>
      </w:r>
    </w:p>
    <w:p w14:paraId="243F2A4C" w14:textId="77777777" w:rsidR="00EA38F7" w:rsidRPr="005D2393" w:rsidRDefault="00EA38F7" w:rsidP="00EA38F7">
      <w:pPr>
        <w:spacing w:line="240" w:lineRule="auto"/>
        <w:rPr>
          <w:rFonts w:cs="Arial"/>
        </w:rPr>
      </w:pPr>
      <w:r w:rsidRPr="005D2393">
        <w:rPr>
          <w:rFonts w:cs="Arial"/>
        </w:rPr>
        <w:t xml:space="preserve">Introduction of new health technologies typically requires new government expenditure </w:t>
      </w:r>
      <w:proofErr w:type="gramStart"/>
      <w:r w:rsidRPr="005D2393">
        <w:rPr>
          <w:rFonts w:cs="Arial"/>
        </w:rPr>
        <w:t>in order to</w:t>
      </w:r>
      <w:proofErr w:type="gramEnd"/>
      <w:r w:rsidRPr="005D2393">
        <w:rPr>
          <w:rFonts w:cs="Arial"/>
        </w:rPr>
        <w:t xml:space="preserve"> purchase proprietary products from commercial suppliers (sponsors). Ultimately there will always be tension on cost of a product between a commercial supplier seeking reward for their innovation in bringing the product to market and a sensible buyer, seeking value for their money. In this instance, the buyer is the Government acting on behalf of all Australians.</w:t>
      </w:r>
    </w:p>
    <w:bookmarkEnd w:id="816"/>
    <w:p w14:paraId="2646769C" w14:textId="2098E5E5" w:rsidR="00EA38F7" w:rsidRPr="005D2393" w:rsidRDefault="00EA38F7" w:rsidP="00EA38F7">
      <w:pPr>
        <w:spacing w:line="240" w:lineRule="auto"/>
        <w:rPr>
          <w:rFonts w:cs="Arial"/>
        </w:rPr>
      </w:pPr>
      <w:r w:rsidRPr="005D2393">
        <w:rPr>
          <w:rFonts w:cs="Arial"/>
        </w:rPr>
        <w:t xml:space="preserve">The PBAC </w:t>
      </w:r>
      <w:r w:rsidRPr="005D2393" w:rsidDel="00830AFC">
        <w:rPr>
          <w:rFonts w:cs="Arial"/>
        </w:rPr>
        <w:t>decision</w:t>
      </w:r>
      <w:r w:rsidR="00830AFC">
        <w:rPr>
          <w:rFonts w:cs="Arial"/>
        </w:rPr>
        <w:t>-making</w:t>
      </w:r>
      <w:r w:rsidRPr="005D2393">
        <w:rPr>
          <w:rFonts w:cs="Arial"/>
        </w:rPr>
        <w:t xml:space="preserve">, for example, is influenced by five quantitative factors: </w:t>
      </w:r>
    </w:p>
    <w:p w14:paraId="7840FFB5" w14:textId="77777777" w:rsidR="00EA38F7" w:rsidRPr="005D2393" w:rsidRDefault="00EA38F7" w:rsidP="00281153">
      <w:pPr>
        <w:pStyle w:val="ListNumber"/>
        <w:numPr>
          <w:ilvl w:val="0"/>
          <w:numId w:val="125"/>
        </w:numPr>
      </w:pPr>
      <w:r w:rsidRPr="005D2393">
        <w:t>comparative health gain assessed in terms of both the magnitude of effect and clinical importance of effect</w:t>
      </w:r>
    </w:p>
    <w:p w14:paraId="709EB611" w14:textId="4E92D137" w:rsidR="00EA38F7" w:rsidRPr="005D2393" w:rsidRDefault="00EA38F7" w:rsidP="00BD34D3">
      <w:pPr>
        <w:pStyle w:val="ListNumber"/>
      </w:pPr>
      <w:r w:rsidRPr="005D2393">
        <w:t>comparative cost-effectiveness presented as incremental cost-effectiveness ratios (including incremental cost-utility ratios) or a cost-minimisation approach</w:t>
      </w:r>
    </w:p>
    <w:p w14:paraId="13BB98FF" w14:textId="77777777" w:rsidR="00EA38F7" w:rsidRPr="005D2393" w:rsidRDefault="00EA38F7" w:rsidP="00BD34D3">
      <w:pPr>
        <w:pStyle w:val="ListNumber"/>
      </w:pPr>
      <w:r w:rsidRPr="005D2393">
        <w:t>affordability in the absence of PBS subsidy</w:t>
      </w:r>
    </w:p>
    <w:p w14:paraId="1EE93AFE" w14:textId="77777777" w:rsidR="00EA38F7" w:rsidRPr="005D2393" w:rsidRDefault="00EA38F7" w:rsidP="00BD34D3">
      <w:pPr>
        <w:pStyle w:val="ListNumber"/>
      </w:pPr>
      <w:r w:rsidRPr="005D2393">
        <w:t>predicted use in practice and financial implications for the PBS</w:t>
      </w:r>
    </w:p>
    <w:p w14:paraId="7488D945" w14:textId="77777777" w:rsidR="00EA38F7" w:rsidRPr="005D2393" w:rsidRDefault="00EA38F7" w:rsidP="00BD34D3">
      <w:pPr>
        <w:pStyle w:val="ListNumber"/>
      </w:pPr>
      <w:r w:rsidRPr="005D2393">
        <w:t xml:space="preserve">predicted use in practice and financial implications for the Government’s health budget. </w:t>
      </w:r>
    </w:p>
    <w:p w14:paraId="41041258" w14:textId="24B83A2A" w:rsidR="00EA38F7" w:rsidRPr="005D2393" w:rsidRDefault="00EA38F7" w:rsidP="00EA38F7">
      <w:pPr>
        <w:spacing w:line="240" w:lineRule="auto"/>
        <w:rPr>
          <w:rFonts w:cs="Arial"/>
        </w:rPr>
      </w:pPr>
      <w:r w:rsidRPr="005D2393">
        <w:rPr>
          <w:rFonts w:cs="Arial"/>
        </w:rPr>
        <w:t xml:space="preserve">Other less-readily quantifiable factors that also influence PBAC </w:t>
      </w:r>
      <w:r w:rsidRPr="005D2393" w:rsidDel="00830AFC">
        <w:rPr>
          <w:rFonts w:cs="Arial"/>
        </w:rPr>
        <w:t>decision</w:t>
      </w:r>
      <w:r w:rsidR="00830AFC">
        <w:rPr>
          <w:rFonts w:cs="Arial"/>
        </w:rPr>
        <w:t>-making</w:t>
      </w:r>
      <w:r w:rsidRPr="005D2393">
        <w:rPr>
          <w:rFonts w:cs="Arial"/>
        </w:rPr>
        <w:t xml:space="preserve"> include: </w:t>
      </w:r>
    </w:p>
    <w:p w14:paraId="5440918F" w14:textId="77777777" w:rsidR="00EA38F7" w:rsidRPr="005D2393" w:rsidRDefault="00EA38F7" w:rsidP="00281153">
      <w:pPr>
        <w:pStyle w:val="ListNumber"/>
        <w:numPr>
          <w:ilvl w:val="0"/>
          <w:numId w:val="140"/>
        </w:numPr>
      </w:pPr>
      <w:r w:rsidRPr="005D2393">
        <w:t xml:space="preserve">overall confidence in the evidence and assumptions relied on in submissions </w:t>
      </w:r>
    </w:p>
    <w:p w14:paraId="4C1D01C0" w14:textId="71710591" w:rsidR="00EA38F7" w:rsidRPr="005D2393" w:rsidRDefault="00EA38F7" w:rsidP="00BD34D3">
      <w:pPr>
        <w:pStyle w:val="ListNumber"/>
      </w:pPr>
      <w:r w:rsidRPr="005D2393">
        <w:t xml:space="preserve">equity of access issues such as age, or socioeconomic and geographical status </w:t>
      </w:r>
    </w:p>
    <w:p w14:paraId="0FD904AF" w14:textId="77777777" w:rsidR="00EA38F7" w:rsidRPr="005D2393" w:rsidRDefault="00EA38F7" w:rsidP="00BD34D3">
      <w:pPr>
        <w:pStyle w:val="ListNumber"/>
      </w:pPr>
      <w:r w:rsidRPr="005D2393">
        <w:t>presence of effective therapeutic alternatives where it influences the need for the medicine on the PBS</w:t>
      </w:r>
    </w:p>
    <w:p w14:paraId="13957090" w14:textId="77777777" w:rsidR="00EA38F7" w:rsidRPr="005D2393" w:rsidRDefault="00EA38F7" w:rsidP="00BD34D3">
      <w:pPr>
        <w:pStyle w:val="ListNumber"/>
      </w:pPr>
      <w:r w:rsidRPr="005D2393">
        <w:t>severity of the medical condition treated, emphasising the nature and extent of disease as it is currently managed</w:t>
      </w:r>
    </w:p>
    <w:p w14:paraId="670C069F" w14:textId="77777777" w:rsidR="00EA38F7" w:rsidRPr="005D2393" w:rsidRDefault="00EA38F7" w:rsidP="00BD34D3">
      <w:pPr>
        <w:pStyle w:val="ListNumber"/>
      </w:pPr>
      <w:r w:rsidRPr="005D2393">
        <w:t>ability to target therapy with the proposed medicine precisely and effectively to patients likely to benefit most</w:t>
      </w:r>
    </w:p>
    <w:p w14:paraId="5366F873" w14:textId="17EF7CAC" w:rsidR="00EA38F7" w:rsidRPr="005D2393" w:rsidRDefault="00EA38F7" w:rsidP="00BD34D3">
      <w:pPr>
        <w:pStyle w:val="ListNumber"/>
      </w:pPr>
      <w:r w:rsidRPr="005D2393">
        <w:t xml:space="preserve">public health issues such as </w:t>
      </w:r>
      <w:r w:rsidR="00054005">
        <w:t xml:space="preserve">the </w:t>
      </w:r>
      <w:r w:rsidRPr="005D2393">
        <w:t>development of antimicrobial resistance</w:t>
      </w:r>
    </w:p>
    <w:p w14:paraId="305622D4" w14:textId="4A9C2B08" w:rsidR="00EA38F7" w:rsidRPr="005D2393" w:rsidRDefault="00EA38F7" w:rsidP="00BD34D3">
      <w:pPr>
        <w:pStyle w:val="ListNumber"/>
      </w:pPr>
      <w:r w:rsidRPr="005D2393">
        <w:t xml:space="preserve">any other relevant factors that may affect the suitability of the medicine for listing on the PBS instead of other Government programs that support healthcare access </w:t>
      </w:r>
    </w:p>
    <w:p w14:paraId="7382EAB1" w14:textId="77777777" w:rsidR="00EA38F7" w:rsidRPr="005D2393" w:rsidRDefault="00EA38F7" w:rsidP="00BD34D3">
      <w:pPr>
        <w:pStyle w:val="ListNumber"/>
      </w:pPr>
      <w:r w:rsidRPr="005D2393">
        <w:t>consumer comments, which help the PBAC understand what consumers consider to be the main benefits and harms of the proposed medicine.</w:t>
      </w:r>
    </w:p>
    <w:p w14:paraId="007273AD" w14:textId="598E82A9" w:rsidR="00EA38F7" w:rsidRPr="005D2393" w:rsidRDefault="00EA38F7" w:rsidP="00EA38F7">
      <w:pPr>
        <w:spacing w:line="240" w:lineRule="auto"/>
        <w:rPr>
          <w:rFonts w:cs="Arial"/>
        </w:rPr>
      </w:pPr>
      <w:r w:rsidRPr="005D2393">
        <w:rPr>
          <w:rFonts w:cs="Arial"/>
        </w:rPr>
        <w:t xml:space="preserve">In special circumstances of high unmet clinical need, there are also managed access arrangements that enable subsidy of some new health technologies on terms that allow for the resolution of otherwise unacceptable clinical or economic uncertainty. </w:t>
      </w:r>
    </w:p>
    <w:p w14:paraId="41CC7290" w14:textId="4B3785BB" w:rsidR="00EA38F7" w:rsidRPr="005D2393" w:rsidRDefault="00EA38F7" w:rsidP="00EA38F7">
      <w:pPr>
        <w:spacing w:line="240" w:lineRule="auto"/>
        <w:rPr>
          <w:rFonts w:cs="Arial"/>
          <w:szCs w:val="20"/>
        </w:rPr>
      </w:pPr>
      <w:r w:rsidRPr="005D2393">
        <w:rPr>
          <w:rFonts w:cs="Arial"/>
        </w:rPr>
        <w:t>Formal HTA is an approach to ensure these factors are considered in a consistent way. HTA</w:t>
      </w:r>
      <w:r w:rsidRPr="005D2393">
        <w:rPr>
          <w:rFonts w:cs="Arial"/>
          <w:szCs w:val="20"/>
        </w:rPr>
        <w:t xml:space="preserve"> methods continuously evolve, necessitating periodic review and update of HTA </w:t>
      </w:r>
      <w:r w:rsidRPr="005D2393">
        <w:rPr>
          <w:rFonts w:cs="Arial"/>
          <w:szCs w:val="20"/>
        </w:rPr>
        <w:lastRenderedPageBreak/>
        <w:t>policy and methods. Since the requirement for the PBAC to consider cost-effectiveness in its decisions in 1987, the PBAC guidelines on submissions have been reviewed at regular intervals – most recently in 2016. The Medical Services Advisory Committee (MSAC) guidelines have also been reviewed periodically since 1998.</w:t>
      </w:r>
    </w:p>
    <w:p w14:paraId="5B53D96D" w14:textId="77777777" w:rsidR="00EA38F7" w:rsidRPr="001E5D51" w:rsidRDefault="00EA38F7" w:rsidP="00EA38F7">
      <w:pPr>
        <w:rPr>
          <w:rFonts w:cs="Arial"/>
          <w:color w:val="00808A"/>
          <w:sz w:val="36"/>
          <w:szCs w:val="28"/>
        </w:rPr>
      </w:pPr>
      <w:bookmarkStart w:id="817" w:name="_Toc127368763"/>
      <w:bookmarkStart w:id="818" w:name="_Toc165457948"/>
      <w:r w:rsidRPr="001E5D51">
        <w:rPr>
          <w:color w:val="00808A"/>
          <w:sz w:val="36"/>
          <w:szCs w:val="36"/>
        </w:rPr>
        <w:t>2.3. How the HTA Review fits with recent medicine reform processes</w:t>
      </w:r>
      <w:bookmarkEnd w:id="817"/>
      <w:bookmarkEnd w:id="818"/>
    </w:p>
    <w:p w14:paraId="3AC90B1B" w14:textId="77777777" w:rsidR="00EA38F7" w:rsidRPr="005D2393" w:rsidRDefault="00EA38F7" w:rsidP="00EA38F7">
      <w:pPr>
        <w:spacing w:line="240" w:lineRule="auto"/>
        <w:rPr>
          <w:rFonts w:cs="Arial"/>
          <w:szCs w:val="20"/>
        </w:rPr>
      </w:pPr>
      <w:r w:rsidRPr="005D2393">
        <w:rPr>
          <w:rFonts w:cs="Arial"/>
          <w:szCs w:val="20"/>
        </w:rPr>
        <w:t>Recently, both the Standing Committee on Health, Aged Care and Sport (Standing Committee) inquiry into approval processes for new drugs and novel medical technologies in Australia (the Inquiry) and the NMP Review heard a range of views about the new types of health technologies that are emerging and the changing expectations of Australians including where they are not currently being met by Australia’s subsidy schemes and funding programs. Under the direction set by the Strategic Agreement, the Inquiry and the new NMP, the HTA Review is an important opportunity to develop specific reforms to how health technologies are assessed and funded to help ensure that Australia’s subsidy schemes and funding programs continue to meet the needs of Australians into the future.</w:t>
      </w:r>
    </w:p>
    <w:p w14:paraId="4DBBE2D9" w14:textId="77777777" w:rsidR="00EA38F7" w:rsidRPr="001E5D51" w:rsidRDefault="00EA38F7" w:rsidP="00EA38F7">
      <w:pPr>
        <w:rPr>
          <w:i/>
          <w:color w:val="0E6C9B"/>
          <w:sz w:val="32"/>
          <w:szCs w:val="32"/>
        </w:rPr>
      </w:pPr>
      <w:bookmarkStart w:id="819" w:name="_Toc165457949"/>
      <w:r w:rsidRPr="001E5D51">
        <w:rPr>
          <w:color w:val="0E6C9B"/>
          <w:sz w:val="32"/>
          <w:szCs w:val="32"/>
        </w:rPr>
        <w:t>The Standing Committee on Health, Aged Care and Sport Inquiry into approval processes for new drugs and novel medical technologies in Australia</w:t>
      </w:r>
      <w:bookmarkEnd w:id="819"/>
      <w:r w:rsidRPr="001E5D51">
        <w:rPr>
          <w:color w:val="0E6C9B"/>
          <w:sz w:val="32"/>
          <w:szCs w:val="32"/>
        </w:rPr>
        <w:t xml:space="preserve"> </w:t>
      </w:r>
    </w:p>
    <w:p w14:paraId="3BFA8915" w14:textId="2C1225D6" w:rsidR="00EA38F7" w:rsidRPr="005D2393" w:rsidRDefault="00EA38F7" w:rsidP="00EA38F7">
      <w:pPr>
        <w:spacing w:line="240" w:lineRule="auto"/>
        <w:rPr>
          <w:rFonts w:cs="Arial"/>
          <w:szCs w:val="20"/>
        </w:rPr>
      </w:pPr>
      <w:r w:rsidRPr="005D2393">
        <w:rPr>
          <w:rFonts w:cs="Arial"/>
          <w:szCs w:val="20"/>
        </w:rPr>
        <w:t>The Inquiry identified several areas for improvement and set a direction for reform to how Australians access health technologies including HTA. The Standing Committee did not consider several aspects of HTA policy and methods in depth, noting that they were too technical to be considered properly in the Inquiry. The Standing Committee recommendations included that the HTA Review consider and develop reforms</w:t>
      </w:r>
      <w:r>
        <w:rPr>
          <w:rFonts w:cs="Arial"/>
          <w:szCs w:val="20"/>
        </w:rPr>
        <w:t xml:space="preserve"> in</w:t>
      </w:r>
      <w:r w:rsidRPr="005D2393">
        <w:rPr>
          <w:rFonts w:cs="Arial"/>
          <w:szCs w:val="20"/>
        </w:rPr>
        <w:t xml:space="preserve"> </w:t>
      </w:r>
      <w:r>
        <w:rPr>
          <w:rFonts w:cs="Arial"/>
          <w:szCs w:val="20"/>
        </w:rPr>
        <w:t xml:space="preserve">several areas including: for treatments and therapies that do not fit neatly into existing pathways; cooperation between different HTA and regulatory bodies in Australia and overseas and with sponsors; inclusion of patients and clinicians at an early stage in evaluation of submissions; oversight and reporting on advisory committee </w:t>
      </w:r>
      <w:r w:rsidDel="00830AFC">
        <w:rPr>
          <w:rFonts w:cs="Arial"/>
          <w:szCs w:val="20"/>
        </w:rPr>
        <w:t>decision</w:t>
      </w:r>
      <w:r w:rsidR="00830AFC">
        <w:rPr>
          <w:rFonts w:cs="Arial"/>
          <w:szCs w:val="20"/>
        </w:rPr>
        <w:t>-making</w:t>
      </w:r>
      <w:r>
        <w:rPr>
          <w:rFonts w:cs="Arial"/>
          <w:szCs w:val="20"/>
        </w:rPr>
        <w:t xml:space="preserve">; use of observational evidence; selection of comparators; and earlier access including through reduced resubmissions and increased use of managed access programs. </w:t>
      </w:r>
    </w:p>
    <w:p w14:paraId="1569B3D6" w14:textId="77777777" w:rsidR="00EA38F7" w:rsidRPr="005D2393" w:rsidRDefault="00EA38F7" w:rsidP="00EA38F7">
      <w:pPr>
        <w:spacing w:line="240" w:lineRule="auto"/>
        <w:rPr>
          <w:rFonts w:cs="Arial"/>
          <w:szCs w:val="20"/>
        </w:rPr>
      </w:pPr>
      <w:r w:rsidRPr="005D2393">
        <w:rPr>
          <w:rFonts w:cs="Arial"/>
          <w:szCs w:val="20"/>
        </w:rPr>
        <w:t xml:space="preserve">The HTA Review will address the issues identified in the Inquiry, and the recommendations of the Standing Committee, while also recognising that there are several HTA reform processes that are being undertaken in parallel to the HTA Review (section 5). </w:t>
      </w:r>
    </w:p>
    <w:p w14:paraId="1324DDFB" w14:textId="77777777" w:rsidR="00EA38F7" w:rsidRPr="001E5D51" w:rsidRDefault="00EA38F7" w:rsidP="00EA38F7">
      <w:pPr>
        <w:rPr>
          <w:color w:val="0E6C9B"/>
          <w:sz w:val="32"/>
          <w:szCs w:val="32"/>
        </w:rPr>
      </w:pPr>
      <w:bookmarkStart w:id="820" w:name="_Toc165457950"/>
      <w:r w:rsidRPr="001E5D51">
        <w:rPr>
          <w:color w:val="0E6C9B"/>
          <w:sz w:val="32"/>
          <w:szCs w:val="32"/>
        </w:rPr>
        <w:t>National Medicines Policy</w:t>
      </w:r>
      <w:bookmarkEnd w:id="820"/>
    </w:p>
    <w:p w14:paraId="0864935E" w14:textId="77777777" w:rsidR="00EA38F7" w:rsidRPr="005D2393" w:rsidRDefault="00EA38F7" w:rsidP="00EA38F7">
      <w:pPr>
        <w:spacing w:line="240" w:lineRule="auto"/>
        <w:rPr>
          <w:rFonts w:cs="Arial"/>
          <w:szCs w:val="20"/>
        </w:rPr>
      </w:pPr>
      <w:r w:rsidRPr="005D2393">
        <w:rPr>
          <w:rFonts w:cs="Arial"/>
          <w:szCs w:val="20"/>
        </w:rPr>
        <w:t>The central pillars of the new NMP are:</w:t>
      </w:r>
    </w:p>
    <w:p w14:paraId="157644EF" w14:textId="77777777" w:rsidR="00EA38F7" w:rsidRPr="005D2393" w:rsidRDefault="00EA38F7" w:rsidP="00281153">
      <w:pPr>
        <w:pStyle w:val="ListBullet"/>
        <w:numPr>
          <w:ilvl w:val="0"/>
          <w:numId w:val="91"/>
        </w:numPr>
        <w:rPr>
          <w:rFonts w:cs="Arial"/>
          <w:szCs w:val="20"/>
        </w:rPr>
      </w:pPr>
      <w:r w:rsidRPr="005D2393">
        <w:rPr>
          <w:rFonts w:cs="Arial"/>
          <w:szCs w:val="20"/>
        </w:rPr>
        <w:lastRenderedPageBreak/>
        <w:t>equitable, timely, safe and reliable access to medicines and medicines-related services, at a cost that individuals and the community can afford</w:t>
      </w:r>
    </w:p>
    <w:p w14:paraId="753F38BF" w14:textId="77777777" w:rsidR="00EA38F7" w:rsidRPr="005D2393" w:rsidRDefault="00EA38F7" w:rsidP="00281153">
      <w:pPr>
        <w:pStyle w:val="ListBullet"/>
        <w:numPr>
          <w:ilvl w:val="0"/>
          <w:numId w:val="91"/>
        </w:numPr>
        <w:rPr>
          <w:rFonts w:cs="Arial"/>
          <w:szCs w:val="20"/>
        </w:rPr>
      </w:pPr>
      <w:r w:rsidRPr="005D2393">
        <w:rPr>
          <w:rFonts w:cs="Arial"/>
          <w:szCs w:val="20"/>
        </w:rPr>
        <w:t>medicines meet the required standards of quality, safety and efficacy</w:t>
      </w:r>
    </w:p>
    <w:p w14:paraId="1570F2DF" w14:textId="77777777" w:rsidR="00EA38F7" w:rsidRPr="005D2393" w:rsidRDefault="00EA38F7" w:rsidP="00281153">
      <w:pPr>
        <w:pStyle w:val="ListBullet"/>
        <w:numPr>
          <w:ilvl w:val="0"/>
          <w:numId w:val="91"/>
        </w:numPr>
        <w:rPr>
          <w:rFonts w:cs="Arial"/>
          <w:szCs w:val="20"/>
        </w:rPr>
      </w:pPr>
      <w:r w:rsidRPr="005D2393">
        <w:rPr>
          <w:rFonts w:cs="Arial"/>
          <w:szCs w:val="20"/>
        </w:rPr>
        <w:t>quality use of medicines and medicines safety</w:t>
      </w:r>
    </w:p>
    <w:p w14:paraId="292215AD" w14:textId="77777777" w:rsidR="00EA38F7" w:rsidRPr="005D2393" w:rsidRDefault="00EA38F7" w:rsidP="00281153">
      <w:pPr>
        <w:pStyle w:val="ListBullet"/>
        <w:numPr>
          <w:ilvl w:val="0"/>
          <w:numId w:val="91"/>
        </w:numPr>
        <w:rPr>
          <w:rFonts w:cs="Arial"/>
          <w:szCs w:val="20"/>
        </w:rPr>
      </w:pPr>
      <w:r w:rsidRPr="005D2393">
        <w:rPr>
          <w:rFonts w:cs="Arial"/>
          <w:szCs w:val="20"/>
        </w:rPr>
        <w:t>collaborative, innovative and sustainable medicines industry and research sectors with the capability, capacity and expertise to respond to current and future health needs.</w:t>
      </w:r>
    </w:p>
    <w:p w14:paraId="1BA65E53" w14:textId="3BB0A24C" w:rsidR="00EA38F7" w:rsidRPr="005D2393" w:rsidRDefault="00EA38F7" w:rsidP="00EA38F7">
      <w:pPr>
        <w:spacing w:line="240" w:lineRule="auto"/>
        <w:rPr>
          <w:rFonts w:cs="Arial"/>
          <w:szCs w:val="20"/>
        </w:rPr>
      </w:pPr>
      <w:r w:rsidRPr="005D2393">
        <w:rPr>
          <w:rFonts w:cs="Arial"/>
          <w:szCs w:val="20"/>
        </w:rPr>
        <w:t xml:space="preserve">The new NMP also identifies a set of fundamental principles to guide partners in achieving the NMP’s aim. These fundamental principles </w:t>
      </w:r>
      <w:proofErr w:type="gramStart"/>
      <w:r w:rsidRPr="005D2393">
        <w:rPr>
          <w:rFonts w:cs="Arial"/>
          <w:szCs w:val="20"/>
        </w:rPr>
        <w:t>are:</w:t>
      </w:r>
      <w:proofErr w:type="gramEnd"/>
      <w:r w:rsidRPr="005D2393">
        <w:rPr>
          <w:rFonts w:cs="Arial"/>
          <w:szCs w:val="20"/>
        </w:rPr>
        <w:t xml:space="preserve"> person-centred, equity and access, partnership based and share responsibility, accountability and transparency, innovation and continuous improvement, evidence based, and sustainability. </w:t>
      </w:r>
    </w:p>
    <w:p w14:paraId="59F731BA" w14:textId="1ED2F055" w:rsidR="00EA38F7" w:rsidRPr="005D2393" w:rsidRDefault="00EA38F7" w:rsidP="00EA38F7">
      <w:pPr>
        <w:spacing w:line="240" w:lineRule="auto"/>
        <w:rPr>
          <w:rFonts w:cs="Arial"/>
          <w:szCs w:val="20"/>
        </w:rPr>
      </w:pPr>
      <w:r w:rsidRPr="005D2393">
        <w:rPr>
          <w:rFonts w:cs="Arial"/>
          <w:szCs w:val="20"/>
        </w:rPr>
        <w:t xml:space="preserve">The HTA Review will seek to further the objectives of the NMP to ensure that Australia’s subsidy schemes and funding programs continue to deliver the best possible access for </w:t>
      </w:r>
      <w:r>
        <w:rPr>
          <w:rFonts w:cs="Arial"/>
          <w:szCs w:val="20"/>
        </w:rPr>
        <w:t>Australians</w:t>
      </w:r>
      <w:r w:rsidRPr="005D2393">
        <w:rPr>
          <w:rFonts w:cs="Arial"/>
          <w:szCs w:val="20"/>
        </w:rPr>
        <w:t xml:space="preserve"> to the treatments they need. </w:t>
      </w:r>
    </w:p>
    <w:p w14:paraId="7B3B98B0" w14:textId="77777777" w:rsidR="00EA38F7" w:rsidRPr="001E5D51" w:rsidRDefault="00EA38F7" w:rsidP="00EA38F7">
      <w:pPr>
        <w:rPr>
          <w:color w:val="094868"/>
          <w:sz w:val="44"/>
          <w:szCs w:val="44"/>
        </w:rPr>
      </w:pPr>
      <w:bookmarkStart w:id="821" w:name="_Toc127368764"/>
      <w:bookmarkStart w:id="822" w:name="_Toc165457951"/>
      <w:r w:rsidRPr="001E5D51">
        <w:rPr>
          <w:color w:val="094868"/>
          <w:sz w:val="44"/>
          <w:szCs w:val="44"/>
        </w:rPr>
        <w:t>3.</w:t>
      </w:r>
      <w:r>
        <w:rPr>
          <w:color w:val="094868"/>
          <w:sz w:val="44"/>
          <w:szCs w:val="44"/>
        </w:rPr>
        <w:t xml:space="preserve"> </w:t>
      </w:r>
      <w:r w:rsidRPr="001E5D51">
        <w:rPr>
          <w:color w:val="094868"/>
          <w:sz w:val="44"/>
          <w:szCs w:val="44"/>
        </w:rPr>
        <w:t>HTA Review objectives</w:t>
      </w:r>
      <w:bookmarkEnd w:id="821"/>
      <w:bookmarkEnd w:id="822"/>
    </w:p>
    <w:p w14:paraId="385D9C43" w14:textId="43F1332E" w:rsidR="00EA38F7" w:rsidRPr="005D2393" w:rsidRDefault="00EA38F7" w:rsidP="00EA38F7">
      <w:r w:rsidRPr="005D2393">
        <w:t xml:space="preserve">The HTA Review will examine HTA policy and methods, in consultation with stakeholders, to identify features that: </w:t>
      </w:r>
    </w:p>
    <w:p w14:paraId="7A4087C9" w14:textId="77777777" w:rsidR="00EA38F7" w:rsidRPr="005D2393" w:rsidRDefault="00EA38F7" w:rsidP="00281153">
      <w:pPr>
        <w:pStyle w:val="ListNumber"/>
        <w:numPr>
          <w:ilvl w:val="0"/>
          <w:numId w:val="126"/>
        </w:numPr>
      </w:pPr>
      <w:r w:rsidRPr="005D2393">
        <w:t xml:space="preserve">are working effectively </w:t>
      </w:r>
    </w:p>
    <w:p w14:paraId="18A614DF" w14:textId="77777777" w:rsidR="00EA38F7" w:rsidRPr="005D2393" w:rsidRDefault="00EA38F7" w:rsidP="00BD34D3">
      <w:pPr>
        <w:pStyle w:val="ListNumber"/>
      </w:pPr>
      <w:r w:rsidRPr="005D2393">
        <w:t xml:space="preserve">may act as current or future barriers to </w:t>
      </w:r>
      <w:r>
        <w:t>earliest possible</w:t>
      </w:r>
      <w:r w:rsidRPr="005D2393">
        <w:t xml:space="preserve"> access</w:t>
      </w:r>
    </w:p>
    <w:p w14:paraId="367B6363" w14:textId="77777777" w:rsidR="00EA38F7" w:rsidRPr="005D2393" w:rsidRDefault="00EA38F7" w:rsidP="00BD34D3">
      <w:pPr>
        <w:pStyle w:val="ListNumber"/>
      </w:pPr>
      <w:r w:rsidRPr="005D2393">
        <w:t>may act as current or future barriers to equitable access</w:t>
      </w:r>
    </w:p>
    <w:p w14:paraId="36A0A588" w14:textId="77777777" w:rsidR="00EA38F7" w:rsidRPr="005D2393" w:rsidRDefault="00EA38F7" w:rsidP="00BD34D3">
      <w:pPr>
        <w:pStyle w:val="ListNumber"/>
      </w:pPr>
      <w:r w:rsidRPr="005D2393">
        <w:t xml:space="preserve">detract from </w:t>
      </w:r>
      <w:r>
        <w:t>person</w:t>
      </w:r>
      <w:r w:rsidRPr="005D2393">
        <w:t xml:space="preserve">-centredness </w:t>
      </w:r>
    </w:p>
    <w:p w14:paraId="4BFB20B5" w14:textId="77777777" w:rsidR="00EA38F7" w:rsidRPr="005D2393" w:rsidRDefault="00EA38F7" w:rsidP="00BD34D3">
      <w:pPr>
        <w:pStyle w:val="ListNumber"/>
      </w:pPr>
      <w:r w:rsidRPr="005D2393">
        <w:t xml:space="preserve">may be creating perverse incentives. </w:t>
      </w:r>
    </w:p>
    <w:p w14:paraId="7C229279" w14:textId="77777777" w:rsidR="00EA38F7" w:rsidRPr="005D2393" w:rsidRDefault="00EA38F7" w:rsidP="00EA38F7">
      <w:r w:rsidRPr="005D2393">
        <w:t xml:space="preserve">The HTA Review will consider reforms that address identified challenges and present a comprehensive set of recommendations for reforms to Government that: </w:t>
      </w:r>
    </w:p>
    <w:p w14:paraId="555A1A2D" w14:textId="77777777" w:rsidR="00EA38F7" w:rsidRPr="005D2393" w:rsidRDefault="00EA38F7" w:rsidP="00281153">
      <w:pPr>
        <w:pStyle w:val="ListNumber"/>
        <w:numPr>
          <w:ilvl w:val="0"/>
          <w:numId w:val="127"/>
        </w:numPr>
      </w:pPr>
      <w:r w:rsidRPr="005D2393">
        <w:t>are implementable and sustainable for both health funders (Commonwealth, state, and territory) and the health technology industry</w:t>
      </w:r>
    </w:p>
    <w:p w14:paraId="7CAB11AD" w14:textId="77777777" w:rsidR="00EA38F7" w:rsidRPr="005D2393" w:rsidRDefault="00EA38F7" w:rsidP="00BD34D3">
      <w:pPr>
        <w:pStyle w:val="ListNumber"/>
        <w:rPr>
          <w:rFonts w:cs="Arial"/>
        </w:rPr>
      </w:pPr>
      <w:bookmarkStart w:id="823" w:name="_Hlk127344551"/>
      <w:r w:rsidRPr="005D2393">
        <w:t>deliver Australians equitable, timely, safe and affordable access to a high-quality and reliable supply of medicines for all Australians</w:t>
      </w:r>
      <w:bookmarkEnd w:id="823"/>
      <w:r w:rsidRPr="7422DB3B" w:rsidDel="004C1622">
        <w:rPr>
          <w:rFonts w:cs="Arial"/>
        </w:rPr>
        <w:t xml:space="preserve"> </w:t>
      </w:r>
    </w:p>
    <w:p w14:paraId="49D2182D" w14:textId="77777777" w:rsidR="00EA38F7" w:rsidRPr="005D2393" w:rsidRDefault="00EA38F7" w:rsidP="00BD34D3">
      <w:pPr>
        <w:pStyle w:val="ListNumber"/>
      </w:pPr>
      <w:r w:rsidRPr="005D2393">
        <w:t>adopt a person-centred approach in HTA</w:t>
      </w:r>
    </w:p>
    <w:p w14:paraId="1BF659C8" w14:textId="77777777" w:rsidR="00EA38F7" w:rsidRPr="005D2393" w:rsidRDefault="00EA38F7" w:rsidP="00BD34D3">
      <w:pPr>
        <w:pStyle w:val="ListNumber"/>
      </w:pPr>
      <w:r w:rsidRPr="005D2393">
        <w:t>deliver the outcomes sought by recommendations from the Inquiry that are agreed in principle in the Government Response</w:t>
      </w:r>
    </w:p>
    <w:p w14:paraId="54DF028E" w14:textId="77777777" w:rsidR="00EA38F7" w:rsidRPr="005D2393" w:rsidRDefault="00EA38F7" w:rsidP="00BD34D3">
      <w:pPr>
        <w:pStyle w:val="ListNumber"/>
      </w:pPr>
      <w:r w:rsidRPr="005D2393">
        <w:t>further the objectives of the new NMP</w:t>
      </w:r>
    </w:p>
    <w:p w14:paraId="0A71E492" w14:textId="77777777" w:rsidR="00EA38F7" w:rsidRPr="005D2393" w:rsidRDefault="00EA38F7" w:rsidP="00BD34D3">
      <w:pPr>
        <w:pStyle w:val="ListNumber"/>
      </w:pPr>
      <w:r w:rsidRPr="005D2393">
        <w:t>ensure HTA policy and methods are well adapted to and capable of assessing new technologies that are emerging or are expected to emerge in the coming years and</w:t>
      </w:r>
    </w:p>
    <w:p w14:paraId="4E5A667E" w14:textId="77777777" w:rsidR="00EA38F7" w:rsidRDefault="00EA38F7" w:rsidP="00BD34D3">
      <w:pPr>
        <w:pStyle w:val="ListNumber"/>
      </w:pPr>
      <w:r w:rsidRPr="005D2393">
        <w:t xml:space="preserve">do not compromise assessment of patient safety, effectiveness and cost, or advice to Government on subsidy of health technologies. </w:t>
      </w:r>
    </w:p>
    <w:p w14:paraId="7D1AC51D" w14:textId="77777777" w:rsidR="00EA38F7" w:rsidRPr="005D2393" w:rsidRDefault="00EA38F7" w:rsidP="00EA38F7">
      <w:pPr>
        <w:pStyle w:val="ListParagraph"/>
        <w:rPr>
          <w:rFonts w:cs="Arial"/>
          <w:szCs w:val="20"/>
        </w:rPr>
      </w:pPr>
    </w:p>
    <w:p w14:paraId="0708E578" w14:textId="77777777" w:rsidR="00EA38F7" w:rsidRPr="001E5D51" w:rsidRDefault="00EA38F7" w:rsidP="00EA38F7">
      <w:pPr>
        <w:rPr>
          <w:color w:val="094868"/>
          <w:sz w:val="44"/>
          <w:szCs w:val="44"/>
        </w:rPr>
      </w:pPr>
      <w:r>
        <w:rPr>
          <w:color w:val="094868"/>
          <w:sz w:val="44"/>
          <w:szCs w:val="44"/>
        </w:rPr>
        <w:lastRenderedPageBreak/>
        <w:t xml:space="preserve">4. </w:t>
      </w:r>
      <w:bookmarkStart w:id="824" w:name="_Toc127368765"/>
      <w:bookmarkStart w:id="825" w:name="_Toc165457952"/>
      <w:r w:rsidRPr="001E5D51">
        <w:rPr>
          <w:color w:val="094868"/>
          <w:sz w:val="44"/>
          <w:szCs w:val="44"/>
        </w:rPr>
        <w:t>HTA Review Terms of Reference</w:t>
      </w:r>
      <w:bookmarkEnd w:id="824"/>
      <w:bookmarkEnd w:id="825"/>
    </w:p>
    <w:p w14:paraId="7B57F0DA" w14:textId="77777777" w:rsidR="00EA38F7" w:rsidRPr="001E5D51" w:rsidRDefault="00EA38F7" w:rsidP="00EA38F7">
      <w:pPr>
        <w:rPr>
          <w:color w:val="00808A"/>
          <w:sz w:val="36"/>
          <w:szCs w:val="36"/>
        </w:rPr>
      </w:pPr>
      <w:bookmarkStart w:id="826" w:name="_Toc127368766"/>
      <w:bookmarkStart w:id="827" w:name="_Toc165457953"/>
      <w:bookmarkStart w:id="828" w:name="_Hlk122431413"/>
      <w:r>
        <w:rPr>
          <w:color w:val="00808A"/>
          <w:sz w:val="36"/>
          <w:szCs w:val="36"/>
        </w:rPr>
        <w:t xml:space="preserve">4.1. </w:t>
      </w:r>
      <w:r w:rsidRPr="001E5D51">
        <w:rPr>
          <w:color w:val="00808A"/>
          <w:sz w:val="36"/>
          <w:szCs w:val="36"/>
        </w:rPr>
        <w:t>Health Technologies</w:t>
      </w:r>
      <w:bookmarkEnd w:id="826"/>
      <w:bookmarkEnd w:id="827"/>
      <w:r w:rsidRPr="001E5D51">
        <w:rPr>
          <w:color w:val="00808A"/>
          <w:sz w:val="36"/>
          <w:szCs w:val="36"/>
        </w:rPr>
        <w:t xml:space="preserve"> </w:t>
      </w:r>
    </w:p>
    <w:p w14:paraId="77BFC73D" w14:textId="77777777" w:rsidR="00EA38F7" w:rsidRPr="005D2393" w:rsidRDefault="00EA38F7" w:rsidP="00EA38F7">
      <w:r w:rsidRPr="005D2393">
        <w:t>HTA policy and methods for the following health technologies will be considered by the HTA Review:</w:t>
      </w:r>
    </w:p>
    <w:p w14:paraId="134B6CAB" w14:textId="024F21DE" w:rsidR="00EA38F7" w:rsidRPr="005D2393" w:rsidRDefault="00EA38F7" w:rsidP="00281153">
      <w:pPr>
        <w:pStyle w:val="ListNumber"/>
        <w:numPr>
          <w:ilvl w:val="0"/>
          <w:numId w:val="128"/>
        </w:numPr>
      </w:pPr>
      <w:r w:rsidRPr="005D2393">
        <w:t>all medicines and vaccines</w:t>
      </w:r>
    </w:p>
    <w:p w14:paraId="4F949930" w14:textId="28465BF9" w:rsidR="00EA38F7" w:rsidRPr="005D2393" w:rsidRDefault="00EA38F7" w:rsidP="00BD34D3">
      <w:pPr>
        <w:pStyle w:val="ListNumber"/>
      </w:pPr>
      <w:r w:rsidRPr="005D2393">
        <w:t>highly specialised therapies (such as cell and gene therapies)</w:t>
      </w:r>
    </w:p>
    <w:p w14:paraId="12C5A1B4" w14:textId="77777777" w:rsidR="00EA38F7" w:rsidRPr="005D2393" w:rsidRDefault="00EA38F7" w:rsidP="00BD34D3">
      <w:pPr>
        <w:pStyle w:val="ListNumber"/>
        <w:rPr>
          <w:rFonts w:cs="Arial"/>
        </w:rPr>
      </w:pPr>
      <w:r w:rsidRPr="005D2393">
        <w:t>other health technologies (for example a pathology test or an imaging technology) that improve health outcomes associated with</w:t>
      </w:r>
      <w:bookmarkStart w:id="829" w:name="_Hlk122431541"/>
      <w:r w:rsidRPr="005D2393">
        <w:t xml:space="preserve"> the technologies defined in points 1 and 2</w:t>
      </w:r>
      <w:bookmarkEnd w:id="829"/>
    </w:p>
    <w:p w14:paraId="42D93302" w14:textId="2E432C09" w:rsidR="00EA38F7" w:rsidRPr="005D2393" w:rsidRDefault="00EA38F7" w:rsidP="00BD34D3">
      <w:pPr>
        <w:pStyle w:val="ListNumber"/>
      </w:pPr>
      <w:r w:rsidRPr="005D2393">
        <w:t>foreseeable changes in health care that may influence the need, accessibility, effectiveness or cost-effectiveness of new health technologies.</w:t>
      </w:r>
    </w:p>
    <w:p w14:paraId="2186AB8B" w14:textId="77777777" w:rsidR="00EA38F7" w:rsidRPr="001E5D51" w:rsidRDefault="00EA38F7" w:rsidP="00EA38F7">
      <w:pPr>
        <w:rPr>
          <w:color w:val="00808A"/>
          <w:sz w:val="36"/>
          <w:szCs w:val="36"/>
        </w:rPr>
      </w:pPr>
      <w:bookmarkStart w:id="830" w:name="_Toc127368768"/>
      <w:bookmarkStart w:id="831" w:name="_Toc127368769"/>
      <w:bookmarkStart w:id="832" w:name="_Toc165457954"/>
      <w:bookmarkEnd w:id="828"/>
      <w:bookmarkEnd w:id="830"/>
      <w:r>
        <w:rPr>
          <w:color w:val="00808A"/>
          <w:sz w:val="36"/>
          <w:szCs w:val="36"/>
        </w:rPr>
        <w:t xml:space="preserve">4.2. </w:t>
      </w:r>
      <w:r w:rsidRPr="001E5D51">
        <w:rPr>
          <w:color w:val="00808A"/>
          <w:sz w:val="36"/>
          <w:szCs w:val="36"/>
        </w:rPr>
        <w:t>Policies and methods</w:t>
      </w:r>
      <w:bookmarkEnd w:id="831"/>
      <w:bookmarkEnd w:id="832"/>
      <w:r w:rsidRPr="001E5D51">
        <w:rPr>
          <w:color w:val="00808A"/>
          <w:sz w:val="36"/>
          <w:szCs w:val="36"/>
        </w:rPr>
        <w:t xml:space="preserve"> </w:t>
      </w:r>
    </w:p>
    <w:p w14:paraId="466FC8D7" w14:textId="468819CD" w:rsidR="00EA38F7" w:rsidRPr="005D2393" w:rsidRDefault="00EA38F7" w:rsidP="00EA38F7">
      <w:r w:rsidRPr="005D2393">
        <w:t>The HTA Review will examine Commonwealth HTA policy and methods (including those set out in the PBAC and MSAC Guidelines where applicable to the technologies outlined in Section 4.1) relating to:</w:t>
      </w:r>
    </w:p>
    <w:p w14:paraId="4978B5AC" w14:textId="6822014F" w:rsidR="00EA38F7" w:rsidRPr="005D2393" w:rsidRDefault="00EA38F7" w:rsidP="00281153">
      <w:pPr>
        <w:pStyle w:val="ListNumber"/>
        <w:numPr>
          <w:ilvl w:val="0"/>
          <w:numId w:val="129"/>
        </w:numPr>
      </w:pPr>
      <w:r w:rsidRPr="005D2393">
        <w:t xml:space="preserve">identification of place of a technology in care and selection of comparators </w:t>
      </w:r>
    </w:p>
    <w:p w14:paraId="36DE71F5" w14:textId="77777777" w:rsidR="00EA38F7" w:rsidRPr="005D2393" w:rsidRDefault="00EA38F7" w:rsidP="00BD34D3">
      <w:pPr>
        <w:pStyle w:val="ListNumber"/>
      </w:pPr>
      <w:r w:rsidRPr="005D2393">
        <w:t>identification of patient relevant outcomes</w:t>
      </w:r>
    </w:p>
    <w:p w14:paraId="0EC6A21E" w14:textId="58DA527C" w:rsidR="00EA38F7" w:rsidRPr="005D2393" w:rsidRDefault="00EA38F7" w:rsidP="00BD34D3">
      <w:pPr>
        <w:pStyle w:val="ListNumber"/>
      </w:pPr>
      <w:r w:rsidRPr="005D2393">
        <w:t>augmentation of primary clinical evidence with data designed to capture the value of health technologies from the perspective of patients and their communities (such as qualitative research, patient preference studies, patient reported outcome measures and patient reported experience measures)</w:t>
      </w:r>
    </w:p>
    <w:p w14:paraId="754611C4" w14:textId="77777777" w:rsidR="00EA38F7" w:rsidRPr="005D2393" w:rsidRDefault="00EA38F7" w:rsidP="00BD34D3">
      <w:pPr>
        <w:pStyle w:val="ListNumber"/>
      </w:pPr>
      <w:r w:rsidRPr="005D2393">
        <w:t>evaluations (including how the value of medicines is captured)</w:t>
      </w:r>
    </w:p>
    <w:p w14:paraId="1C24873D" w14:textId="77777777" w:rsidR="00EA38F7" w:rsidRPr="005D2393" w:rsidRDefault="00EA38F7" w:rsidP="00BD34D3">
      <w:pPr>
        <w:pStyle w:val="ListNumber"/>
        <w:rPr>
          <w:lang w:eastAsia="en-GB"/>
        </w:rPr>
      </w:pPr>
      <w:r w:rsidRPr="005D2393">
        <w:rPr>
          <w:lang w:eastAsia="en-GB"/>
        </w:rPr>
        <w:t>incorporation and use of direct input from patients, clinicians and other stakeholders with professional or lived expertise, into HTA evaluations and deliberations</w:t>
      </w:r>
    </w:p>
    <w:p w14:paraId="4064EC87" w14:textId="7B9912A1" w:rsidR="00EA38F7" w:rsidRPr="005D2393" w:rsidRDefault="00EA38F7" w:rsidP="00BD34D3">
      <w:pPr>
        <w:pStyle w:val="ListNumber"/>
        <w:rPr>
          <w:rFonts w:cs="Arial"/>
        </w:rPr>
      </w:pPr>
      <w:r w:rsidRPr="005D2393">
        <w:rPr>
          <w:lang w:val="en-GB"/>
        </w:rPr>
        <w:t xml:space="preserve">approaches to increasing transparency in HTA decision-making and communicating this </w:t>
      </w:r>
    </w:p>
    <w:p w14:paraId="7AD2C7D0" w14:textId="77777777" w:rsidR="00EA38F7" w:rsidRPr="005D2393" w:rsidRDefault="00EA38F7" w:rsidP="00BD34D3">
      <w:pPr>
        <w:pStyle w:val="ListNumber"/>
      </w:pPr>
      <w:r w:rsidRPr="005D2393">
        <w:t>new technologies, or expanded indications, that provide a substantial improvement in health outcomes compared to relevant alternative therapies</w:t>
      </w:r>
    </w:p>
    <w:p w14:paraId="03486F6D" w14:textId="77777777" w:rsidR="00EA38F7" w:rsidRPr="005D2393" w:rsidRDefault="00EA38F7" w:rsidP="00BD34D3">
      <w:pPr>
        <w:pStyle w:val="ListNumber"/>
      </w:pPr>
      <w:r w:rsidRPr="005D2393">
        <w:t>new technologies, or expanded indications, that do not provide a substantial improvement in health outcomes compared to relevant alternative therapies</w:t>
      </w:r>
    </w:p>
    <w:p w14:paraId="0CE75BA1" w14:textId="41521D95" w:rsidR="00EA38F7" w:rsidRPr="005D2393" w:rsidRDefault="00EA38F7" w:rsidP="00BD34D3">
      <w:pPr>
        <w:pStyle w:val="ListNumber"/>
      </w:pPr>
      <w:r w:rsidRPr="005D2393">
        <w:t>managing clinical, economic, financial, and other uncertainty throughout the lifecycle of a technology including better capture of necessary data on duration of effectiveness and safety events and</w:t>
      </w:r>
    </w:p>
    <w:p w14:paraId="22B2D75B" w14:textId="76A930F0" w:rsidR="00EA38F7" w:rsidRPr="005D2393" w:rsidRDefault="00EA38F7" w:rsidP="00BD34D3">
      <w:pPr>
        <w:pStyle w:val="ListNumber"/>
      </w:pPr>
      <w:bookmarkStart w:id="833" w:name="_Hlk122435175"/>
      <w:r w:rsidRPr="005D2393">
        <w:t xml:space="preserve">assessment of technologies (such as those for rare and ultra-rare diseases) that would be used for conditions where there is high unmet clinical need that have clinical and economic uncertainty including: </w:t>
      </w:r>
    </w:p>
    <w:bookmarkEnd w:id="833"/>
    <w:p w14:paraId="41FC7A71" w14:textId="77777777" w:rsidR="00EA38F7" w:rsidRPr="005D2393" w:rsidRDefault="00EA38F7" w:rsidP="00281153">
      <w:pPr>
        <w:pStyle w:val="ListNumber"/>
        <w:numPr>
          <w:ilvl w:val="0"/>
          <w:numId w:val="51"/>
        </w:numPr>
      </w:pPr>
      <w:r w:rsidRPr="005D2393">
        <w:lastRenderedPageBreak/>
        <w:t>use of evidence from relevant sources other than randomised controlled trials where such trials are not feasible and</w:t>
      </w:r>
    </w:p>
    <w:p w14:paraId="0DF21B15" w14:textId="7D87AC1A" w:rsidR="00EA38F7" w:rsidRPr="005D2393" w:rsidRDefault="00EA38F7" w:rsidP="00281153">
      <w:pPr>
        <w:pStyle w:val="ListNumber"/>
        <w:numPr>
          <w:ilvl w:val="0"/>
          <w:numId w:val="51"/>
        </w:numPr>
      </w:pPr>
      <w:r w:rsidRPr="005D2393">
        <w:t xml:space="preserve">arrangements for post market assessment and </w:t>
      </w:r>
      <w:r w:rsidRPr="005D2393" w:rsidDel="00830AFC">
        <w:t>decision</w:t>
      </w:r>
      <w:r w:rsidR="00830AFC">
        <w:t>-making</w:t>
      </w:r>
      <w:r w:rsidRPr="005D2393">
        <w:t>.</w:t>
      </w:r>
    </w:p>
    <w:p w14:paraId="1C059E24" w14:textId="77777777" w:rsidR="00EA38F7" w:rsidRPr="001E5D51" w:rsidRDefault="00EA38F7" w:rsidP="00EA38F7">
      <w:pPr>
        <w:rPr>
          <w:color w:val="00808A"/>
          <w:sz w:val="36"/>
          <w:szCs w:val="36"/>
        </w:rPr>
      </w:pPr>
      <w:bookmarkStart w:id="834" w:name="_Toc127368770"/>
      <w:bookmarkStart w:id="835" w:name="_Toc165457955"/>
      <w:r>
        <w:rPr>
          <w:color w:val="00808A"/>
          <w:sz w:val="36"/>
          <w:szCs w:val="36"/>
        </w:rPr>
        <w:t xml:space="preserve">4.3. </w:t>
      </w:r>
      <w:r w:rsidRPr="001E5D51">
        <w:rPr>
          <w:color w:val="00808A"/>
          <w:sz w:val="36"/>
          <w:szCs w:val="36"/>
        </w:rPr>
        <w:t>Funding and approval pathways</w:t>
      </w:r>
      <w:bookmarkEnd w:id="834"/>
      <w:bookmarkEnd w:id="835"/>
    </w:p>
    <w:p w14:paraId="1E9096AF" w14:textId="77777777" w:rsidR="00EA38F7" w:rsidRPr="005D2393" w:rsidRDefault="00EA38F7" w:rsidP="00EA38F7">
      <w:r w:rsidRPr="005D2393">
        <w:t>The HTA Review will consider efficient and equitable assessment and funding approaches and pathways in relation to the technologies at 4.1. This discussion will include:</w:t>
      </w:r>
    </w:p>
    <w:p w14:paraId="2BF1759E" w14:textId="77777777" w:rsidR="00EA38F7" w:rsidRPr="005D2393" w:rsidRDefault="00EA38F7" w:rsidP="00281153">
      <w:pPr>
        <w:pStyle w:val="ListNumber"/>
        <w:numPr>
          <w:ilvl w:val="0"/>
          <w:numId w:val="139"/>
        </w:numPr>
      </w:pPr>
      <w:r w:rsidRPr="005D2393">
        <w:t>approaches that incentivise launch of first in class technologies or first major extension of indication that deliver a substantial improvement in health outcomes compared to relevant alternative therapies</w:t>
      </w:r>
    </w:p>
    <w:p w14:paraId="6939F128" w14:textId="77777777" w:rsidR="00EA38F7" w:rsidRPr="005D2393" w:rsidRDefault="00EA38F7" w:rsidP="00BD34D3">
      <w:pPr>
        <w:pStyle w:val="ListNumber"/>
      </w:pPr>
      <w:r w:rsidRPr="005D2393">
        <w:t>equitable distribution and efficient use of limited HTA resources to meet the health and wellbeing needs of the Australian population</w:t>
      </w:r>
    </w:p>
    <w:p w14:paraId="6EE585A9" w14:textId="77777777" w:rsidR="00EA38F7" w:rsidRPr="005D2393" w:rsidRDefault="00EA38F7" w:rsidP="00BD34D3">
      <w:pPr>
        <w:pStyle w:val="ListNumber"/>
      </w:pPr>
      <w:r w:rsidRPr="005D2393">
        <w:t>implications of any recommendations for assessment of other health technologies and hospital funding</w:t>
      </w:r>
    </w:p>
    <w:p w14:paraId="7645A771" w14:textId="77777777" w:rsidR="00EA38F7" w:rsidRPr="005D2393" w:rsidRDefault="00EA38F7" w:rsidP="00BD34D3">
      <w:pPr>
        <w:pStyle w:val="ListNumber"/>
      </w:pPr>
      <w:r w:rsidRPr="005D2393">
        <w:t xml:space="preserve">management of future advances in health care including: </w:t>
      </w:r>
    </w:p>
    <w:p w14:paraId="69358E6A" w14:textId="77777777" w:rsidR="00EA38F7" w:rsidRPr="005D2393" w:rsidRDefault="00EA38F7" w:rsidP="00281153">
      <w:pPr>
        <w:pStyle w:val="ListNumber"/>
        <w:numPr>
          <w:ilvl w:val="0"/>
          <w:numId w:val="52"/>
        </w:numPr>
      </w:pPr>
      <w:r w:rsidRPr="005D2393">
        <w:t>adaptability of HTA approaches</w:t>
      </w:r>
    </w:p>
    <w:p w14:paraId="46A555CB" w14:textId="58E26671" w:rsidR="00EA38F7" w:rsidRPr="005D2393" w:rsidRDefault="00EA38F7" w:rsidP="00281153">
      <w:pPr>
        <w:pStyle w:val="ListNumber"/>
        <w:numPr>
          <w:ilvl w:val="0"/>
          <w:numId w:val="52"/>
        </w:numPr>
      </w:pPr>
      <w:r w:rsidRPr="005D2393">
        <w:t xml:space="preserve">flexibility of advisory committee </w:t>
      </w:r>
      <w:r w:rsidRPr="005D2393" w:rsidDel="00830AFC">
        <w:t>decision</w:t>
      </w:r>
      <w:r w:rsidR="00830AFC">
        <w:t>-making</w:t>
      </w:r>
    </w:p>
    <w:p w14:paraId="4FD92C0E" w14:textId="77777777" w:rsidR="00EA38F7" w:rsidRPr="005D2393" w:rsidRDefault="00EA38F7" w:rsidP="00281153">
      <w:pPr>
        <w:pStyle w:val="ListNumber"/>
        <w:numPr>
          <w:ilvl w:val="0"/>
          <w:numId w:val="52"/>
        </w:numPr>
      </w:pPr>
      <w:r w:rsidRPr="005D2393">
        <w:t>avoiding unnecessary complexity or duplication in HTA.</w:t>
      </w:r>
    </w:p>
    <w:p w14:paraId="597BF0B9" w14:textId="0E20F2FB" w:rsidR="00EA38F7" w:rsidRPr="005D2393" w:rsidRDefault="00EA38F7" w:rsidP="00BD34D3">
      <w:pPr>
        <w:pStyle w:val="ListNumber"/>
      </w:pPr>
      <w:r w:rsidRPr="005D2393">
        <w:t xml:space="preserve">consideration of equity of access in HTA </w:t>
      </w:r>
      <w:r w:rsidRPr="005D2393" w:rsidDel="00830AFC">
        <w:t>decision</w:t>
      </w:r>
      <w:r w:rsidR="00830AFC">
        <w:t>-making</w:t>
      </w:r>
      <w:r w:rsidRPr="005D2393">
        <w:t xml:space="preserve"> including for the </w:t>
      </w:r>
      <w:r>
        <w:t>following groups</w:t>
      </w:r>
      <w:r w:rsidRPr="005D2393">
        <w:t>:</w:t>
      </w:r>
    </w:p>
    <w:p w14:paraId="02CEC8AB" w14:textId="21162F92" w:rsidR="00EA38F7" w:rsidRPr="005D2393" w:rsidRDefault="00EA38F7" w:rsidP="00281153">
      <w:pPr>
        <w:pStyle w:val="ListNumber"/>
        <w:numPr>
          <w:ilvl w:val="0"/>
          <w:numId w:val="53"/>
        </w:numPr>
      </w:pPr>
      <w:r w:rsidRPr="005D2393">
        <w:t>First Nations people</w:t>
      </w:r>
    </w:p>
    <w:p w14:paraId="51F50B55" w14:textId="77777777" w:rsidR="00EA38F7" w:rsidRPr="005D2393" w:rsidRDefault="00EA38F7" w:rsidP="00281153">
      <w:pPr>
        <w:pStyle w:val="ListNumber"/>
        <w:numPr>
          <w:ilvl w:val="0"/>
          <w:numId w:val="53"/>
        </w:numPr>
      </w:pPr>
      <w:r w:rsidRPr="005D2393">
        <w:t>people from culturally and linguistically diverse backgrounds</w:t>
      </w:r>
    </w:p>
    <w:p w14:paraId="40C09319" w14:textId="77777777" w:rsidR="00EA38F7" w:rsidRPr="005D2393" w:rsidRDefault="00EA38F7" w:rsidP="00281153">
      <w:pPr>
        <w:pStyle w:val="ListNumber"/>
        <w:numPr>
          <w:ilvl w:val="0"/>
          <w:numId w:val="53"/>
        </w:numPr>
      </w:pPr>
      <w:r w:rsidRPr="005D2393">
        <w:t>children and older people</w:t>
      </w:r>
    </w:p>
    <w:p w14:paraId="36D8010C" w14:textId="77777777" w:rsidR="00EA38F7" w:rsidRPr="005D2393" w:rsidRDefault="00EA38F7" w:rsidP="00281153">
      <w:pPr>
        <w:pStyle w:val="ListNumber"/>
        <w:numPr>
          <w:ilvl w:val="0"/>
          <w:numId w:val="53"/>
        </w:numPr>
      </w:pPr>
      <w:r w:rsidRPr="005D2393">
        <w:t>people with disability</w:t>
      </w:r>
    </w:p>
    <w:p w14:paraId="17ACF078" w14:textId="77777777" w:rsidR="00EA38F7" w:rsidRPr="005D2393" w:rsidRDefault="00EA38F7" w:rsidP="00281153">
      <w:pPr>
        <w:pStyle w:val="ListNumber"/>
        <w:numPr>
          <w:ilvl w:val="0"/>
          <w:numId w:val="53"/>
        </w:numPr>
      </w:pPr>
      <w:r w:rsidRPr="005D2393">
        <w:t>people living in rural and remote areas</w:t>
      </w:r>
    </w:p>
    <w:p w14:paraId="6091ED87" w14:textId="77777777" w:rsidR="00EA38F7" w:rsidRPr="005D2393" w:rsidRDefault="00EA38F7" w:rsidP="00281153">
      <w:pPr>
        <w:pStyle w:val="ListNumber"/>
        <w:numPr>
          <w:ilvl w:val="0"/>
          <w:numId w:val="53"/>
        </w:numPr>
      </w:pPr>
      <w:r w:rsidRPr="005D2393">
        <w:t>people of low socioeconomic status</w:t>
      </w:r>
    </w:p>
    <w:p w14:paraId="59524E40" w14:textId="77777777" w:rsidR="00EA38F7" w:rsidRPr="005D2393" w:rsidRDefault="00EA38F7" w:rsidP="00281153">
      <w:pPr>
        <w:pStyle w:val="ListNumber"/>
        <w:numPr>
          <w:ilvl w:val="0"/>
          <w:numId w:val="53"/>
        </w:numPr>
      </w:pPr>
      <w:r w:rsidRPr="005D2393">
        <w:t>people living with rare and under-recognised diseases</w:t>
      </w:r>
    </w:p>
    <w:p w14:paraId="4590D0E8" w14:textId="77777777" w:rsidR="00EA38F7" w:rsidRPr="005D2393" w:rsidRDefault="00EA38F7" w:rsidP="00281153">
      <w:pPr>
        <w:pStyle w:val="ListNumber"/>
        <w:numPr>
          <w:ilvl w:val="0"/>
          <w:numId w:val="53"/>
        </w:numPr>
      </w:pPr>
      <w:r w:rsidRPr="005D2393">
        <w:t>people with mental illness</w:t>
      </w:r>
    </w:p>
    <w:p w14:paraId="5FAB1E16" w14:textId="46EFAD2A" w:rsidR="00EA38F7" w:rsidRPr="005D2393" w:rsidRDefault="00EA38F7" w:rsidP="00281153">
      <w:pPr>
        <w:pStyle w:val="ListNumber"/>
        <w:numPr>
          <w:ilvl w:val="0"/>
          <w:numId w:val="53"/>
        </w:numPr>
      </w:pPr>
      <w:r w:rsidRPr="005D2393">
        <w:t>lesbian, gay, bisexual, transgender, queer or questioning, intersex and/or other sexuality and gender diverse people (LGBTQI+)</w:t>
      </w:r>
    </w:p>
    <w:p w14:paraId="42AE089C" w14:textId="77777777" w:rsidR="00EA38F7" w:rsidRPr="005D2393" w:rsidRDefault="00EA38F7" w:rsidP="00BD34D3">
      <w:pPr>
        <w:pStyle w:val="ListNumber"/>
      </w:pPr>
      <w:r w:rsidRPr="005D2393">
        <w:t xml:space="preserve">other populations </w:t>
      </w:r>
      <w:r>
        <w:t>in circumstances and at life stages that give rise to vulnerability</w:t>
      </w:r>
      <w:r w:rsidRPr="00A071FA">
        <w:t>.</w:t>
      </w:r>
      <w:r w:rsidRPr="005D2393">
        <w:t xml:space="preserve"> </w:t>
      </w:r>
    </w:p>
    <w:p w14:paraId="298D219D" w14:textId="6B2BCA34" w:rsidR="00EA38F7" w:rsidRPr="005D2393" w:rsidRDefault="00EA38F7" w:rsidP="00281153">
      <w:pPr>
        <w:pStyle w:val="ListNumber"/>
        <w:numPr>
          <w:ilvl w:val="0"/>
          <w:numId w:val="54"/>
        </w:numPr>
      </w:pPr>
      <w:r w:rsidRPr="005D2393">
        <w:t>the feasibility of international work sharing for evaluation of technologies in scope for the HTA Review</w:t>
      </w:r>
    </w:p>
    <w:p w14:paraId="264F4ED1" w14:textId="77777777" w:rsidR="00EA38F7" w:rsidRPr="005D2393" w:rsidRDefault="00EA38F7" w:rsidP="00281153">
      <w:pPr>
        <w:pStyle w:val="ListNumber"/>
        <w:numPr>
          <w:ilvl w:val="0"/>
          <w:numId w:val="54"/>
        </w:numPr>
      </w:pPr>
      <w:r w:rsidRPr="005D2393">
        <w:t xml:space="preserve">purchasing practices used by comparable international jurisdictions. </w:t>
      </w:r>
    </w:p>
    <w:p w14:paraId="19BBC9B1" w14:textId="77777777" w:rsidR="009062D0" w:rsidRPr="005D2393" w:rsidRDefault="009062D0" w:rsidP="00A318F7">
      <w:pPr>
        <w:pStyle w:val="ListNumber"/>
        <w:numPr>
          <w:ilvl w:val="0"/>
          <w:numId w:val="0"/>
        </w:numPr>
        <w:ind w:left="1083"/>
      </w:pPr>
    </w:p>
    <w:p w14:paraId="4B8F660A" w14:textId="77777777" w:rsidR="00EA38F7" w:rsidRPr="001E5D51" w:rsidRDefault="00EA38F7" w:rsidP="00EA38F7">
      <w:pPr>
        <w:rPr>
          <w:color w:val="094868"/>
          <w:sz w:val="44"/>
          <w:szCs w:val="44"/>
        </w:rPr>
      </w:pPr>
      <w:bookmarkStart w:id="836" w:name="_Toc127368771"/>
      <w:bookmarkStart w:id="837" w:name="_Toc165457956"/>
      <w:bookmarkStart w:id="838" w:name="_Hlk126163282"/>
      <w:r w:rsidRPr="001E5D51">
        <w:rPr>
          <w:color w:val="094868"/>
          <w:sz w:val="44"/>
          <w:szCs w:val="44"/>
        </w:rPr>
        <w:t>5.</w:t>
      </w:r>
      <w:r>
        <w:rPr>
          <w:color w:val="094868"/>
          <w:sz w:val="44"/>
          <w:szCs w:val="44"/>
        </w:rPr>
        <w:t xml:space="preserve"> </w:t>
      </w:r>
      <w:r w:rsidRPr="001E5D51">
        <w:rPr>
          <w:color w:val="094868"/>
          <w:sz w:val="44"/>
          <w:szCs w:val="44"/>
        </w:rPr>
        <w:t>Concurrent HTA reform processes</w:t>
      </w:r>
      <w:bookmarkEnd w:id="836"/>
      <w:bookmarkEnd w:id="837"/>
    </w:p>
    <w:p w14:paraId="574A7DB9" w14:textId="77777777" w:rsidR="00EA38F7" w:rsidRPr="005D2393" w:rsidRDefault="00EA38F7" w:rsidP="00EA38F7">
      <w:r w:rsidRPr="005D2393">
        <w:lastRenderedPageBreak/>
        <w:t xml:space="preserve">There are several reform processes to HTA that are being undertaken in parallel to the HTA Review. The Reference Committee will work closely with areas undertaking these processes to ensure it is informed by what is learnt </w:t>
      </w:r>
      <w:r>
        <w:t>through</w:t>
      </w:r>
      <w:r w:rsidRPr="005D2393">
        <w:t xml:space="preserve">, and the </w:t>
      </w:r>
      <w:r>
        <w:t xml:space="preserve">HTA </w:t>
      </w:r>
      <w:r w:rsidRPr="005D2393">
        <w:t>Review recommendations are aligned to the outcomes of</w:t>
      </w:r>
      <w:r>
        <w:t>,</w:t>
      </w:r>
      <w:r w:rsidRPr="005D2393">
        <w:t xml:space="preserve"> those processes. </w:t>
      </w:r>
    </w:p>
    <w:p w14:paraId="5FC61838" w14:textId="09F928C0" w:rsidR="00EA38F7" w:rsidRPr="001E5D51" w:rsidRDefault="00EA38F7" w:rsidP="00EA38F7">
      <w:pPr>
        <w:rPr>
          <w:color w:val="00808A"/>
          <w:sz w:val="36"/>
          <w:szCs w:val="36"/>
        </w:rPr>
      </w:pPr>
      <w:bookmarkStart w:id="839" w:name="_Toc127368772"/>
      <w:bookmarkStart w:id="840" w:name="_Toc165457957"/>
      <w:r w:rsidRPr="001E5D51">
        <w:rPr>
          <w:color w:val="00808A"/>
          <w:sz w:val="36"/>
          <w:szCs w:val="36"/>
        </w:rPr>
        <w:t>5.</w:t>
      </w:r>
      <w:r>
        <w:rPr>
          <w:color w:val="00808A"/>
          <w:sz w:val="36"/>
          <w:szCs w:val="36"/>
        </w:rPr>
        <w:t xml:space="preserve">1. </w:t>
      </w:r>
      <w:r w:rsidRPr="001E5D51">
        <w:rPr>
          <w:color w:val="00808A"/>
          <w:sz w:val="36"/>
          <w:szCs w:val="36"/>
        </w:rPr>
        <w:t>Processes for patient and consumer engagement</w:t>
      </w:r>
      <w:bookmarkEnd w:id="839"/>
      <w:bookmarkEnd w:id="840"/>
      <w:r w:rsidRPr="001E5D51">
        <w:rPr>
          <w:color w:val="00808A"/>
          <w:sz w:val="36"/>
          <w:szCs w:val="36"/>
        </w:rPr>
        <w:t xml:space="preserve"> </w:t>
      </w:r>
    </w:p>
    <w:p w14:paraId="4D9BF967" w14:textId="369D0AF8" w:rsidR="00EA38F7" w:rsidRPr="005D2393" w:rsidRDefault="00EA38F7" w:rsidP="00EA38F7">
      <w:pPr>
        <w:rPr>
          <w:lang w:eastAsia="en-AU"/>
        </w:rPr>
      </w:pPr>
      <w:bookmarkStart w:id="841" w:name="_Hlk126163201"/>
      <w:bookmarkEnd w:id="838"/>
      <w:r w:rsidRPr="005D2393">
        <w:rPr>
          <w:lang w:eastAsia="en-AU"/>
        </w:rPr>
        <w:t>The Government is undertaking several reform activities that seek to improve the way patients, consumers and carers are engaged and included in HTA. This includes Conversations for Change community consultations which aim to explore different options and approaches to improve communication and engagement and to better support consumers, patients and carers during the HTA process. The findings of these consultations will be collated and analysed so the key priorities of everyone involved in the consultations will be understood, and proposals can be developed. These key priorities will be used to inform other reforms including the commitment under clause</w:t>
      </w:r>
      <w:r w:rsidR="00833EA3">
        <w:rPr>
          <w:lang w:eastAsia="en-AU"/>
        </w:rPr>
        <w:t> </w:t>
      </w:r>
      <w:r w:rsidRPr="005D2393">
        <w:rPr>
          <w:lang w:eastAsia="en-AU"/>
        </w:rPr>
        <w:t xml:space="preserve">6.3 of the Strategic Agreement to co-design an Enhanced Consumer Engagement Process to capture consumer voices </w:t>
      </w:r>
      <w:r w:rsidR="00833EA3">
        <w:rPr>
          <w:lang w:eastAsia="en-AU"/>
        </w:rPr>
        <w:t>for</w:t>
      </w:r>
      <w:r w:rsidRPr="005D2393">
        <w:rPr>
          <w:lang w:eastAsia="en-AU"/>
        </w:rPr>
        <w:t xml:space="preserve"> applications to list new medicines on the PBS. The Enhanced Consumer Engagement Process is intended to facilitate the capture of informed consumer and patient perspectives earlier, to effectively inform the assessment of submissions for reimbursement of innovative medicines and subsequent consideration by the PBAC.</w:t>
      </w:r>
    </w:p>
    <w:p w14:paraId="73BBD52F" w14:textId="77777777" w:rsidR="00EA38F7" w:rsidRPr="001E5D51" w:rsidRDefault="00EA38F7" w:rsidP="00EA38F7">
      <w:pPr>
        <w:rPr>
          <w:color w:val="00808A"/>
          <w:sz w:val="36"/>
          <w:szCs w:val="36"/>
        </w:rPr>
      </w:pPr>
      <w:bookmarkStart w:id="842" w:name="_Toc127368773"/>
      <w:bookmarkStart w:id="843" w:name="_Toc165457958"/>
      <w:bookmarkEnd w:id="841"/>
      <w:r w:rsidRPr="001E5D51">
        <w:rPr>
          <w:color w:val="00808A"/>
          <w:sz w:val="36"/>
          <w:szCs w:val="36"/>
        </w:rPr>
        <w:t>5.</w:t>
      </w:r>
      <w:r>
        <w:rPr>
          <w:color w:val="00808A"/>
          <w:sz w:val="36"/>
          <w:szCs w:val="36"/>
        </w:rPr>
        <w:t xml:space="preserve">2. </w:t>
      </w:r>
      <w:r w:rsidRPr="001E5D51">
        <w:rPr>
          <w:color w:val="00808A"/>
          <w:sz w:val="36"/>
          <w:szCs w:val="36"/>
        </w:rPr>
        <w:t>Expertise, role, and remit of advisory committees</w:t>
      </w:r>
      <w:bookmarkEnd w:id="842"/>
      <w:bookmarkEnd w:id="843"/>
    </w:p>
    <w:p w14:paraId="07EE5414" w14:textId="77777777" w:rsidR="00EA38F7" w:rsidRPr="005D2393" w:rsidRDefault="00EA38F7" w:rsidP="00EA38F7">
      <w:pPr>
        <w:rPr>
          <w:lang w:eastAsia="en-AU"/>
        </w:rPr>
      </w:pPr>
      <w:r w:rsidRPr="005D2393">
        <w:rPr>
          <w:lang w:eastAsia="en-AU"/>
        </w:rPr>
        <w:t xml:space="preserve">The expertise of advisory committees was examined in, and the subject of a recommendation from the Inquiry. The Standing Committee recommended that: </w:t>
      </w:r>
    </w:p>
    <w:p w14:paraId="5D1C3B3C" w14:textId="307FDDB5" w:rsidR="00EA38F7" w:rsidRPr="005D2393" w:rsidRDefault="00EA38F7" w:rsidP="00EA38F7">
      <w:pPr>
        <w:ind w:left="720"/>
        <w:rPr>
          <w:i/>
          <w:iCs/>
          <w:lang w:eastAsia="en-AU"/>
        </w:rPr>
      </w:pPr>
      <w:r w:rsidRPr="005D2393">
        <w:rPr>
          <w:i/>
          <w:iCs/>
          <w:lang w:eastAsia="en-AU"/>
        </w:rPr>
        <w:t>the Australian Government ensure the membership of the Pharmaceutical Benefits Advisory Committee and Medical Services Advisory Committee provides the appropriate expertise for all applications. This should include the possibilities of enhanced cross-membership between the two committees and the appointment of temporary members to consider individual applications. Recognising the nature of health challenges in Indigenous communities, membership should include representation from Aboriginal and Torres Strait Islander Peoples.</w:t>
      </w:r>
    </w:p>
    <w:p w14:paraId="1F1960F0" w14:textId="1EBEBB2D" w:rsidR="00EA38F7" w:rsidRPr="005D2393" w:rsidRDefault="00EA38F7" w:rsidP="00EA38F7">
      <w:pPr>
        <w:rPr>
          <w:lang w:eastAsia="en-AU"/>
        </w:rPr>
      </w:pPr>
      <w:r w:rsidRPr="005D2393">
        <w:rPr>
          <w:lang w:eastAsia="en-AU"/>
        </w:rPr>
        <w:t>This matter will be considered as part of the Government’s response to the Standing Committee recommendations. The</w:t>
      </w:r>
      <w:r>
        <w:rPr>
          <w:lang w:eastAsia="en-AU"/>
        </w:rPr>
        <w:t xml:space="preserve"> HTA</w:t>
      </w:r>
      <w:r w:rsidRPr="005D2393">
        <w:rPr>
          <w:lang w:eastAsia="en-AU"/>
        </w:rPr>
        <w:t xml:space="preserve"> Review will consider matters of committee organisation and processes that relate to the efficiency and timeliness of HTA considerations and subsequent </w:t>
      </w:r>
      <w:r w:rsidRPr="005D2393" w:rsidDel="00830AFC">
        <w:rPr>
          <w:lang w:eastAsia="en-AU"/>
        </w:rPr>
        <w:t>decision</w:t>
      </w:r>
      <w:r w:rsidR="00830AFC">
        <w:rPr>
          <w:lang w:eastAsia="en-AU"/>
        </w:rPr>
        <w:t>-making</w:t>
      </w:r>
      <w:r w:rsidRPr="005D2393">
        <w:rPr>
          <w:lang w:eastAsia="en-AU"/>
        </w:rPr>
        <w:t>.</w:t>
      </w:r>
    </w:p>
    <w:p w14:paraId="2BA89F7F" w14:textId="4F1FF0D2" w:rsidR="00EA38F7" w:rsidRPr="001E5D51" w:rsidRDefault="00EA38F7" w:rsidP="00EA38F7">
      <w:pPr>
        <w:rPr>
          <w:color w:val="00808A"/>
          <w:sz w:val="36"/>
          <w:szCs w:val="36"/>
        </w:rPr>
      </w:pPr>
      <w:bookmarkStart w:id="844" w:name="_Toc127368774"/>
      <w:bookmarkStart w:id="845" w:name="_Toc165457959"/>
      <w:r w:rsidRPr="001E5D51">
        <w:rPr>
          <w:color w:val="00808A"/>
          <w:sz w:val="36"/>
          <w:szCs w:val="36"/>
        </w:rPr>
        <w:t>5.</w:t>
      </w:r>
      <w:r>
        <w:rPr>
          <w:color w:val="00808A"/>
          <w:sz w:val="36"/>
          <w:szCs w:val="36"/>
        </w:rPr>
        <w:t xml:space="preserve">3. </w:t>
      </w:r>
      <w:r w:rsidRPr="001E5D51">
        <w:rPr>
          <w:color w:val="00808A"/>
          <w:sz w:val="36"/>
          <w:szCs w:val="36"/>
        </w:rPr>
        <w:t xml:space="preserve">International Collaboration Arrangement between the Department of Health and Aged Care and other </w:t>
      </w:r>
      <w:bookmarkEnd w:id="844"/>
      <w:bookmarkEnd w:id="845"/>
      <w:r w:rsidR="001B43AE">
        <w:rPr>
          <w:color w:val="00808A"/>
          <w:sz w:val="36"/>
          <w:szCs w:val="36"/>
        </w:rPr>
        <w:t>h</w:t>
      </w:r>
      <w:r w:rsidRPr="001E5D51">
        <w:rPr>
          <w:color w:val="00808A"/>
          <w:sz w:val="36"/>
          <w:szCs w:val="36"/>
        </w:rPr>
        <w:t xml:space="preserve">ealth </w:t>
      </w:r>
      <w:r w:rsidR="001B43AE">
        <w:rPr>
          <w:color w:val="00808A"/>
          <w:sz w:val="36"/>
          <w:szCs w:val="36"/>
        </w:rPr>
        <w:t>t</w:t>
      </w:r>
      <w:r w:rsidRPr="001E5D51">
        <w:rPr>
          <w:color w:val="00808A"/>
          <w:sz w:val="36"/>
          <w:szCs w:val="36"/>
        </w:rPr>
        <w:t xml:space="preserve">echnology </w:t>
      </w:r>
      <w:r w:rsidR="001B43AE">
        <w:rPr>
          <w:color w:val="00808A"/>
          <w:sz w:val="36"/>
          <w:szCs w:val="36"/>
        </w:rPr>
        <w:t>a</w:t>
      </w:r>
      <w:r w:rsidRPr="001E5D51">
        <w:rPr>
          <w:color w:val="00808A"/>
          <w:sz w:val="36"/>
          <w:szCs w:val="36"/>
        </w:rPr>
        <w:t>ssessment bodies</w:t>
      </w:r>
    </w:p>
    <w:p w14:paraId="7EFB8979" w14:textId="34694032" w:rsidR="00EA38F7" w:rsidRPr="005D2393" w:rsidRDefault="00EA38F7" w:rsidP="00EA38F7">
      <w:pPr>
        <w:rPr>
          <w:lang w:eastAsia="en-AU"/>
        </w:rPr>
      </w:pPr>
      <w:r w:rsidRPr="005D2393">
        <w:rPr>
          <w:lang w:eastAsia="en-AU"/>
        </w:rPr>
        <w:lastRenderedPageBreak/>
        <w:t>The Department of Health and Aged Care has signed an international collaboration arrangement with health technology assessment bodies</w:t>
      </w:r>
      <w:r>
        <w:rPr>
          <w:lang w:eastAsia="en-AU"/>
        </w:rPr>
        <w:t xml:space="preserve"> internationally</w:t>
      </w:r>
      <w:r w:rsidRPr="005D2393">
        <w:rPr>
          <w:lang w:eastAsia="en-AU"/>
        </w:rPr>
        <w:t>. The signatories to the arrangement, who will continue to remain independent of one another, are:</w:t>
      </w:r>
    </w:p>
    <w:p w14:paraId="12D5EBF5" w14:textId="77777777" w:rsidR="00EA38F7" w:rsidRPr="005D2393" w:rsidRDefault="00EA38F7" w:rsidP="00281153">
      <w:pPr>
        <w:pStyle w:val="ListBullet"/>
        <w:numPr>
          <w:ilvl w:val="0"/>
          <w:numId w:val="92"/>
        </w:numPr>
        <w:rPr>
          <w:rFonts w:cs="Arial"/>
          <w:szCs w:val="20"/>
        </w:rPr>
      </w:pPr>
      <w:r w:rsidRPr="005D2393">
        <w:rPr>
          <w:rFonts w:cs="Arial"/>
          <w:szCs w:val="20"/>
        </w:rPr>
        <w:t>Australian Government Department of Health and Aged Care</w:t>
      </w:r>
    </w:p>
    <w:p w14:paraId="33C9D95E" w14:textId="77777777" w:rsidR="00EA38F7" w:rsidRPr="005D2393" w:rsidRDefault="00EA38F7" w:rsidP="00281153">
      <w:pPr>
        <w:pStyle w:val="ListBullet"/>
        <w:numPr>
          <w:ilvl w:val="0"/>
          <w:numId w:val="92"/>
        </w:numPr>
        <w:rPr>
          <w:rFonts w:cs="Arial"/>
          <w:szCs w:val="20"/>
        </w:rPr>
      </w:pPr>
      <w:r w:rsidRPr="005D2393">
        <w:rPr>
          <w:rFonts w:cs="Arial"/>
          <w:szCs w:val="20"/>
        </w:rPr>
        <w:t>National Institute for Health and Care Excellence (NICE)</w:t>
      </w:r>
    </w:p>
    <w:p w14:paraId="61A4A9F0" w14:textId="77777777" w:rsidR="00EA38F7" w:rsidRPr="005D2393" w:rsidRDefault="00EA38F7" w:rsidP="00281153">
      <w:pPr>
        <w:pStyle w:val="ListBullet"/>
        <w:numPr>
          <w:ilvl w:val="0"/>
          <w:numId w:val="92"/>
        </w:numPr>
        <w:rPr>
          <w:rFonts w:cs="Arial"/>
          <w:szCs w:val="20"/>
        </w:rPr>
      </w:pPr>
      <w:r w:rsidRPr="005D2393">
        <w:rPr>
          <w:rFonts w:cs="Arial"/>
          <w:szCs w:val="20"/>
        </w:rPr>
        <w:t>Canadian Agency for Drugs and Technologies in Health (CADTH)</w:t>
      </w:r>
    </w:p>
    <w:p w14:paraId="05183E46" w14:textId="77777777" w:rsidR="00EA38F7" w:rsidRPr="005D2393" w:rsidRDefault="00EA38F7" w:rsidP="00281153">
      <w:pPr>
        <w:pStyle w:val="ListBullet"/>
        <w:numPr>
          <w:ilvl w:val="0"/>
          <w:numId w:val="92"/>
        </w:numPr>
        <w:rPr>
          <w:rFonts w:cs="Arial"/>
          <w:szCs w:val="20"/>
        </w:rPr>
      </w:pPr>
      <w:r w:rsidRPr="005D2393">
        <w:rPr>
          <w:rFonts w:cs="Arial"/>
          <w:szCs w:val="20"/>
        </w:rPr>
        <w:t>Healthcare Improvement Scotland</w:t>
      </w:r>
    </w:p>
    <w:p w14:paraId="0E19ADFE" w14:textId="77777777" w:rsidR="00EA38F7" w:rsidRPr="005D2393" w:rsidRDefault="00EA38F7" w:rsidP="00281153">
      <w:pPr>
        <w:pStyle w:val="ListBullet"/>
        <w:numPr>
          <w:ilvl w:val="0"/>
          <w:numId w:val="92"/>
        </w:numPr>
        <w:rPr>
          <w:rFonts w:cs="Arial"/>
          <w:szCs w:val="20"/>
        </w:rPr>
      </w:pPr>
      <w:r w:rsidRPr="005D2393">
        <w:rPr>
          <w:rFonts w:cs="Arial"/>
          <w:szCs w:val="20"/>
        </w:rPr>
        <w:t>Health Technology Wales</w:t>
      </w:r>
    </w:p>
    <w:p w14:paraId="0A34A359" w14:textId="77777777" w:rsidR="00EA38F7" w:rsidRPr="005D2393" w:rsidRDefault="00EA38F7" w:rsidP="00281153">
      <w:pPr>
        <w:pStyle w:val="ListBullet"/>
        <w:numPr>
          <w:ilvl w:val="0"/>
          <w:numId w:val="92"/>
        </w:numPr>
      </w:pPr>
      <w:r w:rsidRPr="006623DB">
        <w:rPr>
          <w:rFonts w:cs="Arial"/>
          <w:szCs w:val="20"/>
        </w:rPr>
        <w:t>A</w:t>
      </w:r>
      <w:r w:rsidRPr="00EA67AE">
        <w:rPr>
          <w:rFonts w:cs="Arial"/>
          <w:szCs w:val="20"/>
        </w:rPr>
        <w:t>l</w:t>
      </w:r>
      <w:r w:rsidRPr="006623DB">
        <w:rPr>
          <w:rFonts w:cs="Arial"/>
          <w:szCs w:val="20"/>
        </w:rPr>
        <w:t>l Wales Therapeutics &amp; Toxicology Centre</w:t>
      </w:r>
    </w:p>
    <w:p w14:paraId="1B01BE3A" w14:textId="77777777" w:rsidR="00E0160D" w:rsidRPr="005D2393" w:rsidRDefault="00E0160D" w:rsidP="00274AA9">
      <w:pPr>
        <w:pStyle w:val="ListBullet"/>
      </w:pPr>
    </w:p>
    <w:p w14:paraId="206B380B" w14:textId="77777777" w:rsidR="00EA38F7" w:rsidRPr="001E5D51" w:rsidRDefault="00EA38F7" w:rsidP="00EA38F7">
      <w:pPr>
        <w:rPr>
          <w:color w:val="00808A"/>
          <w:sz w:val="36"/>
          <w:szCs w:val="36"/>
        </w:rPr>
      </w:pPr>
      <w:bookmarkStart w:id="846" w:name="_Toc127368775"/>
      <w:bookmarkStart w:id="847" w:name="_Toc165457960"/>
      <w:r>
        <w:rPr>
          <w:color w:val="00808A"/>
          <w:sz w:val="36"/>
          <w:szCs w:val="36"/>
        </w:rPr>
        <w:t xml:space="preserve">5.4. </w:t>
      </w:r>
      <w:r w:rsidRPr="001E5D51">
        <w:rPr>
          <w:color w:val="00808A"/>
          <w:sz w:val="36"/>
          <w:szCs w:val="36"/>
        </w:rPr>
        <w:t>Other HTA reform commitments under the Strategic Agreement</w:t>
      </w:r>
      <w:bookmarkEnd w:id="846"/>
      <w:bookmarkEnd w:id="847"/>
    </w:p>
    <w:p w14:paraId="4C51C600" w14:textId="77777777" w:rsidR="00EA38F7" w:rsidRPr="005D2393" w:rsidRDefault="00EA38F7" w:rsidP="00EA38F7">
      <w:pPr>
        <w:rPr>
          <w:lang w:eastAsia="en-AU"/>
        </w:rPr>
      </w:pPr>
      <w:r w:rsidRPr="005D2393">
        <w:rPr>
          <w:lang w:eastAsia="en-AU"/>
        </w:rPr>
        <w:t>The Strategic Agreement contains several additional commitments to reform of HTA processes. This includes:</w:t>
      </w:r>
    </w:p>
    <w:p w14:paraId="7825DD31" w14:textId="77777777" w:rsidR="00EA38F7" w:rsidRPr="005D2393" w:rsidRDefault="00EA38F7" w:rsidP="00281153">
      <w:pPr>
        <w:pStyle w:val="ListNumber"/>
        <w:numPr>
          <w:ilvl w:val="0"/>
          <w:numId w:val="131"/>
        </w:numPr>
      </w:pPr>
      <w:r w:rsidRPr="005D2393">
        <w:t>continuous process improvement to HTA processes to facilitate earlier access to medicines</w:t>
      </w:r>
    </w:p>
    <w:p w14:paraId="5FA38FEB" w14:textId="77777777" w:rsidR="00EA38F7" w:rsidRPr="005D2393" w:rsidRDefault="00EA38F7" w:rsidP="00281153">
      <w:pPr>
        <w:pStyle w:val="ListNumber"/>
        <w:numPr>
          <w:ilvl w:val="0"/>
          <w:numId w:val="131"/>
        </w:numPr>
      </w:pPr>
      <w:r w:rsidRPr="005D2393">
        <w:t>consideration of options for conditional funding arrangements that complement the priority and provisional medicine pathways used by the TGA</w:t>
      </w:r>
    </w:p>
    <w:p w14:paraId="20D51299" w14:textId="77777777" w:rsidR="00EA38F7" w:rsidRPr="00A318F7" w:rsidRDefault="00EA38F7" w:rsidP="00281153">
      <w:pPr>
        <w:pStyle w:val="ListNumber"/>
        <w:numPr>
          <w:ilvl w:val="0"/>
          <w:numId w:val="131"/>
        </w:numPr>
      </w:pPr>
      <w:r w:rsidRPr="005D2393">
        <w:t>co-design of a trial to facilitate exchange of information between sponsors and evaluators during the process of a particular PBAC submission</w:t>
      </w:r>
    </w:p>
    <w:p w14:paraId="29374476" w14:textId="494FE55E" w:rsidR="00EA38F7" w:rsidRPr="00A318F7" w:rsidRDefault="00054005" w:rsidP="00281153">
      <w:pPr>
        <w:pStyle w:val="ListNumber"/>
        <w:numPr>
          <w:ilvl w:val="0"/>
          <w:numId w:val="131"/>
        </w:numPr>
      </w:pPr>
      <w:r>
        <w:t xml:space="preserve">the </w:t>
      </w:r>
      <w:r w:rsidR="00EA38F7" w:rsidRPr="005D2393">
        <w:t>development of a policy for Risk Sharing Arrangements</w:t>
      </w:r>
      <w:r w:rsidR="00EA38F7">
        <w:t xml:space="preserve"> and</w:t>
      </w:r>
    </w:p>
    <w:p w14:paraId="484A2448" w14:textId="77777777" w:rsidR="00EA38F7" w:rsidRPr="005D2393" w:rsidRDefault="00EA38F7" w:rsidP="00281153">
      <w:pPr>
        <w:pStyle w:val="ListNumber"/>
        <w:numPr>
          <w:ilvl w:val="0"/>
          <w:numId w:val="131"/>
        </w:numPr>
      </w:pPr>
      <w:r w:rsidRPr="005D2393">
        <w:t>rapid post-market reviews.</w:t>
      </w:r>
    </w:p>
    <w:p w14:paraId="5F5EA796" w14:textId="77777777" w:rsidR="00EA38F7" w:rsidRPr="001E5D51" w:rsidRDefault="00EA38F7" w:rsidP="00EA38F7">
      <w:pPr>
        <w:rPr>
          <w:color w:val="094868"/>
          <w:sz w:val="44"/>
          <w:szCs w:val="44"/>
        </w:rPr>
      </w:pPr>
      <w:bookmarkStart w:id="848" w:name="_Toc127368776"/>
      <w:bookmarkStart w:id="849" w:name="_Toc165457961"/>
      <w:r w:rsidRPr="001E5D51">
        <w:rPr>
          <w:color w:val="094868"/>
          <w:sz w:val="44"/>
          <w:szCs w:val="44"/>
        </w:rPr>
        <w:t>6.</w:t>
      </w:r>
      <w:r>
        <w:rPr>
          <w:color w:val="094868"/>
          <w:sz w:val="44"/>
          <w:szCs w:val="44"/>
        </w:rPr>
        <w:t xml:space="preserve"> </w:t>
      </w:r>
      <w:r w:rsidRPr="001E5D51">
        <w:rPr>
          <w:color w:val="094868"/>
          <w:sz w:val="44"/>
          <w:szCs w:val="44"/>
        </w:rPr>
        <w:t>Areas that are out of scope for the HTA Review</w:t>
      </w:r>
      <w:bookmarkEnd w:id="848"/>
      <w:bookmarkEnd w:id="849"/>
    </w:p>
    <w:p w14:paraId="4D4FFFA1" w14:textId="72ADDC31" w:rsidR="00EA38F7" w:rsidRPr="001E5D51" w:rsidRDefault="00EA38F7" w:rsidP="00EA38F7">
      <w:pPr>
        <w:rPr>
          <w:color w:val="00808A"/>
          <w:sz w:val="36"/>
          <w:szCs w:val="36"/>
        </w:rPr>
      </w:pPr>
      <w:r>
        <w:rPr>
          <w:color w:val="00808A"/>
          <w:sz w:val="36"/>
          <w:szCs w:val="36"/>
        </w:rPr>
        <w:t>6.1</w:t>
      </w:r>
      <w:r w:rsidRPr="001E5D51">
        <w:rPr>
          <w:color w:val="00808A"/>
          <w:sz w:val="36"/>
          <w:szCs w:val="36"/>
        </w:rPr>
        <w:t xml:space="preserve"> </w:t>
      </w:r>
      <w:bookmarkStart w:id="850" w:name="_Toc127368777"/>
      <w:bookmarkStart w:id="851" w:name="_Toc165457962"/>
      <w:r w:rsidRPr="001E5D51">
        <w:rPr>
          <w:color w:val="00808A"/>
          <w:sz w:val="36"/>
          <w:szCs w:val="36"/>
        </w:rPr>
        <w:t xml:space="preserve">Government health and economic </w:t>
      </w:r>
      <w:r w:rsidRPr="001E5D51" w:rsidDel="00830AFC">
        <w:rPr>
          <w:color w:val="00808A"/>
          <w:sz w:val="36"/>
          <w:szCs w:val="36"/>
        </w:rPr>
        <w:t>decision</w:t>
      </w:r>
      <w:bookmarkEnd w:id="850"/>
      <w:bookmarkEnd w:id="851"/>
      <w:r w:rsidR="00830AFC">
        <w:rPr>
          <w:color w:val="00808A"/>
          <w:sz w:val="36"/>
          <w:szCs w:val="36"/>
        </w:rPr>
        <w:t>-making</w:t>
      </w:r>
    </w:p>
    <w:p w14:paraId="110EB109" w14:textId="5056B562" w:rsidR="00EA38F7" w:rsidRPr="0043188B" w:rsidRDefault="00EA38F7" w:rsidP="00EA38F7">
      <w:r w:rsidRPr="005D2393">
        <w:rPr>
          <w:lang w:eastAsia="en-AU"/>
        </w:rPr>
        <w:t xml:space="preserve">The Government has agreed to funding parameters that allow the Minister for Health and Aged Care to approve the PBS listing of a new medicine up to $20M in any year. Beyond this cost, the PBS listing would require Cabinet approval. The Government has given a high priority to funding new medicines recommended by the PBAC. It can do this because the processes of the PBAC ensure value for spending on medicines. However, this </w:t>
      </w:r>
      <w:r w:rsidRPr="005D2393" w:rsidDel="00830AFC">
        <w:rPr>
          <w:lang w:eastAsia="en-AU"/>
        </w:rPr>
        <w:t>decision</w:t>
      </w:r>
      <w:r w:rsidR="00830AFC">
        <w:rPr>
          <w:lang w:eastAsia="en-AU"/>
        </w:rPr>
        <w:t>-making</w:t>
      </w:r>
      <w:r w:rsidRPr="005D2393">
        <w:rPr>
          <w:lang w:eastAsia="en-AU"/>
        </w:rPr>
        <w:t xml:space="preserve"> occurs in the broader context of the Government and Cabinet health and economic </w:t>
      </w:r>
      <w:r w:rsidRPr="005D2393" w:rsidDel="00830AFC">
        <w:rPr>
          <w:lang w:eastAsia="en-AU"/>
        </w:rPr>
        <w:t>decision</w:t>
      </w:r>
      <w:r w:rsidR="00830AFC">
        <w:rPr>
          <w:lang w:eastAsia="en-AU"/>
        </w:rPr>
        <w:t>-making</w:t>
      </w:r>
      <w:r w:rsidRPr="005D2393">
        <w:rPr>
          <w:lang w:eastAsia="en-AU"/>
        </w:rPr>
        <w:t xml:space="preserve">. This broader policy setting and </w:t>
      </w:r>
      <w:r w:rsidRPr="005D2393" w:rsidDel="00830AFC">
        <w:rPr>
          <w:lang w:eastAsia="en-AU"/>
        </w:rPr>
        <w:t>decision</w:t>
      </w:r>
      <w:r w:rsidR="00830AFC">
        <w:rPr>
          <w:lang w:eastAsia="en-AU"/>
        </w:rPr>
        <w:t>-making</w:t>
      </w:r>
      <w:r w:rsidRPr="005D2393">
        <w:rPr>
          <w:lang w:eastAsia="en-AU"/>
        </w:rPr>
        <w:t xml:space="preserve"> is outside the terms of reference for this review. </w:t>
      </w:r>
      <w:bookmarkStart w:id="852" w:name="_Toc68460554"/>
      <w:bookmarkStart w:id="853" w:name="_Toc68460616"/>
      <w:bookmarkStart w:id="854" w:name="_Toc68461155"/>
      <w:bookmarkStart w:id="855" w:name="_Toc70881913"/>
      <w:bookmarkStart w:id="856" w:name="_Toc70881914"/>
      <w:bookmarkStart w:id="857" w:name="_Toc70881915"/>
      <w:bookmarkStart w:id="858" w:name="_Toc70881916"/>
      <w:bookmarkStart w:id="859" w:name="_Toc70881917"/>
      <w:bookmarkStart w:id="860" w:name="_Toc70881918"/>
      <w:bookmarkStart w:id="861" w:name="_Toc70881919"/>
      <w:bookmarkStart w:id="862" w:name="_Toc70881920"/>
      <w:bookmarkStart w:id="863" w:name="_Toc70881921"/>
      <w:bookmarkStart w:id="864" w:name="_Toc70881922"/>
      <w:bookmarkStart w:id="865" w:name="_Toc70881926"/>
      <w:bookmarkStart w:id="866" w:name="_Toc68460567"/>
      <w:bookmarkStart w:id="867" w:name="_Toc68460629"/>
      <w:bookmarkStart w:id="868" w:name="_Toc68461168"/>
      <w:bookmarkStart w:id="869" w:name="_Toc70881935"/>
      <w:bookmarkStart w:id="870" w:name="_Toc70881936"/>
      <w:bookmarkStart w:id="871" w:name="_Toc68460569"/>
      <w:bookmarkStart w:id="872" w:name="_Toc68460631"/>
      <w:bookmarkStart w:id="873" w:name="_Toc68461170"/>
      <w:bookmarkStart w:id="874" w:name="_Toc68460571"/>
      <w:bookmarkStart w:id="875" w:name="_Toc68460633"/>
      <w:bookmarkStart w:id="876" w:name="_Toc68461172"/>
      <w:bookmarkStart w:id="877" w:name="_Toc68460582"/>
      <w:bookmarkStart w:id="878" w:name="_Toc68460644"/>
      <w:bookmarkStart w:id="879" w:name="_Toc68461183"/>
      <w:bookmarkStart w:id="880" w:name="_Toc70881959"/>
      <w:bookmarkStart w:id="881" w:name="_Toc70881963"/>
      <w:bookmarkStart w:id="882" w:name="_Toc70881964"/>
      <w:bookmarkStart w:id="883" w:name="_Toc70881965"/>
      <w:bookmarkStart w:id="884" w:name="_Toc70881966"/>
      <w:bookmarkStart w:id="885" w:name="_Toc70881967"/>
      <w:bookmarkStart w:id="886" w:name="_Toc70881968"/>
      <w:bookmarkStart w:id="887" w:name="_Toc70881969"/>
      <w:bookmarkStart w:id="888" w:name="_Toc70881970"/>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p>
    <w:p w14:paraId="41B942EC" w14:textId="635C7410" w:rsidR="00743516" w:rsidRDefault="0066320D" w:rsidP="00405FD7">
      <w:pPr>
        <w:pStyle w:val="Heading1"/>
      </w:pPr>
      <w:r>
        <w:br w:type="page"/>
      </w:r>
      <w:bookmarkStart w:id="889" w:name="_Toc165473784"/>
      <w:bookmarkStart w:id="890" w:name="_Toc171935909"/>
      <w:r w:rsidR="003B5931">
        <w:lastRenderedPageBreak/>
        <w:t>Consultation scope</w:t>
      </w:r>
      <w:bookmarkEnd w:id="889"/>
      <w:bookmarkEnd w:id="890"/>
    </w:p>
    <w:p w14:paraId="08CFE7E8" w14:textId="77777777" w:rsidR="00BE31D9" w:rsidRPr="00405FD7" w:rsidRDefault="00BE31D9" w:rsidP="00405FD7">
      <w:pPr>
        <w:rPr>
          <w:rFonts w:cs="Segoe UI Light"/>
          <w:color w:val="00808A"/>
          <w:sz w:val="44"/>
          <w:szCs w:val="44"/>
        </w:rPr>
      </w:pPr>
      <w:bookmarkStart w:id="891" w:name="_Toc157029044"/>
      <w:r w:rsidRPr="00405FD7">
        <w:rPr>
          <w:rFonts w:ascii="Segoe UI Light" w:hAnsi="Segoe UI Light" w:cs="Segoe UI Light"/>
          <w:color w:val="00808A"/>
          <w:sz w:val="44"/>
          <w:szCs w:val="44"/>
        </w:rPr>
        <w:t>Terms of reference</w:t>
      </w:r>
      <w:bookmarkEnd w:id="891"/>
      <w:r w:rsidRPr="00405FD7">
        <w:rPr>
          <w:rFonts w:ascii="Segoe UI Light" w:hAnsi="Segoe UI Light" w:cs="Segoe UI Light"/>
          <w:color w:val="00808A"/>
          <w:sz w:val="44"/>
          <w:szCs w:val="44"/>
        </w:rPr>
        <w:t xml:space="preserve"> </w:t>
      </w:r>
    </w:p>
    <w:p w14:paraId="2B00612F" w14:textId="44D09707" w:rsidR="00BE31D9" w:rsidRPr="006647C5" w:rsidRDefault="00BE31D9" w:rsidP="00BE31D9">
      <w:pPr>
        <w:spacing w:after="120"/>
        <w:rPr>
          <w:rFonts w:cs="Segoe UI"/>
        </w:rPr>
      </w:pPr>
      <w:r w:rsidRPr="006647C5">
        <w:rPr>
          <w:rFonts w:cs="Segoe UI"/>
        </w:rPr>
        <w:t>The</w:t>
      </w:r>
      <w:r>
        <w:rPr>
          <w:rFonts w:cs="Segoe UI"/>
        </w:rPr>
        <w:t xml:space="preserve"> </w:t>
      </w:r>
      <w:hyperlink r:id="rId50" w:history="1">
        <w:r w:rsidRPr="00461791">
          <w:rPr>
            <w:rStyle w:val="Hyperlink"/>
          </w:rPr>
          <w:t xml:space="preserve">terms of reference </w:t>
        </w:r>
        <w:r w:rsidRPr="00461791">
          <w:rPr>
            <w:rStyle w:val="Hyperlink"/>
            <w:rFonts w:cs="Segoe UI"/>
          </w:rPr>
          <w:t>for the HTA Review</w:t>
        </w:r>
      </w:hyperlink>
      <w:r w:rsidRPr="006647C5">
        <w:rPr>
          <w:rFonts w:cs="Segoe UI"/>
        </w:rPr>
        <w:t xml:space="preserve"> </w:t>
      </w:r>
      <w:r>
        <w:rPr>
          <w:rFonts w:cs="Segoe UI"/>
        </w:rPr>
        <w:t xml:space="preserve">were published on 22 March 2023, taking into account feedback from organisations representing patients, consumers, health technology companies, advisory bodies and state and territory governments. </w:t>
      </w:r>
    </w:p>
    <w:p w14:paraId="663EECCC" w14:textId="16012F33" w:rsidR="00BE31D9" w:rsidRPr="00405FD7" w:rsidRDefault="00BE31D9" w:rsidP="00182E65">
      <w:pPr>
        <w:spacing w:after="120"/>
        <w:rPr>
          <w:i/>
          <w:iCs/>
        </w:rPr>
      </w:pPr>
      <w:r w:rsidRPr="006647C5">
        <w:rPr>
          <w:rFonts w:cs="Segoe UI"/>
        </w:rPr>
        <w:t xml:space="preserve">The </w:t>
      </w:r>
      <w:r>
        <w:t>terms of reference</w:t>
      </w:r>
      <w:r w:rsidRPr="006647C5">
        <w:rPr>
          <w:rFonts w:cs="Segoe UI"/>
        </w:rPr>
        <w:t xml:space="preserve"> include objectives relating to what the </w:t>
      </w:r>
      <w:r>
        <w:rPr>
          <w:rFonts w:cs="Segoe UI"/>
        </w:rPr>
        <w:t>R</w:t>
      </w:r>
      <w:r w:rsidRPr="006647C5">
        <w:rPr>
          <w:rFonts w:cs="Segoe UI"/>
        </w:rPr>
        <w:t xml:space="preserve">eview </w:t>
      </w:r>
      <w:r w:rsidR="00182E65">
        <w:rPr>
          <w:rFonts w:cs="Segoe UI"/>
        </w:rPr>
        <w:t>was</w:t>
      </w:r>
      <w:r w:rsidRPr="006647C5">
        <w:rPr>
          <w:rFonts w:cs="Segoe UI"/>
        </w:rPr>
        <w:t xml:space="preserve"> seek</w:t>
      </w:r>
      <w:r w:rsidR="006D2C9E">
        <w:rPr>
          <w:rFonts w:cs="Segoe UI"/>
        </w:rPr>
        <w:t>ing</w:t>
      </w:r>
      <w:r w:rsidRPr="006647C5">
        <w:rPr>
          <w:rFonts w:cs="Segoe UI"/>
        </w:rPr>
        <w:t xml:space="preserve"> to identify, </w:t>
      </w:r>
      <w:r>
        <w:rPr>
          <w:rFonts w:cs="Segoe UI"/>
        </w:rPr>
        <w:t xml:space="preserve">as well as objectives </w:t>
      </w:r>
      <w:r w:rsidRPr="006647C5">
        <w:rPr>
          <w:rFonts w:cs="Segoe UI"/>
        </w:rPr>
        <w:t xml:space="preserve">for the </w:t>
      </w:r>
      <w:r w:rsidR="00182E65">
        <w:rPr>
          <w:rFonts w:cs="Segoe UI"/>
        </w:rPr>
        <w:t>final</w:t>
      </w:r>
      <w:r w:rsidRPr="006647C5">
        <w:rPr>
          <w:rFonts w:cs="Segoe UI"/>
        </w:rPr>
        <w:t xml:space="preserve"> </w:t>
      </w:r>
      <w:r>
        <w:rPr>
          <w:rFonts w:cs="Segoe UI"/>
        </w:rPr>
        <w:t>r</w:t>
      </w:r>
      <w:r w:rsidRPr="006647C5">
        <w:rPr>
          <w:rFonts w:cs="Segoe UI"/>
        </w:rPr>
        <w:t xml:space="preserve">ecommendations. </w:t>
      </w:r>
    </w:p>
    <w:p w14:paraId="54D3F1DF" w14:textId="1F916388" w:rsidR="009D724C" w:rsidRPr="00405FD7" w:rsidRDefault="009D724C" w:rsidP="00405FD7">
      <w:pPr>
        <w:rPr>
          <w:rFonts w:ascii="Segoe UI Light" w:hAnsi="Segoe UI Light" w:cs="Segoe UI Light"/>
          <w:color w:val="00808A"/>
          <w:sz w:val="44"/>
          <w:szCs w:val="44"/>
        </w:rPr>
      </w:pPr>
      <w:r w:rsidRPr="00405FD7">
        <w:rPr>
          <w:rFonts w:ascii="Segoe UI Light" w:hAnsi="Segoe UI Light" w:cs="Segoe UI Light"/>
          <w:color w:val="00808A"/>
          <w:sz w:val="44"/>
          <w:szCs w:val="44"/>
        </w:rPr>
        <w:t>Public Consultation 1</w:t>
      </w:r>
    </w:p>
    <w:p w14:paraId="0F99C075" w14:textId="2B7FAC0B" w:rsidR="009D724C" w:rsidRPr="007A6528" w:rsidRDefault="009D724C" w:rsidP="009D724C">
      <w:pPr>
        <w:spacing w:after="120"/>
        <w:rPr>
          <w:rFonts w:cs="Segoe UI"/>
          <w:bCs/>
        </w:rPr>
      </w:pPr>
      <w:r w:rsidRPr="007A6528">
        <w:rPr>
          <w:rFonts w:cs="Segoe UI"/>
          <w:bCs/>
        </w:rPr>
        <w:t>The first public consultation (Consultation 1) for the Review was open from 11 April 2023 to 16 June 2023.</w:t>
      </w:r>
    </w:p>
    <w:p w14:paraId="1878F790" w14:textId="77777777" w:rsidR="009D724C" w:rsidRPr="007A6528" w:rsidRDefault="009D724C" w:rsidP="009D724C">
      <w:pPr>
        <w:spacing w:after="120"/>
        <w:rPr>
          <w:rFonts w:cs="Segoe UI"/>
          <w:bCs/>
        </w:rPr>
      </w:pPr>
      <w:r w:rsidRPr="007A6528">
        <w:rPr>
          <w:rFonts w:cs="Segoe UI"/>
          <w:bCs/>
        </w:rPr>
        <w:t xml:space="preserve">Consultation 1 received 114 submissions, which included </w:t>
      </w:r>
      <w:hyperlink r:id="rId51" w:history="1">
        <w:r w:rsidRPr="001B6EC0">
          <w:rPr>
            <w:rStyle w:val="Hyperlink"/>
            <w:rFonts w:cs="Segoe UI"/>
            <w:bCs/>
          </w:rPr>
          <w:t>responses to the online survey</w:t>
        </w:r>
      </w:hyperlink>
      <w:r w:rsidRPr="007A6528">
        <w:rPr>
          <w:rFonts w:cs="Segoe UI"/>
          <w:bCs/>
        </w:rPr>
        <w:t xml:space="preserve"> through the Office of Health Technology Assessment Consultation Hub (Consultation Hub), emailed submissions, and online video forums with the Reference Committee.</w:t>
      </w:r>
    </w:p>
    <w:p w14:paraId="022E8E25" w14:textId="12C02E1C" w:rsidR="00182E65" w:rsidRDefault="00346259" w:rsidP="00346259">
      <w:pPr>
        <w:rPr>
          <w:rFonts w:ascii="Segoe UI Light" w:hAnsi="Segoe UI Light" w:cs="Segoe UI Light"/>
          <w:color w:val="00808A"/>
          <w:sz w:val="44"/>
          <w:szCs w:val="44"/>
        </w:rPr>
      </w:pPr>
      <w:bookmarkStart w:id="892" w:name="_Toc157029046"/>
      <w:r w:rsidRPr="00405FD7">
        <w:rPr>
          <w:rFonts w:ascii="Segoe UI Light" w:hAnsi="Segoe UI Light" w:cs="Segoe UI Light"/>
          <w:color w:val="00808A"/>
          <w:sz w:val="44"/>
          <w:szCs w:val="44"/>
        </w:rPr>
        <w:t>Consultation deep</w:t>
      </w:r>
      <w:r w:rsidR="00952020">
        <w:rPr>
          <w:rFonts w:ascii="Segoe UI Light" w:hAnsi="Segoe UI Light" w:cs="Segoe UI Light"/>
          <w:color w:val="00808A"/>
          <w:sz w:val="44"/>
          <w:szCs w:val="44"/>
        </w:rPr>
        <w:t xml:space="preserve"> </w:t>
      </w:r>
      <w:r w:rsidRPr="00405FD7">
        <w:rPr>
          <w:rFonts w:ascii="Segoe UI Light" w:hAnsi="Segoe UI Light" w:cs="Segoe UI Light"/>
          <w:color w:val="00808A"/>
          <w:sz w:val="44"/>
          <w:szCs w:val="44"/>
        </w:rPr>
        <w:t>dives</w:t>
      </w:r>
    </w:p>
    <w:p w14:paraId="4C9CBA93" w14:textId="32004215" w:rsidR="00182E65" w:rsidRDefault="00346259" w:rsidP="00346259">
      <w:r>
        <w:rPr>
          <w:rFonts w:cs="Segoe UI"/>
          <w:color w:val="313131"/>
          <w:shd w:val="clear" w:color="auto" w:fill="FFFFFF"/>
        </w:rPr>
        <w:t>The Reference Committee held 26 deep dives with individuals from the health technology industry, peak bodies representing consumers, patient advocacy groups, Aboriginal and Torres Strait Islander peoples, clinicians and clinical groups, and state and territory governments. Deep-dive discussions were aimed at assisting the Reference Committee to gain an in-depth understanding of specific complex topics, issues, challenges, and opportunities for HTA. Expressions of interest for deep dive discussions with the Reference Committee were open to all stakeholders from 16 May 2023 to 1 September 2023.</w:t>
      </w:r>
    </w:p>
    <w:p w14:paraId="642AD181" w14:textId="083FAEAF" w:rsidR="00182E65" w:rsidRDefault="00346259" w:rsidP="00346259">
      <w:r w:rsidRPr="00405FD7">
        <w:rPr>
          <w:rFonts w:ascii="Segoe UI Light" w:hAnsi="Segoe UI Light" w:cs="Segoe UI Light"/>
          <w:color w:val="00808A"/>
          <w:sz w:val="44"/>
          <w:szCs w:val="44"/>
        </w:rPr>
        <w:t>Research and Analysis (HTA Expert papers)</w:t>
      </w:r>
    </w:p>
    <w:p w14:paraId="2BB121D7" w14:textId="77777777" w:rsidR="00D72B59" w:rsidRDefault="00346259" w:rsidP="00346259">
      <w:r>
        <w:rPr>
          <w:rFonts w:cs="Segoe UI"/>
        </w:rPr>
        <w:t xml:space="preserve">Three HTA expert groups were engaged to undertake research and analysis to support the Review. These groups analysed current methods used by Australia’s HTA advisory committees (including the PBAC), contemporary research and relevant methodologies and purchasing practices used by other comparable countries. The organisations and the research they produced are listed below. </w:t>
      </w:r>
    </w:p>
    <w:p w14:paraId="5AE0DE4D" w14:textId="26A89036" w:rsidR="008202B7" w:rsidRPr="00672D45" w:rsidRDefault="00346259" w:rsidP="00672D45">
      <w:r w:rsidRPr="00672D45">
        <w:t>Adelaide Health Technology Assessment (AHTA), papers include:</w:t>
      </w:r>
    </w:p>
    <w:p w14:paraId="4024BADF" w14:textId="74D1CF3D" w:rsidR="008202B7" w:rsidRDefault="00346259" w:rsidP="00274AA9">
      <w:pPr>
        <w:pStyle w:val="ListBullet"/>
      </w:pPr>
      <w:r w:rsidRPr="009F4120">
        <w:t>Paper 1. International health technology market approval, funding and assessment pathways</w:t>
      </w:r>
      <w:r w:rsidRPr="008202B7">
        <w:t xml:space="preserve"> </w:t>
      </w:r>
    </w:p>
    <w:p w14:paraId="2A1FCBE4" w14:textId="47FE7FB5" w:rsidR="008202B7" w:rsidRPr="008202B7" w:rsidRDefault="00346259" w:rsidP="00274AA9">
      <w:pPr>
        <w:pStyle w:val="ListBullet"/>
      </w:pPr>
      <w:r w:rsidRPr="009F4120">
        <w:lastRenderedPageBreak/>
        <w:t xml:space="preserve">Paper 2. Horizon </w:t>
      </w:r>
      <w:r w:rsidR="009A4E4C" w:rsidRPr="009F4120">
        <w:t>S</w:t>
      </w:r>
      <w:r w:rsidRPr="009F4120">
        <w:t xml:space="preserve">canning and </w:t>
      </w:r>
      <w:r w:rsidR="00F248C8" w:rsidRPr="009F4120">
        <w:t>E</w:t>
      </w:r>
      <w:r w:rsidRPr="009F4120">
        <w:t xml:space="preserve">arly </w:t>
      </w:r>
      <w:r w:rsidR="00F248C8" w:rsidRPr="009F4120">
        <w:t>A</w:t>
      </w:r>
      <w:r w:rsidRPr="009F4120">
        <w:t>ssessment</w:t>
      </w:r>
      <w:bookmarkEnd w:id="892"/>
    </w:p>
    <w:p w14:paraId="7FD14135" w14:textId="08E5E14D" w:rsidR="00346259" w:rsidRPr="00514023" w:rsidRDefault="00346259" w:rsidP="00274AA9">
      <w:pPr>
        <w:pStyle w:val="ListBullet"/>
      </w:pPr>
      <w:r w:rsidRPr="009F4120">
        <w:t>Paper 3. HTA Methods: Determination of Population Intervention Comparator Outcome (PICO)</w:t>
      </w:r>
    </w:p>
    <w:p w14:paraId="66D96B31" w14:textId="532B1F39" w:rsidR="009F4120" w:rsidRDefault="00346259" w:rsidP="00274AA9">
      <w:pPr>
        <w:pStyle w:val="ListBullet"/>
      </w:pPr>
      <w:r w:rsidRPr="009F4120">
        <w:t>Paper 4. HTA Methods: Clinical Evaluation</w:t>
      </w:r>
    </w:p>
    <w:p w14:paraId="0DDC2E11" w14:textId="32CBB6E6" w:rsidR="009F4120" w:rsidRPr="00672D45" w:rsidRDefault="009F4120" w:rsidP="002E6DDF">
      <w:pPr>
        <w:spacing w:before="240" w:after="240"/>
        <w:ind w:left="360"/>
      </w:pPr>
      <w:r>
        <w:t xml:space="preserve">Final versions of Papers 1-4 prepared by AHTA have been consolidated into a single paper: </w:t>
      </w:r>
      <w:hyperlink r:id="rId52" w:history="1">
        <w:r w:rsidRPr="000715B3">
          <w:rPr>
            <w:rStyle w:val="Hyperlink"/>
            <w:i/>
            <w:iCs/>
          </w:rPr>
          <w:t>HTA Pathways and Processes, Clinical Evaluation Methods and Horizon Scanning</w:t>
        </w:r>
      </w:hyperlink>
      <w:r>
        <w:t>.</w:t>
      </w:r>
    </w:p>
    <w:p w14:paraId="6264ABDF" w14:textId="29A03E45" w:rsidR="00346259" w:rsidRPr="00672D45" w:rsidRDefault="002E6DDF" w:rsidP="00672D45">
      <w:r w:rsidRPr="002E6DDF">
        <w:t>Centre for Health Economics Research and Evaluation (CHERE)</w:t>
      </w:r>
      <w:r w:rsidR="00346259" w:rsidRPr="00672D45">
        <w:t xml:space="preserve"> papers include:</w:t>
      </w:r>
    </w:p>
    <w:p w14:paraId="4B226CC4" w14:textId="77777777" w:rsidR="00346259" w:rsidRPr="00514023" w:rsidRDefault="00847484" w:rsidP="00274AA9">
      <w:pPr>
        <w:pStyle w:val="ListBullet"/>
      </w:pPr>
      <w:hyperlink r:id="rId53" w:history="1">
        <w:r w:rsidR="00346259" w:rsidRPr="00F03BAE">
          <w:rPr>
            <w:rStyle w:val="Hyperlink"/>
          </w:rPr>
          <w:t>Paper 5. HTA Methods: Economic Evaluation</w:t>
        </w:r>
      </w:hyperlink>
    </w:p>
    <w:p w14:paraId="02B3847B" w14:textId="76010370" w:rsidR="00346259" w:rsidRPr="008F2018" w:rsidRDefault="00847484" w:rsidP="00274AA9">
      <w:pPr>
        <w:pStyle w:val="ListBullet"/>
      </w:pPr>
      <w:hyperlink r:id="rId54" w:history="1">
        <w:r w:rsidR="00346259" w:rsidRPr="001C4042">
          <w:rPr>
            <w:rStyle w:val="Hyperlink"/>
          </w:rPr>
          <w:t>Paper 6. Funding and purchasing decisions and managing uncertainty</w:t>
        </w:r>
      </w:hyperlink>
    </w:p>
    <w:p w14:paraId="3BEE1E07" w14:textId="77777777" w:rsidR="00346259" w:rsidRPr="002E6DDF" w:rsidRDefault="00346259" w:rsidP="002E6DDF">
      <w:r w:rsidRPr="002E6DDF">
        <w:t>Centre of Research Excellence in Medicines Intelligence (MI-CRE), papers include:</w:t>
      </w:r>
    </w:p>
    <w:p w14:paraId="09BBC80D" w14:textId="1FEDCFEF" w:rsidR="00241E6B" w:rsidRPr="00514023" w:rsidRDefault="00847484" w:rsidP="00274AA9">
      <w:pPr>
        <w:pStyle w:val="ListBullet"/>
      </w:pPr>
      <w:hyperlink r:id="rId55" w:history="1">
        <w:r w:rsidR="00346259" w:rsidRPr="000A2279">
          <w:rPr>
            <w:rStyle w:val="Hyperlink"/>
            <w:shd w:val="clear" w:color="auto" w:fill="FFFFFF"/>
          </w:rPr>
          <w:t>Paper 7. Optimising the availability and use of real</w:t>
        </w:r>
        <w:r w:rsidR="00346259">
          <w:rPr>
            <w:rStyle w:val="Hyperlink"/>
            <w:shd w:val="clear" w:color="auto" w:fill="FFFFFF"/>
          </w:rPr>
          <w:t>-</w:t>
        </w:r>
        <w:r w:rsidR="00346259" w:rsidRPr="000A2279">
          <w:rPr>
            <w:rStyle w:val="Hyperlink"/>
            <w:shd w:val="clear" w:color="auto" w:fill="FFFFFF"/>
          </w:rPr>
          <w:t>world data and real</w:t>
        </w:r>
        <w:r w:rsidR="00346259">
          <w:rPr>
            <w:rStyle w:val="Hyperlink"/>
            <w:shd w:val="clear" w:color="auto" w:fill="FFFFFF"/>
          </w:rPr>
          <w:t>-</w:t>
        </w:r>
        <w:r w:rsidR="00346259" w:rsidRPr="000A2279">
          <w:rPr>
            <w:rStyle w:val="Hyperlink"/>
            <w:shd w:val="clear" w:color="auto" w:fill="FFFFFF"/>
          </w:rPr>
          <w:t>world evidence to support health technology assessment in Australia</w:t>
        </w:r>
      </w:hyperlink>
      <w:r w:rsidR="00346259">
        <w:rPr>
          <w:rStyle w:val="Hyperlink"/>
          <w:shd w:val="clear" w:color="auto" w:fill="FFFFFF"/>
        </w:rPr>
        <w:t>.</w:t>
      </w:r>
    </w:p>
    <w:p w14:paraId="6D97FB91" w14:textId="44A940D4" w:rsidR="00346259" w:rsidRDefault="00D27CC4" w:rsidP="00743516">
      <w:pPr>
        <w:rPr>
          <w:rFonts w:ascii="Segoe UI Light" w:hAnsi="Segoe UI Light" w:cs="Segoe UI Light"/>
          <w:color w:val="00808A"/>
          <w:sz w:val="44"/>
          <w:szCs w:val="44"/>
        </w:rPr>
      </w:pPr>
      <w:r>
        <w:rPr>
          <w:rFonts w:ascii="Segoe UI Light" w:hAnsi="Segoe UI Light" w:cs="Segoe UI Light"/>
          <w:color w:val="00808A"/>
          <w:sz w:val="44"/>
          <w:szCs w:val="44"/>
        </w:rPr>
        <w:t xml:space="preserve">Options </w:t>
      </w:r>
      <w:r w:rsidR="00952020">
        <w:rPr>
          <w:rFonts w:ascii="Segoe UI Light" w:hAnsi="Segoe UI Light" w:cs="Segoe UI Light"/>
          <w:color w:val="00808A"/>
          <w:sz w:val="44"/>
          <w:szCs w:val="44"/>
        </w:rPr>
        <w:t>p</w:t>
      </w:r>
      <w:r>
        <w:rPr>
          <w:rFonts w:ascii="Segoe UI Light" w:hAnsi="Segoe UI Light" w:cs="Segoe UI Light"/>
          <w:color w:val="00808A"/>
          <w:sz w:val="44"/>
          <w:szCs w:val="44"/>
        </w:rPr>
        <w:t>aper</w:t>
      </w:r>
    </w:p>
    <w:p w14:paraId="36A3B6FB" w14:textId="631A4ADC" w:rsidR="00535C25" w:rsidRDefault="00535C25" w:rsidP="00535C25">
      <w:r>
        <w:t>The Reference Committee considered stakeholder feedback alongside expert input and extensive research to develop an Options Paper, which was published on 25 January 2024. The Options Paper present</w:t>
      </w:r>
      <w:r w:rsidR="00C312DF">
        <w:t>ed</w:t>
      </w:r>
      <w:r>
        <w:t xml:space="preserve"> an overview of the current state, what the Reference Committee heard from stakeholders, identification of the issues, and the options for reform being considered by the Reference Committee to improve Australia’s HTA policies and methods and the funding and approval pathways.</w:t>
      </w:r>
    </w:p>
    <w:p w14:paraId="41AF7D7F" w14:textId="01883083" w:rsidR="00535C25" w:rsidRDefault="00535C25" w:rsidP="00535C25">
      <w:r>
        <w:t xml:space="preserve">The Options Paper was workshopped with stakeholders through the second round of public consultation (Consultation 2). </w:t>
      </w:r>
    </w:p>
    <w:p w14:paraId="67F854F4" w14:textId="23EBF64B" w:rsidR="00D27CC4" w:rsidRPr="00405FD7" w:rsidRDefault="00D27CC4" w:rsidP="00535C25">
      <w:pPr>
        <w:rPr>
          <w:rFonts w:ascii="Segoe UI Light" w:hAnsi="Segoe UI Light" w:cs="Segoe UI Light"/>
          <w:color w:val="00808A"/>
          <w:sz w:val="44"/>
          <w:szCs w:val="44"/>
        </w:rPr>
      </w:pPr>
      <w:r>
        <w:rPr>
          <w:rFonts w:ascii="Segoe UI Light" w:hAnsi="Segoe UI Light" w:cs="Segoe UI Light"/>
          <w:color w:val="00808A"/>
          <w:sz w:val="44"/>
          <w:szCs w:val="44"/>
        </w:rPr>
        <w:t xml:space="preserve">Public </w:t>
      </w:r>
      <w:r w:rsidR="00535C25">
        <w:rPr>
          <w:rFonts w:ascii="Segoe UI Light" w:hAnsi="Segoe UI Light" w:cs="Segoe UI Light"/>
          <w:color w:val="00808A"/>
          <w:sz w:val="44"/>
          <w:szCs w:val="44"/>
        </w:rPr>
        <w:t>Consultation 2</w:t>
      </w:r>
    </w:p>
    <w:p w14:paraId="6FA39095" w14:textId="227BC8C4" w:rsidR="00535C25" w:rsidRDefault="00535C25" w:rsidP="00535C25">
      <w:r>
        <w:t xml:space="preserve">Consultation 2 </w:t>
      </w:r>
      <w:r w:rsidR="00D27CC4">
        <w:t>was open from</w:t>
      </w:r>
      <w:r>
        <w:t xml:space="preserve"> 25 January 2024 </w:t>
      </w:r>
      <w:r w:rsidR="00D27CC4">
        <w:t>to</w:t>
      </w:r>
      <w:r>
        <w:t xml:space="preserve"> 23 February 2024</w:t>
      </w:r>
      <w:r w:rsidR="00D27CC4">
        <w:t>,</w:t>
      </w:r>
      <w:r>
        <w:t xml:space="preserve"> and consisted of:</w:t>
      </w:r>
    </w:p>
    <w:p w14:paraId="554F0FE8" w14:textId="60B9B58E" w:rsidR="00535C25" w:rsidRDefault="00535C25" w:rsidP="00281153">
      <w:pPr>
        <w:pStyle w:val="ListNumber"/>
        <w:numPr>
          <w:ilvl w:val="0"/>
          <w:numId w:val="55"/>
        </w:numPr>
      </w:pPr>
      <w:r>
        <w:t>An online consultation survey made available to stakeholders on 6 February 2024.</w:t>
      </w:r>
    </w:p>
    <w:p w14:paraId="5049C944" w14:textId="142876B5" w:rsidR="00535C25" w:rsidRDefault="00535C25" w:rsidP="00281153">
      <w:pPr>
        <w:pStyle w:val="ListNumber"/>
        <w:numPr>
          <w:ilvl w:val="0"/>
          <w:numId w:val="55"/>
        </w:numPr>
      </w:pPr>
      <w:r>
        <w:t>Online workshops held on 13, 15 and 16 February 2024.</w:t>
      </w:r>
    </w:p>
    <w:p w14:paraId="6E554B37" w14:textId="77777777" w:rsidR="00535C25" w:rsidRDefault="00535C25" w:rsidP="00281153">
      <w:pPr>
        <w:pStyle w:val="ListNumber"/>
        <w:numPr>
          <w:ilvl w:val="0"/>
          <w:numId w:val="55"/>
        </w:numPr>
      </w:pPr>
      <w:r>
        <w:t>An in-person workshop held in Sydney on 19 February 2024.</w:t>
      </w:r>
    </w:p>
    <w:p w14:paraId="03C3121B" w14:textId="3837479F" w:rsidR="0066320D" w:rsidRDefault="00535C25" w:rsidP="00743516">
      <w:r>
        <w:rPr>
          <w:rFonts w:eastAsia="Segoe UI" w:cs="Segoe UI"/>
        </w:rPr>
        <w:t xml:space="preserve">Consultation 2 </w:t>
      </w:r>
      <w:r w:rsidR="00D27CC4">
        <w:rPr>
          <w:rFonts w:eastAsia="Segoe UI" w:cs="Segoe UI"/>
        </w:rPr>
        <w:t>received</w:t>
      </w:r>
      <w:r>
        <w:rPr>
          <w:rFonts w:eastAsia="Segoe UI" w:cs="Segoe UI"/>
        </w:rPr>
        <w:t xml:space="preserve"> 139 written submissions and additional feedback</w:t>
      </w:r>
      <w:r w:rsidR="00D27CC4">
        <w:rPr>
          <w:rFonts w:eastAsia="Segoe UI" w:cs="Segoe UI"/>
        </w:rPr>
        <w:t>.</w:t>
      </w:r>
      <w:r w:rsidR="0066320D" w:rsidRPr="00346259">
        <w:br w:type="page"/>
      </w:r>
    </w:p>
    <w:p w14:paraId="0725CF8C" w14:textId="37EBBE5E" w:rsidR="003C0B14" w:rsidRDefault="003C0B14" w:rsidP="003C0B14">
      <w:pPr>
        <w:pStyle w:val="Heading1"/>
      </w:pPr>
      <w:bookmarkStart w:id="893" w:name="_Toc165473785"/>
      <w:bookmarkStart w:id="894" w:name="_Toc171935910"/>
      <w:r>
        <w:lastRenderedPageBreak/>
        <w:t xml:space="preserve">List of </w:t>
      </w:r>
      <w:r w:rsidR="00FA396E">
        <w:t>t</w:t>
      </w:r>
      <w:r>
        <w:t xml:space="preserve">ables and </w:t>
      </w:r>
      <w:bookmarkEnd w:id="893"/>
      <w:r w:rsidR="00FA396E">
        <w:t>f</w:t>
      </w:r>
      <w:r>
        <w:t>igures</w:t>
      </w:r>
      <w:bookmarkEnd w:id="894"/>
    </w:p>
    <w:p w14:paraId="3B8240A9" w14:textId="77B906A4" w:rsidR="00CB457C" w:rsidRDefault="003C0B1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r>
        <w:fldChar w:fldCharType="begin" w:fldLock="1"/>
      </w:r>
      <w:r>
        <w:instrText xml:space="preserve"> TOC \h \z \c "Table" </w:instrText>
      </w:r>
      <w:r>
        <w:fldChar w:fldCharType="separate"/>
      </w:r>
      <w:hyperlink w:anchor="_Toc171948107" w:history="1">
        <w:r w:rsidR="00CB457C" w:rsidRPr="00C81993">
          <w:rPr>
            <w:rStyle w:val="Hyperlink"/>
            <w:noProof/>
          </w:rPr>
          <w:t>Table 1: HTA Review Reference Committee membership</w:t>
        </w:r>
        <w:r w:rsidR="00CB457C">
          <w:rPr>
            <w:noProof/>
            <w:webHidden/>
          </w:rPr>
          <w:tab/>
        </w:r>
        <w:r w:rsidR="00CB457C">
          <w:rPr>
            <w:noProof/>
            <w:webHidden/>
          </w:rPr>
          <w:fldChar w:fldCharType="begin" w:fldLock="1"/>
        </w:r>
        <w:r w:rsidR="00CB457C">
          <w:rPr>
            <w:noProof/>
            <w:webHidden/>
          </w:rPr>
          <w:instrText xml:space="preserve"> PAGEREF _Toc171948107 \h </w:instrText>
        </w:r>
        <w:r w:rsidR="00CB457C">
          <w:rPr>
            <w:noProof/>
            <w:webHidden/>
          </w:rPr>
        </w:r>
        <w:r w:rsidR="00CB457C">
          <w:rPr>
            <w:noProof/>
            <w:webHidden/>
          </w:rPr>
          <w:fldChar w:fldCharType="separate"/>
        </w:r>
        <w:r w:rsidR="00CB457C">
          <w:rPr>
            <w:noProof/>
            <w:webHidden/>
          </w:rPr>
          <w:t>32</w:t>
        </w:r>
        <w:r w:rsidR="00CB457C">
          <w:rPr>
            <w:noProof/>
            <w:webHidden/>
          </w:rPr>
          <w:fldChar w:fldCharType="end"/>
        </w:r>
      </w:hyperlink>
    </w:p>
    <w:p w14:paraId="0EF7691E" w14:textId="7C4048D2" w:rsidR="00CB457C"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48108" w:history="1">
        <w:r w:rsidR="00CB457C" w:rsidRPr="00C81993">
          <w:rPr>
            <w:rStyle w:val="Hyperlink"/>
            <w:noProof/>
          </w:rPr>
          <w:t>Table 2: Average time for HTA decision-making and reimbursement of pharmaceuticals in Australia, ranked against comparable OECD countries</w:t>
        </w:r>
        <w:r w:rsidR="00CB457C">
          <w:rPr>
            <w:noProof/>
            <w:webHidden/>
          </w:rPr>
          <w:tab/>
        </w:r>
        <w:r w:rsidR="00CB457C">
          <w:rPr>
            <w:noProof/>
            <w:webHidden/>
          </w:rPr>
          <w:fldChar w:fldCharType="begin" w:fldLock="1"/>
        </w:r>
        <w:r w:rsidR="00CB457C">
          <w:rPr>
            <w:noProof/>
            <w:webHidden/>
          </w:rPr>
          <w:instrText xml:space="preserve"> PAGEREF _Toc171948108 \h </w:instrText>
        </w:r>
        <w:r w:rsidR="00CB457C">
          <w:rPr>
            <w:noProof/>
            <w:webHidden/>
          </w:rPr>
        </w:r>
        <w:r w:rsidR="00CB457C">
          <w:rPr>
            <w:noProof/>
            <w:webHidden/>
          </w:rPr>
          <w:fldChar w:fldCharType="separate"/>
        </w:r>
        <w:r w:rsidR="00CB457C">
          <w:rPr>
            <w:noProof/>
            <w:webHidden/>
          </w:rPr>
          <w:t>39</w:t>
        </w:r>
        <w:r w:rsidR="00CB457C">
          <w:rPr>
            <w:noProof/>
            <w:webHidden/>
          </w:rPr>
          <w:fldChar w:fldCharType="end"/>
        </w:r>
      </w:hyperlink>
    </w:p>
    <w:p w14:paraId="44884F95" w14:textId="112EFEF6" w:rsidR="00CB457C"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48109" w:history="1">
        <w:r w:rsidR="00CB457C" w:rsidRPr="00C81993">
          <w:rPr>
            <w:rStyle w:val="Hyperlink"/>
            <w:noProof/>
          </w:rPr>
          <w:t>Table 3: Distinction between consumer evidence and consumer input in HTAs</w:t>
        </w:r>
        <w:r w:rsidR="00CB457C">
          <w:rPr>
            <w:noProof/>
            <w:webHidden/>
          </w:rPr>
          <w:tab/>
        </w:r>
        <w:r w:rsidR="00CB457C">
          <w:rPr>
            <w:noProof/>
            <w:webHidden/>
          </w:rPr>
          <w:fldChar w:fldCharType="begin" w:fldLock="1"/>
        </w:r>
        <w:r w:rsidR="00CB457C">
          <w:rPr>
            <w:noProof/>
            <w:webHidden/>
          </w:rPr>
          <w:instrText xml:space="preserve"> PAGEREF _Toc171948109 \h </w:instrText>
        </w:r>
        <w:r w:rsidR="00CB457C">
          <w:rPr>
            <w:noProof/>
            <w:webHidden/>
          </w:rPr>
        </w:r>
        <w:r w:rsidR="00CB457C">
          <w:rPr>
            <w:noProof/>
            <w:webHidden/>
          </w:rPr>
          <w:fldChar w:fldCharType="separate"/>
        </w:r>
        <w:r w:rsidR="00CB457C">
          <w:rPr>
            <w:noProof/>
            <w:webHidden/>
          </w:rPr>
          <w:t>159</w:t>
        </w:r>
        <w:r w:rsidR="00CB457C">
          <w:rPr>
            <w:noProof/>
            <w:webHidden/>
          </w:rPr>
          <w:fldChar w:fldCharType="end"/>
        </w:r>
      </w:hyperlink>
    </w:p>
    <w:p w14:paraId="3C61DCFF" w14:textId="143585DB" w:rsidR="00CB457C"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48110" w:history="1">
        <w:r w:rsidR="00CB457C" w:rsidRPr="00C81993">
          <w:rPr>
            <w:rStyle w:val="Hyperlink"/>
            <w:noProof/>
            <w:lang w:eastAsia="en-AU"/>
          </w:rPr>
          <w:t>Table 4</w:t>
        </w:r>
        <w:r w:rsidR="00CB457C" w:rsidRPr="00C81993">
          <w:rPr>
            <w:rStyle w:val="Hyperlink"/>
            <w:noProof/>
          </w:rPr>
          <w:t xml:space="preserve">: </w:t>
        </w:r>
        <w:r w:rsidR="00CB457C" w:rsidRPr="00C81993">
          <w:rPr>
            <w:rStyle w:val="Hyperlink"/>
            <w:noProof/>
            <w:lang w:eastAsia="en-AU"/>
          </w:rPr>
          <w:t>Carbon footprint of common inhalers used to manage asthma*</w:t>
        </w:r>
        <w:r w:rsidR="00CB457C">
          <w:rPr>
            <w:noProof/>
            <w:webHidden/>
          </w:rPr>
          <w:tab/>
        </w:r>
        <w:r w:rsidR="00CB457C">
          <w:rPr>
            <w:noProof/>
            <w:webHidden/>
          </w:rPr>
          <w:fldChar w:fldCharType="begin" w:fldLock="1"/>
        </w:r>
        <w:r w:rsidR="00CB457C">
          <w:rPr>
            <w:noProof/>
            <w:webHidden/>
          </w:rPr>
          <w:instrText xml:space="preserve"> PAGEREF _Toc171948110 \h </w:instrText>
        </w:r>
        <w:r w:rsidR="00CB457C">
          <w:rPr>
            <w:noProof/>
            <w:webHidden/>
          </w:rPr>
        </w:r>
        <w:r w:rsidR="00CB457C">
          <w:rPr>
            <w:noProof/>
            <w:webHidden/>
          </w:rPr>
          <w:fldChar w:fldCharType="separate"/>
        </w:r>
        <w:r w:rsidR="00CB457C">
          <w:rPr>
            <w:noProof/>
            <w:webHidden/>
          </w:rPr>
          <w:t>187</w:t>
        </w:r>
        <w:r w:rsidR="00CB457C">
          <w:rPr>
            <w:noProof/>
            <w:webHidden/>
          </w:rPr>
          <w:fldChar w:fldCharType="end"/>
        </w:r>
      </w:hyperlink>
    </w:p>
    <w:p w14:paraId="2D605851" w14:textId="1168029F" w:rsidR="003C0B14" w:rsidRPr="003C0B14" w:rsidRDefault="003C0B14" w:rsidP="00405FD7">
      <w:r>
        <w:fldChar w:fldCharType="end"/>
      </w:r>
    </w:p>
    <w:p w14:paraId="0477AFCF" w14:textId="0180AE97" w:rsidR="00BB07C2" w:rsidRDefault="003C0B1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r>
        <w:fldChar w:fldCharType="begin" w:fldLock="1"/>
      </w:r>
      <w:r>
        <w:instrText xml:space="preserve"> TOC \h \z \c "Figure" </w:instrText>
      </w:r>
      <w:r>
        <w:fldChar w:fldCharType="separate"/>
      </w:r>
      <w:hyperlink w:anchor="_Toc171935089" w:history="1">
        <w:r w:rsidR="00BB07C2" w:rsidRPr="00A84611">
          <w:rPr>
            <w:rStyle w:val="Hyperlink"/>
            <w:noProof/>
          </w:rPr>
          <w:t>Figure 1: HTA pathway for vaccines being listed on the NIP</w:t>
        </w:r>
        <w:r w:rsidR="00BB07C2">
          <w:rPr>
            <w:noProof/>
            <w:webHidden/>
          </w:rPr>
          <w:tab/>
        </w:r>
        <w:r w:rsidR="00BB07C2">
          <w:rPr>
            <w:noProof/>
            <w:webHidden/>
          </w:rPr>
          <w:fldChar w:fldCharType="begin" w:fldLock="1"/>
        </w:r>
        <w:r w:rsidR="00BB07C2">
          <w:rPr>
            <w:noProof/>
            <w:webHidden/>
          </w:rPr>
          <w:instrText xml:space="preserve"> PAGEREF _Toc171935089 \h </w:instrText>
        </w:r>
        <w:r w:rsidR="00BB07C2">
          <w:rPr>
            <w:noProof/>
            <w:webHidden/>
          </w:rPr>
        </w:r>
        <w:r w:rsidR="00BB07C2">
          <w:rPr>
            <w:noProof/>
            <w:webHidden/>
          </w:rPr>
          <w:fldChar w:fldCharType="separate"/>
        </w:r>
        <w:r w:rsidR="00BB07C2">
          <w:rPr>
            <w:noProof/>
            <w:webHidden/>
          </w:rPr>
          <w:t>67</w:t>
        </w:r>
        <w:r w:rsidR="00BB07C2">
          <w:rPr>
            <w:noProof/>
            <w:webHidden/>
          </w:rPr>
          <w:fldChar w:fldCharType="end"/>
        </w:r>
      </w:hyperlink>
    </w:p>
    <w:p w14:paraId="7EA05D48" w14:textId="7F5A975C" w:rsidR="00BB07C2"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35090" w:history="1">
        <w:r w:rsidR="00BB07C2" w:rsidRPr="00A84611">
          <w:rPr>
            <w:rStyle w:val="Hyperlink"/>
            <w:noProof/>
          </w:rPr>
          <w:t>Figure 2: The HTA pathway for health technologies seeking funding through the LSDP</w:t>
        </w:r>
        <w:r w:rsidR="00BB07C2">
          <w:rPr>
            <w:noProof/>
            <w:webHidden/>
          </w:rPr>
          <w:tab/>
        </w:r>
        <w:r w:rsidR="00BB07C2">
          <w:rPr>
            <w:noProof/>
            <w:webHidden/>
          </w:rPr>
          <w:fldChar w:fldCharType="begin" w:fldLock="1"/>
        </w:r>
        <w:r w:rsidR="00BB07C2">
          <w:rPr>
            <w:noProof/>
            <w:webHidden/>
          </w:rPr>
          <w:instrText xml:space="preserve"> PAGEREF _Toc171935090 \h </w:instrText>
        </w:r>
        <w:r w:rsidR="00BB07C2">
          <w:rPr>
            <w:noProof/>
            <w:webHidden/>
          </w:rPr>
        </w:r>
        <w:r w:rsidR="00BB07C2">
          <w:rPr>
            <w:noProof/>
            <w:webHidden/>
          </w:rPr>
          <w:fldChar w:fldCharType="separate"/>
        </w:r>
        <w:r w:rsidR="00BB07C2">
          <w:rPr>
            <w:noProof/>
            <w:webHidden/>
          </w:rPr>
          <w:t>78</w:t>
        </w:r>
        <w:r w:rsidR="00BB07C2">
          <w:rPr>
            <w:noProof/>
            <w:webHidden/>
          </w:rPr>
          <w:fldChar w:fldCharType="end"/>
        </w:r>
      </w:hyperlink>
    </w:p>
    <w:p w14:paraId="69278A9F" w14:textId="5E54B758" w:rsidR="00BB07C2"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35091" w:history="1">
        <w:r w:rsidR="00BB07C2" w:rsidRPr="00A84611">
          <w:rPr>
            <w:rStyle w:val="Hyperlink"/>
            <w:noProof/>
          </w:rPr>
          <w:t>Figure 3: Proposed HTA pathway for health technologies seeking funding through the LSDP</w:t>
        </w:r>
        <w:r w:rsidR="00BB07C2">
          <w:rPr>
            <w:noProof/>
            <w:webHidden/>
          </w:rPr>
          <w:tab/>
        </w:r>
        <w:r w:rsidR="00BB07C2">
          <w:rPr>
            <w:noProof/>
            <w:webHidden/>
          </w:rPr>
          <w:fldChar w:fldCharType="begin" w:fldLock="1"/>
        </w:r>
        <w:r w:rsidR="00BB07C2">
          <w:rPr>
            <w:noProof/>
            <w:webHidden/>
          </w:rPr>
          <w:instrText xml:space="preserve"> PAGEREF _Toc171935091 \h </w:instrText>
        </w:r>
        <w:r w:rsidR="00BB07C2">
          <w:rPr>
            <w:noProof/>
            <w:webHidden/>
          </w:rPr>
        </w:r>
        <w:r w:rsidR="00BB07C2">
          <w:rPr>
            <w:noProof/>
            <w:webHidden/>
          </w:rPr>
          <w:fldChar w:fldCharType="separate"/>
        </w:r>
        <w:r w:rsidR="00BB07C2">
          <w:rPr>
            <w:noProof/>
            <w:webHidden/>
          </w:rPr>
          <w:t>82</w:t>
        </w:r>
        <w:r w:rsidR="00BB07C2">
          <w:rPr>
            <w:noProof/>
            <w:webHidden/>
          </w:rPr>
          <w:fldChar w:fldCharType="end"/>
        </w:r>
      </w:hyperlink>
    </w:p>
    <w:p w14:paraId="2CFDF345" w14:textId="2C8B4EB5" w:rsidR="00BB07C2"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35092" w:history="1">
        <w:r w:rsidR="00BB07C2" w:rsidRPr="00A84611">
          <w:rPr>
            <w:rStyle w:val="Hyperlink"/>
            <w:noProof/>
          </w:rPr>
          <w:t>Figure 4: Managed entry agreements – OECD (Wenzl and Chapman, 2019)</w:t>
        </w:r>
        <w:r w:rsidR="00BB07C2">
          <w:rPr>
            <w:noProof/>
            <w:webHidden/>
          </w:rPr>
          <w:tab/>
        </w:r>
        <w:r w:rsidR="00BB07C2">
          <w:rPr>
            <w:noProof/>
            <w:webHidden/>
          </w:rPr>
          <w:fldChar w:fldCharType="begin" w:fldLock="1"/>
        </w:r>
        <w:r w:rsidR="00BB07C2">
          <w:rPr>
            <w:noProof/>
            <w:webHidden/>
          </w:rPr>
          <w:instrText xml:space="preserve"> PAGEREF _Toc171935092 \h </w:instrText>
        </w:r>
        <w:r w:rsidR="00BB07C2">
          <w:rPr>
            <w:noProof/>
            <w:webHidden/>
          </w:rPr>
        </w:r>
        <w:r w:rsidR="00BB07C2">
          <w:rPr>
            <w:noProof/>
            <w:webHidden/>
          </w:rPr>
          <w:fldChar w:fldCharType="separate"/>
        </w:r>
        <w:r w:rsidR="00BB07C2">
          <w:rPr>
            <w:noProof/>
            <w:webHidden/>
          </w:rPr>
          <w:t>106</w:t>
        </w:r>
        <w:r w:rsidR="00BB07C2">
          <w:rPr>
            <w:noProof/>
            <w:webHidden/>
          </w:rPr>
          <w:fldChar w:fldCharType="end"/>
        </w:r>
      </w:hyperlink>
    </w:p>
    <w:p w14:paraId="256A5B0F" w14:textId="63032F48" w:rsidR="00BB07C2" w:rsidRDefault="00847484">
      <w:pPr>
        <w:pStyle w:val="TableofFigures"/>
        <w:tabs>
          <w:tab w:val="right" w:leader="dot" w:pos="9061"/>
        </w:tabs>
        <w:rPr>
          <w:rFonts w:asciiTheme="minorHAnsi" w:eastAsiaTheme="minorEastAsia" w:hAnsiTheme="minorHAnsi" w:cstheme="minorBidi"/>
          <w:noProof/>
          <w:kern w:val="2"/>
          <w:sz w:val="22"/>
          <w:szCs w:val="22"/>
          <w:lang w:eastAsia="en-AU"/>
          <w14:ligatures w14:val="standardContextual"/>
        </w:rPr>
      </w:pPr>
      <w:hyperlink w:anchor="_Toc171935093" w:history="1">
        <w:r w:rsidR="00BB07C2" w:rsidRPr="00A84611">
          <w:rPr>
            <w:rStyle w:val="Hyperlink"/>
            <w:noProof/>
          </w:rPr>
          <w:t>Figure 5: Scenarios where RWD can generate comparative treatment effects in HTA</w:t>
        </w:r>
        <w:r w:rsidR="00BB07C2">
          <w:rPr>
            <w:noProof/>
            <w:webHidden/>
          </w:rPr>
          <w:tab/>
        </w:r>
        <w:r w:rsidR="00BB07C2">
          <w:rPr>
            <w:noProof/>
            <w:webHidden/>
          </w:rPr>
          <w:fldChar w:fldCharType="begin" w:fldLock="1"/>
        </w:r>
        <w:r w:rsidR="00BB07C2">
          <w:rPr>
            <w:noProof/>
            <w:webHidden/>
          </w:rPr>
          <w:instrText xml:space="preserve"> PAGEREF _Toc171935093 \h </w:instrText>
        </w:r>
        <w:r w:rsidR="00BB07C2">
          <w:rPr>
            <w:noProof/>
            <w:webHidden/>
          </w:rPr>
        </w:r>
        <w:r w:rsidR="00BB07C2">
          <w:rPr>
            <w:noProof/>
            <w:webHidden/>
          </w:rPr>
          <w:fldChar w:fldCharType="separate"/>
        </w:r>
        <w:r w:rsidR="00BB07C2">
          <w:rPr>
            <w:noProof/>
            <w:webHidden/>
          </w:rPr>
          <w:t>140</w:t>
        </w:r>
        <w:r w:rsidR="00BB07C2">
          <w:rPr>
            <w:noProof/>
            <w:webHidden/>
          </w:rPr>
          <w:fldChar w:fldCharType="end"/>
        </w:r>
      </w:hyperlink>
    </w:p>
    <w:p w14:paraId="7189F270" w14:textId="6D4D6DBF" w:rsidR="0066320D" w:rsidRDefault="003C0B14" w:rsidP="006D7B93">
      <w:r>
        <w:fldChar w:fldCharType="end"/>
      </w:r>
      <w:r>
        <w:br w:type="page"/>
      </w:r>
    </w:p>
    <w:p w14:paraId="0C068DD7" w14:textId="77777777" w:rsidR="0066320D" w:rsidRDefault="0066320D" w:rsidP="006D7B93"/>
    <w:p w14:paraId="2E70B60F" w14:textId="764E83CF" w:rsidR="00F22ECB" w:rsidRDefault="00F22ECB" w:rsidP="00F22ECB">
      <w:pPr>
        <w:pStyle w:val="Heading1"/>
      </w:pPr>
      <w:bookmarkStart w:id="895" w:name="_Toc165473786"/>
      <w:bookmarkStart w:id="896" w:name="_Toc171935911"/>
      <w:r>
        <w:t>Index</w:t>
      </w:r>
      <w:bookmarkEnd w:id="895"/>
      <w:bookmarkEnd w:id="896"/>
    </w:p>
    <w:p w14:paraId="6A1602D5" w14:textId="77777777" w:rsidR="00BD1CAF" w:rsidRDefault="00BD1CAF" w:rsidP="5A4C84A9">
      <w:pPr>
        <w:rPr>
          <w:rFonts w:asciiTheme="minorHAnsi" w:hAnsiTheme="minorHAnsi" w:cstheme="minorHAnsi"/>
          <w:noProof/>
          <w:sz w:val="20"/>
          <w:szCs w:val="20"/>
        </w:rPr>
        <w:sectPr w:rsidR="00BD1CAF" w:rsidSect="00BD1CAF">
          <w:type w:val="continuous"/>
          <w:pgSz w:w="11906" w:h="16838"/>
          <w:pgMar w:top="992" w:right="1276" w:bottom="1276" w:left="1559" w:header="284" w:footer="709" w:gutter="0"/>
          <w:cols w:space="708"/>
          <w:docGrid w:linePitch="360"/>
        </w:sectPr>
      </w:pPr>
      <w:r>
        <w:rPr>
          <w:rFonts w:asciiTheme="minorHAnsi" w:hAnsiTheme="minorHAnsi" w:cstheme="minorHAnsi"/>
          <w:sz w:val="20"/>
          <w:szCs w:val="20"/>
        </w:rPr>
        <w:fldChar w:fldCharType="begin" w:fldLock="1"/>
      </w:r>
      <w:r>
        <w:rPr>
          <w:rFonts w:asciiTheme="minorHAnsi" w:hAnsiTheme="minorHAnsi" w:cstheme="minorHAnsi"/>
          <w:sz w:val="20"/>
          <w:szCs w:val="20"/>
        </w:rPr>
        <w:instrText xml:space="preserve"> INDEX \e "</w:instrText>
      </w:r>
      <w:r>
        <w:rPr>
          <w:rFonts w:asciiTheme="minorHAnsi" w:hAnsiTheme="minorHAnsi" w:cstheme="minorHAnsi"/>
          <w:sz w:val="20"/>
          <w:szCs w:val="20"/>
        </w:rPr>
        <w:tab/>
        <w:instrText xml:space="preserve">" \h "A" \c "1" \z "3081" </w:instrText>
      </w:r>
      <w:r>
        <w:rPr>
          <w:rFonts w:asciiTheme="minorHAnsi" w:hAnsiTheme="minorHAnsi" w:cstheme="minorHAnsi"/>
          <w:sz w:val="20"/>
          <w:szCs w:val="20"/>
        </w:rPr>
        <w:fldChar w:fldCharType="separate"/>
      </w:r>
    </w:p>
    <w:p w14:paraId="69779013" w14:textId="77777777" w:rsidR="00BD1CAF" w:rsidRDefault="00BD1CAF">
      <w:pPr>
        <w:pStyle w:val="IndexHeading"/>
        <w:keepNext/>
        <w:tabs>
          <w:tab w:val="right" w:leader="dot" w:pos="9061"/>
        </w:tabs>
        <w:rPr>
          <w:rFonts w:eastAsiaTheme="minorEastAsia" w:cstheme="minorBidi"/>
          <w:b w:val="0"/>
          <w:bCs w:val="0"/>
          <w:noProof/>
        </w:rPr>
      </w:pPr>
      <w:r>
        <w:rPr>
          <w:noProof/>
        </w:rPr>
        <w:t>A</w:t>
      </w:r>
    </w:p>
    <w:p w14:paraId="2ADF1BEB"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advanced therapies</w:t>
      </w:r>
      <w:r>
        <w:rPr>
          <w:noProof/>
        </w:rPr>
        <w:tab/>
        <w:t>73, 74, 75, 87, 167, 176, 206, 224</w:t>
      </w:r>
    </w:p>
    <w:p w14:paraId="4C3ED93E"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antimicrobial resistance (AMR)</w:t>
      </w:r>
      <w:r>
        <w:rPr>
          <w:noProof/>
        </w:rPr>
        <w:tab/>
        <w:t>16, 25, 89, 117, 119, 120, 121, 122, 198, 199, 224, 231</w:t>
      </w:r>
    </w:p>
    <w:p w14:paraId="2220F552" w14:textId="77777777" w:rsidR="00BD1CAF" w:rsidRDefault="00BD1CAF">
      <w:pPr>
        <w:pStyle w:val="IndexHeading"/>
        <w:keepNext/>
        <w:tabs>
          <w:tab w:val="right" w:leader="dot" w:pos="9061"/>
        </w:tabs>
        <w:rPr>
          <w:rFonts w:eastAsiaTheme="minorEastAsia" w:cstheme="minorBidi"/>
          <w:b w:val="0"/>
          <w:bCs w:val="0"/>
          <w:noProof/>
        </w:rPr>
      </w:pPr>
      <w:r>
        <w:rPr>
          <w:noProof/>
        </w:rPr>
        <w:t>B</w:t>
      </w:r>
    </w:p>
    <w:p w14:paraId="656FFD70"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budget impact</w:t>
      </w:r>
      <w:r>
        <w:rPr>
          <w:noProof/>
        </w:rPr>
        <w:tab/>
        <w:t>16, 92, 95, 111</w:t>
      </w:r>
    </w:p>
    <w:p w14:paraId="145AA9CD" w14:textId="77777777" w:rsidR="00BD1CAF" w:rsidRDefault="00BD1CAF">
      <w:pPr>
        <w:pStyle w:val="IndexHeading"/>
        <w:keepNext/>
        <w:tabs>
          <w:tab w:val="right" w:leader="dot" w:pos="9061"/>
        </w:tabs>
        <w:rPr>
          <w:rFonts w:eastAsiaTheme="minorEastAsia" w:cstheme="minorBidi"/>
          <w:b w:val="0"/>
          <w:bCs w:val="0"/>
          <w:noProof/>
        </w:rPr>
      </w:pPr>
      <w:r>
        <w:rPr>
          <w:noProof/>
        </w:rPr>
        <w:t>C</w:t>
      </w:r>
    </w:p>
    <w:p w14:paraId="7530D777"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capacity and capability</w:t>
      </w:r>
      <w:r>
        <w:rPr>
          <w:noProof/>
        </w:rPr>
        <w:tab/>
        <w:t>63, 99, 149, 195, 202, 205, 210, 211, 212, 213, 214</w:t>
      </w:r>
    </w:p>
    <w:p w14:paraId="6DC6E0B2"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cell and gene therapies</w:t>
      </w:r>
      <w:r>
        <w:rPr>
          <w:noProof/>
        </w:rPr>
        <w:tab/>
        <w:t>72, 73, 90, 156, 168, 172, 202, 219, 224, 234</w:t>
      </w:r>
    </w:p>
    <w:p w14:paraId="01A6FF3C"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codependent technologies</w:t>
      </w:r>
      <w:r>
        <w:rPr>
          <w:noProof/>
        </w:rPr>
        <w:tab/>
        <w:t>54, 176</w:t>
      </w:r>
    </w:p>
    <w:p w14:paraId="7E9A49EE"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collaboration</w:t>
      </w:r>
      <w:r>
        <w:rPr>
          <w:noProof/>
        </w:rPr>
        <w:tab/>
        <w:t>14, 23, 25, 26, 47, 49, 72, 77, 78, 104, 123, 129, 149, 150, 152, 173, 175, 192, 193, 206, 212, 215, 224</w:t>
      </w:r>
    </w:p>
    <w:p w14:paraId="001324F4" w14:textId="77777777" w:rsidR="00BD1CAF" w:rsidRDefault="00BD1CAF">
      <w:pPr>
        <w:pStyle w:val="Index2"/>
        <w:tabs>
          <w:tab w:val="right" w:leader="dot" w:pos="9061"/>
        </w:tabs>
        <w:rPr>
          <w:noProof/>
        </w:rPr>
      </w:pPr>
      <w:r w:rsidRPr="001563D2">
        <w:rPr>
          <w:rFonts w:ascii="Aptos Narrow" w:eastAsia="Times New Roman" w:hAnsi="Aptos Narrow"/>
          <w:noProof/>
          <w:color w:val="000000"/>
        </w:rPr>
        <w:t>international collaboration</w:t>
      </w:r>
      <w:r>
        <w:rPr>
          <w:noProof/>
        </w:rPr>
        <w:tab/>
        <w:t>27, 66, 78, 154, 237</w:t>
      </w:r>
    </w:p>
    <w:p w14:paraId="797D5C76"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communication</w:t>
      </w:r>
      <w:r>
        <w:rPr>
          <w:noProof/>
        </w:rPr>
        <w:tab/>
        <w:t>7, 17, 20, 65, 114, 123, 124, 128, 129, 134, 135, 136, 236</w:t>
      </w:r>
    </w:p>
    <w:p w14:paraId="59510112"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consumer engagement</w:t>
      </w:r>
      <w:r>
        <w:rPr>
          <w:noProof/>
        </w:rPr>
        <w:tab/>
        <w:t>131, 133, 236</w:t>
      </w:r>
    </w:p>
    <w:p w14:paraId="13A2EDE0"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consumer evidence</w:t>
      </w:r>
      <w:r>
        <w:rPr>
          <w:noProof/>
        </w:rPr>
        <w:tab/>
        <w:t>8, 27, 133, 134, 136, 141, 162, 163, 164, 165, 166, 175, 241</w:t>
      </w:r>
    </w:p>
    <w:p w14:paraId="6C8C7826"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cost-effectiveness</w:t>
      </w:r>
      <w:r>
        <w:rPr>
          <w:noProof/>
        </w:rPr>
        <w:tab/>
        <w:t>19, 26, 37, 49, 53, 66, 78, 79, 90, 100, 103, 104, 105, 106, 115, 136, 137, 138, 139, 142, 143, 144, 146, 151, 178, 179, 180, 182, 183, 185, 186, 187, 191, 193, 219, 220, 221, 225, 231, 232, 234</w:t>
      </w:r>
    </w:p>
    <w:p w14:paraId="63EA3879"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cost-minimisation</w:t>
      </w:r>
      <w:r>
        <w:rPr>
          <w:noProof/>
        </w:rPr>
        <w:tab/>
        <w:t>22, 29, 51, 63, 64, 188, 231</w:t>
      </w:r>
    </w:p>
    <w:p w14:paraId="2B855EBD"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cost-utility</w:t>
      </w:r>
      <w:r>
        <w:rPr>
          <w:noProof/>
        </w:rPr>
        <w:tab/>
        <w:t>65, 183, 231</w:t>
      </w:r>
    </w:p>
    <w:p w14:paraId="369037E7" w14:textId="77777777" w:rsidR="00BD1CAF" w:rsidRDefault="00BD1CAF">
      <w:pPr>
        <w:pStyle w:val="IndexHeading"/>
        <w:keepNext/>
        <w:tabs>
          <w:tab w:val="right" w:leader="dot" w:pos="9061"/>
        </w:tabs>
        <w:rPr>
          <w:rFonts w:eastAsiaTheme="minorEastAsia" w:cstheme="minorBidi"/>
          <w:b w:val="0"/>
          <w:bCs w:val="0"/>
          <w:noProof/>
        </w:rPr>
      </w:pPr>
      <w:r>
        <w:rPr>
          <w:noProof/>
        </w:rPr>
        <w:t>D</w:t>
      </w:r>
    </w:p>
    <w:p w14:paraId="55BD5815"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discount rate</w:t>
      </w:r>
      <w:r>
        <w:rPr>
          <w:noProof/>
        </w:rPr>
        <w:tab/>
        <w:t>28, 179, 186, 187, 227</w:t>
      </w:r>
    </w:p>
    <w:p w14:paraId="5BE8FC30" w14:textId="77777777" w:rsidR="00BD1CAF" w:rsidRDefault="00BD1CAF">
      <w:pPr>
        <w:pStyle w:val="IndexHeading"/>
        <w:keepNext/>
        <w:tabs>
          <w:tab w:val="right" w:leader="dot" w:pos="9061"/>
        </w:tabs>
        <w:rPr>
          <w:rFonts w:eastAsiaTheme="minorEastAsia" w:cstheme="minorBidi"/>
          <w:b w:val="0"/>
          <w:bCs w:val="0"/>
          <w:noProof/>
        </w:rPr>
      </w:pPr>
      <w:r>
        <w:rPr>
          <w:noProof/>
        </w:rPr>
        <w:t>E</w:t>
      </w:r>
    </w:p>
    <w:p w14:paraId="141FA01F"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early resolution</w:t>
      </w:r>
      <w:r>
        <w:rPr>
          <w:noProof/>
        </w:rPr>
        <w:tab/>
        <w:t>22, 51, 64, 115</w:t>
      </w:r>
    </w:p>
    <w:p w14:paraId="1C4E8135"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environmental impacts</w:t>
      </w:r>
      <w:r>
        <w:rPr>
          <w:noProof/>
        </w:rPr>
        <w:tab/>
        <w:t>29, 189, 190, 191, 192, 193</w:t>
      </w:r>
    </w:p>
    <w:p w14:paraId="0ABF8DB9"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equity</w:t>
      </w:r>
      <w:r>
        <w:rPr>
          <w:noProof/>
        </w:rPr>
        <w:tab/>
        <w:t>16, 21, 42, 44, 45, 81, 82, 89, 96, 110, 112, 125, 128, 133, 136, 137, 138, 139, 161, 163, 166, 177, 178, 195, 196, 197, 198, 199, 203, 204, 205, 206, 218, 231, 233, 235</w:t>
      </w:r>
    </w:p>
    <w:p w14:paraId="71AC9FE9" w14:textId="77777777" w:rsidR="00BD1CAF" w:rsidRDefault="00BD1CAF">
      <w:pPr>
        <w:pStyle w:val="IndexHeading"/>
        <w:keepNext/>
        <w:tabs>
          <w:tab w:val="right" w:leader="dot" w:pos="9061"/>
        </w:tabs>
        <w:rPr>
          <w:rFonts w:eastAsiaTheme="minorEastAsia" w:cstheme="minorBidi"/>
          <w:b w:val="0"/>
          <w:bCs w:val="0"/>
          <w:noProof/>
        </w:rPr>
      </w:pPr>
      <w:r>
        <w:rPr>
          <w:noProof/>
        </w:rPr>
        <w:t>F</w:t>
      </w:r>
    </w:p>
    <w:p w14:paraId="067FA635"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financial impact</w:t>
      </w:r>
      <w:r>
        <w:rPr>
          <w:noProof/>
        </w:rPr>
        <w:tab/>
        <w:t>26, 59, 106, 137, 138, 139, 187</w:t>
      </w:r>
    </w:p>
    <w:p w14:paraId="6A17FCC5"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First Nations people</w:t>
      </w:r>
      <w:r>
        <w:rPr>
          <w:noProof/>
        </w:rPr>
        <w:tab/>
        <w:t>6, 13, 14, 21, 32, 41, 42, 43, 44, 45, 46, 47, 124, 138, 139, 158, 165, 199, 235</w:t>
      </w:r>
    </w:p>
    <w:p w14:paraId="3548F047" w14:textId="77777777" w:rsidR="00BD1CAF" w:rsidRDefault="00BD1CAF">
      <w:pPr>
        <w:pStyle w:val="Index2"/>
        <w:tabs>
          <w:tab w:val="right" w:leader="dot" w:pos="9061"/>
        </w:tabs>
        <w:rPr>
          <w:noProof/>
        </w:rPr>
      </w:pPr>
      <w:r w:rsidRPr="001563D2">
        <w:rPr>
          <w:rFonts w:ascii="Aptos Narrow" w:eastAsia="Times New Roman" w:hAnsi="Aptos Narrow"/>
          <w:noProof/>
          <w:color w:val="000000"/>
        </w:rPr>
        <w:t>Aboriginal and Torres Strait Islander</w:t>
      </w:r>
      <w:r>
        <w:rPr>
          <w:noProof/>
        </w:rPr>
        <w:tab/>
        <w:t>14, 42, 43, 179, 199, 237, 239</w:t>
      </w:r>
    </w:p>
    <w:p w14:paraId="4A369E0C" w14:textId="77777777" w:rsidR="00BD1CAF" w:rsidRDefault="00BD1CAF">
      <w:pPr>
        <w:pStyle w:val="IndexHeading"/>
        <w:keepNext/>
        <w:tabs>
          <w:tab w:val="right" w:leader="dot" w:pos="9061"/>
        </w:tabs>
        <w:rPr>
          <w:rFonts w:eastAsiaTheme="minorEastAsia" w:cstheme="minorBidi"/>
          <w:b w:val="0"/>
          <w:bCs w:val="0"/>
          <w:noProof/>
        </w:rPr>
      </w:pPr>
      <w:r>
        <w:rPr>
          <w:noProof/>
        </w:rPr>
        <w:t>H</w:t>
      </w:r>
    </w:p>
    <w:p w14:paraId="2C5A0C6D"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high added therapeutic value (HATV)</w:t>
      </w:r>
      <w:r>
        <w:rPr>
          <w:noProof/>
        </w:rPr>
        <w:tab/>
        <w:t>16, 22, 23, 25, 29, 46, 51, 61, 62, 63, 64, 65, 66, 112, 114, 161, 173, 183, 195, 199, 224</w:t>
      </w:r>
    </w:p>
    <w:p w14:paraId="159B71D0"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high unmet clinical need (HUCN)</w:t>
      </w:r>
      <w:r>
        <w:rPr>
          <w:noProof/>
        </w:rPr>
        <w:tab/>
        <w:t>16, 21, 25, 29, 46, 48, 49, 62, 64, 65, 89, 114, 115, 131, 150, 161, 173, 174, 183, 194, 195, 196, 197, 198, 199, 200, 204, 205, 206, 225, 232, 235</w:t>
      </w:r>
    </w:p>
    <w:p w14:paraId="076A0598"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highly specialised therapies (HST)</w:t>
      </w:r>
      <w:r>
        <w:rPr>
          <w:noProof/>
        </w:rPr>
        <w:tab/>
        <w:t>7, 15, 23, 24, 40, 52, 72, 73, 74, 75, 76, 77, 87, 89, 130, 219, 224, 234</w:t>
      </w:r>
    </w:p>
    <w:p w14:paraId="09654135"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horizon scanning</w:t>
      </w:r>
      <w:r>
        <w:rPr>
          <w:noProof/>
        </w:rPr>
        <w:tab/>
        <w:t>13, 18, 20, 26, 29, 46, 66, 69, 72, 76, 78, 104, 105, 133, 135, 136, 160, 162, 195, 196, 198, 199, 200, 201, 202, 203, 204, 205, 206, 211, 214</w:t>
      </w:r>
    </w:p>
    <w:p w14:paraId="0C834F72" w14:textId="77777777" w:rsidR="00BD1CAF" w:rsidRDefault="00BD1CAF">
      <w:pPr>
        <w:pStyle w:val="IndexHeading"/>
        <w:keepNext/>
        <w:tabs>
          <w:tab w:val="right" w:leader="dot" w:pos="9061"/>
        </w:tabs>
        <w:rPr>
          <w:rFonts w:eastAsiaTheme="minorEastAsia" w:cstheme="minorBidi"/>
          <w:b w:val="0"/>
          <w:bCs w:val="0"/>
          <w:noProof/>
        </w:rPr>
      </w:pPr>
      <w:r>
        <w:rPr>
          <w:noProof/>
        </w:rPr>
        <w:lastRenderedPageBreak/>
        <w:t>L</w:t>
      </w:r>
    </w:p>
    <w:p w14:paraId="248B7CF1"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Life Saving Drugs Program (LSDP)</w:t>
      </w:r>
      <w:r>
        <w:rPr>
          <w:noProof/>
        </w:rPr>
        <w:tab/>
        <w:t>7, 10, 24, 35, 40, 52, 53, 54, 56, 57, 79, 80, 81, 82, 83, 84, 85, 87, 220, 225, 230, 241</w:t>
      </w:r>
    </w:p>
    <w:p w14:paraId="1644E9B1" w14:textId="77777777" w:rsidR="00BD1CAF" w:rsidRDefault="00BD1CAF">
      <w:pPr>
        <w:pStyle w:val="IndexHeading"/>
        <w:keepNext/>
        <w:tabs>
          <w:tab w:val="right" w:leader="dot" w:pos="9061"/>
        </w:tabs>
        <w:rPr>
          <w:rFonts w:eastAsiaTheme="minorEastAsia" w:cstheme="minorBidi"/>
          <w:b w:val="0"/>
          <w:bCs w:val="0"/>
          <w:noProof/>
        </w:rPr>
      </w:pPr>
      <w:r>
        <w:rPr>
          <w:noProof/>
        </w:rPr>
        <w:t>M</w:t>
      </w:r>
    </w:p>
    <w:p w14:paraId="6CC5F15B"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managing uncertainty</w:t>
      </w:r>
      <w:r>
        <w:rPr>
          <w:noProof/>
        </w:rPr>
        <w:tab/>
        <w:t>7, 89, 105, 107, 111, 113, 117, 119, 182, 227, 240</w:t>
      </w:r>
    </w:p>
    <w:p w14:paraId="00C929E5" w14:textId="77777777" w:rsidR="00BD1CAF" w:rsidRDefault="00BD1CAF">
      <w:pPr>
        <w:pStyle w:val="IndexHeading"/>
        <w:keepNext/>
        <w:tabs>
          <w:tab w:val="right" w:leader="dot" w:pos="9061"/>
        </w:tabs>
        <w:rPr>
          <w:rFonts w:eastAsiaTheme="minorEastAsia" w:cstheme="minorBidi"/>
          <w:b w:val="0"/>
          <w:bCs w:val="0"/>
          <w:noProof/>
        </w:rPr>
      </w:pPr>
      <w:r>
        <w:rPr>
          <w:noProof/>
        </w:rPr>
        <w:t>P</w:t>
      </w:r>
    </w:p>
    <w:p w14:paraId="4058F728"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Population Intervention Comparator Outcomes (PICO)</w:t>
      </w:r>
      <w:r>
        <w:rPr>
          <w:noProof/>
        </w:rPr>
        <w:tab/>
        <w:t>18, 27, 33, 57, 72, 117, 121, 125, 142, 155, 157, 158, 159, 160, 161, 162, 196, 198, 225, 227, 240</w:t>
      </w:r>
    </w:p>
    <w:p w14:paraId="300E7F84"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price negotiation</w:t>
      </w:r>
      <w:r>
        <w:rPr>
          <w:noProof/>
        </w:rPr>
        <w:tab/>
        <w:t>94, 96, 97, 110, 178, 183, 184, 185, 186, 210</w:t>
      </w:r>
    </w:p>
    <w:p w14:paraId="373EC2EB"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proportionate appraisal</w:t>
      </w:r>
      <w:r>
        <w:rPr>
          <w:noProof/>
        </w:rPr>
        <w:tab/>
        <w:t>71</w:t>
      </w:r>
    </w:p>
    <w:p w14:paraId="7DC894A6"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proportionate pathway</w:t>
      </w:r>
      <w:r>
        <w:rPr>
          <w:noProof/>
        </w:rPr>
        <w:tab/>
        <w:t>99</w:t>
      </w:r>
    </w:p>
    <w:p w14:paraId="12FB97FF" w14:textId="77777777" w:rsidR="00BD1CAF" w:rsidRDefault="00BD1CAF">
      <w:pPr>
        <w:pStyle w:val="IndexHeading"/>
        <w:keepNext/>
        <w:tabs>
          <w:tab w:val="right" w:leader="dot" w:pos="9061"/>
        </w:tabs>
        <w:rPr>
          <w:rFonts w:eastAsiaTheme="minorEastAsia" w:cstheme="minorBidi"/>
          <w:b w:val="0"/>
          <w:bCs w:val="0"/>
          <w:noProof/>
        </w:rPr>
      </w:pPr>
      <w:r>
        <w:rPr>
          <w:noProof/>
        </w:rPr>
        <w:t>R</w:t>
      </w:r>
    </w:p>
    <w:p w14:paraId="5902D67F"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rare disease</w:t>
      </w:r>
      <w:r>
        <w:rPr>
          <w:noProof/>
        </w:rPr>
        <w:tab/>
        <w:t>7, 15, 24, 27, 52, 56, 57, 79, 81, 82, 83, 140, 146, 149, 154, 156, 167, 171, 215, 222, 235</w:t>
      </w:r>
    </w:p>
    <w:p w14:paraId="5CEB9D34"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real-world evidence (RWE)</w:t>
      </w:r>
      <w:r>
        <w:rPr>
          <w:noProof/>
        </w:rPr>
        <w:tab/>
        <w:t>7, 8, 19, 27, 34, 140, 141, 142, 143, 145, 146, 147, 148, 149, 150, 152, 153, 154, 168, 169, 170, 171, 172, 174, 175, 225, 228, 240</w:t>
      </w:r>
    </w:p>
    <w:p w14:paraId="55FAB047"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reassessment</w:t>
      </w:r>
      <w:r>
        <w:rPr>
          <w:noProof/>
        </w:rPr>
        <w:tab/>
        <w:t>7, 75, 89, 99, 100, 101, 102, 103, 104, 119, 210</w:t>
      </w:r>
    </w:p>
    <w:p w14:paraId="0D496C36" w14:textId="77777777" w:rsidR="00BD1CAF" w:rsidRDefault="00BD1CAF">
      <w:pPr>
        <w:pStyle w:val="IndexHeading"/>
        <w:keepNext/>
        <w:tabs>
          <w:tab w:val="right" w:leader="dot" w:pos="9061"/>
        </w:tabs>
        <w:rPr>
          <w:rFonts w:eastAsiaTheme="minorEastAsia" w:cstheme="minorBidi"/>
          <w:b w:val="0"/>
          <w:bCs w:val="0"/>
          <w:noProof/>
        </w:rPr>
      </w:pPr>
      <w:r>
        <w:rPr>
          <w:noProof/>
        </w:rPr>
        <w:t>S</w:t>
      </w:r>
    </w:p>
    <w:p w14:paraId="54C913FB"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selection of comparator</w:t>
      </w:r>
      <w:r>
        <w:rPr>
          <w:noProof/>
        </w:rPr>
        <w:tab/>
        <w:t>232, 234</w:t>
      </w:r>
    </w:p>
    <w:p w14:paraId="41105F26"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state and territory governments</w:t>
      </w:r>
      <w:r>
        <w:rPr>
          <w:noProof/>
        </w:rPr>
        <w:tab/>
        <w:t>7, 23, 24, 32, 52, 53, 72, 73, 76, 77, 78, 130, 146, 151, 217, 230, 239</w:t>
      </w:r>
    </w:p>
    <w:p w14:paraId="2C1EFBEA"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streamline</w:t>
      </w:r>
      <w:r>
        <w:rPr>
          <w:noProof/>
        </w:rPr>
        <w:tab/>
        <w:t>20, 40, 54, 69, 70, 81, 206, 207, 211</w:t>
      </w:r>
    </w:p>
    <w:p w14:paraId="3BB301F2" w14:textId="77777777" w:rsidR="00BD1CAF" w:rsidRDefault="00BD1CAF">
      <w:pPr>
        <w:pStyle w:val="IndexHeading"/>
        <w:keepNext/>
        <w:tabs>
          <w:tab w:val="right" w:leader="dot" w:pos="9061"/>
        </w:tabs>
        <w:rPr>
          <w:rFonts w:eastAsiaTheme="minorEastAsia" w:cstheme="minorBidi"/>
          <w:b w:val="0"/>
          <w:bCs w:val="0"/>
          <w:noProof/>
        </w:rPr>
      </w:pPr>
      <w:r>
        <w:rPr>
          <w:noProof/>
        </w:rPr>
        <w:t>T</w:t>
      </w:r>
    </w:p>
    <w:p w14:paraId="5D5E74C2"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transparency</w:t>
      </w:r>
      <w:r>
        <w:rPr>
          <w:noProof/>
        </w:rPr>
        <w:tab/>
        <w:t>6, 17, 18, 74, 77, 81, 86, 98, 99, 114, 123, 124, 127, 128, 129, 134, 135, 136, 137, 138, 145, 150, 159, 160, 162, 171, 175, 207, 217, 233, 235</w:t>
      </w:r>
    </w:p>
    <w:p w14:paraId="0BB21A22" w14:textId="77777777" w:rsidR="00BD1CAF" w:rsidRDefault="00BD1CAF">
      <w:pPr>
        <w:pStyle w:val="IndexHeading"/>
        <w:keepNext/>
        <w:tabs>
          <w:tab w:val="right" w:leader="dot" w:pos="9061"/>
        </w:tabs>
        <w:rPr>
          <w:rFonts w:eastAsiaTheme="minorEastAsia" w:cstheme="minorBidi"/>
          <w:b w:val="0"/>
          <w:bCs w:val="0"/>
          <w:noProof/>
        </w:rPr>
      </w:pPr>
      <w:r>
        <w:rPr>
          <w:noProof/>
        </w:rPr>
        <w:t>U</w:t>
      </w:r>
    </w:p>
    <w:p w14:paraId="4AA15428"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unmet clinical need</w:t>
      </w:r>
      <w:r>
        <w:rPr>
          <w:noProof/>
        </w:rPr>
        <w:tab/>
        <w:t>8, 22, 23, 43, 47, 51, 64, 66, 71, 102, 186, 195, 197, 225</w:t>
      </w:r>
    </w:p>
    <w:p w14:paraId="2A265926" w14:textId="77777777" w:rsidR="00BD1CAF" w:rsidRDefault="00BD1CAF">
      <w:pPr>
        <w:pStyle w:val="IndexHeading"/>
        <w:keepNext/>
        <w:tabs>
          <w:tab w:val="right" w:leader="dot" w:pos="9061"/>
        </w:tabs>
        <w:rPr>
          <w:rFonts w:eastAsiaTheme="minorEastAsia" w:cstheme="minorBidi"/>
          <w:b w:val="0"/>
          <w:bCs w:val="0"/>
          <w:noProof/>
        </w:rPr>
      </w:pPr>
      <w:r>
        <w:rPr>
          <w:noProof/>
        </w:rPr>
        <w:t>V</w:t>
      </w:r>
    </w:p>
    <w:p w14:paraId="1C36DFBF"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vaccines</w:t>
      </w:r>
      <w:r>
        <w:rPr>
          <w:noProof/>
        </w:rPr>
        <w:tab/>
        <w:t>7, 10, 12, 13, 15, 28, 31, 40, 51, 67, 68, 69, 70, 71, 72, 176, 178, 179, 187, 219, 220, 221, 234, 241</w:t>
      </w:r>
    </w:p>
    <w:p w14:paraId="00326D2B"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values framework</w:t>
      </w:r>
      <w:r>
        <w:rPr>
          <w:noProof/>
        </w:rPr>
        <w:tab/>
        <w:t>18, 26, 129, 134, 139, 141</w:t>
      </w:r>
    </w:p>
    <w:p w14:paraId="2992C8BD" w14:textId="77777777" w:rsidR="00BD1CAF" w:rsidRDefault="00BD1CAF">
      <w:pPr>
        <w:pStyle w:val="IndexHeading"/>
        <w:keepNext/>
        <w:tabs>
          <w:tab w:val="right" w:leader="dot" w:pos="9061"/>
        </w:tabs>
        <w:rPr>
          <w:rFonts w:eastAsiaTheme="minorEastAsia" w:cstheme="minorBidi"/>
          <w:b w:val="0"/>
          <w:bCs w:val="0"/>
          <w:noProof/>
        </w:rPr>
      </w:pPr>
      <w:r>
        <w:rPr>
          <w:noProof/>
        </w:rPr>
        <w:t>W</w:t>
      </w:r>
    </w:p>
    <w:p w14:paraId="7F2BC463" w14:textId="77777777" w:rsidR="00BD1CAF" w:rsidRDefault="00BD1CAF">
      <w:pPr>
        <w:pStyle w:val="Index1"/>
        <w:tabs>
          <w:tab w:val="right" w:leader="dot" w:pos="9061"/>
        </w:tabs>
        <w:rPr>
          <w:noProof/>
        </w:rPr>
      </w:pPr>
      <w:r w:rsidRPr="001563D2">
        <w:rPr>
          <w:rFonts w:ascii="Aptos Narrow" w:eastAsia="Times New Roman" w:hAnsi="Aptos Narrow"/>
          <w:noProof/>
          <w:color w:val="000000"/>
        </w:rPr>
        <w:t>work sharing</w:t>
      </w:r>
      <w:r>
        <w:rPr>
          <w:noProof/>
        </w:rPr>
        <w:tab/>
        <w:t>24, 30, 78, 209, 212, 213, 215, 236</w:t>
      </w:r>
    </w:p>
    <w:p w14:paraId="4E1DD8E1" w14:textId="77777777" w:rsidR="00BD1CAF" w:rsidRDefault="00BD1CAF" w:rsidP="5A4C84A9">
      <w:pPr>
        <w:rPr>
          <w:rFonts w:asciiTheme="minorHAnsi" w:hAnsiTheme="minorHAnsi" w:cstheme="minorHAnsi"/>
          <w:noProof/>
          <w:sz w:val="20"/>
          <w:szCs w:val="20"/>
        </w:rPr>
        <w:sectPr w:rsidR="00BD1CAF" w:rsidSect="00BD1CAF">
          <w:type w:val="continuous"/>
          <w:pgSz w:w="11906" w:h="16838"/>
          <w:pgMar w:top="992" w:right="1276" w:bottom="1276" w:left="1559" w:header="284" w:footer="709" w:gutter="0"/>
          <w:cols w:space="720"/>
          <w:docGrid w:linePitch="360"/>
        </w:sectPr>
      </w:pPr>
    </w:p>
    <w:p w14:paraId="1E445BB9" w14:textId="65E06026" w:rsidR="0096794F" w:rsidRPr="00BE0AD8" w:rsidRDefault="00BD1CAF" w:rsidP="5A4C84A9">
      <w:r>
        <w:rPr>
          <w:rFonts w:asciiTheme="minorHAnsi" w:hAnsiTheme="minorHAnsi" w:cstheme="minorHAnsi"/>
          <w:sz w:val="20"/>
          <w:szCs w:val="20"/>
        </w:rPr>
        <w:fldChar w:fldCharType="end"/>
      </w:r>
    </w:p>
    <w:sectPr w:rsidR="0096794F" w:rsidRPr="00BE0AD8" w:rsidSect="00BD1CAF">
      <w:type w:val="continuous"/>
      <w:pgSz w:w="11906" w:h="16838"/>
      <w:pgMar w:top="992" w:right="1276" w:bottom="1276" w:left="1559"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F52872" w14:textId="77777777" w:rsidR="00832743" w:rsidRDefault="00832743" w:rsidP="006979E9">
      <w:pPr>
        <w:spacing w:after="0" w:line="240" w:lineRule="auto"/>
      </w:pPr>
      <w:r>
        <w:separator/>
      </w:r>
    </w:p>
  </w:endnote>
  <w:endnote w:type="continuationSeparator" w:id="0">
    <w:p w14:paraId="5026AB3F" w14:textId="77777777" w:rsidR="00832743" w:rsidRDefault="00832743" w:rsidP="006979E9">
      <w:pPr>
        <w:spacing w:after="0" w:line="240" w:lineRule="auto"/>
      </w:pPr>
      <w:r>
        <w:continuationSeparator/>
      </w:r>
    </w:p>
  </w:endnote>
  <w:endnote w:type="continuationNotice" w:id="1">
    <w:p w14:paraId="52098888" w14:textId="77777777" w:rsidR="00832743" w:rsidRDefault="008327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Light">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ova Light">
    <w:altName w:val="Arial"/>
    <w:charset w:val="00"/>
    <w:family w:val="swiss"/>
    <w:pitch w:val="variable"/>
    <w:sig w:usb0="0000028F" w:usb1="00000002" w:usb2="00000000" w:usb3="00000000" w:csb0="0000019F" w:csb1="00000000"/>
  </w:font>
  <w:font w:name="Yu Mincho">
    <w:altName w:val="游明朝"/>
    <w:charset w:val="80"/>
    <w:family w:val="roman"/>
    <w:pitch w:val="variable"/>
    <w:sig w:usb0="800002E7" w:usb1="2AC7FCFF" w:usb2="00000012" w:usb3="00000000" w:csb0="0002009F" w:csb1="00000000"/>
  </w:font>
  <w:font w:name="Arial Nova">
    <w:altName w:val="Arial"/>
    <w:charset w:val="00"/>
    <w:family w:val="swiss"/>
    <w:pitch w:val="variable"/>
    <w:sig w:usb0="0000028F" w:usb1="00000002" w:usb2="00000000" w:usb3="00000000" w:csb0="0000019F" w:csb1="00000000"/>
  </w:font>
  <w:font w:name="Inherit">
    <w:altName w:val="Times New Roman"/>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72640774"/>
      <w:docPartObj>
        <w:docPartGallery w:val="Page Numbers (Bottom of Page)"/>
        <w:docPartUnique/>
      </w:docPartObj>
    </w:sdtPr>
    <w:sdtEndPr>
      <w:rPr>
        <w:noProof/>
      </w:rPr>
    </w:sdtEndPr>
    <w:sdtContent>
      <w:p w14:paraId="0BF94ABC" w14:textId="77777777" w:rsidR="005419C4" w:rsidRDefault="005419C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5B4D21B" w14:textId="77777777" w:rsidR="00657E01" w:rsidRPr="00103172" w:rsidRDefault="00103172" w:rsidP="00103172">
    <w:pPr>
      <w:pStyle w:val="Footer"/>
      <w:jc w:val="center"/>
      <w:rPr>
        <w:b/>
        <w:bCs/>
        <w:color w:val="FF0000"/>
      </w:rPr>
    </w:pPr>
    <w:r w:rsidRPr="00103172">
      <w:rPr>
        <w:b/>
        <w:bCs/>
        <w:color w:val="FF0000"/>
      </w:rPr>
      <w:t>CONFIDENTIAL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E461F6" w14:textId="2E92BB44" w:rsidR="005419C4" w:rsidRDefault="00847484">
    <w:pPr>
      <w:pStyle w:val="Footer"/>
      <w:jc w:val="right"/>
    </w:pPr>
    <w:sdt>
      <w:sdtPr>
        <w:id w:val="-2101935221"/>
        <w:docPartObj>
          <w:docPartGallery w:val="Page Numbers (Bottom of Page)"/>
          <w:docPartUnique/>
        </w:docPartObj>
      </w:sdtPr>
      <w:sdtEndPr>
        <w:rPr>
          <w:noProof/>
        </w:rPr>
      </w:sdtEndPr>
      <w:sdtContent>
        <w:r w:rsidR="005419C4">
          <w:fldChar w:fldCharType="begin"/>
        </w:r>
        <w:r w:rsidR="005419C4">
          <w:instrText xml:space="preserve"> PAGE   \* MERGEFORMAT </w:instrText>
        </w:r>
        <w:r w:rsidR="005419C4">
          <w:fldChar w:fldCharType="separate"/>
        </w:r>
        <w:r w:rsidR="005419C4">
          <w:rPr>
            <w:noProof/>
          </w:rPr>
          <w:t>2</w:t>
        </w:r>
        <w:r w:rsidR="005419C4">
          <w:rPr>
            <w:noProof/>
          </w:rPr>
          <w:fldChar w:fldCharType="end"/>
        </w:r>
      </w:sdtContent>
    </w:sdt>
  </w:p>
  <w:p w14:paraId="35A9BAEA" w14:textId="4B747641" w:rsidR="00B63C6A" w:rsidRDefault="00B63C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309F4D" w14:textId="77777777" w:rsidR="00832743" w:rsidRDefault="00832743" w:rsidP="006979E9">
      <w:pPr>
        <w:spacing w:after="0" w:line="240" w:lineRule="auto"/>
      </w:pPr>
      <w:r>
        <w:separator/>
      </w:r>
    </w:p>
  </w:footnote>
  <w:footnote w:type="continuationSeparator" w:id="0">
    <w:p w14:paraId="21435D75" w14:textId="77777777" w:rsidR="00832743" w:rsidRDefault="00832743" w:rsidP="006979E9">
      <w:pPr>
        <w:spacing w:after="0" w:line="240" w:lineRule="auto"/>
      </w:pPr>
      <w:r>
        <w:continuationSeparator/>
      </w:r>
    </w:p>
  </w:footnote>
  <w:footnote w:type="continuationNotice" w:id="1">
    <w:p w14:paraId="2E436571" w14:textId="77777777" w:rsidR="00832743" w:rsidRDefault="00832743">
      <w:pPr>
        <w:spacing w:after="0" w:line="240" w:lineRule="auto"/>
      </w:pPr>
    </w:p>
  </w:footnote>
  <w:footnote w:id="2">
    <w:p w14:paraId="0BD48293" w14:textId="7C295718" w:rsidR="00F64136" w:rsidRDefault="00F64136">
      <w:pPr>
        <w:pStyle w:val="FootnoteText"/>
      </w:pPr>
      <w:r>
        <w:rPr>
          <w:rStyle w:val="FootnoteReference"/>
        </w:rPr>
        <w:footnoteRef/>
      </w:r>
      <w:r>
        <w:t xml:space="preserve"> </w:t>
      </w:r>
      <w:r w:rsidRPr="00F64136">
        <w:t>Australia Parliament House of Representatives Standing Committee on Health, Aged Care and Sport (2021)</w:t>
      </w:r>
      <w:r w:rsidR="0046374A">
        <w:t xml:space="preserve"> </w:t>
      </w:r>
      <w:hyperlink r:id="rId1" w:history="1">
        <w:r w:rsidR="00E224AA">
          <w:rPr>
            <w:rStyle w:val="Hyperlink"/>
            <w:i/>
            <w:iCs/>
          </w:rPr>
          <w:t>The New Frontier - Delivering better health for all Australians</w:t>
        </w:r>
      </w:hyperlink>
      <w:r w:rsidR="00366B45">
        <w:t xml:space="preserve"> inquiry.</w:t>
      </w:r>
    </w:p>
  </w:footnote>
  <w:footnote w:id="3">
    <w:p w14:paraId="25B7A51E" w14:textId="0A907E57" w:rsidR="001630E4" w:rsidRPr="006D4EAA" w:rsidRDefault="001630E4" w:rsidP="001630E4">
      <w:pPr>
        <w:pStyle w:val="FootnoteText"/>
        <w:rPr>
          <w:i/>
        </w:rPr>
      </w:pPr>
      <w:r>
        <w:rPr>
          <w:rStyle w:val="FootnoteReference"/>
        </w:rPr>
        <w:footnoteRef/>
      </w:r>
      <w:r w:rsidR="006D4EAA" w:rsidRPr="006D4EAA">
        <w:t xml:space="preserve"> </w:t>
      </w:r>
      <w:r w:rsidR="00C73674">
        <w:t xml:space="preserve">Department of Health and Aged Care </w:t>
      </w:r>
      <w:r w:rsidR="00716C96">
        <w:t>(</w:t>
      </w:r>
      <w:r w:rsidR="006D4EAA" w:rsidRPr="006D4EAA">
        <w:t>DHAC</w:t>
      </w:r>
      <w:r w:rsidR="00453069">
        <w:t>) (</w:t>
      </w:r>
      <w:r w:rsidR="006D4EAA" w:rsidRPr="006D4EAA">
        <w:t xml:space="preserve">2022) </w:t>
      </w:r>
      <w:hyperlink r:id="rId2" w:history="1">
        <w:r w:rsidR="006D4EAA" w:rsidRPr="006D4EAA">
          <w:rPr>
            <w:rStyle w:val="Hyperlink"/>
            <w:i/>
            <w:iCs/>
          </w:rPr>
          <w:t>National Medicines Policy 2022</w:t>
        </w:r>
      </w:hyperlink>
      <w:r w:rsidR="00FE720D">
        <w:t>.</w:t>
      </w:r>
    </w:p>
  </w:footnote>
  <w:footnote w:id="4">
    <w:p w14:paraId="02D80EF0" w14:textId="3EDE96EA" w:rsidR="00212656" w:rsidRPr="000C5623" w:rsidRDefault="00212656">
      <w:pPr>
        <w:pStyle w:val="FootnoteText"/>
        <w:rPr>
          <w:i/>
        </w:rPr>
      </w:pPr>
      <w:r>
        <w:rPr>
          <w:rStyle w:val="FootnoteReference"/>
        </w:rPr>
        <w:footnoteRef/>
      </w:r>
      <w:r>
        <w:t xml:space="preserve"> </w:t>
      </w:r>
      <w:r w:rsidRPr="006D4EAA">
        <w:t>DHAC</w:t>
      </w:r>
      <w:r>
        <w:t xml:space="preserve"> (</w:t>
      </w:r>
      <w:r w:rsidRPr="006D4EAA">
        <w:t xml:space="preserve">2022) </w:t>
      </w:r>
      <w:hyperlink r:id="rId3" w:history="1">
        <w:r w:rsidRPr="006D4EAA">
          <w:rPr>
            <w:rStyle w:val="Hyperlink"/>
            <w:i/>
            <w:iCs/>
          </w:rPr>
          <w:t>National Medicines Policy 2022</w:t>
        </w:r>
      </w:hyperlink>
      <w:r>
        <w:t>.</w:t>
      </w:r>
    </w:p>
  </w:footnote>
  <w:footnote w:id="5">
    <w:p w14:paraId="619856C5" w14:textId="096A13FE" w:rsidR="008D043F" w:rsidRPr="008D043F" w:rsidRDefault="008D043F" w:rsidP="000C5623">
      <w:pPr>
        <w:pStyle w:val="FootnoteText"/>
        <w:rPr>
          <w:rFonts w:ascii="Times New Roman" w:eastAsia="Calibri" w:hAnsi="Times New Roman"/>
          <w:kern w:val="2"/>
          <w14:ligatures w14:val="standardContextual"/>
        </w:rPr>
      </w:pPr>
      <w:r>
        <w:rPr>
          <w:rStyle w:val="FootnoteReference"/>
        </w:rPr>
        <w:footnoteRef/>
      </w:r>
      <w:r>
        <w:t xml:space="preserve"> </w:t>
      </w:r>
      <w:r w:rsidRPr="008D043F">
        <w:rPr>
          <w:rFonts w:eastAsia="Calibri" w:cstheme="minorHAnsi"/>
          <w:kern w:val="2"/>
          <w14:ligatures w14:val="standardContextual"/>
        </w:rPr>
        <w:t xml:space="preserve">DHAC (2022) </w:t>
      </w:r>
      <w:hyperlink r:id="rId4" w:history="1">
        <w:r w:rsidRPr="008D043F">
          <w:rPr>
            <w:rFonts w:eastAsia="Calibri" w:cstheme="minorHAnsi"/>
            <w:i/>
            <w:iCs/>
            <w:color w:val="0563C1"/>
            <w:kern w:val="2"/>
            <w:u w:val="single"/>
            <w14:ligatures w14:val="standardContextual"/>
          </w:rPr>
          <w:t xml:space="preserve">Strategic Agreement between the Commonwealth </w:t>
        </w:r>
        <w:r w:rsidR="00746218">
          <w:rPr>
            <w:rFonts w:eastAsia="Calibri" w:cstheme="minorHAnsi"/>
            <w:i/>
            <w:iCs/>
            <w:color w:val="0563C1"/>
            <w:kern w:val="2"/>
            <w:u w:val="single"/>
            <w14:ligatures w14:val="standardContextual"/>
          </w:rPr>
          <w:t>of Australia</w:t>
        </w:r>
        <w:r w:rsidRPr="008D043F">
          <w:rPr>
            <w:rFonts w:eastAsia="Calibri" w:cstheme="minorHAnsi"/>
            <w:i/>
            <w:iCs/>
            <w:color w:val="0563C1"/>
            <w:kern w:val="2"/>
            <w:u w:val="single"/>
            <w14:ligatures w14:val="standardContextual"/>
          </w:rPr>
          <w:t xml:space="preserve"> and Medicines Australia 2022-2027</w:t>
        </w:r>
      </w:hyperlink>
      <w:r w:rsidR="00D449A9" w:rsidRPr="000C5623">
        <w:rPr>
          <w:rFonts w:eastAsia="Calibri" w:cstheme="minorHAnsi"/>
          <w:kern w:val="2"/>
          <w14:ligatures w14:val="standardContextual"/>
        </w:rPr>
        <w:t>.</w:t>
      </w:r>
      <w:r w:rsidR="0039175B">
        <w:rPr>
          <w:rFonts w:eastAsia="Calibri" w:cstheme="minorHAnsi"/>
          <w:kern w:val="2"/>
          <w14:ligatures w14:val="standardContextual"/>
        </w:rPr>
        <w:t xml:space="preserve"> </w:t>
      </w:r>
      <w:r w:rsidR="0039175B">
        <w:t>Pharmaceutical Benefits Scheme (PBS).</w:t>
      </w:r>
    </w:p>
  </w:footnote>
  <w:footnote w:id="6">
    <w:p w14:paraId="6E9D50E7" w14:textId="64864AF1" w:rsidR="00212656" w:rsidRPr="000C5623" w:rsidRDefault="00212656">
      <w:pPr>
        <w:pStyle w:val="FootnoteText"/>
        <w:rPr>
          <w:i/>
        </w:rPr>
      </w:pPr>
      <w:r>
        <w:rPr>
          <w:rStyle w:val="FootnoteReference"/>
        </w:rPr>
        <w:footnoteRef/>
      </w:r>
      <w:r>
        <w:t xml:space="preserve"> </w:t>
      </w:r>
      <w:r w:rsidRPr="006D4EAA">
        <w:t>DHAC</w:t>
      </w:r>
      <w:r>
        <w:t xml:space="preserve"> (</w:t>
      </w:r>
      <w:r w:rsidRPr="006D4EAA">
        <w:t xml:space="preserve">2022) </w:t>
      </w:r>
      <w:hyperlink r:id="rId5" w:history="1">
        <w:r w:rsidRPr="006D4EAA">
          <w:rPr>
            <w:rStyle w:val="Hyperlink"/>
            <w:i/>
            <w:iCs/>
          </w:rPr>
          <w:t>National Medicines Policy 2022</w:t>
        </w:r>
      </w:hyperlink>
      <w:r>
        <w:t>.</w:t>
      </w:r>
    </w:p>
  </w:footnote>
  <w:footnote w:id="7">
    <w:p w14:paraId="11462EB1" w14:textId="2AC46A6A" w:rsidR="001630E4" w:rsidRPr="00DD1659" w:rsidRDefault="001630E4" w:rsidP="001630E4">
      <w:pPr>
        <w:pStyle w:val="FootnoteText"/>
      </w:pPr>
      <w:r>
        <w:rPr>
          <w:rStyle w:val="FootnoteReference"/>
        </w:rPr>
        <w:footnoteRef/>
      </w:r>
      <w:r>
        <w:t xml:space="preserve"> </w:t>
      </w:r>
      <w:r w:rsidR="009C53F9">
        <w:t>DHAC (</w:t>
      </w:r>
      <w:r w:rsidR="00976DF9">
        <w:t xml:space="preserve">2023) </w:t>
      </w:r>
      <w:hyperlink r:id="rId6" w:history="1">
        <w:r w:rsidR="00976DF9" w:rsidRPr="00DD1659">
          <w:rPr>
            <w:rStyle w:val="Hyperlink"/>
            <w:i/>
            <w:iCs/>
          </w:rPr>
          <w:t>Health Technology Assessment Policy and Methods Review – Research and analysis papers</w:t>
        </w:r>
      </w:hyperlink>
      <w:r w:rsidR="00B83227">
        <w:t>.</w:t>
      </w:r>
      <w:r w:rsidR="00DD1659">
        <w:t xml:space="preserve"> </w:t>
      </w:r>
    </w:p>
  </w:footnote>
  <w:footnote w:id="8">
    <w:p w14:paraId="119F63B2" w14:textId="20402ECA" w:rsidR="00A31429" w:rsidRDefault="00A31429">
      <w:pPr>
        <w:pStyle w:val="FootnoteText"/>
      </w:pPr>
      <w:r>
        <w:rPr>
          <w:rStyle w:val="FootnoteReference"/>
        </w:rPr>
        <w:footnoteRef/>
      </w:r>
      <w:r>
        <w:t xml:space="preserve"> </w:t>
      </w:r>
      <w:r w:rsidRPr="00A31429">
        <w:t xml:space="preserve">Australian Institute of Health and Welfare (2020) </w:t>
      </w:r>
      <w:hyperlink r:id="rId7" w:history="1">
        <w:r w:rsidRPr="00A31429">
          <w:rPr>
            <w:rStyle w:val="Hyperlink"/>
            <w:i/>
            <w:iCs/>
          </w:rPr>
          <w:t>National Indigenous Australians Agency, Aboriginal and Torres Strait Islander Health Performance Framework: 3.15 Access to prescription medicines</w:t>
        </w:r>
      </w:hyperlink>
      <w:r w:rsidR="00147AD1">
        <w:t>.</w:t>
      </w:r>
      <w:r w:rsidR="00251B12">
        <w:t xml:space="preserve"> </w:t>
      </w:r>
    </w:p>
  </w:footnote>
  <w:footnote w:id="9">
    <w:p w14:paraId="7200B523" w14:textId="424B1149" w:rsidR="00DD1EF2" w:rsidRDefault="00DD1EF2">
      <w:pPr>
        <w:pStyle w:val="FootnoteText"/>
      </w:pPr>
      <w:r>
        <w:rPr>
          <w:rStyle w:val="FootnoteReference"/>
        </w:rPr>
        <w:footnoteRef/>
      </w:r>
      <w:r>
        <w:t xml:space="preserve"> </w:t>
      </w:r>
      <w:r w:rsidR="00791519" w:rsidRPr="00791519">
        <w:t xml:space="preserve">Australian Government (2020) </w:t>
      </w:r>
      <w:hyperlink r:id="rId8" w:history="1">
        <w:r w:rsidR="001F42CC">
          <w:rPr>
            <w:rStyle w:val="Hyperlink"/>
            <w:i/>
            <w:iCs/>
          </w:rPr>
          <w:t>2020–25 A</w:t>
        </w:r>
        <w:r w:rsidR="00791519" w:rsidRPr="00791519">
          <w:rPr>
            <w:rStyle w:val="Hyperlink"/>
            <w:i/>
            <w:iCs/>
          </w:rPr>
          <w:t xml:space="preserve">ddendum to </w:t>
        </w:r>
        <w:r w:rsidR="00716D0F">
          <w:rPr>
            <w:rStyle w:val="Hyperlink"/>
            <w:i/>
            <w:iCs/>
          </w:rPr>
          <w:t xml:space="preserve">the </w:t>
        </w:r>
        <w:r w:rsidR="00791519" w:rsidRPr="00791519">
          <w:rPr>
            <w:rStyle w:val="Hyperlink"/>
            <w:i/>
            <w:iCs/>
          </w:rPr>
          <w:t>National Health Reform Agreement</w:t>
        </w:r>
      </w:hyperlink>
      <w:r w:rsidR="00716D0F">
        <w:rPr>
          <w:rFonts w:cs="Segoe UI"/>
        </w:rPr>
        <w:t>.</w:t>
      </w:r>
    </w:p>
  </w:footnote>
  <w:footnote w:id="10">
    <w:p w14:paraId="34BFE2ED" w14:textId="132F70D7" w:rsidR="00212656" w:rsidRDefault="00212656">
      <w:pPr>
        <w:pStyle w:val="FootnoteText"/>
      </w:pPr>
      <w:r>
        <w:rPr>
          <w:rStyle w:val="FootnoteReference"/>
        </w:rPr>
        <w:footnoteRef/>
      </w:r>
      <w:r>
        <w:t xml:space="preserve"> </w:t>
      </w:r>
      <w:r w:rsidRPr="00F64136">
        <w:t xml:space="preserve">Australia Parliament House of Representatives Standing Committee on Health, Aged Care and Sport (2021) </w:t>
      </w:r>
      <w:hyperlink r:id="rId9" w:history="1">
        <w:r w:rsidR="00366B45">
          <w:rPr>
            <w:rStyle w:val="Hyperlink"/>
            <w:i/>
            <w:iCs/>
          </w:rPr>
          <w:t>The New Frontier - Delivering better health for all Australians</w:t>
        </w:r>
      </w:hyperlink>
      <w:r w:rsidR="00366B45" w:rsidRPr="00366B45">
        <w:t xml:space="preserve"> inquiry</w:t>
      </w:r>
      <w:r>
        <w:t>.</w:t>
      </w:r>
    </w:p>
  </w:footnote>
  <w:footnote w:id="11">
    <w:p w14:paraId="6EE93261" w14:textId="332395E2" w:rsidR="00AD02B5" w:rsidRPr="000C5623" w:rsidRDefault="00AD02B5" w:rsidP="00AD02B5">
      <w:pPr>
        <w:pStyle w:val="FootnoteText"/>
        <w:rPr>
          <w:i/>
        </w:rPr>
      </w:pPr>
      <w:r>
        <w:rPr>
          <w:rStyle w:val="FootnoteReference"/>
        </w:rPr>
        <w:footnoteRef/>
      </w:r>
      <w:r>
        <w:t xml:space="preserve"> </w:t>
      </w:r>
      <w:r w:rsidRPr="00444AEB">
        <w:t>DHAC (2022)</w:t>
      </w:r>
      <w:r w:rsidRPr="00A22BFD">
        <w:rPr>
          <w:i/>
          <w:iCs/>
        </w:rPr>
        <w:t xml:space="preserve"> </w:t>
      </w:r>
      <w:hyperlink r:id="rId10" w:history="1">
        <w:r w:rsidRPr="00A22BFD">
          <w:rPr>
            <w:rStyle w:val="Hyperlink"/>
            <w:i/>
          </w:rPr>
          <w:t xml:space="preserve">Strategic Agreement between the Commonwealth </w:t>
        </w:r>
        <w:r>
          <w:rPr>
            <w:rStyle w:val="Hyperlink"/>
            <w:i/>
          </w:rPr>
          <w:t>of Australia</w:t>
        </w:r>
        <w:r w:rsidRPr="00A22BFD">
          <w:rPr>
            <w:rStyle w:val="Hyperlink"/>
            <w:i/>
          </w:rPr>
          <w:t xml:space="preserve"> and Medicines Australia 2022</w:t>
        </w:r>
        <w:r>
          <w:rPr>
            <w:rStyle w:val="Hyperlink"/>
            <w:i/>
          </w:rPr>
          <w:noBreakHyphen/>
        </w:r>
        <w:r w:rsidRPr="00A22BFD">
          <w:rPr>
            <w:rStyle w:val="Hyperlink"/>
            <w:i/>
          </w:rPr>
          <w:t>2027</w:t>
        </w:r>
      </w:hyperlink>
      <w:r>
        <w:t>.</w:t>
      </w:r>
    </w:p>
  </w:footnote>
  <w:footnote w:id="12">
    <w:p w14:paraId="7E5778DD" w14:textId="77777777" w:rsidR="00EA3EFB" w:rsidRDefault="00EA3EFB">
      <w:pPr>
        <w:pStyle w:val="FootnoteText"/>
      </w:pPr>
      <w:r>
        <w:rPr>
          <w:rStyle w:val="FootnoteReference"/>
        </w:rPr>
        <w:footnoteRef/>
      </w:r>
      <w:r>
        <w:t xml:space="preserve"> </w:t>
      </w:r>
      <w:r w:rsidRPr="00791519">
        <w:t xml:space="preserve">Australian Government (2020) </w:t>
      </w:r>
      <w:hyperlink r:id="rId11"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13">
    <w:p w14:paraId="5097CC95" w14:textId="206893D8" w:rsidR="008556ED" w:rsidRPr="00E5593E" w:rsidRDefault="00EE11C7">
      <w:pPr>
        <w:pStyle w:val="FootnoteText"/>
        <w:rPr>
          <w:i/>
        </w:rPr>
      </w:pPr>
      <w:r w:rsidDel="00B8537F">
        <w:rPr>
          <w:rStyle w:val="FootnoteReference"/>
        </w:rPr>
        <w:footnoteRef/>
      </w:r>
      <w:r>
        <w:t xml:space="preserve"> </w:t>
      </w:r>
      <w:r w:rsidR="00417769" w:rsidRPr="00417769">
        <w:t>DHAC (2022)</w:t>
      </w:r>
      <w:r w:rsidR="00FA396E">
        <w:t xml:space="preserve"> </w:t>
      </w:r>
      <w:hyperlink r:id="rId12" w:history="1">
        <w:r w:rsidR="007C1BE2">
          <w:rPr>
            <w:rStyle w:val="Hyperlink"/>
            <w:i/>
            <w:iCs/>
          </w:rPr>
          <w:t>National Medicines Policy 2022</w:t>
        </w:r>
      </w:hyperlink>
      <w:r w:rsidR="008556ED" w:rsidRPr="225E66FA">
        <w:rPr>
          <w:rFonts w:eastAsia="Segoe UI" w:cs="Segoe UI"/>
          <w:color w:val="000000" w:themeColor="text1"/>
        </w:rPr>
        <w:t>.</w:t>
      </w:r>
    </w:p>
  </w:footnote>
  <w:footnote w:id="14">
    <w:p w14:paraId="354EB5CE" w14:textId="3EE0C155" w:rsidR="00A22BFD" w:rsidRPr="00A22BFD" w:rsidRDefault="00FF2B22" w:rsidP="00A22BFD">
      <w:pPr>
        <w:pStyle w:val="FootnoteText"/>
        <w:rPr>
          <w:i/>
          <w:iCs/>
        </w:rPr>
      </w:pPr>
      <w:r>
        <w:rPr>
          <w:rStyle w:val="FootnoteReference"/>
        </w:rPr>
        <w:footnoteRef/>
      </w:r>
      <w:r>
        <w:t xml:space="preserve"> </w:t>
      </w:r>
      <w:r w:rsidR="00A22BFD" w:rsidRPr="00444AEB">
        <w:t>DHAC (2022)</w:t>
      </w:r>
      <w:r w:rsidR="00A22BFD" w:rsidRPr="00A22BFD">
        <w:rPr>
          <w:i/>
          <w:iCs/>
        </w:rPr>
        <w:t xml:space="preserve"> </w:t>
      </w:r>
      <w:hyperlink r:id="rId13" w:history="1">
        <w:r w:rsidR="00A22BFD" w:rsidRPr="00A22BFD">
          <w:rPr>
            <w:rStyle w:val="Hyperlink"/>
            <w:i/>
          </w:rPr>
          <w:t xml:space="preserve">Strategic Agreement between the Commonwealth </w:t>
        </w:r>
        <w:r w:rsidR="00746218">
          <w:rPr>
            <w:rStyle w:val="Hyperlink"/>
            <w:i/>
          </w:rPr>
          <w:t>of Australia</w:t>
        </w:r>
        <w:r w:rsidR="00A22BFD" w:rsidRPr="00A22BFD">
          <w:rPr>
            <w:rStyle w:val="Hyperlink"/>
            <w:i/>
          </w:rPr>
          <w:t xml:space="preserve"> and Medicines Australia 2022-2027</w:t>
        </w:r>
      </w:hyperlink>
      <w:r w:rsidR="008556ED" w:rsidRPr="225E66FA">
        <w:rPr>
          <w:rFonts w:eastAsia="Segoe UI" w:cs="Segoe UI"/>
          <w:color w:val="000000" w:themeColor="text1"/>
        </w:rPr>
        <w:t>.</w:t>
      </w:r>
    </w:p>
    <w:p w14:paraId="75E0E8FE" w14:textId="6711C1AD" w:rsidR="00FF2B22" w:rsidRDefault="00FF2B22">
      <w:pPr>
        <w:pStyle w:val="FootnoteText"/>
      </w:pPr>
    </w:p>
  </w:footnote>
  <w:footnote w:id="15">
    <w:p w14:paraId="349688D1" w14:textId="1957336F" w:rsidR="00E73E5C" w:rsidRDefault="00E73E5C" w:rsidP="0049799D">
      <w:pPr>
        <w:pStyle w:val="FootnoteText"/>
        <w:jc w:val="left"/>
      </w:pPr>
      <w:r>
        <w:rPr>
          <w:rStyle w:val="FootnoteReference"/>
        </w:rPr>
        <w:footnoteRef/>
      </w:r>
      <w:r>
        <w:t xml:space="preserve"> </w:t>
      </w:r>
      <w:r w:rsidR="00F95BA5">
        <w:t xml:space="preserve">See p68-69 in </w:t>
      </w:r>
      <w:r w:rsidR="001A7A87" w:rsidRPr="006263FC">
        <w:t xml:space="preserve">OECD (2023) </w:t>
      </w:r>
      <w:hyperlink r:id="rId14" w:history="1">
        <w:r w:rsidR="001A7A87" w:rsidRPr="006263FC">
          <w:rPr>
            <w:rStyle w:val="Hyperlink"/>
            <w:i/>
            <w:iCs/>
          </w:rPr>
          <w:t>Health at a Glance</w:t>
        </w:r>
      </w:hyperlink>
      <w:r w:rsidR="001A7A87" w:rsidRPr="006263FC">
        <w:t>.</w:t>
      </w:r>
    </w:p>
  </w:footnote>
  <w:footnote w:id="16">
    <w:p w14:paraId="7DA4F00F" w14:textId="7277DD78" w:rsidR="00DC79CE" w:rsidRPr="00B22858" w:rsidRDefault="00DC79CE" w:rsidP="0049799D">
      <w:pPr>
        <w:pStyle w:val="FootnoteText"/>
        <w:jc w:val="left"/>
      </w:pPr>
      <w:r>
        <w:rPr>
          <w:rStyle w:val="FootnoteReference"/>
        </w:rPr>
        <w:footnoteRef/>
      </w:r>
      <w:r>
        <w:t xml:space="preserve"> </w:t>
      </w:r>
      <w:r w:rsidR="002463CF">
        <w:t>WHO</w:t>
      </w:r>
      <w:r w:rsidR="00A50A4C">
        <w:t xml:space="preserve"> (2020)</w:t>
      </w:r>
      <w:r w:rsidR="002463CF" w:rsidRPr="00C90D27">
        <w:rPr>
          <w:i/>
          <w:iCs/>
        </w:rPr>
        <w:t xml:space="preserve"> </w:t>
      </w:r>
      <w:hyperlink r:id="rId15" w:history="1">
        <w:r w:rsidR="001948A2" w:rsidRPr="00B22858">
          <w:rPr>
            <w:rStyle w:val="Hyperlink"/>
            <w:i/>
            <w:iCs/>
          </w:rPr>
          <w:t>Life expectancy at birth</w:t>
        </w:r>
        <w:r w:rsidR="00B22858" w:rsidRPr="00B22858">
          <w:rPr>
            <w:rStyle w:val="Hyperlink"/>
            <w:i/>
            <w:iCs/>
          </w:rPr>
          <w:t xml:space="preserve"> (years)</w:t>
        </w:r>
      </w:hyperlink>
      <w:r w:rsidR="00F64EB3">
        <w:t>.</w:t>
      </w:r>
    </w:p>
  </w:footnote>
  <w:footnote w:id="17">
    <w:p w14:paraId="0384EE5D" w14:textId="4596F7DC" w:rsidR="00F64EB3" w:rsidRDefault="00F64EB3">
      <w:pPr>
        <w:pStyle w:val="FootnoteText"/>
      </w:pPr>
      <w:r>
        <w:rPr>
          <w:rStyle w:val="FootnoteReference"/>
        </w:rPr>
        <w:footnoteRef/>
      </w:r>
      <w:r>
        <w:t xml:space="preserve"> Department of Health and Aged Care (</w:t>
      </w:r>
      <w:r w:rsidRPr="006D4EAA">
        <w:t>DHAC</w:t>
      </w:r>
      <w:r>
        <w:t>) (</w:t>
      </w:r>
      <w:r w:rsidRPr="006D4EAA">
        <w:t xml:space="preserve">2022) </w:t>
      </w:r>
      <w:hyperlink r:id="rId16" w:history="1">
        <w:r w:rsidRPr="006D4EAA">
          <w:rPr>
            <w:rStyle w:val="Hyperlink"/>
            <w:i/>
            <w:iCs/>
          </w:rPr>
          <w:t>National Medicines Policy 2022</w:t>
        </w:r>
      </w:hyperlink>
      <w:r>
        <w:t>.</w:t>
      </w:r>
    </w:p>
  </w:footnote>
  <w:footnote w:id="18">
    <w:p w14:paraId="25081253" w14:textId="5F81A87A" w:rsidR="008B02AE" w:rsidRPr="000C5623" w:rsidRDefault="008B02AE">
      <w:pPr>
        <w:pStyle w:val="FootnoteText"/>
        <w:rPr>
          <w:i/>
        </w:rPr>
      </w:pPr>
      <w:r>
        <w:rPr>
          <w:rStyle w:val="FootnoteReference"/>
        </w:rPr>
        <w:footnoteRef/>
      </w:r>
      <w:r>
        <w:t xml:space="preserve"> </w:t>
      </w:r>
      <w:r w:rsidRPr="006D4EAA">
        <w:t>DHAC</w:t>
      </w:r>
      <w:r>
        <w:t xml:space="preserve"> (</w:t>
      </w:r>
      <w:r w:rsidRPr="006D4EAA">
        <w:t xml:space="preserve">2022) </w:t>
      </w:r>
      <w:hyperlink r:id="rId17" w:history="1">
        <w:r w:rsidRPr="006D4EAA">
          <w:rPr>
            <w:rStyle w:val="Hyperlink"/>
            <w:i/>
            <w:iCs/>
          </w:rPr>
          <w:t>National Medicines Policy 2022</w:t>
        </w:r>
      </w:hyperlink>
      <w:r>
        <w:t>.</w:t>
      </w:r>
    </w:p>
  </w:footnote>
  <w:footnote w:id="19">
    <w:p w14:paraId="26A19C78" w14:textId="73DDBB9F" w:rsidR="008B02AE" w:rsidRPr="000C5623" w:rsidRDefault="008B02AE">
      <w:pPr>
        <w:pStyle w:val="FootnoteText"/>
        <w:rPr>
          <w:i/>
        </w:rPr>
      </w:pPr>
      <w:r>
        <w:rPr>
          <w:rStyle w:val="FootnoteReference"/>
        </w:rPr>
        <w:footnoteRef/>
      </w:r>
      <w:r>
        <w:t xml:space="preserve"> </w:t>
      </w:r>
      <w:r w:rsidRPr="006D4EAA">
        <w:t>DHAC</w:t>
      </w:r>
      <w:r>
        <w:t xml:space="preserve"> (</w:t>
      </w:r>
      <w:r w:rsidRPr="006D4EAA">
        <w:t xml:space="preserve">2022) </w:t>
      </w:r>
      <w:hyperlink r:id="rId18" w:history="1">
        <w:r w:rsidRPr="006D4EAA">
          <w:rPr>
            <w:rStyle w:val="Hyperlink"/>
            <w:i/>
            <w:iCs/>
          </w:rPr>
          <w:t>National Medicines Policy 2022</w:t>
        </w:r>
      </w:hyperlink>
      <w:r>
        <w:t>.</w:t>
      </w:r>
    </w:p>
  </w:footnote>
  <w:footnote w:id="20">
    <w:p w14:paraId="35F73249" w14:textId="4BE1ED3D" w:rsidR="00DF793C" w:rsidRDefault="00DF793C" w:rsidP="0049799D">
      <w:pPr>
        <w:pStyle w:val="FootnoteText"/>
        <w:jc w:val="left"/>
      </w:pPr>
      <w:r>
        <w:rPr>
          <w:rStyle w:val="FootnoteReference"/>
        </w:rPr>
        <w:footnoteRef/>
      </w:r>
      <w:r>
        <w:t xml:space="preserve"> </w:t>
      </w:r>
      <w:r w:rsidR="00192699">
        <w:t xml:space="preserve">See </w:t>
      </w:r>
      <w:r w:rsidR="00D6785C">
        <w:t xml:space="preserve">Figure 7.4 </w:t>
      </w:r>
      <w:r w:rsidR="00192699">
        <w:t>p</w:t>
      </w:r>
      <w:r w:rsidR="004954A4">
        <w:t>157</w:t>
      </w:r>
      <w:r w:rsidR="00192699">
        <w:t xml:space="preserve"> in </w:t>
      </w:r>
      <w:r w:rsidR="00192699" w:rsidRPr="00192699">
        <w:t xml:space="preserve">OECD (2023) </w:t>
      </w:r>
      <w:hyperlink r:id="rId19" w:history="1">
        <w:r w:rsidR="00192699" w:rsidRPr="00192699">
          <w:rPr>
            <w:rStyle w:val="Hyperlink"/>
            <w:i/>
            <w:iCs/>
          </w:rPr>
          <w:t>Health at a Glance</w:t>
        </w:r>
      </w:hyperlink>
      <w:r w:rsidR="00341277">
        <w:rPr>
          <w:rFonts w:eastAsia="Calibri"/>
        </w:rPr>
        <w:t>.</w:t>
      </w:r>
    </w:p>
  </w:footnote>
  <w:footnote w:id="21">
    <w:p w14:paraId="4F93A013" w14:textId="4AF41541" w:rsidR="003E3736" w:rsidRPr="00A2275E" w:rsidRDefault="003E3736" w:rsidP="0049799D">
      <w:pPr>
        <w:pStyle w:val="FootnoteText"/>
        <w:jc w:val="left"/>
      </w:pPr>
      <w:r>
        <w:rPr>
          <w:rStyle w:val="FootnoteReference"/>
        </w:rPr>
        <w:footnoteRef/>
      </w:r>
      <w:r>
        <w:t xml:space="preserve"> </w:t>
      </w:r>
      <w:r w:rsidR="00A4571F">
        <w:t xml:space="preserve">See p3 in </w:t>
      </w:r>
      <w:r w:rsidR="00F10631">
        <w:t xml:space="preserve">Australian Government </w:t>
      </w:r>
      <w:r>
        <w:t>Productivity Commission</w:t>
      </w:r>
      <w:r w:rsidR="00F10631">
        <w:t xml:space="preserve"> </w:t>
      </w:r>
      <w:r w:rsidR="00DA7B1D">
        <w:t>(2024)</w:t>
      </w:r>
      <w:r w:rsidR="00A3543A">
        <w:t xml:space="preserve"> </w:t>
      </w:r>
      <w:hyperlink r:id="rId20" w:history="1">
        <w:r w:rsidR="00A2275E" w:rsidRPr="00046CD5">
          <w:rPr>
            <w:rStyle w:val="Hyperlink"/>
            <w:i/>
            <w:iCs/>
          </w:rPr>
          <w:t>Advances in measuring healthcare productivity</w:t>
        </w:r>
      </w:hyperlink>
      <w:r w:rsidR="00341277">
        <w:rPr>
          <w:rFonts w:eastAsia="Calibri"/>
        </w:rPr>
        <w:t>.</w:t>
      </w:r>
    </w:p>
  </w:footnote>
  <w:footnote w:id="22">
    <w:p w14:paraId="6B11C286" w14:textId="3526A0FB" w:rsidR="004F0A93" w:rsidRDefault="004F0A93">
      <w:pPr>
        <w:pStyle w:val="FootnoteText"/>
      </w:pPr>
      <w:r>
        <w:rPr>
          <w:rStyle w:val="FootnoteReference"/>
        </w:rPr>
        <w:footnoteRef/>
      </w:r>
      <w:r w:rsidR="00FF6C93">
        <w:t xml:space="preserve"> See p11</w:t>
      </w:r>
      <w:r w:rsidR="00A620E4">
        <w:t>–</w:t>
      </w:r>
      <w:r w:rsidR="00FF6C93">
        <w:t xml:space="preserve">12 in </w:t>
      </w:r>
      <w:r w:rsidR="00FF6C93" w:rsidRPr="00FF6C93">
        <w:t xml:space="preserve">DHAC (2023) </w:t>
      </w:r>
      <w:hyperlink r:id="rId21" w:history="1">
        <w:r w:rsidR="00FF6C93" w:rsidRPr="00FF6C93">
          <w:rPr>
            <w:rStyle w:val="Hyperlink"/>
            <w:i/>
            <w:iCs/>
          </w:rPr>
          <w:t>Emerging health technologies</w:t>
        </w:r>
      </w:hyperlink>
      <w:r w:rsidR="00FF6C93" w:rsidRPr="00FF6C93">
        <w:t>, Health Technology</w:t>
      </w:r>
      <w:r w:rsidR="00A06A65">
        <w:t xml:space="preserve"> Assessment </w:t>
      </w:r>
      <w:r w:rsidR="00FF6C93" w:rsidRPr="00FF6C93">
        <w:t>Policy and Methods Review</w:t>
      </w:r>
      <w:r w:rsidR="00A620E4">
        <w:t>.</w:t>
      </w:r>
      <w:r w:rsidR="00FA396E">
        <w:t xml:space="preserve"> </w:t>
      </w:r>
    </w:p>
  </w:footnote>
  <w:footnote w:id="23">
    <w:p w14:paraId="2997240F" w14:textId="36C2A604" w:rsidR="00D449A9" w:rsidRPr="000C5623" w:rsidRDefault="00D449A9" w:rsidP="00D449A9">
      <w:pPr>
        <w:pStyle w:val="FootnoteText"/>
        <w:rPr>
          <w:i/>
        </w:rPr>
      </w:pPr>
      <w:r>
        <w:rPr>
          <w:rStyle w:val="FootnoteReference"/>
        </w:rPr>
        <w:footnoteRef/>
      </w:r>
      <w:r>
        <w:t xml:space="preserve"> </w:t>
      </w:r>
      <w:r w:rsidRPr="00444AEB">
        <w:t>DHAC (</w:t>
      </w:r>
      <w:r w:rsidRPr="00D449A9">
        <w:t>2022</w:t>
      </w:r>
      <w:r w:rsidRPr="00444AEB">
        <w:t>)</w:t>
      </w:r>
      <w:r w:rsidRPr="00A22BFD">
        <w:rPr>
          <w:i/>
          <w:iCs/>
        </w:rPr>
        <w:t xml:space="preserve"> </w:t>
      </w:r>
      <w:hyperlink r:id="rId22" w:history="1">
        <w:r w:rsidRPr="00A22BFD">
          <w:rPr>
            <w:rStyle w:val="Hyperlink"/>
            <w:i/>
          </w:rPr>
          <w:t xml:space="preserve">Strategic Agreement between the Commonwealth </w:t>
        </w:r>
        <w:r w:rsidR="00746218">
          <w:rPr>
            <w:rStyle w:val="Hyperlink"/>
            <w:i/>
          </w:rPr>
          <w:t>of Australia</w:t>
        </w:r>
        <w:r w:rsidRPr="00A22BFD">
          <w:rPr>
            <w:rStyle w:val="Hyperlink"/>
            <w:i/>
          </w:rPr>
          <w:t xml:space="preserve"> and Medicines Australia 2022</w:t>
        </w:r>
        <w:r w:rsidR="00A620E4">
          <w:rPr>
            <w:rStyle w:val="Hyperlink"/>
            <w:i/>
          </w:rPr>
          <w:noBreakHyphen/>
        </w:r>
        <w:r w:rsidRPr="00A22BFD">
          <w:rPr>
            <w:rStyle w:val="Hyperlink"/>
            <w:i/>
          </w:rPr>
          <w:t>2027</w:t>
        </w:r>
      </w:hyperlink>
      <w:r>
        <w:t>.</w:t>
      </w:r>
    </w:p>
  </w:footnote>
  <w:footnote w:id="24">
    <w:p w14:paraId="326FEB63" w14:textId="4F0570B2" w:rsidR="00451C26" w:rsidRDefault="00451C26">
      <w:pPr>
        <w:pStyle w:val="FootnoteText"/>
      </w:pPr>
      <w:r>
        <w:rPr>
          <w:rStyle w:val="FootnoteReference"/>
        </w:rPr>
        <w:footnoteRef/>
      </w:r>
      <w:r>
        <w:t xml:space="preserve"> </w:t>
      </w:r>
      <w:bookmarkStart w:id="108" w:name="_Hlk166782464"/>
      <w:r>
        <w:t xml:space="preserve">DHAC (2022) </w:t>
      </w:r>
      <w:hyperlink r:id="rId23" w:history="1">
        <w:r w:rsidR="00916566" w:rsidRPr="009944EE">
          <w:rPr>
            <w:rStyle w:val="Hyperlink"/>
            <w:i/>
            <w:iCs/>
          </w:rPr>
          <w:t>National Medicines Policy - consultation on the revised NMP</w:t>
        </w:r>
      </w:hyperlink>
      <w:r w:rsidR="006F420F">
        <w:t>, DHAC Consultation Hub</w:t>
      </w:r>
      <w:r w:rsidR="00AA2325">
        <w:t xml:space="preserve"> DHAC website</w:t>
      </w:r>
      <w:bookmarkEnd w:id="108"/>
      <w:r w:rsidR="000C0764">
        <w:t>.</w:t>
      </w:r>
    </w:p>
  </w:footnote>
  <w:footnote w:id="25">
    <w:p w14:paraId="27E7E842" w14:textId="352B3EF5" w:rsidR="00EE7559" w:rsidRDefault="00EE7559">
      <w:pPr>
        <w:pStyle w:val="FootnoteText"/>
      </w:pPr>
      <w:r>
        <w:rPr>
          <w:rStyle w:val="FootnoteReference"/>
        </w:rPr>
        <w:footnoteRef/>
      </w:r>
      <w:r>
        <w:t xml:space="preserve"> </w:t>
      </w:r>
      <w:r w:rsidRPr="00EE7559">
        <w:t>Australia</w:t>
      </w:r>
      <w:r w:rsidR="000C0764">
        <w:t>n</w:t>
      </w:r>
      <w:r w:rsidRPr="00EE7559">
        <w:t xml:space="preserve"> Parliament House of Representatives Standing Committee on Health, Aged Care and Sport (2021) </w:t>
      </w:r>
      <w:hyperlink r:id="rId24" w:history="1">
        <w:r w:rsidRPr="00EE7559">
          <w:rPr>
            <w:rStyle w:val="Hyperlink"/>
            <w:i/>
            <w:iCs/>
          </w:rPr>
          <w:t xml:space="preserve">The New Frontier </w:t>
        </w:r>
        <w:r w:rsidR="00F33A9E">
          <w:rPr>
            <w:rStyle w:val="Hyperlink"/>
            <w:i/>
            <w:iCs/>
          </w:rPr>
          <w:t>i</w:t>
        </w:r>
        <w:r w:rsidRPr="00EE7559">
          <w:rPr>
            <w:rStyle w:val="Hyperlink"/>
            <w:i/>
            <w:iCs/>
          </w:rPr>
          <w:t>nquiry</w:t>
        </w:r>
      </w:hyperlink>
      <w:r w:rsidR="00147AD1">
        <w:t>.</w:t>
      </w:r>
    </w:p>
  </w:footnote>
  <w:footnote w:id="26">
    <w:p w14:paraId="450EC388" w14:textId="681B7672" w:rsidR="00EF312F" w:rsidRDefault="00EF312F">
      <w:pPr>
        <w:pStyle w:val="FootnoteText"/>
      </w:pPr>
      <w:r>
        <w:rPr>
          <w:rStyle w:val="FootnoteReference"/>
        </w:rPr>
        <w:footnoteRef/>
      </w:r>
      <w:r>
        <w:t xml:space="preserve"> </w:t>
      </w:r>
      <w:r w:rsidR="00470402">
        <w:t>Sola B, Wan</w:t>
      </w:r>
      <w:r w:rsidR="00C85453">
        <w:t>g</w:t>
      </w:r>
      <w:r w:rsidR="00470402">
        <w:t xml:space="preserve"> T</w:t>
      </w:r>
      <w:r w:rsidR="00F234CC">
        <w:t xml:space="preserve"> and</w:t>
      </w:r>
      <w:r w:rsidR="00470402">
        <w:t xml:space="preserve"> McAuslane N</w:t>
      </w:r>
      <w:r w:rsidR="00C1310A">
        <w:t xml:space="preserve"> </w:t>
      </w:r>
      <w:r w:rsidR="00BA5780">
        <w:t>(2023)</w:t>
      </w:r>
      <w:r w:rsidR="00FC66B4">
        <w:t xml:space="preserve"> </w:t>
      </w:r>
      <w:hyperlink r:id="rId25" w:history="1">
        <w:r w:rsidR="00BB7B2A" w:rsidRPr="00B27EEC">
          <w:rPr>
            <w:rStyle w:val="Hyperlink"/>
            <w:i/>
            <w:iCs/>
          </w:rPr>
          <w:t>R</w:t>
        </w:r>
        <w:r w:rsidR="00E661AB" w:rsidRPr="00B27EEC">
          <w:rPr>
            <w:rStyle w:val="Hyperlink"/>
            <w:i/>
            <w:iCs/>
          </w:rPr>
          <w:t>&amp;D Briefing 89: Review of HTA outcomes and timelines in Australia, Canada and Europe</w:t>
        </w:r>
        <w:r w:rsidR="006C3065" w:rsidRPr="00B27EEC">
          <w:rPr>
            <w:rStyle w:val="Hyperlink"/>
            <w:i/>
            <w:iCs/>
          </w:rPr>
          <w:t xml:space="preserve"> and the UK</w:t>
        </w:r>
        <w:r w:rsidR="00E661AB" w:rsidRPr="00B27EEC">
          <w:rPr>
            <w:rStyle w:val="Hyperlink"/>
            <w:i/>
            <w:iCs/>
          </w:rPr>
          <w:t xml:space="preserve"> 2018-2</w:t>
        </w:r>
        <w:r w:rsidR="006C3065" w:rsidRPr="00B27EEC">
          <w:rPr>
            <w:rStyle w:val="Hyperlink"/>
            <w:i/>
            <w:iCs/>
          </w:rPr>
          <w:t>02</w:t>
        </w:r>
        <w:r w:rsidR="00E661AB" w:rsidRPr="00B27EEC">
          <w:rPr>
            <w:rStyle w:val="Hyperlink"/>
            <w:i/>
            <w:iCs/>
          </w:rPr>
          <w:t>2</w:t>
        </w:r>
      </w:hyperlink>
      <w:r w:rsidR="0068736E">
        <w:t xml:space="preserve">, </w:t>
      </w:r>
      <w:r w:rsidR="00FF533B">
        <w:t>C</w:t>
      </w:r>
      <w:r w:rsidR="008A4F27">
        <w:t xml:space="preserve">entre for </w:t>
      </w:r>
      <w:r w:rsidR="00FF533B">
        <w:t>I</w:t>
      </w:r>
      <w:r w:rsidR="008A4F27">
        <w:t xml:space="preserve">nnovation and </w:t>
      </w:r>
      <w:r w:rsidR="00FF533B">
        <w:t>R</w:t>
      </w:r>
      <w:r w:rsidR="008A4F27">
        <w:t>egulatory</w:t>
      </w:r>
      <w:r w:rsidR="000B26C4">
        <w:t xml:space="preserve"> </w:t>
      </w:r>
      <w:r w:rsidR="00FF533B">
        <w:t>S</w:t>
      </w:r>
      <w:r w:rsidR="008A4F27">
        <w:t>cience</w:t>
      </w:r>
      <w:r w:rsidR="000C0764">
        <w:t>.</w:t>
      </w:r>
    </w:p>
  </w:footnote>
  <w:footnote w:id="27">
    <w:p w14:paraId="77985E3F" w14:textId="46B85105" w:rsidR="00FC66B4" w:rsidRPr="00142F7A" w:rsidRDefault="00FC66B4">
      <w:pPr>
        <w:pStyle w:val="FootnoteText"/>
      </w:pPr>
      <w:r>
        <w:rPr>
          <w:rStyle w:val="FootnoteReference"/>
        </w:rPr>
        <w:footnoteRef/>
      </w:r>
      <w:r>
        <w:t xml:space="preserve"> </w:t>
      </w:r>
      <w:r w:rsidR="00B67AD5">
        <w:t>Medicines Australia (</w:t>
      </w:r>
      <w:r w:rsidR="008A5AF0">
        <w:t xml:space="preserve">2022) </w:t>
      </w:r>
      <w:hyperlink r:id="rId26" w:history="1">
        <w:r w:rsidR="00026231" w:rsidRPr="00142F7A">
          <w:rPr>
            <w:rStyle w:val="Hyperlink"/>
            <w:i/>
            <w:iCs/>
          </w:rPr>
          <w:t>Medicines Matter 2022: Australia’s Access to Medicines 2016-2021</w:t>
        </w:r>
      </w:hyperlink>
      <w:r w:rsidR="00147AD1">
        <w:t>.</w:t>
      </w:r>
    </w:p>
  </w:footnote>
  <w:footnote w:id="28">
    <w:p w14:paraId="04D6F725" w14:textId="4936E18D" w:rsidR="00142F7A" w:rsidRDefault="00142F7A">
      <w:pPr>
        <w:pStyle w:val="FootnoteText"/>
      </w:pPr>
      <w:r>
        <w:rPr>
          <w:rStyle w:val="FootnoteReference"/>
        </w:rPr>
        <w:footnoteRef/>
      </w:r>
      <w:r>
        <w:t xml:space="preserve"> </w:t>
      </w:r>
      <w:r w:rsidR="003B6088" w:rsidRPr="003B6088">
        <w:t>Pharmaceutical Research and Manufacturers of America</w:t>
      </w:r>
      <w:r w:rsidR="00196AC6" w:rsidRPr="00782CA1">
        <w:rPr>
          <w:i/>
          <w:iCs/>
        </w:rPr>
        <w:t xml:space="preserve"> (2023) </w:t>
      </w:r>
      <w:hyperlink r:id="rId27" w:history="1">
        <w:r w:rsidR="00FE44F3" w:rsidRPr="00732920">
          <w:rPr>
            <w:rStyle w:val="Hyperlink"/>
            <w:i/>
            <w:iCs/>
          </w:rPr>
          <w:t>Global Access to New Medicines Report</w:t>
        </w:r>
      </w:hyperlink>
      <w:r w:rsidR="000C0764">
        <w:rPr>
          <w:i/>
          <w:iCs/>
        </w:rPr>
        <w:t>.</w:t>
      </w:r>
    </w:p>
  </w:footnote>
  <w:footnote w:id="29">
    <w:p w14:paraId="12CA90C6" w14:textId="0C39F131" w:rsidR="00D87445" w:rsidRPr="00D87445" w:rsidRDefault="00270295" w:rsidP="00D87445">
      <w:pPr>
        <w:pStyle w:val="FootnoteText"/>
      </w:pPr>
      <w:r>
        <w:rPr>
          <w:rStyle w:val="FootnoteReference"/>
        </w:rPr>
        <w:footnoteRef/>
      </w:r>
      <w:r>
        <w:t xml:space="preserve"> </w:t>
      </w:r>
      <w:r w:rsidR="00D87445">
        <w:t>See p3</w:t>
      </w:r>
      <w:r w:rsidR="000A2013">
        <w:t>6</w:t>
      </w:r>
      <w:r w:rsidR="00D87445">
        <w:t xml:space="preserve"> in </w:t>
      </w:r>
      <w:r w:rsidR="00A3659A">
        <w:t>DHAC</w:t>
      </w:r>
      <w:r w:rsidR="00D87445" w:rsidRPr="00D87445">
        <w:t xml:space="preserve"> (2023) </w:t>
      </w:r>
      <w:hyperlink r:id="rId28" w:history="1">
        <w:r w:rsidR="00D87445" w:rsidRPr="00D87445">
          <w:rPr>
            <w:rStyle w:val="Hyperlink"/>
            <w:i/>
            <w:iCs/>
          </w:rPr>
          <w:t>Australian market authorisation, funding and assessment pathways and timelines</w:t>
        </w:r>
      </w:hyperlink>
      <w:r w:rsidR="00D87445" w:rsidRPr="00D87445">
        <w:t>, Health Technology Assessment Policy and Methods Review</w:t>
      </w:r>
      <w:r w:rsidR="000C0764">
        <w:t>.</w:t>
      </w:r>
    </w:p>
    <w:p w14:paraId="07BC1AA9" w14:textId="448C0EDD" w:rsidR="00270295" w:rsidRDefault="00270295" w:rsidP="00270295">
      <w:pPr>
        <w:pStyle w:val="FootnoteText"/>
      </w:pPr>
    </w:p>
  </w:footnote>
  <w:footnote w:id="30">
    <w:p w14:paraId="539A7BF7" w14:textId="371EB1CC" w:rsidR="001F77C6" w:rsidRDefault="001F77C6">
      <w:pPr>
        <w:pStyle w:val="FootnoteText"/>
      </w:pPr>
      <w:r>
        <w:rPr>
          <w:rStyle w:val="FootnoteReference"/>
        </w:rPr>
        <w:footnoteRef/>
      </w:r>
      <w:r>
        <w:t xml:space="preserve"> Australian Government (2020) </w:t>
      </w:r>
      <w:hyperlink r:id="rId29" w:history="1">
        <w:r w:rsidR="007611CF" w:rsidRPr="00DD45EF">
          <w:rPr>
            <w:rStyle w:val="Hyperlink"/>
            <w:i/>
            <w:iCs/>
          </w:rPr>
          <w:t>National Agreement on Closing the Gap</w:t>
        </w:r>
      </w:hyperlink>
      <w:r w:rsidR="00147AD1">
        <w:t>.</w:t>
      </w:r>
    </w:p>
  </w:footnote>
  <w:footnote w:id="31">
    <w:p w14:paraId="3E7DE217" w14:textId="763B6004" w:rsidR="005B51F3" w:rsidRDefault="005B51F3" w:rsidP="005B51F3">
      <w:pPr>
        <w:pStyle w:val="FootnoteText"/>
      </w:pPr>
      <w:r>
        <w:rPr>
          <w:rStyle w:val="FootnoteReference"/>
        </w:rPr>
        <w:footnoteRef/>
      </w:r>
      <w:r>
        <w:t xml:space="preserve"> </w:t>
      </w:r>
      <w:r w:rsidR="003C364A">
        <w:t xml:space="preserve">See </w:t>
      </w:r>
      <w:r w:rsidR="00C26F2A">
        <w:t xml:space="preserve">59f, </w:t>
      </w:r>
      <w:r w:rsidR="003C364A">
        <w:t>Priority Reform Three</w:t>
      </w:r>
      <w:r w:rsidR="00B8484E">
        <w:t xml:space="preserve"> –</w:t>
      </w:r>
      <w:r w:rsidR="000C0764">
        <w:t xml:space="preserve"> </w:t>
      </w:r>
      <w:r w:rsidR="003C364A">
        <w:t xml:space="preserve">Transforming Government Organisations in </w:t>
      </w:r>
      <w:r w:rsidRPr="00367743">
        <w:t>Australian Government (20</w:t>
      </w:r>
      <w:r>
        <w:t>20</w:t>
      </w:r>
      <w:r w:rsidRPr="00367743">
        <w:t xml:space="preserve">) </w:t>
      </w:r>
      <w:bookmarkStart w:id="129" w:name="_Hlk165553677"/>
      <w:r w:rsidR="003C364A" w:rsidRPr="003C364A">
        <w:rPr>
          <w:i/>
          <w:iCs/>
        </w:rPr>
        <w:fldChar w:fldCharType="begin"/>
      </w:r>
      <w:r w:rsidR="001376B9">
        <w:rPr>
          <w:i/>
          <w:iCs/>
        </w:rPr>
        <w:instrText>HYPERLINK "https://www.closingthegap.gov.au/national-agreement/national-agreement-closing-the-gap/6-priority-reform-areas/three"</w:instrText>
      </w:r>
      <w:r w:rsidR="003C364A" w:rsidRPr="003C364A">
        <w:rPr>
          <w:i/>
          <w:iCs/>
        </w:rPr>
      </w:r>
      <w:r w:rsidR="003C364A" w:rsidRPr="003C364A">
        <w:rPr>
          <w:i/>
          <w:iCs/>
        </w:rPr>
        <w:fldChar w:fldCharType="separate"/>
      </w:r>
      <w:r w:rsidR="003C364A" w:rsidRPr="003C364A">
        <w:rPr>
          <w:rStyle w:val="Hyperlink"/>
          <w:i/>
          <w:iCs/>
        </w:rPr>
        <w:t>National Agreement on Closing the Gap</w:t>
      </w:r>
      <w:r w:rsidR="003C364A" w:rsidRPr="003C364A">
        <w:fldChar w:fldCharType="end"/>
      </w:r>
      <w:bookmarkEnd w:id="129"/>
      <w:r w:rsidR="000C0764">
        <w:t>.</w:t>
      </w:r>
    </w:p>
  </w:footnote>
  <w:footnote w:id="32">
    <w:p w14:paraId="7E575735" w14:textId="0D69E0E1" w:rsidR="005B51F3" w:rsidRPr="00D278FA" w:rsidRDefault="005B51F3" w:rsidP="005B51F3">
      <w:pPr>
        <w:pStyle w:val="FootnoteText"/>
      </w:pPr>
      <w:r>
        <w:rPr>
          <w:rStyle w:val="FootnoteReference"/>
        </w:rPr>
        <w:footnoteRef/>
      </w:r>
      <w:r>
        <w:t xml:space="preserve"> </w:t>
      </w:r>
      <w:r w:rsidRPr="00D278FA">
        <w:t>Australian Institute of Health and Welfare (202</w:t>
      </w:r>
      <w:r>
        <w:t>0</w:t>
      </w:r>
      <w:r w:rsidRPr="00D278FA">
        <w:t xml:space="preserve">) </w:t>
      </w:r>
      <w:hyperlink r:id="rId30" w:history="1">
        <w:r w:rsidRPr="00D278FA">
          <w:rPr>
            <w:rStyle w:val="Hyperlink"/>
            <w:i/>
            <w:iCs/>
          </w:rPr>
          <w:t>National Indigenous Australians Agency, Aboriginal and Torres Strait Islander Health Performance Framework: 3.15 Access to prescription medicines</w:t>
        </w:r>
      </w:hyperlink>
      <w:r w:rsidR="00147AD1">
        <w:t>.</w:t>
      </w:r>
    </w:p>
    <w:p w14:paraId="77B977B3" w14:textId="77777777" w:rsidR="005B51F3" w:rsidRDefault="005B51F3" w:rsidP="005B51F3">
      <w:pPr>
        <w:pStyle w:val="FootnoteText"/>
      </w:pPr>
    </w:p>
  </w:footnote>
  <w:footnote w:id="33">
    <w:p w14:paraId="2131FA27" w14:textId="63798507" w:rsidR="005B51F3" w:rsidRPr="00DD31F2" w:rsidRDefault="005B51F3" w:rsidP="005B51F3">
      <w:pPr>
        <w:pStyle w:val="FootnoteText"/>
        <w:rPr>
          <w:color w:val="FF0000"/>
        </w:rPr>
      </w:pPr>
      <w:r w:rsidRPr="006017E6">
        <w:rPr>
          <w:rStyle w:val="FootnoteReference"/>
        </w:rPr>
        <w:footnoteRef/>
      </w:r>
      <w:r w:rsidRPr="006017E6">
        <w:t xml:space="preserve"> </w:t>
      </w:r>
      <w:r w:rsidRPr="00BB4104">
        <w:t>NACCHO</w:t>
      </w:r>
      <w:r w:rsidR="00CF666A" w:rsidRPr="00BB4104">
        <w:t>’s</w:t>
      </w:r>
      <w:r w:rsidRPr="00BB4104">
        <w:t xml:space="preserve"> submission to Consultation 2</w:t>
      </w:r>
      <w:r w:rsidR="002A7D4A" w:rsidRPr="00BB4104">
        <w:t>.</w:t>
      </w:r>
    </w:p>
  </w:footnote>
  <w:footnote w:id="34">
    <w:p w14:paraId="2B4E9DDC" w14:textId="0A9B90DE" w:rsidR="00E07D64" w:rsidRDefault="00E07D64">
      <w:pPr>
        <w:pStyle w:val="FootnoteText"/>
      </w:pPr>
      <w:r>
        <w:rPr>
          <w:rStyle w:val="FootnoteReference"/>
        </w:rPr>
        <w:footnoteRef/>
      </w:r>
      <w:r>
        <w:t xml:space="preserve"> Australian Government (2020) </w:t>
      </w:r>
      <w:hyperlink r:id="rId31" w:history="1">
        <w:r w:rsidRPr="00DD45EF">
          <w:rPr>
            <w:rStyle w:val="Hyperlink"/>
            <w:i/>
            <w:iCs/>
          </w:rPr>
          <w:t>National Agreement on Closing the Gap</w:t>
        </w:r>
      </w:hyperlink>
      <w:r>
        <w:t>.</w:t>
      </w:r>
    </w:p>
  </w:footnote>
  <w:footnote w:id="35">
    <w:p w14:paraId="155661D8" w14:textId="26D5E1A4" w:rsidR="005B51F3" w:rsidRPr="00B31014" w:rsidRDefault="005B51F3" w:rsidP="005B51F3">
      <w:pPr>
        <w:pStyle w:val="FootnoteText"/>
        <w:rPr>
          <w:i/>
          <w:iCs/>
        </w:rPr>
      </w:pPr>
      <w:r>
        <w:rPr>
          <w:rStyle w:val="FootnoteReference"/>
        </w:rPr>
        <w:footnoteRef/>
      </w:r>
      <w:r>
        <w:t xml:space="preserve"> </w:t>
      </w:r>
      <w:r w:rsidRPr="009129B9">
        <w:t xml:space="preserve">See comment from the Association of Australian Medical Research Institutes on p227 as an example, Australia Parliament House of Representatives Standing Committee on Health, Aged Care and Sport (2021) </w:t>
      </w:r>
      <w:hyperlink r:id="rId32" w:history="1">
        <w:r w:rsidR="00B30410">
          <w:rPr>
            <w:rStyle w:val="Hyperlink"/>
            <w:i/>
            <w:iCs/>
          </w:rPr>
          <w:t>The New Frontier</w:t>
        </w:r>
      </w:hyperlink>
      <w:r w:rsidR="00B30410" w:rsidRPr="00DE3E5B">
        <w:rPr>
          <w:rStyle w:val="Hyperlink"/>
          <w:color w:val="auto"/>
          <w:u w:val="none"/>
        </w:rPr>
        <w:t xml:space="preserve"> inquiry</w:t>
      </w:r>
      <w:r w:rsidR="007040BA">
        <w:rPr>
          <w:rFonts w:eastAsia="Calibri"/>
        </w:rPr>
        <w:t>.</w:t>
      </w:r>
    </w:p>
  </w:footnote>
  <w:footnote w:id="36">
    <w:p w14:paraId="2DF44D5F" w14:textId="42AA9B92" w:rsidR="005B51F3" w:rsidRPr="000E4748" w:rsidRDefault="005B51F3" w:rsidP="005B51F3">
      <w:pPr>
        <w:pStyle w:val="FootnoteText"/>
        <w:rPr>
          <w:i/>
        </w:rPr>
      </w:pPr>
      <w:r>
        <w:rPr>
          <w:rStyle w:val="FootnoteReference"/>
        </w:rPr>
        <w:footnoteRef/>
      </w:r>
      <w:r>
        <w:t xml:space="preserve"> </w:t>
      </w:r>
      <w:r w:rsidRPr="006D4F39">
        <w:t>Recommendation 29, Australia</w:t>
      </w:r>
      <w:r w:rsidR="000C0764">
        <w:t>n</w:t>
      </w:r>
      <w:r w:rsidRPr="006D4F39">
        <w:t xml:space="preserve"> Parliament House of Representatives Standing Committee on Health, Aged Care and Sport (2021) </w:t>
      </w:r>
      <w:hyperlink r:id="rId33" w:history="1">
        <w:r w:rsidRPr="000E4748">
          <w:rPr>
            <w:rStyle w:val="Hyperlink"/>
            <w:i/>
          </w:rPr>
          <w:t xml:space="preserve">The New Frontier </w:t>
        </w:r>
        <w:r w:rsidR="00F33A9E">
          <w:rPr>
            <w:rStyle w:val="Hyperlink"/>
            <w:i/>
          </w:rPr>
          <w:t>i</w:t>
        </w:r>
        <w:r w:rsidRPr="000E4748">
          <w:rPr>
            <w:rStyle w:val="Hyperlink"/>
            <w:i/>
          </w:rPr>
          <w:t>nquiry</w:t>
        </w:r>
      </w:hyperlink>
      <w:r w:rsidR="007040BA">
        <w:rPr>
          <w:rFonts w:eastAsia="Calibri"/>
        </w:rPr>
        <w:t>.</w:t>
      </w:r>
    </w:p>
  </w:footnote>
  <w:footnote w:id="37">
    <w:p w14:paraId="10490E4E" w14:textId="0D5C8C0A" w:rsidR="005B51F3" w:rsidRDefault="005B51F3" w:rsidP="005B51F3">
      <w:pPr>
        <w:pStyle w:val="FootnoteText"/>
      </w:pPr>
      <w:r>
        <w:rPr>
          <w:rStyle w:val="FootnoteReference"/>
        </w:rPr>
        <w:footnoteRef/>
      </w:r>
      <w:r>
        <w:t xml:space="preserve"> </w:t>
      </w:r>
      <w:r w:rsidRPr="00BB4104">
        <w:t>See Asthma Australia</w:t>
      </w:r>
      <w:r w:rsidR="00CF666A" w:rsidRPr="00BB4104">
        <w:t>’s</w:t>
      </w:r>
      <w:r w:rsidRPr="00BB4104">
        <w:t xml:space="preserve"> submission to Consultation 2 for a representative view on this observation</w:t>
      </w:r>
      <w:r w:rsidR="00A64C71" w:rsidRPr="00BB4104">
        <w:t>.</w:t>
      </w:r>
    </w:p>
  </w:footnote>
  <w:footnote w:id="38">
    <w:p w14:paraId="5DB6832D" w14:textId="05BA475F" w:rsidR="005B51F3" w:rsidRDefault="005B51F3" w:rsidP="005B51F3">
      <w:pPr>
        <w:pStyle w:val="FootnoteText"/>
      </w:pPr>
      <w:r>
        <w:rPr>
          <w:rStyle w:val="FootnoteReference"/>
        </w:rPr>
        <w:footnoteRef/>
      </w:r>
      <w:r>
        <w:t xml:space="preserve"> </w:t>
      </w:r>
      <w:r w:rsidRPr="00BB4104">
        <w:t>See Asthma Australia</w:t>
      </w:r>
      <w:r w:rsidR="00CF666A" w:rsidRPr="00BB4104">
        <w:t>’s</w:t>
      </w:r>
      <w:r w:rsidRPr="00BB4104">
        <w:t xml:space="preserve"> submission to Consultation 2 for a representative view on this matter</w:t>
      </w:r>
      <w:r w:rsidR="00A64C71" w:rsidRPr="00BB4104">
        <w:t>.</w:t>
      </w:r>
    </w:p>
  </w:footnote>
  <w:footnote w:id="39">
    <w:p w14:paraId="04501F37" w14:textId="73FAE85B" w:rsidR="000A1A35" w:rsidRDefault="000A1A35">
      <w:pPr>
        <w:pStyle w:val="FootnoteText"/>
      </w:pPr>
      <w:r>
        <w:rPr>
          <w:rStyle w:val="FootnoteReference"/>
        </w:rPr>
        <w:footnoteRef/>
      </w:r>
      <w:r>
        <w:t xml:space="preserve"> </w:t>
      </w:r>
      <w:r w:rsidR="00475DF5">
        <w:t>DHAC</w:t>
      </w:r>
      <w:r w:rsidRPr="000A1A35">
        <w:t xml:space="preserve"> (2020) </w:t>
      </w:r>
      <w:hyperlink r:id="rId34" w:history="1">
        <w:r w:rsidR="001F42CC">
          <w:rPr>
            <w:rStyle w:val="Hyperlink"/>
            <w:i/>
            <w:iCs/>
          </w:rPr>
          <w:t>2020–25 A</w:t>
        </w:r>
        <w:r w:rsidRPr="000A1A35">
          <w:rPr>
            <w:rStyle w:val="Hyperlink"/>
            <w:i/>
            <w:iCs/>
          </w:rPr>
          <w:t>ddendum to</w:t>
        </w:r>
        <w:r w:rsidR="00496747">
          <w:rPr>
            <w:rStyle w:val="Hyperlink"/>
            <w:i/>
            <w:iCs/>
          </w:rPr>
          <w:t xml:space="preserve"> the</w:t>
        </w:r>
        <w:r w:rsidRPr="000A1A35">
          <w:rPr>
            <w:rStyle w:val="Hyperlink"/>
            <w:i/>
            <w:iCs/>
          </w:rPr>
          <w:t xml:space="preserve"> National Health Reform Agreement</w:t>
        </w:r>
      </w:hyperlink>
      <w:r w:rsidR="00496747">
        <w:t>.</w:t>
      </w:r>
    </w:p>
  </w:footnote>
  <w:footnote w:id="40">
    <w:p w14:paraId="287C5CCB" w14:textId="7F36CFDC" w:rsidR="00F015B6" w:rsidRDefault="00F015B6">
      <w:pPr>
        <w:pStyle w:val="FootnoteText"/>
      </w:pPr>
      <w:r>
        <w:rPr>
          <w:rStyle w:val="FootnoteReference"/>
        </w:rPr>
        <w:footnoteRef/>
      </w:r>
      <w:r>
        <w:t xml:space="preserve"> See </w:t>
      </w:r>
      <w:r w:rsidR="000413F9">
        <w:t>p</w:t>
      </w:r>
      <w:r w:rsidR="004B37B6">
        <w:t>.</w:t>
      </w:r>
      <w:r w:rsidR="000413F9">
        <w:t>24</w:t>
      </w:r>
      <w:r w:rsidR="00E844DF">
        <w:t>,</w:t>
      </w:r>
      <w:r>
        <w:t xml:space="preserve"> Pharmaceutical Benefits Scheme in </w:t>
      </w:r>
      <w:r w:rsidR="00E615D3">
        <w:t>DHAC</w:t>
      </w:r>
      <w:r w:rsidR="007301CD" w:rsidRPr="007301CD">
        <w:t xml:space="preserve"> (2023) </w:t>
      </w:r>
      <w:hyperlink r:id="rId35" w:history="1">
        <w:r w:rsidR="007301CD" w:rsidRPr="007301CD">
          <w:rPr>
            <w:rStyle w:val="Hyperlink"/>
            <w:i/>
            <w:iCs/>
          </w:rPr>
          <w:t>Australian market authorisation, funding and assessment pathways and timelines</w:t>
        </w:r>
      </w:hyperlink>
      <w:r w:rsidR="007301CD" w:rsidRPr="007301CD">
        <w:t>, Health Technology Assessment Policy and Methods Review</w:t>
      </w:r>
      <w:r w:rsidR="00CA2B60">
        <w:t>.</w:t>
      </w:r>
    </w:p>
  </w:footnote>
  <w:footnote w:id="41">
    <w:p w14:paraId="6A4010DE" w14:textId="043DDE0E" w:rsidR="008734F2" w:rsidRDefault="008734F2">
      <w:pPr>
        <w:pStyle w:val="FootnoteText"/>
      </w:pPr>
      <w:r>
        <w:rPr>
          <w:rStyle w:val="FootnoteReference"/>
        </w:rPr>
        <w:footnoteRef/>
      </w:r>
      <w:r>
        <w:t xml:space="preserve"> </w:t>
      </w:r>
      <w:r w:rsidRPr="008734F2">
        <w:t xml:space="preserve">DHAC (2016) </w:t>
      </w:r>
      <w:hyperlink r:id="rId36" w:history="1">
        <w:r w:rsidRPr="008734F2">
          <w:rPr>
            <w:rStyle w:val="Hyperlink"/>
            <w:i/>
            <w:iCs/>
          </w:rPr>
          <w:t>Guidelines for preparing a submission to the Pharmaceutical Benefits Advisory Committee</w:t>
        </w:r>
      </w:hyperlink>
      <w:r w:rsidR="00CA2B60">
        <w:t>.</w:t>
      </w:r>
      <w:r w:rsidR="00475DF5">
        <w:t xml:space="preserve"> Pharmaceutical Benefits Scheme.</w:t>
      </w:r>
    </w:p>
  </w:footnote>
  <w:footnote w:id="42">
    <w:p w14:paraId="3655F469" w14:textId="77777777" w:rsidR="00B65870" w:rsidRDefault="00B65870" w:rsidP="00B65870">
      <w:pPr>
        <w:pStyle w:val="FootnoteText"/>
      </w:pPr>
      <w:r>
        <w:rPr>
          <w:rStyle w:val="FootnoteReference"/>
        </w:rPr>
        <w:footnoteRef/>
      </w:r>
      <w:r>
        <w:t xml:space="preserve"> See Section 4 Pharmaceutical Benefits Scheme in DHAC</w:t>
      </w:r>
      <w:r w:rsidRPr="007301CD">
        <w:t xml:space="preserve"> (2023) </w:t>
      </w:r>
      <w:hyperlink r:id="rId37" w:history="1">
        <w:r w:rsidRPr="007301CD">
          <w:rPr>
            <w:rStyle w:val="Hyperlink"/>
            <w:i/>
            <w:iCs/>
          </w:rPr>
          <w:t>Australian market authorisation, funding and assessment pathways and timelines</w:t>
        </w:r>
      </w:hyperlink>
      <w:r w:rsidRPr="007301CD">
        <w:t>, Health Technology Assessment Policy and Methods Review</w:t>
      </w:r>
      <w:r>
        <w:t>.</w:t>
      </w:r>
    </w:p>
  </w:footnote>
  <w:footnote w:id="43">
    <w:p w14:paraId="4C5B752F" w14:textId="39A04760" w:rsidR="00A04FEE" w:rsidRDefault="00A04FEE">
      <w:pPr>
        <w:pStyle w:val="FootnoteText"/>
      </w:pPr>
      <w:r>
        <w:rPr>
          <w:rStyle w:val="FootnoteReference"/>
        </w:rPr>
        <w:footnoteRef/>
      </w:r>
      <w:r>
        <w:t xml:space="preserve"> See Section 4 Pharmaceutical Benefits Scheme in DHAC</w:t>
      </w:r>
      <w:r w:rsidRPr="007301CD">
        <w:t xml:space="preserve"> (2023) </w:t>
      </w:r>
      <w:hyperlink r:id="rId38" w:history="1">
        <w:r w:rsidRPr="007301CD">
          <w:rPr>
            <w:rStyle w:val="Hyperlink"/>
            <w:i/>
            <w:iCs/>
          </w:rPr>
          <w:t>Australian market authorisation, funding and assessment pathways and timelines</w:t>
        </w:r>
      </w:hyperlink>
      <w:r w:rsidRPr="007301CD">
        <w:t>, Health Technology Assessment Policy and Methods Review</w:t>
      </w:r>
      <w:r>
        <w:t>.</w:t>
      </w:r>
    </w:p>
  </w:footnote>
  <w:footnote w:id="44">
    <w:p w14:paraId="3A426849" w14:textId="735E5A87" w:rsidR="00A04FEE" w:rsidRDefault="00A04FEE">
      <w:pPr>
        <w:pStyle w:val="FootnoteText"/>
      </w:pPr>
      <w:r>
        <w:rPr>
          <w:rStyle w:val="FootnoteReference"/>
        </w:rPr>
        <w:footnoteRef/>
      </w:r>
      <w:r>
        <w:t xml:space="preserve"> Sola B, Wang T and McAuslane N (2023) </w:t>
      </w:r>
      <w:hyperlink r:id="rId39" w:history="1">
        <w:r w:rsidRPr="00B27EEC">
          <w:rPr>
            <w:rStyle w:val="Hyperlink"/>
            <w:i/>
            <w:iCs/>
          </w:rPr>
          <w:t>R&amp;D Briefing 89: Review of HTA outcomes and timelines in Australia, Canada and Europe and the UK 2018-2022</w:t>
        </w:r>
      </w:hyperlink>
      <w:r>
        <w:t>, Centre for Innovation and Regulatory Science.</w:t>
      </w:r>
    </w:p>
  </w:footnote>
  <w:footnote w:id="45">
    <w:p w14:paraId="3FB042FD" w14:textId="43680F47" w:rsidR="00A04FEE" w:rsidRDefault="00A04FEE">
      <w:pPr>
        <w:pStyle w:val="FootnoteText"/>
      </w:pPr>
      <w:r>
        <w:rPr>
          <w:rStyle w:val="FootnoteReference"/>
        </w:rPr>
        <w:footnoteRef/>
      </w:r>
      <w:r>
        <w:t xml:space="preserve"> </w:t>
      </w:r>
      <w:r w:rsidRPr="003B6088">
        <w:t>Pharmaceutical Research and Manufacturers of America</w:t>
      </w:r>
      <w:r w:rsidRPr="00782CA1">
        <w:rPr>
          <w:i/>
          <w:iCs/>
        </w:rPr>
        <w:t xml:space="preserve"> (2023) </w:t>
      </w:r>
      <w:hyperlink r:id="rId40" w:history="1">
        <w:r w:rsidRPr="00732920">
          <w:rPr>
            <w:rStyle w:val="Hyperlink"/>
            <w:i/>
            <w:iCs/>
          </w:rPr>
          <w:t>Global Access to New Medicines Report</w:t>
        </w:r>
      </w:hyperlink>
      <w:r>
        <w:t>.</w:t>
      </w:r>
    </w:p>
  </w:footnote>
  <w:footnote w:id="46">
    <w:p w14:paraId="17D870EC" w14:textId="46C8A5D6" w:rsidR="00990B7E" w:rsidRDefault="00990B7E" w:rsidP="00990B7E">
      <w:pPr>
        <w:pStyle w:val="FootnoteText"/>
      </w:pPr>
      <w:r>
        <w:rPr>
          <w:rStyle w:val="FootnoteReference"/>
        </w:rPr>
        <w:footnoteRef/>
      </w:r>
      <w:r>
        <w:t xml:space="preserve"> </w:t>
      </w:r>
      <w:r w:rsidR="00C07706" w:rsidRPr="00C07706">
        <w:t xml:space="preserve">US Department of Health and Human Services (2024) </w:t>
      </w:r>
      <w:hyperlink r:id="rId41" w:history="1">
        <w:r w:rsidR="00C07706" w:rsidRPr="00C07706">
          <w:rPr>
            <w:rStyle w:val="Hyperlink"/>
            <w:i/>
            <w:iCs/>
          </w:rPr>
          <w:t>Comparing New Prescription Drug Availability and Launch Timing in the United States and Other OECD Countries [PDF 1226 KB]</w:t>
        </w:r>
      </w:hyperlink>
      <w:r w:rsidR="002A0EEA">
        <w:t>.</w:t>
      </w:r>
    </w:p>
  </w:footnote>
  <w:footnote w:id="47">
    <w:p w14:paraId="6570C6C1" w14:textId="5E265C66" w:rsidR="00990B7E" w:rsidRDefault="00990B7E" w:rsidP="00990B7E">
      <w:pPr>
        <w:pStyle w:val="FootnoteText"/>
      </w:pPr>
      <w:r>
        <w:rPr>
          <w:rStyle w:val="FootnoteReference"/>
        </w:rPr>
        <w:footnoteRef/>
      </w:r>
      <w:r>
        <w:t xml:space="preserve"> </w:t>
      </w:r>
      <w:r w:rsidR="0060354E" w:rsidRPr="0060354E">
        <w:t xml:space="preserve">Zhang W, Guh D, Grootendorst P, Hollis A and Anis A (2024) ‘The impact of changing the reference countries on the list prices for patented medicines in Canada: A policy analysis’, </w:t>
      </w:r>
      <w:r w:rsidR="0060354E" w:rsidRPr="0060354E">
        <w:rPr>
          <w:i/>
          <w:iCs/>
        </w:rPr>
        <w:t>Health Policy</w:t>
      </w:r>
      <w:r w:rsidR="0060354E" w:rsidRPr="0060354E">
        <w:t>, 144:105064,</w:t>
      </w:r>
      <w:r w:rsidR="00DB4A29">
        <w:t xml:space="preserve"> </w:t>
      </w:r>
      <w:r w:rsidR="0060354E" w:rsidRPr="0060354E">
        <w:t xml:space="preserve">doi: </w:t>
      </w:r>
      <w:hyperlink r:id="rId42" w:tgtFrame="_blank" w:tooltip="Persistent link using digital object identifier" w:history="1">
        <w:r w:rsidR="0060354E" w:rsidRPr="0060354E">
          <w:rPr>
            <w:rStyle w:val="Hyperlink"/>
          </w:rPr>
          <w:t>https://doi.org/10.1016/j.healthpol.2024.105064</w:t>
        </w:r>
      </w:hyperlink>
      <w:r w:rsidR="002A0EEA">
        <w:t>.</w:t>
      </w:r>
    </w:p>
  </w:footnote>
  <w:footnote w:id="48">
    <w:p w14:paraId="1446DBFC" w14:textId="70ADDFA4" w:rsidR="005D56F6" w:rsidRPr="005D56F6" w:rsidRDefault="00990B7E" w:rsidP="005D56F6">
      <w:pPr>
        <w:pStyle w:val="FootnoteText"/>
      </w:pPr>
      <w:r>
        <w:rPr>
          <w:rStyle w:val="FootnoteReference"/>
        </w:rPr>
        <w:footnoteRef/>
      </w:r>
      <w:r>
        <w:t xml:space="preserve"> </w:t>
      </w:r>
      <w:r w:rsidR="005D56F6" w:rsidRPr="005D56F6">
        <w:t xml:space="preserve">Incze A, Kalo Z, Espin J, Kiss E, Kessabi S and Garrison L (2022) ‘Assessing the Consequences of External Reference Pricing for Global Access to Medicines and Innovation: Economic Analysis and Policy Implications’, </w:t>
      </w:r>
      <w:r w:rsidR="005D56F6" w:rsidRPr="005D56F6">
        <w:rPr>
          <w:i/>
          <w:iCs/>
        </w:rPr>
        <w:t>Frontiers in Pharmacology</w:t>
      </w:r>
      <w:r w:rsidR="005D56F6" w:rsidRPr="005D56F6">
        <w:t xml:space="preserve">, 13:815029, doi: </w:t>
      </w:r>
      <w:hyperlink r:id="rId43" w:tgtFrame="_blank" w:history="1">
        <w:r w:rsidR="005D56F6" w:rsidRPr="005D56F6">
          <w:rPr>
            <w:rStyle w:val="Hyperlink"/>
          </w:rPr>
          <w:t>10.3389/fphar.2022.815029</w:t>
        </w:r>
      </w:hyperlink>
      <w:r w:rsidR="00147AD1">
        <w:t>.</w:t>
      </w:r>
    </w:p>
    <w:p w14:paraId="3285BCB8" w14:textId="7D7204BF" w:rsidR="00990B7E" w:rsidRDefault="00990B7E" w:rsidP="00990B7E">
      <w:pPr>
        <w:pStyle w:val="FootnoteText"/>
      </w:pPr>
    </w:p>
  </w:footnote>
  <w:footnote w:id="49">
    <w:p w14:paraId="6422CC7D" w14:textId="7323BFB5" w:rsidR="00313095" w:rsidRDefault="00313095">
      <w:pPr>
        <w:pStyle w:val="FootnoteText"/>
      </w:pPr>
      <w:r>
        <w:rPr>
          <w:rStyle w:val="FootnoteReference"/>
        </w:rPr>
        <w:footnoteRef/>
      </w:r>
      <w:r>
        <w:t xml:space="preserve"> </w:t>
      </w:r>
      <w:r w:rsidR="004E43BE">
        <w:t xml:space="preserve">Highly specialised technologies are </w:t>
      </w:r>
      <w:r>
        <w:rPr>
          <w:rFonts w:eastAsia="Arial" w:cs="Arial"/>
          <w:color w:val="000000" w:themeColor="text1"/>
        </w:rPr>
        <w:t>similar</w:t>
      </w:r>
      <w:r w:rsidR="00B47ED5">
        <w:rPr>
          <w:rFonts w:eastAsia="Arial" w:cs="Arial"/>
          <w:color w:val="000000" w:themeColor="text1"/>
        </w:rPr>
        <w:t xml:space="preserve"> to</w:t>
      </w:r>
      <w:r>
        <w:rPr>
          <w:rFonts w:eastAsia="Arial" w:cs="Arial"/>
          <w:color w:val="000000" w:themeColor="text1"/>
        </w:rPr>
        <w:t>, but not the same as</w:t>
      </w:r>
      <w:r w:rsidR="00B47ED5">
        <w:rPr>
          <w:rFonts w:eastAsia="Arial" w:cs="Arial"/>
          <w:color w:val="000000" w:themeColor="text1"/>
        </w:rPr>
        <w:t>,</w:t>
      </w:r>
      <w:r>
        <w:rPr>
          <w:rFonts w:eastAsia="Arial" w:cs="Arial"/>
          <w:color w:val="000000" w:themeColor="text1"/>
        </w:rPr>
        <w:t xml:space="preserve"> </w:t>
      </w:r>
      <w:r w:rsidR="00B47ED5">
        <w:rPr>
          <w:rFonts w:eastAsia="Arial" w:cs="Arial"/>
          <w:color w:val="000000" w:themeColor="text1"/>
        </w:rPr>
        <w:t>h</w:t>
      </w:r>
      <w:r>
        <w:rPr>
          <w:rFonts w:eastAsia="Arial" w:cs="Arial"/>
          <w:color w:val="000000" w:themeColor="text1"/>
        </w:rPr>
        <w:t xml:space="preserve">ighly specialised </w:t>
      </w:r>
      <w:r w:rsidR="00B47ED5">
        <w:rPr>
          <w:rFonts w:eastAsia="Arial" w:cs="Arial"/>
          <w:color w:val="000000" w:themeColor="text1"/>
        </w:rPr>
        <w:t>t</w:t>
      </w:r>
      <w:r>
        <w:rPr>
          <w:rFonts w:eastAsia="Arial" w:cs="Arial"/>
          <w:color w:val="000000" w:themeColor="text1"/>
        </w:rPr>
        <w:t xml:space="preserve">herapies, as defined </w:t>
      </w:r>
      <w:r w:rsidR="000315F2">
        <w:rPr>
          <w:rFonts w:eastAsia="Arial" w:cs="Arial"/>
          <w:color w:val="000000" w:themeColor="text1"/>
        </w:rPr>
        <w:t>in</w:t>
      </w:r>
      <w:r>
        <w:rPr>
          <w:rFonts w:eastAsia="Arial" w:cs="Arial"/>
          <w:color w:val="000000" w:themeColor="text1"/>
        </w:rPr>
        <w:t xml:space="preserve"> the </w:t>
      </w:r>
      <w:hyperlink r:id="rId44" w:history="1">
        <w:r w:rsidR="00595E46">
          <w:rPr>
            <w:rStyle w:val="Hyperlink"/>
            <w:rFonts w:eastAsia="Arial" w:cs="Arial"/>
          </w:rPr>
          <w:t>2020–25 Addendum to the National Health Reform Agreement</w:t>
        </w:r>
      </w:hyperlink>
      <w:r w:rsidR="00084B8D">
        <w:rPr>
          <w:rFonts w:eastAsia="Arial" w:cs="Arial"/>
          <w:color w:val="000000" w:themeColor="text1"/>
        </w:rPr>
        <w:t>.</w:t>
      </w:r>
    </w:p>
  </w:footnote>
  <w:footnote w:id="50">
    <w:p w14:paraId="0D2B31A3" w14:textId="60967970" w:rsidR="000315F2" w:rsidRDefault="000315F2">
      <w:pPr>
        <w:pStyle w:val="FootnoteText"/>
      </w:pPr>
      <w:r>
        <w:rPr>
          <w:rStyle w:val="FootnoteReference"/>
        </w:rPr>
        <w:footnoteRef/>
      </w:r>
      <w:r>
        <w:t xml:space="preserve"> </w:t>
      </w:r>
      <w:r w:rsidR="009B310A">
        <w:t>DHAC</w:t>
      </w:r>
      <w:r w:rsidR="009B310A" w:rsidRPr="00791519" w:rsidDel="009B310A">
        <w:t xml:space="preserve"> </w:t>
      </w:r>
      <w:r w:rsidRPr="00791519">
        <w:t xml:space="preserve">(2020) </w:t>
      </w:r>
      <w:hyperlink r:id="rId45"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51">
    <w:p w14:paraId="0CDA2FC3" w14:textId="5DADC2CE" w:rsidR="000315F2" w:rsidRDefault="000315F2">
      <w:pPr>
        <w:pStyle w:val="FootnoteText"/>
      </w:pPr>
      <w:r>
        <w:rPr>
          <w:rStyle w:val="FootnoteReference"/>
        </w:rPr>
        <w:footnoteRef/>
      </w:r>
      <w:r>
        <w:t xml:space="preserve"> </w:t>
      </w:r>
      <w:r w:rsidR="009B310A">
        <w:t>DHAC</w:t>
      </w:r>
      <w:r w:rsidRPr="00791519">
        <w:t xml:space="preserve"> (2020) </w:t>
      </w:r>
      <w:hyperlink r:id="rId46"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52">
    <w:p w14:paraId="2598AFE9" w14:textId="655E5D06" w:rsidR="000315F2" w:rsidRPr="000315F2" w:rsidRDefault="000315F2">
      <w:pPr>
        <w:pStyle w:val="FootnoteText"/>
        <w:rPr>
          <w:rFonts w:cs="Segoe UI"/>
        </w:rPr>
      </w:pPr>
      <w:r>
        <w:rPr>
          <w:rStyle w:val="FootnoteReference"/>
        </w:rPr>
        <w:footnoteRef/>
      </w:r>
      <w:r>
        <w:t xml:space="preserve"> </w:t>
      </w:r>
      <w:r w:rsidR="009B310A">
        <w:t>DHAC</w:t>
      </w:r>
      <w:r w:rsidR="009B310A" w:rsidRPr="00791519" w:rsidDel="009B310A">
        <w:t xml:space="preserve"> </w:t>
      </w:r>
      <w:r w:rsidRPr="00791519">
        <w:t xml:space="preserve">(2020) </w:t>
      </w:r>
      <w:hyperlink r:id="rId47"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53">
    <w:p w14:paraId="0249E659" w14:textId="61346C0C" w:rsidR="000315F2" w:rsidRDefault="000315F2">
      <w:pPr>
        <w:pStyle w:val="FootnoteText"/>
      </w:pPr>
      <w:r>
        <w:rPr>
          <w:rStyle w:val="FootnoteReference"/>
        </w:rPr>
        <w:footnoteRef/>
      </w:r>
      <w:r>
        <w:t xml:space="preserve"> </w:t>
      </w:r>
      <w:r w:rsidR="009B310A">
        <w:t>DHAC</w:t>
      </w:r>
      <w:r w:rsidR="009B310A" w:rsidRPr="00791519" w:rsidDel="009B310A">
        <w:t xml:space="preserve"> </w:t>
      </w:r>
      <w:r w:rsidRPr="00791519">
        <w:t xml:space="preserve">(2020) </w:t>
      </w:r>
      <w:hyperlink r:id="rId48"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54">
    <w:p w14:paraId="00F852FF" w14:textId="3E684860" w:rsidR="001B19C2" w:rsidRDefault="001B19C2" w:rsidP="001B19C2">
      <w:pPr>
        <w:pStyle w:val="FootnoteText"/>
      </w:pPr>
      <w:r>
        <w:rPr>
          <w:rStyle w:val="FootnoteReference"/>
        </w:rPr>
        <w:footnoteRef/>
      </w:r>
      <w:r>
        <w:t xml:space="preserve"> </w:t>
      </w:r>
      <w:r w:rsidR="00CD465F">
        <w:t>That is,</w:t>
      </w:r>
      <w:r w:rsidRPr="000C5623">
        <w:rPr>
          <w:i/>
          <w:iCs/>
        </w:rPr>
        <w:t xml:space="preserve"> </w:t>
      </w:r>
      <w:r w:rsidRPr="000C5623">
        <w:rPr>
          <w:rStyle w:val="Emphasis"/>
          <w:i w:val="0"/>
        </w:rPr>
        <w:t>TGA</w:t>
      </w:r>
      <w:r w:rsidR="00CD465F">
        <w:rPr>
          <w:rStyle w:val="Emphasis"/>
          <w:i w:val="0"/>
        </w:rPr>
        <w:t>-</w:t>
      </w:r>
      <w:r w:rsidRPr="000C5623">
        <w:rPr>
          <w:rStyle w:val="Emphasis"/>
          <w:i w:val="0"/>
        </w:rPr>
        <w:t xml:space="preserve">approved medicines and biologicals delivered in public hospitals where the therapy and its conditions of use are recommended by </w:t>
      </w:r>
      <w:r w:rsidR="00CD465F">
        <w:rPr>
          <w:rStyle w:val="Emphasis"/>
          <w:i w:val="0"/>
        </w:rPr>
        <w:t xml:space="preserve">the </w:t>
      </w:r>
      <w:r w:rsidRPr="000C5623">
        <w:rPr>
          <w:rStyle w:val="Emphasis"/>
          <w:i w:val="0"/>
        </w:rPr>
        <w:t>MSAC or</w:t>
      </w:r>
      <w:r w:rsidR="00CD465F">
        <w:rPr>
          <w:rStyle w:val="Emphasis"/>
          <w:i w:val="0"/>
        </w:rPr>
        <w:t xml:space="preserve"> the</w:t>
      </w:r>
      <w:r w:rsidRPr="000C5623">
        <w:rPr>
          <w:rStyle w:val="Emphasis"/>
          <w:i w:val="0"/>
        </w:rPr>
        <w:t xml:space="preserve"> PBAC; and the average annual treatment cost at the commencement of funding exceeds $200,000 per patient (including ancillary services) as determined by the MSAC or </w:t>
      </w:r>
      <w:r w:rsidR="00CD465F">
        <w:rPr>
          <w:rStyle w:val="Emphasis"/>
          <w:i w:val="0"/>
        </w:rPr>
        <w:t xml:space="preserve">the </w:t>
      </w:r>
      <w:r w:rsidRPr="000C5623">
        <w:rPr>
          <w:rStyle w:val="Emphasis"/>
          <w:i w:val="0"/>
        </w:rPr>
        <w:t>PBAC with input from the Independent Hospital Pricing Authority; and where the therapy is not otherwise funded through a Commonwealth program or the costs of the therapy would be appropriately funded through a component of an existing pricing classification</w:t>
      </w:r>
      <w:r w:rsidR="00D24608">
        <w:rPr>
          <w:rStyle w:val="Emphasis"/>
          <w:i w:val="0"/>
        </w:rPr>
        <w:t>.</w:t>
      </w:r>
    </w:p>
  </w:footnote>
  <w:footnote w:id="55">
    <w:p w14:paraId="5194AD71" w14:textId="1737A717" w:rsidR="001B19C2" w:rsidRPr="006865E7" w:rsidRDefault="001B19C2" w:rsidP="001B19C2">
      <w:pPr>
        <w:pStyle w:val="FootnoteText"/>
      </w:pPr>
      <w:r>
        <w:rPr>
          <w:rStyle w:val="FootnoteReference"/>
        </w:rPr>
        <w:footnoteRef/>
      </w:r>
      <w:r>
        <w:t xml:space="preserve"> Schedule C</w:t>
      </w:r>
      <w:r w:rsidR="0048654D">
        <w:t xml:space="preserve"> </w:t>
      </w:r>
      <w:r>
        <w:t>clauses C11 and C12</w:t>
      </w:r>
      <w:r w:rsidR="00C83BDA">
        <w:t>,</w:t>
      </w:r>
      <w:r w:rsidR="00C83BDA" w:rsidRPr="00C83BDA">
        <w:t xml:space="preserve"> </w:t>
      </w:r>
      <w:r w:rsidR="00F848E6">
        <w:t>DHAC</w:t>
      </w:r>
      <w:r w:rsidR="00F848E6" w:rsidRPr="00C83BDA" w:rsidDel="00F848E6">
        <w:t xml:space="preserve"> </w:t>
      </w:r>
      <w:r w:rsidR="00C83BDA" w:rsidRPr="00C83BDA">
        <w:t xml:space="preserve">(2020) </w:t>
      </w:r>
      <w:hyperlink r:id="rId49" w:history="1">
        <w:r w:rsidR="001F42CC">
          <w:rPr>
            <w:rStyle w:val="Hyperlink"/>
            <w:i/>
            <w:iCs/>
          </w:rPr>
          <w:t>2020–25 A</w:t>
        </w:r>
        <w:r w:rsidR="00C83BDA" w:rsidRPr="006865E7">
          <w:rPr>
            <w:rStyle w:val="Hyperlink"/>
            <w:i/>
            <w:iCs/>
          </w:rPr>
          <w:t xml:space="preserve">ddendum to </w:t>
        </w:r>
        <w:r w:rsidR="000E285A">
          <w:rPr>
            <w:rStyle w:val="Hyperlink"/>
            <w:i/>
            <w:iCs/>
          </w:rPr>
          <w:t xml:space="preserve">the </w:t>
        </w:r>
        <w:r w:rsidR="00C83BDA" w:rsidRPr="006865E7">
          <w:rPr>
            <w:rStyle w:val="Hyperlink"/>
            <w:i/>
            <w:iCs/>
          </w:rPr>
          <w:t>National Health Reform Agreement</w:t>
        </w:r>
      </w:hyperlink>
      <w:r w:rsidR="000E285A">
        <w:rPr>
          <w:i/>
          <w:iCs/>
        </w:rPr>
        <w:t>.</w:t>
      </w:r>
    </w:p>
  </w:footnote>
  <w:footnote w:id="56">
    <w:p w14:paraId="26DE4758" w14:textId="724A1EC0" w:rsidR="008C08C7" w:rsidRDefault="008C08C7">
      <w:pPr>
        <w:pStyle w:val="FootnoteText"/>
      </w:pPr>
      <w:r>
        <w:rPr>
          <w:rStyle w:val="FootnoteReference"/>
        </w:rPr>
        <w:footnoteRef/>
      </w:r>
      <w:r>
        <w:t xml:space="preserve"> </w:t>
      </w:r>
      <w:r w:rsidR="00F848E6">
        <w:t>DHAC</w:t>
      </w:r>
      <w:r w:rsidR="00F848E6" w:rsidRPr="00791519" w:rsidDel="00F848E6">
        <w:t xml:space="preserve"> </w:t>
      </w:r>
      <w:r w:rsidRPr="00791519">
        <w:t xml:space="preserve">(2020) </w:t>
      </w:r>
      <w:hyperlink r:id="rId50" w:history="1">
        <w:r>
          <w:rPr>
            <w:rStyle w:val="Hyperlink"/>
            <w:i/>
            <w:iCs/>
          </w:rPr>
          <w:t>2020–25 A</w:t>
        </w:r>
        <w:r w:rsidRPr="00791519">
          <w:rPr>
            <w:rStyle w:val="Hyperlink"/>
            <w:i/>
            <w:iCs/>
          </w:rPr>
          <w:t xml:space="preserve">ddendum to </w:t>
        </w:r>
        <w:r>
          <w:rPr>
            <w:rStyle w:val="Hyperlink"/>
            <w:i/>
            <w:iCs/>
          </w:rPr>
          <w:t xml:space="preserve">the </w:t>
        </w:r>
        <w:r w:rsidRPr="00791519">
          <w:rPr>
            <w:rStyle w:val="Hyperlink"/>
            <w:i/>
            <w:iCs/>
          </w:rPr>
          <w:t>National Health Reform Agreement</w:t>
        </w:r>
      </w:hyperlink>
      <w:r>
        <w:rPr>
          <w:rFonts w:cs="Segoe UI"/>
        </w:rPr>
        <w:t>.</w:t>
      </w:r>
    </w:p>
  </w:footnote>
  <w:footnote w:id="57">
    <w:p w14:paraId="2B90224A" w14:textId="1C5B1739" w:rsidR="00F33A9E" w:rsidRPr="00A06A5C" w:rsidRDefault="00F33A9E">
      <w:pPr>
        <w:pStyle w:val="FootnoteText"/>
      </w:pPr>
      <w:r>
        <w:rPr>
          <w:rStyle w:val="FootnoteReference"/>
        </w:rPr>
        <w:footnoteRef/>
      </w:r>
      <w:r>
        <w:t xml:space="preserve"> </w:t>
      </w:r>
      <w:r w:rsidRPr="00F64136">
        <w:t xml:space="preserve">Australia Parliament House of Representatives Standing Committee on Health, Aged Care and Sport (2021) </w:t>
      </w:r>
      <w:bookmarkStart w:id="177" w:name="_Hlk171614586"/>
      <w:r w:rsidR="002D1DEB">
        <w:fldChar w:fldCharType="begin"/>
      </w:r>
      <w:r w:rsidR="002D1DEB">
        <w:instrText>HYPERLINK "https://www.aph.gov.au/Parliamentary_Business/Committees/House/Health_Aged_Care_and_Sport/Newdrugs/Report"</w:instrText>
      </w:r>
      <w:r w:rsidR="002D1DEB">
        <w:fldChar w:fldCharType="separate"/>
      </w:r>
      <w:r w:rsidR="002D1DEB" w:rsidRPr="00850127">
        <w:rPr>
          <w:rStyle w:val="Hyperlink"/>
          <w:i/>
          <w:iCs/>
        </w:rPr>
        <w:t xml:space="preserve">The New Frontier </w:t>
      </w:r>
      <w:r w:rsidR="002D1DEB">
        <w:rPr>
          <w:rStyle w:val="Hyperlink"/>
          <w:i/>
          <w:iCs/>
        </w:rPr>
        <w:t>i</w:t>
      </w:r>
      <w:r w:rsidR="002D1DEB" w:rsidRPr="00850127">
        <w:rPr>
          <w:rStyle w:val="Hyperlink"/>
          <w:i/>
          <w:iCs/>
        </w:rPr>
        <w:t>nquiry</w:t>
      </w:r>
      <w:r w:rsidR="002D1DEB">
        <w:rPr>
          <w:rStyle w:val="Hyperlink"/>
          <w:i/>
          <w:iCs/>
        </w:rPr>
        <w:fldChar w:fldCharType="end"/>
      </w:r>
      <w:bookmarkEnd w:id="177"/>
      <w:r w:rsidR="00A06A5C">
        <w:rPr>
          <w:rStyle w:val="Hyperlink"/>
          <w:u w:val="none"/>
        </w:rPr>
        <w:t>.</w:t>
      </w:r>
    </w:p>
  </w:footnote>
  <w:footnote w:id="58">
    <w:p w14:paraId="4D291B9D" w14:textId="166C3CB7" w:rsidR="00555E7E" w:rsidRDefault="00555E7E" w:rsidP="0045034B">
      <w:pPr>
        <w:pStyle w:val="FootnoteText"/>
      </w:pPr>
      <w:r>
        <w:rPr>
          <w:rStyle w:val="FootnoteReference"/>
        </w:rPr>
        <w:footnoteRef/>
      </w:r>
      <w:r>
        <w:t xml:space="preserve"> See </w:t>
      </w:r>
      <w:r w:rsidR="00187BA6">
        <w:t xml:space="preserve">DHAC (2023) </w:t>
      </w:r>
      <w:hyperlink r:id="rId51" w:history="1">
        <w:r w:rsidR="00DE65A4">
          <w:rPr>
            <w:rStyle w:val="Hyperlink"/>
            <w:i/>
            <w:iCs/>
          </w:rPr>
          <w:t>MSAC Public Summary Document Application No. 1748 - Review of Tisagenlecleucel for treatment of confirmed relapsed/refractory CD19-positive acute lymphoblastic leukaemia in children and young adults up to 25 years old, July 2023 MSAC Meeting</w:t>
        </w:r>
      </w:hyperlink>
      <w:r w:rsidR="00191714">
        <w:t>.</w:t>
      </w:r>
      <w:r w:rsidR="00443B7E">
        <w:t xml:space="preserve"> </w:t>
      </w:r>
    </w:p>
  </w:footnote>
  <w:footnote w:id="59">
    <w:p w14:paraId="64FC56C7" w14:textId="2F61A302" w:rsidR="00F33A9E" w:rsidRDefault="00F33A9E">
      <w:pPr>
        <w:pStyle w:val="FootnoteText"/>
      </w:pPr>
      <w:r>
        <w:rPr>
          <w:rStyle w:val="FootnoteReference"/>
        </w:rPr>
        <w:footnoteRef/>
      </w:r>
      <w:r>
        <w:t xml:space="preserve"> </w:t>
      </w:r>
      <w:r w:rsidRPr="00F64136">
        <w:t xml:space="preserve">Australia Parliament House of Representatives Standing Committee on Health, Aged Care and Sport (2021) </w:t>
      </w:r>
      <w:hyperlink r:id="rId52" w:history="1">
        <w:r w:rsidR="00FD40D2" w:rsidRPr="002F5E82">
          <w:rPr>
            <w:rStyle w:val="Hyperlink"/>
            <w:i/>
            <w:iCs/>
          </w:rPr>
          <w:t xml:space="preserve">The New Frontier </w:t>
        </w:r>
        <w:r w:rsidR="00FD40D2">
          <w:rPr>
            <w:rStyle w:val="Hyperlink"/>
            <w:i/>
            <w:iCs/>
          </w:rPr>
          <w:t>i</w:t>
        </w:r>
        <w:r w:rsidR="00FD40D2" w:rsidRPr="002F5E82">
          <w:rPr>
            <w:rStyle w:val="Hyperlink"/>
            <w:i/>
            <w:iCs/>
          </w:rPr>
          <w:t>nquiry</w:t>
        </w:r>
      </w:hyperlink>
      <w:r>
        <w:t>.</w:t>
      </w:r>
    </w:p>
  </w:footnote>
  <w:footnote w:id="60">
    <w:p w14:paraId="6C745FB7" w14:textId="341ACEB6" w:rsidR="006E12DF" w:rsidRDefault="006E12DF" w:rsidP="006E12DF">
      <w:pPr>
        <w:pStyle w:val="FootnoteText"/>
      </w:pPr>
      <w:r>
        <w:rPr>
          <w:rStyle w:val="FootnoteReference"/>
        </w:rPr>
        <w:footnoteRef/>
      </w:r>
      <w:r>
        <w:t xml:space="preserve"> </w:t>
      </w:r>
      <w:r w:rsidR="00E57837" w:rsidRPr="00BB4104">
        <w:t>See Alexion</w:t>
      </w:r>
      <w:r w:rsidRPr="00BB4104">
        <w:t xml:space="preserve"> and LSDP Expert Panel submissions to Consultation 2 for different representative perspectives on these issues</w:t>
      </w:r>
      <w:r w:rsidR="00BF7860" w:rsidRPr="00BB4104">
        <w:t>.</w:t>
      </w:r>
    </w:p>
  </w:footnote>
  <w:footnote w:id="61">
    <w:p w14:paraId="4788D815" w14:textId="0378E10E" w:rsidR="006E12DF" w:rsidRDefault="006E12DF" w:rsidP="006E12DF">
      <w:pPr>
        <w:pStyle w:val="FootnoteText"/>
      </w:pPr>
      <w:r>
        <w:rPr>
          <w:rStyle w:val="FootnoteReference"/>
        </w:rPr>
        <w:footnoteRef/>
      </w:r>
      <w:r>
        <w:t xml:space="preserve"> </w:t>
      </w:r>
      <w:r w:rsidR="00BC5F6F" w:rsidRPr="00B50ABA">
        <w:rPr>
          <w:rStyle w:val="Hyperlink"/>
          <w:color w:val="auto"/>
          <w:u w:val="none"/>
        </w:rPr>
        <w:t xml:space="preserve">DHAC (2022) </w:t>
      </w:r>
      <w:r w:rsidR="00B50ABA" w:rsidRPr="00B50ABA">
        <w:rPr>
          <w:i/>
          <w:iCs/>
        </w:rPr>
        <w:t xml:space="preserve">Life Saving Drugs Program (LSDP) </w:t>
      </w:r>
      <w:hyperlink r:id="rId53" w:history="1">
        <w:r w:rsidR="00B50ABA" w:rsidRPr="00674EAB">
          <w:rPr>
            <w:rStyle w:val="Hyperlink"/>
            <w:i/>
            <w:iCs/>
          </w:rPr>
          <w:t>Medicines Reviews Recommendations from the LSDP Expert Panel</w:t>
        </w:r>
      </w:hyperlink>
      <w:r w:rsidR="00BF7860">
        <w:t>.</w:t>
      </w:r>
    </w:p>
  </w:footnote>
  <w:footnote w:id="62">
    <w:p w14:paraId="6C1138E8" w14:textId="54181F07" w:rsidR="00DA1367" w:rsidRPr="00DA1367" w:rsidRDefault="008A2DBB" w:rsidP="00DA1367">
      <w:pPr>
        <w:pStyle w:val="FootnoteText"/>
      </w:pPr>
      <w:r>
        <w:rPr>
          <w:rStyle w:val="FootnoteReference"/>
        </w:rPr>
        <w:footnoteRef/>
      </w:r>
      <w:r>
        <w:t xml:space="preserve"> </w:t>
      </w:r>
      <w:r w:rsidR="00847D64">
        <w:t>DHAC</w:t>
      </w:r>
      <w:r w:rsidR="00DA1367" w:rsidRPr="00DA1367">
        <w:t xml:space="preserve"> (2023) </w:t>
      </w:r>
      <w:hyperlink r:id="rId54" w:history="1">
        <w:r w:rsidR="00DA1367" w:rsidRPr="00DA1367">
          <w:rPr>
            <w:rStyle w:val="Hyperlink"/>
            <w:i/>
            <w:iCs/>
          </w:rPr>
          <w:t>Australian market authorisation, funding and assessment pathways and timelines</w:t>
        </w:r>
      </w:hyperlink>
      <w:r w:rsidR="00DA1367" w:rsidRPr="00DA1367">
        <w:t>, Health Technology Assessment Policy and Methods Review</w:t>
      </w:r>
      <w:r w:rsidR="0050086D">
        <w:t>.</w:t>
      </w:r>
    </w:p>
    <w:p w14:paraId="13CA28F3" w14:textId="6BC11CC8" w:rsidR="008A2DBB" w:rsidRDefault="008A2DBB">
      <w:pPr>
        <w:pStyle w:val="FootnoteText"/>
      </w:pPr>
    </w:p>
  </w:footnote>
  <w:footnote w:id="63">
    <w:p w14:paraId="0ECE6ACE" w14:textId="576818F7" w:rsidR="00F043F9" w:rsidRPr="00F043F9" w:rsidRDefault="00647713" w:rsidP="00F043F9">
      <w:pPr>
        <w:pStyle w:val="FootnoteText"/>
        <w:rPr>
          <w:i/>
          <w:iCs/>
        </w:rPr>
      </w:pPr>
      <w:r>
        <w:rPr>
          <w:rStyle w:val="FootnoteReference"/>
        </w:rPr>
        <w:footnoteRef/>
      </w:r>
      <w:r>
        <w:t xml:space="preserve"> </w:t>
      </w:r>
      <w:r w:rsidR="00F043F9" w:rsidRPr="00F043F9">
        <w:t xml:space="preserve">Pillar </w:t>
      </w:r>
      <w:r w:rsidR="00F043F9">
        <w:t xml:space="preserve">1 and </w:t>
      </w:r>
      <w:r w:rsidR="00BF5701">
        <w:t>Pillar 3</w:t>
      </w:r>
      <w:r w:rsidR="00F043F9" w:rsidRPr="00F043F9">
        <w:t xml:space="preserve">, DHAC (2022) </w:t>
      </w:r>
      <w:hyperlink r:id="rId55" w:history="1">
        <w:r w:rsidR="00F043F9" w:rsidRPr="00F043F9">
          <w:rPr>
            <w:rStyle w:val="Hyperlink"/>
            <w:i/>
            <w:iCs/>
          </w:rPr>
          <w:t>National Medicines Policy 2022</w:t>
        </w:r>
      </w:hyperlink>
      <w:r w:rsidR="00147AD1">
        <w:t>.</w:t>
      </w:r>
    </w:p>
    <w:p w14:paraId="677FEE9D" w14:textId="1FE42A45" w:rsidR="00647713" w:rsidRPr="00426A51" w:rsidRDefault="00647713" w:rsidP="00647713">
      <w:pPr>
        <w:pStyle w:val="FootnoteText"/>
      </w:pPr>
    </w:p>
  </w:footnote>
  <w:footnote w:id="64">
    <w:p w14:paraId="290BBC29" w14:textId="28F8BD05" w:rsidR="00054D33" w:rsidRDefault="00054D33">
      <w:pPr>
        <w:pStyle w:val="FootnoteText"/>
      </w:pPr>
      <w:r>
        <w:rPr>
          <w:rStyle w:val="FootnoteReference"/>
        </w:rPr>
        <w:footnoteRef/>
      </w:r>
      <w:r>
        <w:t xml:space="preserve"> </w:t>
      </w:r>
      <w:r w:rsidR="00EE24A2">
        <w:t>For example,</w:t>
      </w:r>
      <w:r>
        <w:t xml:space="preserve"> </w:t>
      </w:r>
      <w:r w:rsidR="00963D61">
        <w:t xml:space="preserve">the </w:t>
      </w:r>
      <w:r w:rsidR="00F24227">
        <w:t>April 2024</w:t>
      </w:r>
      <w:r w:rsidR="00E0249C">
        <w:t xml:space="preserve"> </w:t>
      </w:r>
      <w:r w:rsidR="009909CC">
        <w:t xml:space="preserve">PBS </w:t>
      </w:r>
      <w:r w:rsidR="00E0249C">
        <w:t xml:space="preserve">price for Zolgensma, </w:t>
      </w:r>
      <w:r w:rsidR="00E71611">
        <w:t xml:space="preserve">a gene therapy </w:t>
      </w:r>
      <w:r w:rsidR="004C712C">
        <w:t>to treat</w:t>
      </w:r>
      <w:r w:rsidR="00E0249C">
        <w:t xml:space="preserve"> spinal muscular atrophy, </w:t>
      </w:r>
      <w:r w:rsidR="004C712C">
        <w:t>is $2.527</w:t>
      </w:r>
      <w:r w:rsidR="00EE24A2">
        <w:t> </w:t>
      </w:r>
      <w:r w:rsidR="004C712C">
        <w:t>million</w:t>
      </w:r>
      <w:r w:rsidR="009909CC">
        <w:t xml:space="preserve">. </w:t>
      </w:r>
    </w:p>
  </w:footnote>
  <w:footnote w:id="65">
    <w:p w14:paraId="695A7DA3" w14:textId="16D2D3A1" w:rsidR="000519F5" w:rsidRDefault="000519F5">
      <w:pPr>
        <w:pStyle w:val="FootnoteText"/>
      </w:pPr>
      <w:r>
        <w:rPr>
          <w:rStyle w:val="FootnoteReference"/>
        </w:rPr>
        <w:footnoteRef/>
      </w:r>
      <w:r>
        <w:t xml:space="preserve"> </w:t>
      </w:r>
      <w:r w:rsidRPr="006D4EAA">
        <w:t>DHAC</w:t>
      </w:r>
      <w:r>
        <w:t xml:space="preserve"> (</w:t>
      </w:r>
      <w:r w:rsidRPr="006D4EAA">
        <w:t xml:space="preserve">2022) </w:t>
      </w:r>
      <w:hyperlink r:id="rId56" w:history="1">
        <w:r w:rsidRPr="006D4EAA">
          <w:rPr>
            <w:rStyle w:val="Hyperlink"/>
            <w:i/>
            <w:iCs/>
          </w:rPr>
          <w:t>National Medicines Policy 2022</w:t>
        </w:r>
      </w:hyperlink>
      <w:r>
        <w:t>.</w:t>
      </w:r>
    </w:p>
  </w:footnote>
  <w:footnote w:id="66">
    <w:p w14:paraId="31F1EF60" w14:textId="7F9F054C" w:rsidR="00647713" w:rsidRDefault="00647713" w:rsidP="00647713">
      <w:pPr>
        <w:pStyle w:val="FootnoteText"/>
      </w:pPr>
      <w:r>
        <w:rPr>
          <w:rStyle w:val="FootnoteReference"/>
        </w:rPr>
        <w:footnoteRef/>
      </w:r>
      <w:r>
        <w:t xml:space="preserve"> </w:t>
      </w:r>
      <w:r w:rsidR="00F35296" w:rsidRPr="00F35296">
        <w:t xml:space="preserve">Sanofi (n.d.) </w:t>
      </w:r>
      <w:hyperlink r:id="rId57" w:history="1">
        <w:r w:rsidR="00F35296" w:rsidRPr="00F35296">
          <w:rPr>
            <w:rStyle w:val="Hyperlink"/>
            <w:i/>
            <w:iCs/>
          </w:rPr>
          <w:t>Product warranty program in the USA for Cablivi</w:t>
        </w:r>
        <w:r w:rsidR="00F35296" w:rsidRPr="00F35296">
          <w:rPr>
            <w:rStyle w:val="Hyperlink"/>
            <w:i/>
            <w:iCs/>
            <w:vertAlign w:val="superscript"/>
          </w:rPr>
          <w:t>®</w:t>
        </w:r>
        <w:r w:rsidR="00F35296" w:rsidRPr="00F35296">
          <w:rPr>
            <w:rStyle w:val="Hyperlink"/>
            <w:i/>
            <w:iCs/>
          </w:rPr>
          <w:t xml:space="preserve"> (caplacizumab-yhdp)</w:t>
        </w:r>
      </w:hyperlink>
      <w:r w:rsidR="00F35296" w:rsidRPr="00F35296">
        <w:t>, Cablivi</w:t>
      </w:r>
      <w:r w:rsidR="00F35296" w:rsidRPr="00F35296">
        <w:rPr>
          <w:vertAlign w:val="superscript"/>
        </w:rPr>
        <w:t>®</w:t>
      </w:r>
      <w:r w:rsidR="00F35296" w:rsidRPr="00F35296">
        <w:t xml:space="preserve"> website</w:t>
      </w:r>
      <w:r w:rsidR="00147AD1">
        <w:t>.</w:t>
      </w:r>
      <w:r w:rsidR="00FA396E">
        <w:t xml:space="preserve"> </w:t>
      </w:r>
    </w:p>
  </w:footnote>
  <w:footnote w:id="67">
    <w:p w14:paraId="297916C2" w14:textId="4341DED5" w:rsidR="00647713" w:rsidRDefault="00647713" w:rsidP="00647713">
      <w:pPr>
        <w:pStyle w:val="FootnoteText"/>
      </w:pPr>
      <w:r>
        <w:rPr>
          <w:rStyle w:val="FootnoteReference"/>
        </w:rPr>
        <w:footnoteRef/>
      </w:r>
      <w:r>
        <w:t xml:space="preserve"> </w:t>
      </w:r>
      <w:r w:rsidR="00FE3B7C">
        <w:t>See table 3 in</w:t>
      </w:r>
      <w:r w:rsidR="00B862D8" w:rsidRPr="00B862D8">
        <w:t xml:space="preserve"> </w:t>
      </w:r>
      <w:r w:rsidR="001B7655" w:rsidRPr="001B7655">
        <w:t xml:space="preserve">Simoens S, De Groote K and Boersma C (2022) ‘Critical Reflections on Reimbursement and Access of Advanced Therapies’, </w:t>
      </w:r>
      <w:r w:rsidR="001B7655" w:rsidRPr="001B7655">
        <w:rPr>
          <w:i/>
          <w:iCs/>
        </w:rPr>
        <w:t>Frontiers in Pharmacology</w:t>
      </w:r>
      <w:r w:rsidR="001B7655" w:rsidRPr="001B7655">
        <w:t xml:space="preserve">, 13:771966, doi: </w:t>
      </w:r>
      <w:hyperlink r:id="rId58" w:history="1">
        <w:r w:rsidR="001B7655" w:rsidRPr="001B7655">
          <w:rPr>
            <w:rStyle w:val="Hyperlink"/>
          </w:rPr>
          <w:t>10.3389/fphar.2022.771966</w:t>
        </w:r>
      </w:hyperlink>
    </w:p>
  </w:footnote>
  <w:footnote w:id="68">
    <w:p w14:paraId="256AE4FF" w14:textId="47DF608B" w:rsidR="00647713" w:rsidRDefault="00647713" w:rsidP="00647713">
      <w:pPr>
        <w:pStyle w:val="FootnoteText"/>
      </w:pPr>
      <w:r>
        <w:rPr>
          <w:rStyle w:val="FootnoteReference"/>
        </w:rPr>
        <w:footnoteRef/>
      </w:r>
      <w:r>
        <w:t xml:space="preserve"> </w:t>
      </w:r>
      <w:r w:rsidR="00DE54F6" w:rsidRPr="00DE54F6">
        <w:t xml:space="preserve">US Department of Health and Human Services (2020) </w:t>
      </w:r>
      <w:hyperlink r:id="rId59" w:history="1">
        <w:r w:rsidR="001F7C05">
          <w:rPr>
            <w:rStyle w:val="Hyperlink"/>
            <w:i/>
            <w:iCs/>
          </w:rPr>
          <w:t>Eliminating Hepatitis C in Louisiana: An Innovative Payment and Outreach Model Case Study</w:t>
        </w:r>
      </w:hyperlink>
      <w:r w:rsidR="00EE24A2">
        <w:t>.</w:t>
      </w:r>
      <w:r w:rsidR="00DE54F6">
        <w:t xml:space="preserve"> </w:t>
      </w:r>
    </w:p>
  </w:footnote>
  <w:footnote w:id="69">
    <w:p w14:paraId="10DFE048" w14:textId="7BA0240F" w:rsidR="00647713" w:rsidRDefault="00647713" w:rsidP="00647713">
      <w:pPr>
        <w:pStyle w:val="FootnoteText"/>
      </w:pPr>
      <w:r>
        <w:rPr>
          <w:rStyle w:val="FootnoteReference"/>
        </w:rPr>
        <w:footnoteRef/>
      </w:r>
      <w:r>
        <w:t xml:space="preserve"> </w:t>
      </w:r>
      <w:r w:rsidRPr="000D3053">
        <w:t xml:space="preserve">See Rare Voices Australia and AstraZeneca </w:t>
      </w:r>
      <w:r w:rsidR="005042B0" w:rsidRPr="000D3053">
        <w:t xml:space="preserve">submissions to </w:t>
      </w:r>
      <w:r w:rsidRPr="000D3053">
        <w:t>Consultation 2 for representative views of this general observation</w:t>
      </w:r>
      <w:r w:rsidR="00147AD1" w:rsidRPr="000D3053">
        <w:t>.</w:t>
      </w:r>
    </w:p>
  </w:footnote>
  <w:footnote w:id="70">
    <w:p w14:paraId="1AEBD8CA" w14:textId="10AD3D42" w:rsidR="00647713" w:rsidRPr="002E12C3" w:rsidRDefault="00647713" w:rsidP="00647713">
      <w:pPr>
        <w:pStyle w:val="FootnoteText"/>
        <w:rPr>
          <w:u w:val="single"/>
        </w:rPr>
      </w:pPr>
      <w:r>
        <w:rPr>
          <w:rStyle w:val="FootnoteReference"/>
        </w:rPr>
        <w:footnoteRef/>
      </w:r>
      <w:r>
        <w:t xml:space="preserve"> </w:t>
      </w:r>
      <w:r w:rsidR="002E12C3" w:rsidRPr="002E12C3">
        <w:t>DHAC (</w:t>
      </w:r>
      <w:r w:rsidR="007D6757">
        <w:t>202</w:t>
      </w:r>
      <w:r w:rsidR="005E4643">
        <w:t>0</w:t>
      </w:r>
      <w:r w:rsidR="002E12C3" w:rsidRPr="002E12C3">
        <w:t xml:space="preserve">) </w:t>
      </w:r>
      <w:hyperlink r:id="rId60" w:history="1">
        <w:r w:rsidR="002E12C3" w:rsidRPr="002E12C3">
          <w:rPr>
            <w:rStyle w:val="Hyperlink"/>
            <w:i/>
            <w:iCs/>
          </w:rPr>
          <w:t>Procedures for a positive recommendation to list</w:t>
        </w:r>
      </w:hyperlink>
      <w:r w:rsidR="002E12C3" w:rsidRPr="002E12C3">
        <w:t xml:space="preserve">, </w:t>
      </w:r>
      <w:r w:rsidR="00F6579A">
        <w:t>Pharmaceutical Benefits Scheme.</w:t>
      </w:r>
    </w:p>
  </w:footnote>
  <w:footnote w:id="71">
    <w:p w14:paraId="0BF1DD4D" w14:textId="7E523BB0" w:rsidR="00E27D66" w:rsidRDefault="00E27D66">
      <w:pPr>
        <w:pStyle w:val="FootnoteText"/>
      </w:pPr>
      <w:r>
        <w:rPr>
          <w:rStyle w:val="FootnoteReference"/>
        </w:rPr>
        <w:footnoteRef/>
      </w:r>
      <w:r>
        <w:t xml:space="preserve"> </w:t>
      </w:r>
      <w:r w:rsidR="00D422AF">
        <w:t>See table 12 in</w:t>
      </w:r>
      <w:r>
        <w:t xml:space="preserve"> DHAC</w:t>
      </w:r>
      <w:r w:rsidRPr="00DA1367">
        <w:t xml:space="preserve"> (2023) </w:t>
      </w:r>
      <w:hyperlink r:id="rId61" w:history="1">
        <w:r w:rsidRPr="00DA1367">
          <w:rPr>
            <w:rStyle w:val="Hyperlink"/>
            <w:i/>
            <w:iCs/>
          </w:rPr>
          <w:t>Australian market authorisation, funding and assessment pathways and timelines</w:t>
        </w:r>
      </w:hyperlink>
      <w:r w:rsidRPr="00DA1367">
        <w:t>, Health Technology Assessment Policy and Methods Review</w:t>
      </w:r>
      <w:r>
        <w:t>.</w:t>
      </w:r>
    </w:p>
  </w:footnote>
  <w:footnote w:id="72">
    <w:p w14:paraId="51844F94" w14:textId="719DD78B" w:rsidR="00850127" w:rsidRPr="00850127" w:rsidRDefault="00647713" w:rsidP="00850127">
      <w:pPr>
        <w:pStyle w:val="FootnoteText"/>
      </w:pPr>
      <w:r>
        <w:rPr>
          <w:rStyle w:val="FootnoteReference"/>
        </w:rPr>
        <w:footnoteRef/>
      </w:r>
      <w:r>
        <w:t xml:space="preserve"> </w:t>
      </w:r>
      <w:r w:rsidR="00850127" w:rsidRPr="00850127">
        <w:t xml:space="preserve">See cited evidence in Chapter 6 </w:t>
      </w:r>
      <w:r w:rsidR="00CF7521">
        <w:t>in</w:t>
      </w:r>
      <w:r w:rsidR="00850127" w:rsidRPr="00850127">
        <w:t xml:space="preserve"> Australia</w:t>
      </w:r>
      <w:r w:rsidR="00492F26">
        <w:t>n</w:t>
      </w:r>
      <w:r w:rsidR="00850127" w:rsidRPr="00850127">
        <w:t xml:space="preserve"> Parliament House of Representatives Standing Committee on Health, Aged Care and Sport (2021) </w:t>
      </w:r>
      <w:hyperlink r:id="rId62" w:history="1">
        <w:r w:rsidR="00850127" w:rsidRPr="00850127">
          <w:rPr>
            <w:rStyle w:val="Hyperlink"/>
            <w:i/>
            <w:iCs/>
          </w:rPr>
          <w:t xml:space="preserve">The New Frontier </w:t>
        </w:r>
        <w:r w:rsidR="00F33A9E">
          <w:rPr>
            <w:rStyle w:val="Hyperlink"/>
            <w:i/>
            <w:iCs/>
          </w:rPr>
          <w:t>i</w:t>
        </w:r>
        <w:r w:rsidR="00850127" w:rsidRPr="00850127">
          <w:rPr>
            <w:rStyle w:val="Hyperlink"/>
            <w:i/>
            <w:iCs/>
          </w:rPr>
          <w:t>nquiry</w:t>
        </w:r>
      </w:hyperlink>
      <w:r w:rsidR="00E27D66">
        <w:t>.</w:t>
      </w:r>
    </w:p>
    <w:p w14:paraId="451EAF82" w14:textId="12410290" w:rsidR="00647713" w:rsidRPr="00C772E7" w:rsidRDefault="00647713" w:rsidP="00647713">
      <w:pPr>
        <w:pStyle w:val="FootnoteText"/>
      </w:pPr>
    </w:p>
  </w:footnote>
  <w:footnote w:id="73">
    <w:p w14:paraId="453FD914" w14:textId="1E4880CE" w:rsidR="00647713" w:rsidRPr="00A318F7" w:rsidRDefault="00647713" w:rsidP="00A23D91">
      <w:pPr>
        <w:pStyle w:val="FootnoteText"/>
      </w:pPr>
      <w:r>
        <w:rPr>
          <w:rStyle w:val="FootnoteReference"/>
        </w:rPr>
        <w:footnoteRef/>
      </w:r>
      <w:r>
        <w:t xml:space="preserve"> </w:t>
      </w:r>
      <w:r w:rsidR="00817452">
        <w:t xml:space="preserve">Further details of these examples are described in </w:t>
      </w:r>
      <w:r w:rsidR="003C7CC0" w:rsidRPr="003C7CC0">
        <w:t>Adelaide Health Technology Assessment (2023)</w:t>
      </w:r>
      <w:r w:rsidR="00CD4974" w:rsidRPr="00CD4974">
        <w:t xml:space="preserve"> </w:t>
      </w:r>
      <w:r w:rsidR="005E1C83" w:rsidRPr="009F4120">
        <w:rPr>
          <w:i/>
          <w:iCs/>
        </w:rPr>
        <w:t>International Health Technology Market Approval, Funding and Assessment Pathways</w:t>
      </w:r>
      <w:r w:rsidR="003C7CC0" w:rsidRPr="009F4120">
        <w:rPr>
          <w:i/>
          <w:iCs/>
        </w:rPr>
        <w:t>, Health Technology Assessment Policy and Methods Review</w:t>
      </w:r>
      <w:r w:rsidR="00A00154">
        <w:t xml:space="preserve"> within</w:t>
      </w:r>
      <w:r w:rsidR="00C37E05">
        <w:t xml:space="preserve"> </w:t>
      </w:r>
      <w:bookmarkStart w:id="255" w:name="_Hlk171535178"/>
      <w:r w:rsidR="00C37E05">
        <w:t xml:space="preserve">Adelaide Health Technology Assessment (2024) </w:t>
      </w:r>
      <w:r w:rsidR="00A00154">
        <w:t xml:space="preserve"> </w:t>
      </w:r>
      <w:hyperlink r:id="rId63" w:history="1">
        <w:r w:rsidR="00A23D91" w:rsidRPr="00A318F7">
          <w:rPr>
            <w:rStyle w:val="Hyperlink"/>
            <w:i/>
            <w:iCs/>
          </w:rPr>
          <w:t>HTA Pathways and Processes, Clinical Evaluation Methods and Horizon Scanning</w:t>
        </w:r>
      </w:hyperlink>
      <w:r w:rsidR="003D321E">
        <w:t>, Health Technology Assessment Policy and Methods Review</w:t>
      </w:r>
      <w:r w:rsidR="00A03EA0">
        <w:t>.</w:t>
      </w:r>
      <w:bookmarkEnd w:id="255"/>
    </w:p>
  </w:footnote>
  <w:footnote w:id="74">
    <w:p w14:paraId="3D77BFB7" w14:textId="36AB16A1" w:rsidR="00647713" w:rsidRPr="00542267" w:rsidRDefault="00647713" w:rsidP="00647713">
      <w:pPr>
        <w:pStyle w:val="FootnoteText"/>
      </w:pPr>
      <w:r>
        <w:rPr>
          <w:rStyle w:val="FootnoteReference"/>
        </w:rPr>
        <w:footnoteRef/>
      </w:r>
      <w:r>
        <w:t xml:space="preserve"> </w:t>
      </w:r>
      <w:r w:rsidR="00B25497" w:rsidRPr="000D3053">
        <w:t>See observations in</w:t>
      </w:r>
      <w:r w:rsidRPr="000D3053">
        <w:t xml:space="preserve"> the </w:t>
      </w:r>
      <w:bookmarkStart w:id="256" w:name="_Hlk165470068"/>
      <w:r w:rsidRPr="000D3053">
        <w:t>Consensus Letter from 51 consumer organisations</w:t>
      </w:r>
      <w:bookmarkEnd w:id="256"/>
      <w:r w:rsidRPr="000D3053">
        <w:t xml:space="preserve">, the AstraZeneca submission, the </w:t>
      </w:r>
      <w:r w:rsidR="00FC599F" w:rsidRPr="000D3053">
        <w:t>AbbVie</w:t>
      </w:r>
      <w:r w:rsidRPr="000D3053">
        <w:t xml:space="preserve"> submission and the Novartis submission to Consultation 2 for examples of </w:t>
      </w:r>
      <w:r w:rsidR="00285B05" w:rsidRPr="000D3053">
        <w:t>diverse</w:t>
      </w:r>
      <w:r w:rsidRPr="000D3053">
        <w:t xml:space="preserve"> viewpoints</w:t>
      </w:r>
      <w:r w:rsidR="00A03EA0" w:rsidRPr="000D3053">
        <w:t>.</w:t>
      </w:r>
    </w:p>
  </w:footnote>
  <w:footnote w:id="75">
    <w:p w14:paraId="36029517" w14:textId="7F3D1105" w:rsidR="00647713" w:rsidRDefault="00647713" w:rsidP="00647713">
      <w:pPr>
        <w:pStyle w:val="FootnoteText"/>
      </w:pPr>
      <w:r>
        <w:rPr>
          <w:rStyle w:val="FootnoteReference"/>
        </w:rPr>
        <w:footnoteRef/>
      </w:r>
      <w:r>
        <w:t xml:space="preserve"> </w:t>
      </w:r>
      <w:r w:rsidR="0024082D" w:rsidRPr="000D3053">
        <w:t xml:space="preserve">See </w:t>
      </w:r>
      <w:r w:rsidRPr="000D3053">
        <w:t>Medicines Australia’s submissions to Consultations 1 and 2 for representative views on this matter</w:t>
      </w:r>
      <w:r w:rsidR="004567D1" w:rsidRPr="000D3053">
        <w:t>.</w:t>
      </w:r>
    </w:p>
  </w:footnote>
  <w:footnote w:id="76">
    <w:p w14:paraId="1C1E6362" w14:textId="15886380" w:rsidR="00647713" w:rsidRDefault="00647713" w:rsidP="00647713">
      <w:pPr>
        <w:pStyle w:val="FootnoteText"/>
      </w:pPr>
      <w:r>
        <w:rPr>
          <w:rStyle w:val="FootnoteReference"/>
        </w:rPr>
        <w:footnoteRef/>
      </w:r>
      <w:r>
        <w:t xml:space="preserve"> This idea was discussed by the Reference Committee in response to information in </w:t>
      </w:r>
      <w:bookmarkStart w:id="257" w:name="_Hlk165587819"/>
      <w:r w:rsidR="00843618" w:rsidRPr="00843618">
        <w:t xml:space="preserve">Centre for Health Economics Research &amp; Evaluation (2023) </w:t>
      </w:r>
      <w:hyperlink r:id="rId64" w:history="1">
        <w:r w:rsidR="00843618" w:rsidRPr="00843618">
          <w:rPr>
            <w:rStyle w:val="Hyperlink"/>
            <w:i/>
            <w:iCs/>
          </w:rPr>
          <w:t>HTA Methods: Economic evaluation</w:t>
        </w:r>
      </w:hyperlink>
      <w:r w:rsidR="00843618" w:rsidRPr="00843618">
        <w:t>, Health Technology Assessment Policy and Methods Review</w:t>
      </w:r>
      <w:bookmarkEnd w:id="257"/>
      <w:r w:rsidR="004567D1">
        <w:t>.</w:t>
      </w:r>
    </w:p>
  </w:footnote>
  <w:footnote w:id="77">
    <w:p w14:paraId="54D759C7" w14:textId="318BE665" w:rsidR="00647713" w:rsidRDefault="00647713" w:rsidP="00647713">
      <w:pPr>
        <w:pStyle w:val="FootnoteText"/>
      </w:pPr>
      <w:r>
        <w:rPr>
          <w:rStyle w:val="FootnoteReference"/>
        </w:rPr>
        <w:footnoteRef/>
      </w:r>
      <w:r>
        <w:t xml:space="preserve"> </w:t>
      </w:r>
      <w:r w:rsidR="00904FD3" w:rsidRPr="00904FD3">
        <w:t>DHAC (</w:t>
      </w:r>
      <w:r w:rsidR="004D604B">
        <w:t>2024</w:t>
      </w:r>
      <w:r w:rsidR="00904FD3" w:rsidRPr="00904FD3">
        <w:t xml:space="preserve">) </w:t>
      </w:r>
      <w:hyperlink r:id="rId65" w:history="1">
        <w:r w:rsidR="00904FD3" w:rsidRPr="00904FD3">
          <w:rPr>
            <w:rStyle w:val="Hyperlink"/>
            <w:i/>
            <w:iCs/>
          </w:rPr>
          <w:t>Drug Utilisation Sub Committee (DUSC)</w:t>
        </w:r>
      </w:hyperlink>
      <w:r w:rsidR="00904FD3" w:rsidRPr="00904FD3">
        <w:t xml:space="preserve">, </w:t>
      </w:r>
      <w:r w:rsidR="008278CE">
        <w:t>PBS</w:t>
      </w:r>
      <w:r w:rsidR="00BE0995">
        <w:t>.</w:t>
      </w:r>
    </w:p>
  </w:footnote>
  <w:footnote w:id="78">
    <w:p w14:paraId="649C0374" w14:textId="3603963C" w:rsidR="00647713" w:rsidRDefault="00647713" w:rsidP="00647713">
      <w:pPr>
        <w:pStyle w:val="FootnoteText"/>
      </w:pPr>
      <w:r>
        <w:rPr>
          <w:rStyle w:val="FootnoteReference"/>
        </w:rPr>
        <w:footnoteRef/>
      </w:r>
      <w:r>
        <w:t xml:space="preserve"> </w:t>
      </w:r>
      <w:r w:rsidR="001F7A01" w:rsidRPr="001F7A01">
        <w:t>DHAC (</w:t>
      </w:r>
      <w:r w:rsidR="001B1BCD">
        <w:t>2024</w:t>
      </w:r>
      <w:r w:rsidR="001F7A01" w:rsidRPr="001F7A01">
        <w:t xml:space="preserve">) </w:t>
      </w:r>
      <w:hyperlink r:id="rId66" w:history="1">
        <w:r w:rsidR="008D1D56">
          <w:rPr>
            <w:rStyle w:val="Hyperlink"/>
            <w:i/>
            <w:iCs/>
          </w:rPr>
          <w:t>Post-market Reviews of PBS Subsidised Medicines</w:t>
        </w:r>
      </w:hyperlink>
      <w:r w:rsidR="001F7A01" w:rsidRPr="001F7A01">
        <w:t xml:space="preserve">, </w:t>
      </w:r>
      <w:r w:rsidR="008278CE">
        <w:t>PBS</w:t>
      </w:r>
      <w:r w:rsidR="00BE0995">
        <w:t>.</w:t>
      </w:r>
    </w:p>
  </w:footnote>
  <w:footnote w:id="79">
    <w:p w14:paraId="7D7FB85D" w14:textId="1CDC3F01" w:rsidR="000D784B" w:rsidRDefault="000D784B">
      <w:pPr>
        <w:pStyle w:val="FootnoteText"/>
      </w:pPr>
      <w:r>
        <w:rPr>
          <w:rStyle w:val="FootnoteReference"/>
        </w:rPr>
        <w:footnoteRef/>
      </w:r>
      <w:r>
        <w:t xml:space="preserve"> </w:t>
      </w:r>
      <w:r w:rsidRPr="00417769">
        <w:t>DHAC (2022)</w:t>
      </w:r>
      <w:r w:rsidR="00FA396E">
        <w:t xml:space="preserve"> </w:t>
      </w:r>
      <w:hyperlink r:id="rId67" w:history="1">
        <w:r w:rsidRPr="002E5DF4">
          <w:rPr>
            <w:rStyle w:val="Hyperlink"/>
            <w:i/>
            <w:iCs/>
          </w:rPr>
          <w:t>National Medicines Policy</w:t>
        </w:r>
      </w:hyperlink>
      <w:r>
        <w:t>.</w:t>
      </w:r>
    </w:p>
  </w:footnote>
  <w:footnote w:id="80">
    <w:p w14:paraId="5E0C5D2E" w14:textId="3E436AA1" w:rsidR="00647713" w:rsidRDefault="00647713" w:rsidP="00647713">
      <w:pPr>
        <w:pStyle w:val="FootnoteText"/>
      </w:pPr>
      <w:r>
        <w:rPr>
          <w:rStyle w:val="FootnoteReference"/>
        </w:rPr>
        <w:footnoteRef/>
      </w:r>
      <w:r>
        <w:t xml:space="preserve"> </w:t>
      </w:r>
      <w:r w:rsidR="00B558C6" w:rsidRPr="00B558C6">
        <w:t>DHAC (</w:t>
      </w:r>
      <w:r w:rsidR="001B1BCD">
        <w:t>2024</w:t>
      </w:r>
      <w:r w:rsidR="00B558C6" w:rsidRPr="00B558C6">
        <w:t xml:space="preserve">) </w:t>
      </w:r>
      <w:hyperlink r:id="rId68" w:history="1">
        <w:r w:rsidR="00B558C6" w:rsidRPr="00B558C6">
          <w:rPr>
            <w:rStyle w:val="Hyperlink"/>
            <w:i/>
            <w:iCs/>
          </w:rPr>
          <w:t>Drug Utilisation Sub Committee (DUSC)</w:t>
        </w:r>
      </w:hyperlink>
      <w:r w:rsidR="00B558C6" w:rsidRPr="00B558C6">
        <w:t xml:space="preserve">, </w:t>
      </w:r>
      <w:r w:rsidR="008278CE">
        <w:t>PBS</w:t>
      </w:r>
      <w:r w:rsidR="002924C2">
        <w:t>.</w:t>
      </w:r>
    </w:p>
  </w:footnote>
  <w:footnote w:id="81">
    <w:p w14:paraId="1B5F878D" w14:textId="05F38126" w:rsidR="00647713" w:rsidRDefault="00647713" w:rsidP="00647713">
      <w:pPr>
        <w:pStyle w:val="FootnoteText"/>
      </w:pPr>
      <w:r>
        <w:rPr>
          <w:rStyle w:val="FootnoteReference"/>
        </w:rPr>
        <w:footnoteRef/>
      </w:r>
      <w:r>
        <w:t xml:space="preserve"> </w:t>
      </w:r>
      <w:r w:rsidR="00DA3D7C" w:rsidRPr="00DA3D7C">
        <w:t xml:space="preserve">DHAC (2024) </w:t>
      </w:r>
      <w:hyperlink r:id="rId69" w:history="1">
        <w:r w:rsidR="00DA3D7C" w:rsidRPr="00DA3D7C">
          <w:rPr>
            <w:rStyle w:val="Hyperlink"/>
            <w:i/>
            <w:iCs/>
          </w:rPr>
          <w:t>2024 Post-market Review Framework</w:t>
        </w:r>
      </w:hyperlink>
      <w:r w:rsidR="008278CE">
        <w:rPr>
          <w:rStyle w:val="Hyperlink"/>
          <w:i/>
          <w:iCs/>
        </w:rPr>
        <w:t>, PBS</w:t>
      </w:r>
      <w:r w:rsidR="002924C2">
        <w:t>.</w:t>
      </w:r>
    </w:p>
  </w:footnote>
  <w:footnote w:id="82">
    <w:p w14:paraId="2580C790" w14:textId="6AFCCA5E" w:rsidR="006508A3" w:rsidRDefault="006508A3">
      <w:pPr>
        <w:pStyle w:val="FootnoteText"/>
      </w:pPr>
      <w:r>
        <w:rPr>
          <w:rStyle w:val="FootnoteReference"/>
        </w:rPr>
        <w:footnoteRef/>
      </w:r>
      <w:r>
        <w:t xml:space="preserve"> </w:t>
      </w:r>
      <w:r w:rsidRPr="00DA3D7C">
        <w:t xml:space="preserve">DHAC (2024) </w:t>
      </w:r>
      <w:hyperlink r:id="rId70" w:history="1">
        <w:r w:rsidRPr="00DA3D7C">
          <w:rPr>
            <w:rStyle w:val="Hyperlink"/>
            <w:i/>
            <w:iCs/>
          </w:rPr>
          <w:t>2024 Post-market Review Framework</w:t>
        </w:r>
      </w:hyperlink>
      <w:r w:rsidR="00435C86">
        <w:rPr>
          <w:rStyle w:val="Hyperlink"/>
          <w:i/>
          <w:iCs/>
        </w:rPr>
        <w:t>, PBS</w:t>
      </w:r>
      <w:r>
        <w:t>.</w:t>
      </w:r>
    </w:p>
  </w:footnote>
  <w:footnote w:id="83">
    <w:p w14:paraId="3ADFFDE5" w14:textId="42499B80" w:rsidR="00647713" w:rsidRDefault="00647713" w:rsidP="00647713">
      <w:pPr>
        <w:pStyle w:val="FootnoteText"/>
      </w:pPr>
      <w:r>
        <w:rPr>
          <w:rStyle w:val="FootnoteReference"/>
        </w:rPr>
        <w:footnoteRef/>
      </w:r>
      <w:r>
        <w:t xml:space="preserve"> </w:t>
      </w:r>
      <w:r w:rsidR="008F329E" w:rsidRPr="008F329E">
        <w:t xml:space="preserve">Centre for Health Economics Research &amp; Evaluation (2023) </w:t>
      </w:r>
      <w:hyperlink r:id="rId71" w:history="1">
        <w:r w:rsidR="008F329E" w:rsidRPr="008F329E">
          <w:rPr>
            <w:rStyle w:val="Hyperlink"/>
            <w:i/>
            <w:iCs/>
          </w:rPr>
          <w:t>Funding and purchasing decisions and Managing Uncertainty</w:t>
        </w:r>
      </w:hyperlink>
      <w:r w:rsidR="008F329E" w:rsidRPr="008F329E">
        <w:t>, Health Technology Assessment Policy and Methods Review</w:t>
      </w:r>
      <w:r w:rsidR="0010417D">
        <w:t>.</w:t>
      </w:r>
      <w:r w:rsidR="008F329E" w:rsidRPr="008F329E">
        <w:t xml:space="preserve"> </w:t>
      </w:r>
    </w:p>
  </w:footnote>
  <w:footnote w:id="84">
    <w:p w14:paraId="168CDDBF" w14:textId="2A83F0C6" w:rsidR="005D4575" w:rsidRPr="005D4575" w:rsidRDefault="00647713" w:rsidP="005D4575">
      <w:pPr>
        <w:pStyle w:val="FootnoteText"/>
      </w:pPr>
      <w:r>
        <w:rPr>
          <w:rStyle w:val="FootnoteReference"/>
        </w:rPr>
        <w:footnoteRef/>
      </w:r>
      <w:r>
        <w:t xml:space="preserve"> As the generally accepted definition in the HTA context</w:t>
      </w:r>
      <w:r w:rsidR="0041785D">
        <w:t xml:space="preserve"> (see </w:t>
      </w:r>
      <w:r w:rsidR="005D4575" w:rsidRPr="005D4575">
        <w:t xml:space="preserve">International Network of Agencies for Health Technology Assessment and Health Technology Assessment international (HTAi) (2014) ‘disinvestment’, </w:t>
      </w:r>
      <w:hyperlink r:id="rId72" w:history="1">
        <w:r w:rsidR="005D4575" w:rsidRPr="005D4575">
          <w:rPr>
            <w:rStyle w:val="Hyperlink"/>
            <w:i/>
            <w:iCs/>
          </w:rPr>
          <w:t>HTA Glossary</w:t>
        </w:r>
      </w:hyperlink>
      <w:r w:rsidR="005D4575">
        <w:t>)</w:t>
      </w:r>
      <w:r w:rsidR="0010417D">
        <w:t>.</w:t>
      </w:r>
    </w:p>
    <w:p w14:paraId="3E1C1395" w14:textId="352394D2" w:rsidR="00647713" w:rsidRDefault="00647713" w:rsidP="00647713">
      <w:pPr>
        <w:pStyle w:val="FootnoteText"/>
      </w:pPr>
    </w:p>
  </w:footnote>
  <w:footnote w:id="85">
    <w:p w14:paraId="58FBB3CF" w14:textId="0294AB65" w:rsidR="00647713" w:rsidRDefault="00647713" w:rsidP="00647713">
      <w:pPr>
        <w:pStyle w:val="FootnoteText"/>
      </w:pPr>
      <w:r>
        <w:rPr>
          <w:rStyle w:val="FootnoteReference"/>
        </w:rPr>
        <w:footnoteRef/>
      </w:r>
      <w:r>
        <w:t xml:space="preserve"> </w:t>
      </w:r>
      <w:r w:rsidRPr="000D3053">
        <w:t xml:space="preserve">See </w:t>
      </w:r>
      <w:r w:rsidR="00542AA3" w:rsidRPr="000D3053">
        <w:t>Society of Hospital Pharmacists of Australia</w:t>
      </w:r>
      <w:r w:rsidRPr="000D3053">
        <w:t xml:space="preserve">, </w:t>
      </w:r>
      <w:r w:rsidR="00AE78CE" w:rsidRPr="000D3053">
        <w:t>Royal Australian College of General Practitioners</w:t>
      </w:r>
      <w:r w:rsidRPr="000D3053">
        <w:t xml:space="preserve">, AstraZeneca, and </w:t>
      </w:r>
      <w:r w:rsidR="00FC599F" w:rsidRPr="000D3053">
        <w:t>AbbVie</w:t>
      </w:r>
      <w:r w:rsidRPr="000D3053">
        <w:t xml:space="preserve"> submissions to Consultation 2 </w:t>
      </w:r>
      <w:r w:rsidR="004A134F" w:rsidRPr="000D3053">
        <w:t>for</w:t>
      </w:r>
      <w:r w:rsidRPr="000D3053">
        <w:t xml:space="preserve"> examples of </w:t>
      </w:r>
      <w:r w:rsidR="00285B05" w:rsidRPr="000D3053">
        <w:t>diverse</w:t>
      </w:r>
      <w:r w:rsidRPr="000D3053">
        <w:t xml:space="preserve"> perspectives and observations</w:t>
      </w:r>
      <w:r w:rsidR="003850FD" w:rsidRPr="000D3053">
        <w:t>.</w:t>
      </w:r>
      <w:r w:rsidR="00AE78CE">
        <w:t xml:space="preserve"> </w:t>
      </w:r>
    </w:p>
  </w:footnote>
  <w:footnote w:id="86">
    <w:p w14:paraId="2381EF0C" w14:textId="4A4E63DB" w:rsidR="00E25847" w:rsidRDefault="00E25847">
      <w:pPr>
        <w:pStyle w:val="FootnoteText"/>
      </w:pPr>
      <w:r>
        <w:rPr>
          <w:rStyle w:val="FootnoteReference"/>
        </w:rPr>
        <w:footnoteRef/>
      </w:r>
      <w:r>
        <w:t xml:space="preserve"> </w:t>
      </w:r>
      <w:r w:rsidRPr="00417769">
        <w:t>DHAC (2022)</w:t>
      </w:r>
      <w:r w:rsidR="00FA396E">
        <w:t xml:space="preserve"> </w:t>
      </w:r>
      <w:hyperlink r:id="rId73" w:history="1">
        <w:r w:rsidRPr="002E5DF4">
          <w:rPr>
            <w:rStyle w:val="Hyperlink"/>
            <w:i/>
            <w:iCs/>
          </w:rPr>
          <w:t>National Medicines Policy</w:t>
        </w:r>
      </w:hyperlink>
      <w:r w:rsidR="00147AD1">
        <w:t>.</w:t>
      </w:r>
    </w:p>
  </w:footnote>
  <w:footnote w:id="87">
    <w:p w14:paraId="4B2DFE8A" w14:textId="08181AB9" w:rsidR="00647713" w:rsidRDefault="00647713" w:rsidP="00647713">
      <w:pPr>
        <w:pStyle w:val="FootnoteText"/>
      </w:pPr>
      <w:r>
        <w:rPr>
          <w:rStyle w:val="FootnoteReference"/>
        </w:rPr>
        <w:footnoteRef/>
      </w:r>
      <w:r>
        <w:t xml:space="preserve"> </w:t>
      </w:r>
      <w:r w:rsidR="00DB7D90" w:rsidRPr="00DB7D90">
        <w:t>DHAC (</w:t>
      </w:r>
      <w:r w:rsidR="003C03EE">
        <w:t>2022</w:t>
      </w:r>
      <w:r w:rsidR="00DB7D90" w:rsidRPr="00DB7D90">
        <w:t xml:space="preserve">) </w:t>
      </w:r>
      <w:hyperlink r:id="rId74" w:history="1">
        <w:r w:rsidR="00DB7D90" w:rsidRPr="00DB7D90">
          <w:rPr>
            <w:rStyle w:val="Hyperlink"/>
            <w:i/>
            <w:iCs/>
          </w:rPr>
          <w:t>HTA for Australian Government subsidy</w:t>
        </w:r>
      </w:hyperlink>
      <w:r w:rsidR="00961A1B">
        <w:t>.</w:t>
      </w:r>
      <w:r w:rsidR="00DB7D90" w:rsidRPr="00DB7D90">
        <w:t xml:space="preserve"> </w:t>
      </w:r>
    </w:p>
  </w:footnote>
  <w:footnote w:id="88">
    <w:p w14:paraId="3DB63F9B" w14:textId="0184C9BC" w:rsidR="002E2C4B" w:rsidRPr="002E2C4B" w:rsidRDefault="00647713" w:rsidP="002E2C4B">
      <w:pPr>
        <w:pStyle w:val="FootnoteText"/>
      </w:pPr>
      <w:r>
        <w:rPr>
          <w:rStyle w:val="FootnoteReference"/>
        </w:rPr>
        <w:footnoteRef/>
      </w:r>
      <w:r>
        <w:t xml:space="preserve"> </w:t>
      </w:r>
      <w:r w:rsidR="002E2C4B" w:rsidRPr="002E2C4B">
        <w:t xml:space="preserve">Centre for Health Economics Research &amp; Evaluation (2023) </w:t>
      </w:r>
      <w:hyperlink r:id="rId75" w:history="1">
        <w:r w:rsidR="002E2C4B" w:rsidRPr="002E2C4B">
          <w:rPr>
            <w:rStyle w:val="Hyperlink"/>
            <w:i/>
            <w:iCs/>
          </w:rPr>
          <w:t>Funding and purchasing decisions and Managing Uncertainty</w:t>
        </w:r>
      </w:hyperlink>
      <w:r w:rsidR="002E2C4B" w:rsidRPr="002E2C4B">
        <w:t>, Health Technology Assessment Policy and Methods Review</w:t>
      </w:r>
      <w:r w:rsidR="007A2561">
        <w:t>.</w:t>
      </w:r>
      <w:r w:rsidR="002E2C4B" w:rsidRPr="002E2C4B">
        <w:t xml:space="preserve"> </w:t>
      </w:r>
    </w:p>
    <w:p w14:paraId="3E8AD504" w14:textId="1D3D3813" w:rsidR="00647713" w:rsidRDefault="00647713" w:rsidP="00647713">
      <w:pPr>
        <w:pStyle w:val="FootnoteText"/>
      </w:pPr>
    </w:p>
  </w:footnote>
  <w:footnote w:id="89">
    <w:p w14:paraId="0B89EED5" w14:textId="4D6252AA" w:rsidR="00F33A9E" w:rsidRDefault="00F33A9E">
      <w:pPr>
        <w:pStyle w:val="FootnoteText"/>
      </w:pPr>
      <w:r>
        <w:rPr>
          <w:rStyle w:val="FootnoteReference"/>
        </w:rPr>
        <w:footnoteRef/>
      </w:r>
      <w:r>
        <w:t xml:space="preserve"> </w:t>
      </w:r>
      <w:r w:rsidRPr="00F64136">
        <w:t>Australia Parliament House of Representatives Standing Committee on Health, Aged Care and Sport (2021)</w:t>
      </w:r>
      <w:r w:rsidR="00BE0995">
        <w:t xml:space="preserve"> </w:t>
      </w:r>
      <w:hyperlink r:id="rId76" w:history="1">
        <w:r w:rsidR="00F708DA" w:rsidRPr="002F5E82">
          <w:rPr>
            <w:rStyle w:val="Hyperlink"/>
            <w:i/>
            <w:iCs/>
          </w:rPr>
          <w:t xml:space="preserve">The New Frontier </w:t>
        </w:r>
        <w:r w:rsidR="00F708DA">
          <w:rPr>
            <w:rStyle w:val="Hyperlink"/>
            <w:i/>
            <w:iCs/>
          </w:rPr>
          <w:t>i</w:t>
        </w:r>
        <w:r w:rsidR="00F708DA" w:rsidRPr="002F5E82">
          <w:rPr>
            <w:rStyle w:val="Hyperlink"/>
            <w:i/>
            <w:iCs/>
          </w:rPr>
          <w:t>nquiry</w:t>
        </w:r>
      </w:hyperlink>
      <w:r>
        <w:t>.</w:t>
      </w:r>
    </w:p>
  </w:footnote>
  <w:footnote w:id="90">
    <w:p w14:paraId="7282FC19" w14:textId="28DAB82C" w:rsidR="00647713" w:rsidRDefault="00647713" w:rsidP="00647713">
      <w:pPr>
        <w:pStyle w:val="FootnoteText"/>
      </w:pPr>
      <w:r>
        <w:rPr>
          <w:rStyle w:val="FootnoteReference"/>
        </w:rPr>
        <w:footnoteRef/>
      </w:r>
      <w:r>
        <w:t xml:space="preserve"> </w:t>
      </w:r>
      <w:r w:rsidR="0084607B" w:rsidRPr="0084607B">
        <w:t>Recommendation 30, Australia Parliament House of Representatives Standing Committee on Health, Aged Care and Sport (2021)</w:t>
      </w:r>
      <w:r w:rsidR="0084607B" w:rsidRPr="0084607B">
        <w:rPr>
          <w:i/>
          <w:iCs/>
        </w:rPr>
        <w:t xml:space="preserve"> </w:t>
      </w:r>
      <w:hyperlink r:id="rId77" w:history="1">
        <w:r w:rsidR="0084607B" w:rsidRPr="0084607B">
          <w:rPr>
            <w:rStyle w:val="Hyperlink"/>
            <w:i/>
            <w:iCs/>
          </w:rPr>
          <w:t xml:space="preserve">The New Frontier </w:t>
        </w:r>
        <w:r w:rsidR="00F33A9E">
          <w:rPr>
            <w:rStyle w:val="Hyperlink"/>
            <w:i/>
            <w:iCs/>
          </w:rPr>
          <w:t>i</w:t>
        </w:r>
        <w:r w:rsidR="0084607B" w:rsidRPr="0084607B">
          <w:rPr>
            <w:rStyle w:val="Hyperlink"/>
            <w:i/>
            <w:iCs/>
          </w:rPr>
          <w:t>nquiry</w:t>
        </w:r>
      </w:hyperlink>
      <w:r w:rsidR="00147AD1">
        <w:t>.</w:t>
      </w:r>
      <w:r w:rsidR="00F708DA">
        <w:t xml:space="preserve"> </w:t>
      </w:r>
    </w:p>
  </w:footnote>
  <w:footnote w:id="91">
    <w:p w14:paraId="260E3C9A" w14:textId="307C7C49" w:rsidR="00647713" w:rsidRDefault="00647713" w:rsidP="00647713">
      <w:pPr>
        <w:pStyle w:val="FootnoteText"/>
      </w:pPr>
      <w:r>
        <w:rPr>
          <w:rStyle w:val="FootnoteReference"/>
        </w:rPr>
        <w:footnoteRef/>
      </w:r>
      <w:r>
        <w:t xml:space="preserve"> </w:t>
      </w:r>
      <w:r w:rsidR="002F1CBC" w:rsidRPr="002F1CBC">
        <w:t xml:space="preserve">Recommendation </w:t>
      </w:r>
      <w:r w:rsidR="002F1CBC">
        <w:t>10</w:t>
      </w:r>
      <w:r w:rsidR="002F1CBC" w:rsidRPr="002F1CBC">
        <w:t>, Australia Parliament House of Representatives Standing Committee on Health, Aged Care and Sport (2021)</w:t>
      </w:r>
      <w:r w:rsidR="002F1CBC" w:rsidRPr="002F1CBC">
        <w:rPr>
          <w:i/>
          <w:iCs/>
        </w:rPr>
        <w:t xml:space="preserve"> </w:t>
      </w:r>
      <w:hyperlink r:id="rId78" w:history="1">
        <w:r w:rsidR="002F1CBC" w:rsidRPr="002F1CBC">
          <w:rPr>
            <w:rStyle w:val="Hyperlink"/>
            <w:i/>
            <w:iCs/>
          </w:rPr>
          <w:t xml:space="preserve">The New Frontier </w:t>
        </w:r>
        <w:r w:rsidR="00F33A9E">
          <w:rPr>
            <w:rStyle w:val="Hyperlink"/>
            <w:i/>
            <w:iCs/>
          </w:rPr>
          <w:t>i</w:t>
        </w:r>
        <w:r w:rsidR="002F1CBC" w:rsidRPr="002F1CBC">
          <w:rPr>
            <w:rStyle w:val="Hyperlink"/>
            <w:i/>
            <w:iCs/>
          </w:rPr>
          <w:t>nquiry</w:t>
        </w:r>
      </w:hyperlink>
      <w:r w:rsidR="00147AD1">
        <w:t>.</w:t>
      </w:r>
    </w:p>
  </w:footnote>
  <w:footnote w:id="92">
    <w:p w14:paraId="52FE36F4" w14:textId="58400B53" w:rsidR="00F33A9E" w:rsidRDefault="00F33A9E">
      <w:pPr>
        <w:pStyle w:val="FootnoteText"/>
      </w:pPr>
      <w:r>
        <w:rPr>
          <w:rStyle w:val="FootnoteReference"/>
        </w:rPr>
        <w:footnoteRef/>
      </w:r>
      <w:r>
        <w:t xml:space="preserve"> </w:t>
      </w:r>
      <w:r w:rsidRPr="00F64136">
        <w:t>Australia Parliament House of Representatives Standing Committee on Health, Aged Care and Sport (2021)</w:t>
      </w:r>
      <w:r w:rsidR="00840EBE">
        <w:rPr>
          <w:rStyle w:val="Hyperlink"/>
          <w:i/>
          <w:iCs/>
        </w:rPr>
        <w:t xml:space="preserve"> </w:t>
      </w:r>
      <w:hyperlink r:id="rId79" w:history="1">
        <w:r w:rsidR="00840EBE" w:rsidRPr="002F5E82">
          <w:rPr>
            <w:rStyle w:val="Hyperlink"/>
            <w:i/>
            <w:iCs/>
          </w:rPr>
          <w:t xml:space="preserve">The New Frontier </w:t>
        </w:r>
        <w:r w:rsidR="00840EBE">
          <w:rPr>
            <w:rStyle w:val="Hyperlink"/>
            <w:i/>
            <w:iCs/>
          </w:rPr>
          <w:t>i</w:t>
        </w:r>
        <w:r w:rsidR="00840EBE" w:rsidRPr="002F5E82">
          <w:rPr>
            <w:rStyle w:val="Hyperlink"/>
            <w:i/>
            <w:iCs/>
          </w:rPr>
          <w:t>nquiry</w:t>
        </w:r>
      </w:hyperlink>
      <w:r>
        <w:t>.</w:t>
      </w:r>
    </w:p>
  </w:footnote>
  <w:footnote w:id="93">
    <w:p w14:paraId="0B379A9E" w14:textId="0766EEC0" w:rsidR="00647713" w:rsidRDefault="00647713" w:rsidP="00647713">
      <w:pPr>
        <w:pStyle w:val="FootnoteText"/>
      </w:pPr>
      <w:r>
        <w:rPr>
          <w:rStyle w:val="FootnoteReference"/>
        </w:rPr>
        <w:footnoteRef/>
      </w:r>
      <w:r w:rsidR="004E592D">
        <w:t xml:space="preserve"> </w:t>
      </w:r>
      <w:r w:rsidR="0041310D" w:rsidRPr="0041310D">
        <w:t xml:space="preserve">DHAC (2011) </w:t>
      </w:r>
      <w:hyperlink r:id="rId80" w:history="1">
        <w:r w:rsidR="0041310D" w:rsidRPr="0041310D">
          <w:rPr>
            <w:rStyle w:val="Hyperlink"/>
            <w:i/>
            <w:iCs/>
          </w:rPr>
          <w:t>Framework for the introduction of a Managed Entry Scheme for submissions to the Pharmaceutical Benefits Advisory Committee</w:t>
        </w:r>
      </w:hyperlink>
      <w:r w:rsidR="0041310D" w:rsidRPr="0041310D">
        <w:t>, PBS</w:t>
      </w:r>
      <w:r w:rsidR="009923D2">
        <w:t>.</w:t>
      </w:r>
      <w:r w:rsidR="0041310D" w:rsidRPr="0041310D">
        <w:t xml:space="preserve"> </w:t>
      </w:r>
    </w:p>
  </w:footnote>
  <w:footnote w:id="94">
    <w:p w14:paraId="6F335B7D" w14:textId="5B6016D5" w:rsidR="00647713" w:rsidRDefault="00647713" w:rsidP="00647713">
      <w:pPr>
        <w:pStyle w:val="FootnoteText"/>
      </w:pPr>
      <w:r>
        <w:rPr>
          <w:rStyle w:val="FootnoteReference"/>
        </w:rPr>
        <w:footnoteRef/>
      </w:r>
      <w:r>
        <w:t xml:space="preserve"> See </w:t>
      </w:r>
      <w:hyperlink r:id="rId81" w:history="1">
        <w:r w:rsidRPr="007A57F9">
          <w:rPr>
            <w:rStyle w:val="Hyperlink"/>
          </w:rPr>
          <w:t>Janssen</w:t>
        </w:r>
        <w:r w:rsidR="00FF0464" w:rsidRPr="007A57F9">
          <w:rPr>
            <w:rStyle w:val="Hyperlink"/>
          </w:rPr>
          <w:t>’s</w:t>
        </w:r>
        <w:r w:rsidRPr="007A57F9">
          <w:rPr>
            <w:rStyle w:val="Hyperlink"/>
          </w:rPr>
          <w:t xml:space="preserve"> submission to Consultation 1</w:t>
        </w:r>
      </w:hyperlink>
      <w:r>
        <w:t xml:space="preserve"> for a representative view of this issue</w:t>
      </w:r>
      <w:r w:rsidR="009923D2">
        <w:t>.</w:t>
      </w:r>
    </w:p>
  </w:footnote>
  <w:footnote w:id="95">
    <w:p w14:paraId="2049BE2D" w14:textId="365365AE" w:rsidR="00647713" w:rsidRDefault="00647713" w:rsidP="00647713">
      <w:pPr>
        <w:pStyle w:val="FootnoteText"/>
      </w:pPr>
      <w:r>
        <w:rPr>
          <w:rStyle w:val="FootnoteReference"/>
        </w:rPr>
        <w:footnoteRef/>
      </w:r>
      <w:r>
        <w:t xml:space="preserve"> </w:t>
      </w:r>
      <w:r w:rsidRPr="000D3053">
        <w:t>See Roche</w:t>
      </w:r>
      <w:r w:rsidR="00FF0464" w:rsidRPr="000D3053">
        <w:t>’s</w:t>
      </w:r>
      <w:r w:rsidRPr="000D3053">
        <w:t xml:space="preserve"> submission to Consultation 2 for a representative view of this observation</w:t>
      </w:r>
      <w:r w:rsidR="009923D2" w:rsidRPr="000D3053">
        <w:t>.</w:t>
      </w:r>
    </w:p>
  </w:footnote>
  <w:footnote w:id="96">
    <w:p w14:paraId="48119040" w14:textId="107D1D11" w:rsidR="00647713" w:rsidRDefault="00647713" w:rsidP="00647713">
      <w:pPr>
        <w:pStyle w:val="FootnoteText"/>
      </w:pPr>
      <w:r>
        <w:rPr>
          <w:rStyle w:val="FootnoteReference"/>
        </w:rPr>
        <w:footnoteRef/>
      </w:r>
      <w:r>
        <w:t xml:space="preserve"> </w:t>
      </w:r>
      <w:r w:rsidRPr="000D3053">
        <w:t xml:space="preserve">See </w:t>
      </w:r>
      <w:r w:rsidR="00732E67" w:rsidRPr="000D3053">
        <w:t>Society of Hospital Pharmacists of Australia</w:t>
      </w:r>
      <w:r w:rsidRPr="000D3053">
        <w:t xml:space="preserve"> and Eli Lilly submissions to Consultation 2 for representative views on this issue</w:t>
      </w:r>
      <w:r w:rsidR="009923D2" w:rsidRPr="000D3053">
        <w:t>.</w:t>
      </w:r>
    </w:p>
  </w:footnote>
  <w:footnote w:id="97">
    <w:p w14:paraId="2E54DFEB" w14:textId="67265F0A" w:rsidR="00535AE7" w:rsidRPr="00535AE7" w:rsidRDefault="00647713" w:rsidP="00535AE7">
      <w:pPr>
        <w:pStyle w:val="FootnoteText"/>
      </w:pPr>
      <w:r>
        <w:rPr>
          <w:rStyle w:val="FootnoteReference"/>
        </w:rPr>
        <w:footnoteRef/>
      </w:r>
      <w:r>
        <w:t xml:space="preserve"> A more extensive list of comparable programs </w:t>
      </w:r>
      <w:r w:rsidR="00032971">
        <w:t>is available</w:t>
      </w:r>
      <w:r>
        <w:t xml:space="preserve"> in</w:t>
      </w:r>
      <w:r w:rsidDel="009D7661">
        <w:t xml:space="preserve"> </w:t>
      </w:r>
      <w:r w:rsidR="00535AE7" w:rsidRPr="00535AE7">
        <w:t xml:space="preserve">Centre for Health Economics Research &amp; Evaluation (2023) </w:t>
      </w:r>
      <w:hyperlink r:id="rId82" w:history="1">
        <w:r w:rsidR="00535AE7" w:rsidRPr="00535AE7">
          <w:rPr>
            <w:rStyle w:val="Hyperlink"/>
            <w:i/>
            <w:iCs/>
          </w:rPr>
          <w:t>Funding and purchasing decisions and Managing Uncertainty</w:t>
        </w:r>
      </w:hyperlink>
      <w:r w:rsidR="00535AE7" w:rsidRPr="00535AE7">
        <w:t>, Health Technology Assessment Policy and Methods Review</w:t>
      </w:r>
      <w:r w:rsidR="00032971">
        <w:t>.</w:t>
      </w:r>
    </w:p>
    <w:p w14:paraId="64D7C129" w14:textId="13B0CC41" w:rsidR="00647713" w:rsidRDefault="00647713" w:rsidP="00647713">
      <w:pPr>
        <w:pStyle w:val="FootnoteText"/>
      </w:pPr>
    </w:p>
  </w:footnote>
  <w:footnote w:id="98">
    <w:p w14:paraId="441A40E6" w14:textId="65543346" w:rsidR="00647713" w:rsidRDefault="00647713" w:rsidP="00647713">
      <w:pPr>
        <w:pStyle w:val="FootnoteText"/>
      </w:pPr>
      <w:r>
        <w:rPr>
          <w:rStyle w:val="FootnoteReference"/>
        </w:rPr>
        <w:footnoteRef/>
      </w:r>
      <w:r>
        <w:t xml:space="preserve"> </w:t>
      </w:r>
      <w:r w:rsidRPr="000D3053">
        <w:t>See Medicines Australia</w:t>
      </w:r>
      <w:r w:rsidR="00FF0464" w:rsidRPr="000D3053">
        <w:t>’s</w:t>
      </w:r>
      <w:r w:rsidRPr="000D3053">
        <w:t xml:space="preserve"> submission to Consultation 2 as </w:t>
      </w:r>
      <w:r w:rsidR="00877BA2" w:rsidRPr="000D3053">
        <w:t xml:space="preserve">an </w:t>
      </w:r>
      <w:r w:rsidRPr="000D3053">
        <w:t>example of this view</w:t>
      </w:r>
      <w:r w:rsidR="00877BA2" w:rsidRPr="000D3053">
        <w:t>.</w:t>
      </w:r>
    </w:p>
  </w:footnote>
  <w:footnote w:id="99">
    <w:p w14:paraId="3E388CD3" w14:textId="090F55B4" w:rsidR="00647713" w:rsidRDefault="00647713" w:rsidP="00647713">
      <w:pPr>
        <w:pStyle w:val="FootnoteText"/>
      </w:pPr>
      <w:r>
        <w:rPr>
          <w:rStyle w:val="FootnoteReference"/>
        </w:rPr>
        <w:footnoteRef/>
      </w:r>
      <w:r>
        <w:t xml:space="preserve"> </w:t>
      </w:r>
      <w:r w:rsidRPr="000D3053">
        <w:t xml:space="preserve">See Alexion and Assoc. Prof. Steer’s submissions to Consultation 2 </w:t>
      </w:r>
      <w:r w:rsidR="00B37C0F" w:rsidRPr="000D3053">
        <w:t>for</w:t>
      </w:r>
      <w:r w:rsidRPr="000D3053">
        <w:t xml:space="preserve"> representative </w:t>
      </w:r>
      <w:r w:rsidR="00B37C0F" w:rsidRPr="000D3053">
        <w:t>views</w:t>
      </w:r>
      <w:r w:rsidRPr="000D3053">
        <w:t xml:space="preserve"> of these </w:t>
      </w:r>
      <w:r w:rsidR="00210C4C" w:rsidRPr="000D3053">
        <w:t>matters</w:t>
      </w:r>
      <w:r w:rsidR="006C2603" w:rsidRPr="000D3053">
        <w:t>.</w:t>
      </w:r>
    </w:p>
  </w:footnote>
  <w:footnote w:id="100">
    <w:p w14:paraId="1A7F4941" w14:textId="58F4347A" w:rsidR="00647713" w:rsidRDefault="00647713" w:rsidP="00647713">
      <w:pPr>
        <w:pStyle w:val="FootnoteText"/>
      </w:pPr>
      <w:r>
        <w:rPr>
          <w:rStyle w:val="FootnoteReference"/>
        </w:rPr>
        <w:footnoteRef/>
      </w:r>
      <w:r>
        <w:t xml:space="preserve"> </w:t>
      </w:r>
      <w:r w:rsidRPr="000D3053">
        <w:t xml:space="preserve">See </w:t>
      </w:r>
      <w:r w:rsidR="0003163F" w:rsidRPr="000D3053">
        <w:rPr>
          <w:rFonts w:eastAsia="Times New Roman" w:cs="Segoe UI"/>
          <w:color w:val="000000"/>
          <w:lang w:eastAsia="en-AU"/>
        </w:rPr>
        <w:t>Breast Cancer Network Australia</w:t>
      </w:r>
      <w:r w:rsidR="0003163F" w:rsidRPr="000D3053">
        <w:t xml:space="preserve"> </w:t>
      </w:r>
      <w:r w:rsidRPr="000D3053">
        <w:t>and Novartis Australia submission</w:t>
      </w:r>
      <w:r w:rsidR="00B37C0F" w:rsidRPr="000D3053">
        <w:t>s</w:t>
      </w:r>
      <w:r w:rsidRPr="000D3053">
        <w:t xml:space="preserve"> to Consultation 2 </w:t>
      </w:r>
      <w:r w:rsidR="00A90315" w:rsidRPr="000D3053">
        <w:t>for</w:t>
      </w:r>
      <w:r w:rsidRPr="000D3053">
        <w:t xml:space="preserve"> representative </w:t>
      </w:r>
      <w:r w:rsidR="00A90315" w:rsidRPr="000D3053">
        <w:t>views</w:t>
      </w:r>
      <w:r w:rsidRPr="000D3053">
        <w:t xml:space="preserve"> of </w:t>
      </w:r>
      <w:r w:rsidR="00210C4C" w:rsidRPr="000D3053">
        <w:t>these matters</w:t>
      </w:r>
      <w:r w:rsidR="006C2603" w:rsidRPr="000D3053">
        <w:t>.</w:t>
      </w:r>
    </w:p>
  </w:footnote>
  <w:footnote w:id="101">
    <w:p w14:paraId="6F663134" w14:textId="0039DCA3" w:rsidR="00AC58CE" w:rsidRDefault="00AC58CE" w:rsidP="00AC58CE">
      <w:pPr>
        <w:pStyle w:val="FootnoteText"/>
      </w:pPr>
      <w:r>
        <w:rPr>
          <w:rStyle w:val="FootnoteReference"/>
        </w:rPr>
        <w:footnoteRef/>
      </w:r>
      <w:r>
        <w:t xml:space="preserve"> </w:t>
      </w:r>
      <w:r w:rsidRPr="007E2620">
        <w:t xml:space="preserve">WHO (2019) </w:t>
      </w:r>
      <w:hyperlink r:id="rId83" w:history="1">
        <w:r w:rsidRPr="007E2620">
          <w:rPr>
            <w:rStyle w:val="Hyperlink"/>
            <w:i/>
            <w:iCs/>
          </w:rPr>
          <w:t>Ten threats to global health in 2019</w:t>
        </w:r>
      </w:hyperlink>
      <w:r w:rsidR="002F2027">
        <w:t>.</w:t>
      </w:r>
      <w:r w:rsidRPr="007E2620">
        <w:t xml:space="preserve"> </w:t>
      </w:r>
    </w:p>
  </w:footnote>
  <w:footnote w:id="102">
    <w:p w14:paraId="7F26EE1A" w14:textId="2532F7EA" w:rsidR="00AC58CE" w:rsidRDefault="00AC58CE" w:rsidP="00AC58CE">
      <w:pPr>
        <w:pStyle w:val="FootnoteText"/>
      </w:pPr>
      <w:r>
        <w:rPr>
          <w:rStyle w:val="FootnoteReference"/>
        </w:rPr>
        <w:footnoteRef/>
      </w:r>
      <w:r>
        <w:t xml:space="preserve"> </w:t>
      </w:r>
      <w:r w:rsidRPr="00BF28E5">
        <w:t xml:space="preserve">WHO (2021) </w:t>
      </w:r>
      <w:hyperlink r:id="rId84" w:history="1">
        <w:r w:rsidRPr="00BF28E5">
          <w:rPr>
            <w:rStyle w:val="Hyperlink"/>
            <w:i/>
            <w:iCs/>
          </w:rPr>
          <w:t>Antibacterial agents in clinical and preclinical development: an overview and analysis</w:t>
        </w:r>
      </w:hyperlink>
      <w:r w:rsidR="00492F26">
        <w:t>.</w:t>
      </w:r>
    </w:p>
  </w:footnote>
  <w:footnote w:id="103">
    <w:p w14:paraId="1389556E" w14:textId="4F5E8DC2" w:rsidR="00AC58CE" w:rsidRDefault="00AC58CE" w:rsidP="00AC58CE">
      <w:pPr>
        <w:pStyle w:val="FootnoteText"/>
      </w:pPr>
      <w:r>
        <w:rPr>
          <w:rStyle w:val="FootnoteReference"/>
        </w:rPr>
        <w:footnoteRef/>
      </w:r>
      <w:r>
        <w:t xml:space="preserve"> </w:t>
      </w:r>
      <w:r w:rsidRPr="000F4BF9">
        <w:t xml:space="preserve">Global Antimicrobial Resistance (AMR) Research and Development (R&amp;D) Hub and WHO (2023) </w:t>
      </w:r>
      <w:hyperlink r:id="rId85" w:history="1">
        <w:r w:rsidRPr="000F4BF9">
          <w:rPr>
            <w:rStyle w:val="Hyperlink"/>
            <w:i/>
            <w:iCs/>
          </w:rPr>
          <w:t>Incentivising the development of new antibacterial treatments 2023 [PDF 690KB]</w:t>
        </w:r>
      </w:hyperlink>
      <w:r w:rsidRPr="000F4BF9">
        <w:t>, Progress Report by the Global AMR R&amp;D Hub and WHO</w:t>
      </w:r>
      <w:r w:rsidR="00492F26">
        <w:t>.</w:t>
      </w:r>
      <w:r w:rsidRPr="000F4BF9">
        <w:t xml:space="preserve"> </w:t>
      </w:r>
    </w:p>
  </w:footnote>
  <w:footnote w:id="104">
    <w:p w14:paraId="169F2BB7" w14:textId="797123BD" w:rsidR="00AC58CE" w:rsidRDefault="00AC58CE" w:rsidP="00AC58CE">
      <w:pPr>
        <w:pStyle w:val="FootnoteText"/>
      </w:pPr>
      <w:r>
        <w:rPr>
          <w:rStyle w:val="FootnoteReference"/>
        </w:rPr>
        <w:footnoteRef/>
      </w:r>
      <w:r>
        <w:t xml:space="preserve"> </w:t>
      </w:r>
      <w:r w:rsidRPr="00512EBF">
        <w:t xml:space="preserve">Adelaide Health Technology Assessment (2023) </w:t>
      </w:r>
      <w:r w:rsidR="007D1AB0" w:rsidRPr="009F4120">
        <w:rPr>
          <w:i/>
          <w:iCs/>
        </w:rPr>
        <w:t>Determination of the Population, Intervention Comparator, and Outcome (PICO)</w:t>
      </w:r>
      <w:r w:rsidRPr="00512EBF">
        <w:t>, Health Technology Assessment Policy and Methods Review</w:t>
      </w:r>
      <w:r w:rsidR="003434F6">
        <w:t xml:space="preserve"> within Adelaide Health Technology Assessment (2024)  </w:t>
      </w:r>
      <w:hyperlink r:id="rId86" w:history="1">
        <w:r w:rsidR="003434F6" w:rsidRPr="00C52F5D">
          <w:rPr>
            <w:rStyle w:val="Hyperlink"/>
            <w:i/>
            <w:iCs/>
          </w:rPr>
          <w:t>HTA Pathways and Processes, Clinical Evaluation Methods and Horizon Scanning</w:t>
        </w:r>
      </w:hyperlink>
      <w:r w:rsidR="003434F6">
        <w:t>, Health Technology Assessment Policy and Methods Review</w:t>
      </w:r>
      <w:r w:rsidR="00492F26">
        <w:t>.</w:t>
      </w:r>
      <w:r w:rsidRPr="00512EBF">
        <w:t xml:space="preserve"> </w:t>
      </w:r>
    </w:p>
  </w:footnote>
  <w:footnote w:id="105">
    <w:p w14:paraId="167A4430" w14:textId="1C39E17F" w:rsidR="00C14247" w:rsidRDefault="00C14247">
      <w:pPr>
        <w:pStyle w:val="FootnoteText"/>
      </w:pPr>
      <w:r w:rsidRPr="00C06D81">
        <w:rPr>
          <w:rStyle w:val="FootnoteReference"/>
        </w:rPr>
        <w:footnoteRef/>
      </w:r>
      <w:r w:rsidRPr="00C06D81">
        <w:t xml:space="preserve"> </w:t>
      </w:r>
      <w:r w:rsidR="00D175B3" w:rsidRPr="00C06D81">
        <w:rPr>
          <w:rStyle w:val="cf01"/>
        </w:rPr>
        <w:t xml:space="preserve"> </w:t>
      </w:r>
      <w:r w:rsidR="00103E2A" w:rsidRPr="00C06D81">
        <w:rPr>
          <w:rStyle w:val="cf01"/>
        </w:rPr>
        <w:t>Thera</w:t>
      </w:r>
      <w:r w:rsidR="00C06D81" w:rsidRPr="00C06D81">
        <w:rPr>
          <w:rStyle w:val="cf01"/>
        </w:rPr>
        <w:t xml:space="preserve">peutic </w:t>
      </w:r>
      <w:r w:rsidR="00312803" w:rsidRPr="00C06D81">
        <w:rPr>
          <w:rStyle w:val="cf01"/>
        </w:rPr>
        <w:t>Guidelines</w:t>
      </w:r>
      <w:r w:rsidR="00D175B3" w:rsidRPr="00C06D81">
        <w:rPr>
          <w:rStyle w:val="cf01"/>
        </w:rPr>
        <w:t xml:space="preserve"> (201</w:t>
      </w:r>
      <w:r w:rsidR="00C06D81" w:rsidRPr="00C06D81">
        <w:rPr>
          <w:rStyle w:val="cf01"/>
        </w:rPr>
        <w:t>9</w:t>
      </w:r>
      <w:r w:rsidR="00DF022A">
        <w:rPr>
          <w:rStyle w:val="cf01"/>
        </w:rPr>
        <w:t>;</w:t>
      </w:r>
      <w:r w:rsidR="00C30B76">
        <w:rPr>
          <w:rStyle w:val="cf01"/>
        </w:rPr>
        <w:t xml:space="preserve"> amended 2023</w:t>
      </w:r>
      <w:r w:rsidR="00D175B3" w:rsidRPr="00C06D81">
        <w:rPr>
          <w:rStyle w:val="cf01"/>
        </w:rPr>
        <w:t>)</w:t>
      </w:r>
      <w:r w:rsidR="00B37B30" w:rsidRPr="00C06D81">
        <w:rPr>
          <w:rStyle w:val="cf01"/>
        </w:rPr>
        <w:t xml:space="preserve"> </w:t>
      </w:r>
      <w:hyperlink r:id="rId87" w:history="1">
        <w:r w:rsidR="00B37B30" w:rsidRPr="00CA3F9D">
          <w:rPr>
            <w:rStyle w:val="Hyperlink"/>
            <w:rFonts w:ascii="Segoe UI" w:hAnsi="Segoe UI" w:cs="Segoe UI"/>
            <w:sz w:val="18"/>
            <w:szCs w:val="18"/>
          </w:rPr>
          <w:t>Therapeutic Guide</w:t>
        </w:r>
        <w:r w:rsidR="00D91978" w:rsidRPr="00CA3F9D">
          <w:rPr>
            <w:rStyle w:val="Hyperlink"/>
            <w:rFonts w:ascii="Segoe UI" w:hAnsi="Segoe UI" w:cs="Segoe UI"/>
            <w:sz w:val="18"/>
            <w:szCs w:val="18"/>
          </w:rPr>
          <w:t>lines: Antibiotic Version 1</w:t>
        </w:r>
        <w:r w:rsidR="00C06D81" w:rsidRPr="00CA3F9D">
          <w:rPr>
            <w:rStyle w:val="Hyperlink"/>
            <w:rFonts w:ascii="Segoe UI" w:hAnsi="Segoe UI" w:cs="Segoe UI"/>
            <w:sz w:val="18"/>
            <w:szCs w:val="18"/>
          </w:rPr>
          <w:t>6</w:t>
        </w:r>
      </w:hyperlink>
      <w:r w:rsidR="00712014" w:rsidRPr="00C06D81">
        <w:rPr>
          <w:rStyle w:val="cf01"/>
        </w:rPr>
        <w:t>, Melbourn</w:t>
      </w:r>
      <w:r w:rsidR="00BA2650" w:rsidRPr="00C06D81">
        <w:rPr>
          <w:rStyle w:val="cf01"/>
        </w:rPr>
        <w:t>e: Therapeutic Guidelines Limited</w:t>
      </w:r>
      <w:r w:rsidR="00BA2650">
        <w:rPr>
          <w:rStyle w:val="cf01"/>
        </w:rPr>
        <w:t xml:space="preserve"> </w:t>
      </w:r>
    </w:p>
  </w:footnote>
  <w:footnote w:id="106">
    <w:p w14:paraId="2D466B32" w14:textId="1C643C20" w:rsidR="002F2027" w:rsidRDefault="002F2027">
      <w:pPr>
        <w:pStyle w:val="FootnoteText"/>
      </w:pPr>
      <w:r>
        <w:rPr>
          <w:rStyle w:val="FootnoteReference"/>
        </w:rPr>
        <w:footnoteRef/>
      </w:r>
      <w:r>
        <w:t xml:space="preserve"> </w:t>
      </w:r>
      <w:r w:rsidR="007C0AE0">
        <w:t>See 5.3 in</w:t>
      </w:r>
      <w:r>
        <w:t xml:space="preserve"> </w:t>
      </w:r>
      <w:r w:rsidRPr="008734F2">
        <w:t xml:space="preserve">DHAC (2016) </w:t>
      </w:r>
      <w:hyperlink r:id="rId88" w:history="1">
        <w:r w:rsidRPr="008734F2">
          <w:rPr>
            <w:rStyle w:val="Hyperlink"/>
            <w:i/>
            <w:iCs/>
          </w:rPr>
          <w:t>Guidelines for preparing a submission to the Pharmaceutical Benefits Advisory Committee</w:t>
        </w:r>
      </w:hyperlink>
      <w:r w:rsidR="00492F26">
        <w:rPr>
          <w:rStyle w:val="Hyperlink"/>
          <w:i/>
          <w:iCs/>
        </w:rPr>
        <w:t>.</w:t>
      </w:r>
    </w:p>
  </w:footnote>
  <w:footnote w:id="107">
    <w:p w14:paraId="4789B503" w14:textId="432707F8" w:rsidR="00AC58CE" w:rsidRPr="00A3302E" w:rsidRDefault="00AC58CE" w:rsidP="00AC58CE">
      <w:pPr>
        <w:pStyle w:val="FootnoteText"/>
      </w:pPr>
      <w:r>
        <w:rPr>
          <w:rStyle w:val="FootnoteReference"/>
        </w:rPr>
        <w:footnoteRef/>
      </w:r>
      <w:r>
        <w:t xml:space="preserve"> </w:t>
      </w:r>
      <w:r w:rsidRPr="00A3302E">
        <w:t>Schurer M, Patel R, van Keep M, Horgan J, Matthijsse S and Madin-Warburton (2023) ‘Recent advances in addressing the market failure of new antimicrobials: Learnings from NICE</w:t>
      </w:r>
      <w:r w:rsidR="006A5A29">
        <w:t>’</w:t>
      </w:r>
      <w:r w:rsidRPr="00A3302E">
        <w:t xml:space="preserve">s subscription-style payment model’, </w:t>
      </w:r>
      <w:r w:rsidRPr="00A3302E">
        <w:rPr>
          <w:i/>
          <w:iCs/>
        </w:rPr>
        <w:t>Frontiers in Medical Technology</w:t>
      </w:r>
      <w:r w:rsidRPr="00A3302E">
        <w:t xml:space="preserve">, 5:1010247, doi: </w:t>
      </w:r>
      <w:hyperlink r:id="rId89" w:history="1">
        <w:r w:rsidRPr="00A3302E">
          <w:rPr>
            <w:rStyle w:val="Hyperlink"/>
          </w:rPr>
          <w:t>10.3389/fmedt.2023.1010247</w:t>
        </w:r>
      </w:hyperlink>
      <w:r w:rsidR="00147AD1">
        <w:t>.</w:t>
      </w:r>
    </w:p>
    <w:p w14:paraId="08F217AC" w14:textId="77777777" w:rsidR="00AC58CE" w:rsidRDefault="00AC58CE" w:rsidP="00AC58CE">
      <w:pPr>
        <w:pStyle w:val="FootnoteText"/>
      </w:pPr>
    </w:p>
  </w:footnote>
  <w:footnote w:id="108">
    <w:p w14:paraId="4A82E452" w14:textId="47D6C27B" w:rsidR="00AC58CE" w:rsidRDefault="00AC58CE" w:rsidP="00AC58CE">
      <w:pPr>
        <w:pStyle w:val="FootnoteText"/>
      </w:pPr>
      <w:r>
        <w:rPr>
          <w:rStyle w:val="FootnoteReference"/>
        </w:rPr>
        <w:footnoteRef/>
      </w:r>
      <w:r>
        <w:t xml:space="preserve"> </w:t>
      </w:r>
      <w:r w:rsidRPr="004E3CCC">
        <w:t xml:space="preserve">Australian Government (2020) </w:t>
      </w:r>
      <w:hyperlink r:id="rId90" w:history="1">
        <w:r w:rsidRPr="004E3CCC">
          <w:rPr>
            <w:rStyle w:val="Hyperlink"/>
            <w:i/>
            <w:iCs/>
          </w:rPr>
          <w:t>Australia’s National Antimicrobial Resistance Strategy – 2020 and Beyond</w:t>
        </w:r>
      </w:hyperlink>
      <w:r w:rsidR="00492F26">
        <w:t>.</w:t>
      </w:r>
    </w:p>
  </w:footnote>
  <w:footnote w:id="109">
    <w:p w14:paraId="18ABAD03" w14:textId="14EFD209" w:rsidR="00F4426A" w:rsidRDefault="00F4426A">
      <w:pPr>
        <w:pStyle w:val="FootnoteText"/>
      </w:pPr>
      <w:r>
        <w:rPr>
          <w:rStyle w:val="FootnoteReference"/>
        </w:rPr>
        <w:footnoteRef/>
      </w:r>
      <w:r>
        <w:t xml:space="preserve"> Australian Government (2023) </w:t>
      </w:r>
      <w:hyperlink r:id="rId91" w:history="1">
        <w:r w:rsidR="00AE0A4E" w:rsidRPr="000254FD">
          <w:rPr>
            <w:rStyle w:val="Hyperlink"/>
            <w:i/>
            <w:iCs/>
          </w:rPr>
          <w:t xml:space="preserve">Government response </w:t>
        </w:r>
        <w:r w:rsidR="00492F26">
          <w:rPr>
            <w:rStyle w:val="Hyperlink"/>
            <w:i/>
            <w:iCs/>
          </w:rPr>
          <w:t>–</w:t>
        </w:r>
        <w:r w:rsidR="00AE0A4E" w:rsidRPr="000254FD">
          <w:rPr>
            <w:rStyle w:val="Hyperlink"/>
            <w:i/>
            <w:iCs/>
          </w:rPr>
          <w:t xml:space="preserve"> The New Frontier: Inquiry into approval processes for new drugs and novel medical technologies in Australia</w:t>
        </w:r>
      </w:hyperlink>
      <w:r w:rsidR="00147AD1">
        <w:t>.</w:t>
      </w:r>
    </w:p>
  </w:footnote>
  <w:footnote w:id="110">
    <w:p w14:paraId="6DB42B9B" w14:textId="605E5768" w:rsidR="00AC58CE" w:rsidRPr="00017B3D" w:rsidRDefault="00AC58CE" w:rsidP="00AC58CE">
      <w:pPr>
        <w:pStyle w:val="FootnoteText"/>
        <w:rPr>
          <w:i/>
          <w:iCs/>
        </w:rPr>
      </w:pPr>
      <w:r>
        <w:rPr>
          <w:rStyle w:val="FootnoteReference"/>
        </w:rPr>
        <w:footnoteRef/>
      </w:r>
      <w:r w:rsidRPr="00017B3D" w:rsidDel="00B049C4">
        <w:t xml:space="preserve"> </w:t>
      </w:r>
      <w:r>
        <w:t>Cecchini M, Langer J and Slawomirski L</w:t>
      </w:r>
      <w:r w:rsidRPr="00017B3D">
        <w:t xml:space="preserve"> (2015)</w:t>
      </w:r>
      <w:r w:rsidRPr="00017B3D">
        <w:rPr>
          <w:i/>
          <w:iCs/>
        </w:rPr>
        <w:t xml:space="preserve"> </w:t>
      </w:r>
      <w:hyperlink r:id="rId92" w:history="1">
        <w:r w:rsidRPr="00017B3D">
          <w:rPr>
            <w:rStyle w:val="Hyperlink"/>
            <w:i/>
            <w:iCs/>
          </w:rPr>
          <w:t>Antimicrobial Resistance in G7 Countries and Beyond</w:t>
        </w:r>
      </w:hyperlink>
      <w:r>
        <w:t>, OECD</w:t>
      </w:r>
      <w:r w:rsidR="00147AD1">
        <w:t>.</w:t>
      </w:r>
    </w:p>
    <w:p w14:paraId="33F9CDF9" w14:textId="77777777" w:rsidR="00AC58CE" w:rsidRDefault="00AC58CE" w:rsidP="00AC58CE">
      <w:pPr>
        <w:pStyle w:val="FootnoteText"/>
      </w:pPr>
    </w:p>
  </w:footnote>
  <w:footnote w:id="111">
    <w:p w14:paraId="115F9C42" w14:textId="138E2599" w:rsidR="00AC58CE" w:rsidRDefault="00AC58CE" w:rsidP="00AC58CE">
      <w:pPr>
        <w:pStyle w:val="FootnoteText"/>
      </w:pPr>
      <w:r>
        <w:rPr>
          <w:rStyle w:val="FootnoteReference"/>
        </w:rPr>
        <w:footnoteRef/>
      </w:r>
      <w:r>
        <w:t xml:space="preserve"> See </w:t>
      </w:r>
      <w:r w:rsidR="00D82CEE">
        <w:t>Society of Hospital Pharmacists of Australia’s</w:t>
      </w:r>
      <w:r>
        <w:t xml:space="preserve"> submission to Consultation 2 </w:t>
      </w:r>
      <w:r w:rsidR="00D82CEE">
        <w:t>for</w:t>
      </w:r>
      <w:r>
        <w:t xml:space="preserve"> a representative view on this matter</w:t>
      </w:r>
      <w:r w:rsidR="008803A4">
        <w:t>.</w:t>
      </w:r>
    </w:p>
  </w:footnote>
  <w:footnote w:id="112">
    <w:p w14:paraId="2CA06B6D" w14:textId="2CC4E16A" w:rsidR="00961E03" w:rsidRPr="001D2030" w:rsidRDefault="00961E03">
      <w:pPr>
        <w:pStyle w:val="FootnoteText"/>
      </w:pPr>
      <w:r w:rsidRPr="00DC7F34">
        <w:rPr>
          <w:rStyle w:val="FootnoteReference"/>
        </w:rPr>
        <w:footnoteRef/>
      </w:r>
      <w:r w:rsidRPr="00DC7F34">
        <w:t xml:space="preserve"> </w:t>
      </w:r>
      <w:r w:rsidR="001A31E7" w:rsidRPr="001A31E7">
        <w:t>AccountAbility</w:t>
      </w:r>
      <w:r w:rsidR="00284762">
        <w:t xml:space="preserve"> (2005)</w:t>
      </w:r>
      <w:r w:rsidR="00081A23">
        <w:t xml:space="preserve"> </w:t>
      </w:r>
      <w:r w:rsidR="001A31E7" w:rsidRPr="001A31E7">
        <w:t>AA1000SE Stakeholder Engagement Practitioner’s Perspectives</w:t>
      </w:r>
      <w:r w:rsidR="006D3C6D">
        <w:t xml:space="preserve"> from</w:t>
      </w:r>
      <w:r w:rsidRPr="00DC7F34">
        <w:t xml:space="preserve"> </w:t>
      </w:r>
      <w:r w:rsidR="005623A6">
        <w:t xml:space="preserve">DHAC (2017) </w:t>
      </w:r>
      <w:hyperlink r:id="rId93" w:history="1">
        <w:r w:rsidR="005623A6" w:rsidRPr="001D2030">
          <w:rPr>
            <w:rStyle w:val="Hyperlink"/>
            <w:i/>
            <w:iCs/>
          </w:rPr>
          <w:t xml:space="preserve">Stakeholder Engagement </w:t>
        </w:r>
        <w:r w:rsidR="001D2030" w:rsidRPr="001D2030">
          <w:rPr>
            <w:rStyle w:val="Hyperlink"/>
            <w:i/>
            <w:iCs/>
          </w:rPr>
          <w:t>framework</w:t>
        </w:r>
      </w:hyperlink>
      <w:r w:rsidR="00147AD1">
        <w:t>.</w:t>
      </w:r>
    </w:p>
  </w:footnote>
  <w:footnote w:id="113">
    <w:p w14:paraId="71CD5F03" w14:textId="493C52FC" w:rsidR="00904329" w:rsidRDefault="00904329">
      <w:pPr>
        <w:pStyle w:val="FootnoteText"/>
      </w:pPr>
      <w:r>
        <w:rPr>
          <w:rStyle w:val="FootnoteReference"/>
        </w:rPr>
        <w:footnoteRef/>
      </w:r>
      <w:r>
        <w:t xml:space="preserve"> </w:t>
      </w:r>
      <w:r w:rsidRPr="00904329">
        <w:t xml:space="preserve">Office of the Australian Information Commissioner (2021) </w:t>
      </w:r>
      <w:hyperlink r:id="rId94" w:anchor=":~:text=These%20Principles%20recognise%20that%3A,a%20formal%20access%20request%2C%20and" w:history="1">
        <w:r w:rsidRPr="00C05DF8">
          <w:rPr>
            <w:rStyle w:val="Hyperlink"/>
            <w:i/>
            <w:iCs/>
          </w:rPr>
          <w:t>Statement of principles to support proactive disclosure of government-held information</w:t>
        </w:r>
      </w:hyperlink>
      <w:r w:rsidRPr="00904329">
        <w:t>, Office of the Australian Information Commissioner website</w:t>
      </w:r>
      <w:r w:rsidR="00914454">
        <w:t>.</w:t>
      </w:r>
      <w:r w:rsidRPr="00904329">
        <w:t xml:space="preserve"> </w:t>
      </w:r>
    </w:p>
  </w:footnote>
  <w:footnote w:id="114">
    <w:p w14:paraId="39CD56CF" w14:textId="7D5DE1F2" w:rsidR="002E7AB1" w:rsidRDefault="002E7AB1">
      <w:pPr>
        <w:pStyle w:val="FootnoteText"/>
      </w:pPr>
      <w:r>
        <w:rPr>
          <w:rStyle w:val="FootnoteReference"/>
        </w:rPr>
        <w:footnoteRef/>
      </w:r>
      <w:r>
        <w:t xml:space="preserve"> </w:t>
      </w:r>
      <w:r w:rsidR="0038157F" w:rsidRPr="0038157F">
        <w:t xml:space="preserve">DHAC (2017) </w:t>
      </w:r>
      <w:hyperlink r:id="rId95" w:history="1">
        <w:r w:rsidR="0038157F" w:rsidRPr="0038157F">
          <w:rPr>
            <w:rStyle w:val="Hyperlink"/>
            <w:i/>
            <w:iCs/>
          </w:rPr>
          <w:t>Stakeholder Engagement framework</w:t>
        </w:r>
      </w:hyperlink>
      <w:r w:rsidR="00147AD1">
        <w:t>.</w:t>
      </w:r>
    </w:p>
  </w:footnote>
  <w:footnote w:id="115">
    <w:p w14:paraId="7366052C" w14:textId="747198D3" w:rsidR="00253281" w:rsidRDefault="00253281">
      <w:pPr>
        <w:pStyle w:val="FootnoteText"/>
      </w:pPr>
      <w:r>
        <w:rPr>
          <w:rStyle w:val="FootnoteReference"/>
        </w:rPr>
        <w:footnoteRef/>
      </w:r>
      <w:r>
        <w:t xml:space="preserve"> </w:t>
      </w:r>
      <w:r w:rsidRPr="00417769">
        <w:t>DHAC (2022)</w:t>
      </w:r>
      <w:r>
        <w:t xml:space="preserve"> </w:t>
      </w:r>
      <w:hyperlink r:id="rId96" w:history="1">
        <w:r w:rsidRPr="002E5DF4">
          <w:rPr>
            <w:rStyle w:val="Hyperlink"/>
            <w:i/>
            <w:iCs/>
          </w:rPr>
          <w:t>National Medicines Policy</w:t>
        </w:r>
      </w:hyperlink>
      <w:r w:rsidR="00147AD1">
        <w:t>.</w:t>
      </w:r>
    </w:p>
  </w:footnote>
  <w:footnote w:id="116">
    <w:p w14:paraId="4AB98477" w14:textId="42B45573" w:rsidR="005124FF" w:rsidRPr="004317A9" w:rsidRDefault="005124FF">
      <w:pPr>
        <w:pStyle w:val="FootnoteText"/>
      </w:pPr>
      <w:r>
        <w:rPr>
          <w:rStyle w:val="FootnoteReference"/>
        </w:rPr>
        <w:footnoteRef/>
      </w:r>
      <w:r>
        <w:t xml:space="preserve"> D</w:t>
      </w:r>
      <w:r w:rsidR="007A6272">
        <w:t>HAC (</w:t>
      </w:r>
      <w:r w:rsidR="000C1930">
        <w:t>2024</w:t>
      </w:r>
      <w:r w:rsidR="007A6272">
        <w:t xml:space="preserve">) </w:t>
      </w:r>
      <w:hyperlink r:id="rId97" w:history="1">
        <w:r w:rsidR="007B1F9C" w:rsidRPr="004317A9">
          <w:rPr>
            <w:rStyle w:val="Hyperlink"/>
            <w:i/>
            <w:iCs/>
          </w:rPr>
          <w:t>Co-design of an Enhanced Consumer Engagement Process for health technology assessment</w:t>
        </w:r>
      </w:hyperlink>
      <w:r w:rsidR="00F37BF4">
        <w:t>.</w:t>
      </w:r>
      <w:r w:rsidR="004317A9">
        <w:t xml:space="preserve"> </w:t>
      </w:r>
    </w:p>
  </w:footnote>
  <w:footnote w:id="117">
    <w:p w14:paraId="334B51AB" w14:textId="1E4C28AB" w:rsidR="00EE4EC9" w:rsidRPr="00432E7F" w:rsidRDefault="00EE4EC9" w:rsidP="00EE4EC9">
      <w:pPr>
        <w:pStyle w:val="FootnoteText"/>
      </w:pPr>
      <w:r>
        <w:rPr>
          <w:rStyle w:val="FootnoteReference"/>
        </w:rPr>
        <w:footnoteRef/>
      </w:r>
      <w:r>
        <w:t xml:space="preserve"> </w:t>
      </w:r>
      <w:r w:rsidR="00A56201">
        <w:t>DHAC (</w:t>
      </w:r>
      <w:r w:rsidR="00966372">
        <w:t>2024</w:t>
      </w:r>
      <w:r w:rsidR="00A56201">
        <w:t xml:space="preserve">) </w:t>
      </w:r>
      <w:hyperlink r:id="rId98" w:history="1">
        <w:r w:rsidRPr="00432E7F">
          <w:rPr>
            <w:rStyle w:val="Hyperlink"/>
            <w:i/>
            <w:iCs/>
          </w:rPr>
          <w:t>Pharmaceutical Benefits Scheme (PBS)</w:t>
        </w:r>
      </w:hyperlink>
      <w:r w:rsidR="00432E7F">
        <w:t>, PBS</w:t>
      </w:r>
      <w:r w:rsidR="00F37BF4">
        <w:t>.</w:t>
      </w:r>
    </w:p>
  </w:footnote>
  <w:footnote w:id="118">
    <w:p w14:paraId="62109984" w14:textId="6AC0F392" w:rsidR="00481136" w:rsidRDefault="00481136" w:rsidP="00481136">
      <w:pPr>
        <w:pStyle w:val="FootnoteText"/>
      </w:pPr>
      <w:r>
        <w:rPr>
          <w:rStyle w:val="FootnoteReference"/>
        </w:rPr>
        <w:footnoteRef/>
      </w:r>
      <w:r w:rsidR="00281590">
        <w:t xml:space="preserve"> DHAC (20</w:t>
      </w:r>
      <w:r w:rsidR="004A7257">
        <w:t>24</w:t>
      </w:r>
      <w:r w:rsidR="00281590">
        <w:t xml:space="preserve">) </w:t>
      </w:r>
      <w:hyperlink r:id="rId99" w:anchor=":~:text=The%20Medicine%20Status%20Website%20(MSW,Scheme%20(PBS)%20listing%20process" w:history="1">
        <w:r w:rsidR="00281590" w:rsidRPr="0049615E">
          <w:rPr>
            <w:rStyle w:val="Hyperlink"/>
            <w:i/>
            <w:iCs/>
          </w:rPr>
          <w:t>Medicine Status Website</w:t>
        </w:r>
      </w:hyperlink>
      <w:r w:rsidR="0049615E">
        <w:t>, PBS</w:t>
      </w:r>
      <w:r w:rsidR="00F37BF4">
        <w:t>.</w:t>
      </w:r>
    </w:p>
  </w:footnote>
  <w:footnote w:id="119">
    <w:p w14:paraId="58E541E7" w14:textId="409E8F6D" w:rsidR="00510C51" w:rsidRDefault="00510C51">
      <w:pPr>
        <w:pStyle w:val="FootnoteText"/>
      </w:pPr>
      <w:r>
        <w:rPr>
          <w:rStyle w:val="FootnoteReference"/>
        </w:rPr>
        <w:footnoteRef/>
      </w:r>
      <w:r>
        <w:t xml:space="preserve"> </w:t>
      </w:r>
      <w:r w:rsidR="00854D99">
        <w:t>D</w:t>
      </w:r>
      <w:r w:rsidR="00140ECC">
        <w:t>HAC (</w:t>
      </w:r>
      <w:r w:rsidR="005E247F">
        <w:t>2024</w:t>
      </w:r>
      <w:r w:rsidR="00140ECC">
        <w:t xml:space="preserve">) </w:t>
      </w:r>
      <w:hyperlink r:id="rId100" w:history="1">
        <w:r w:rsidR="00140ECC" w:rsidRPr="00965493">
          <w:rPr>
            <w:rStyle w:val="Hyperlink"/>
            <w:i/>
            <w:iCs/>
          </w:rPr>
          <w:t>MBS Online</w:t>
        </w:r>
      </w:hyperlink>
      <w:r w:rsidR="00965493">
        <w:t xml:space="preserve">, </w:t>
      </w:r>
      <w:r w:rsidR="00371378">
        <w:t>Medicare Benefits Schedule (</w:t>
      </w:r>
      <w:r w:rsidR="00BC1C93">
        <w:t>MBS</w:t>
      </w:r>
      <w:r w:rsidR="00371378">
        <w:t>)</w:t>
      </w:r>
      <w:r w:rsidR="00512628">
        <w:t>.</w:t>
      </w:r>
    </w:p>
  </w:footnote>
  <w:footnote w:id="120">
    <w:p w14:paraId="4B5BF2F1" w14:textId="53AE6385" w:rsidR="009B37B2" w:rsidRPr="006129F1" w:rsidRDefault="009B37B2">
      <w:pPr>
        <w:pStyle w:val="FootnoteText"/>
      </w:pPr>
      <w:r>
        <w:rPr>
          <w:rStyle w:val="FootnoteReference"/>
        </w:rPr>
        <w:footnoteRef/>
      </w:r>
      <w:r w:rsidR="004669B2">
        <w:t xml:space="preserve"> D</w:t>
      </w:r>
      <w:r w:rsidR="00D74A40">
        <w:t>HAC (</w:t>
      </w:r>
      <w:r w:rsidR="00371378">
        <w:t>2024</w:t>
      </w:r>
      <w:r w:rsidR="00D74A40">
        <w:t xml:space="preserve">) </w:t>
      </w:r>
      <w:hyperlink r:id="rId101" w:history="1">
        <w:r w:rsidR="00EE125B">
          <w:rPr>
            <w:rStyle w:val="Hyperlink"/>
            <w:i/>
            <w:iCs/>
          </w:rPr>
          <w:t>Pharmaceutical Benefits Advisory Committee (PBAC)</w:t>
        </w:r>
      </w:hyperlink>
      <w:r w:rsidR="006129F1">
        <w:t>, PBS</w:t>
      </w:r>
      <w:r w:rsidR="00512628">
        <w:t>.</w:t>
      </w:r>
    </w:p>
  </w:footnote>
  <w:footnote w:id="121">
    <w:p w14:paraId="74132100" w14:textId="642CD4E2" w:rsidR="001C4B39" w:rsidRDefault="001C4B39" w:rsidP="001C4B39">
      <w:pPr>
        <w:pStyle w:val="FootnoteText"/>
      </w:pPr>
      <w:r>
        <w:rPr>
          <w:rStyle w:val="FootnoteReference"/>
        </w:rPr>
        <w:footnoteRef/>
      </w:r>
      <w:r>
        <w:t xml:space="preserve"> D</w:t>
      </w:r>
      <w:r w:rsidR="00C02176">
        <w:t xml:space="preserve">HAC (n.d.) </w:t>
      </w:r>
      <w:hyperlink r:id="rId102" w:history="1">
        <w:r w:rsidR="00F1389E" w:rsidRPr="00032A8F">
          <w:rPr>
            <w:rStyle w:val="Hyperlink"/>
            <w:i/>
            <w:iCs/>
          </w:rPr>
          <w:t xml:space="preserve">Medical Services </w:t>
        </w:r>
        <w:r w:rsidR="005B3C6E" w:rsidRPr="00032A8F">
          <w:rPr>
            <w:rStyle w:val="Hyperlink"/>
            <w:i/>
            <w:iCs/>
          </w:rPr>
          <w:t>Advisory</w:t>
        </w:r>
        <w:r w:rsidR="00F1389E" w:rsidRPr="00032A8F">
          <w:rPr>
            <w:rStyle w:val="Hyperlink"/>
            <w:i/>
            <w:iCs/>
          </w:rPr>
          <w:t xml:space="preserve"> Commit</w:t>
        </w:r>
        <w:bookmarkStart w:id="375" w:name="_Hlt176510644"/>
        <w:bookmarkStart w:id="376" w:name="_Hlt176510645"/>
        <w:r w:rsidR="00F1389E" w:rsidRPr="00032A8F">
          <w:rPr>
            <w:rStyle w:val="Hyperlink"/>
            <w:i/>
            <w:iCs/>
          </w:rPr>
          <w:t>t</w:t>
        </w:r>
        <w:bookmarkEnd w:id="375"/>
        <w:bookmarkEnd w:id="376"/>
        <w:r w:rsidR="00F1389E" w:rsidRPr="00032A8F">
          <w:rPr>
            <w:rStyle w:val="Hyperlink"/>
            <w:i/>
            <w:iCs/>
          </w:rPr>
          <w:t>ee</w:t>
        </w:r>
      </w:hyperlink>
      <w:r w:rsidR="005E247F">
        <w:rPr>
          <w:rStyle w:val="Hyperlink"/>
          <w:i/>
          <w:iCs/>
        </w:rPr>
        <w:t xml:space="preserve"> (MSAC)</w:t>
      </w:r>
      <w:r w:rsidR="001F5CD4">
        <w:t>, MSAC</w:t>
      </w:r>
      <w:r w:rsidR="00512628">
        <w:t>.</w:t>
      </w:r>
    </w:p>
  </w:footnote>
  <w:footnote w:id="122">
    <w:p w14:paraId="6E4CD896" w14:textId="18138756" w:rsidR="001F052A" w:rsidRDefault="001F052A">
      <w:pPr>
        <w:pStyle w:val="FootnoteText"/>
      </w:pPr>
      <w:r>
        <w:rPr>
          <w:rStyle w:val="FootnoteReference"/>
        </w:rPr>
        <w:footnoteRef/>
      </w:r>
      <w:r>
        <w:t xml:space="preserve"> </w:t>
      </w:r>
      <w:r w:rsidR="00032A8F">
        <w:t>DHAC (</w:t>
      </w:r>
      <w:r w:rsidR="00FD08A8">
        <w:t>2024</w:t>
      </w:r>
      <w:r w:rsidR="00032A8F">
        <w:t xml:space="preserve">) </w:t>
      </w:r>
      <w:hyperlink r:id="rId103" w:history="1">
        <w:r w:rsidR="006A1C88">
          <w:rPr>
            <w:rStyle w:val="Hyperlink"/>
            <w:i/>
            <w:iCs/>
          </w:rPr>
          <w:t>Office of Health Technology Assessment Consultation Hub</w:t>
        </w:r>
      </w:hyperlink>
      <w:r w:rsidR="00512628">
        <w:t>.</w:t>
      </w:r>
    </w:p>
  </w:footnote>
  <w:footnote w:id="123">
    <w:p w14:paraId="63F1C44F" w14:textId="7A0FC532" w:rsidR="00574785" w:rsidRDefault="00574785">
      <w:pPr>
        <w:pStyle w:val="FootnoteText"/>
      </w:pPr>
      <w:r>
        <w:rPr>
          <w:rStyle w:val="FootnoteReference"/>
        </w:rPr>
        <w:footnoteRef/>
      </w:r>
      <w:r>
        <w:t xml:space="preserve"> </w:t>
      </w:r>
      <w:r w:rsidR="00D106BD" w:rsidRPr="008734F2">
        <w:t xml:space="preserve">DHAC (2016) </w:t>
      </w:r>
      <w:hyperlink r:id="rId104" w:history="1">
        <w:r w:rsidR="00D106BD" w:rsidRPr="008734F2">
          <w:rPr>
            <w:rStyle w:val="Hyperlink"/>
            <w:i/>
            <w:iCs/>
          </w:rPr>
          <w:t>Guidelines for preparing a submission to the Pharmaceutical Benefits Advisory</w:t>
        </w:r>
        <w:bookmarkStart w:id="377" w:name="_Hlt176510852"/>
        <w:bookmarkStart w:id="378" w:name="_Hlt176510853"/>
        <w:r w:rsidR="00D106BD" w:rsidRPr="008734F2">
          <w:rPr>
            <w:rStyle w:val="Hyperlink"/>
            <w:i/>
            <w:iCs/>
          </w:rPr>
          <w:t xml:space="preserve"> </w:t>
        </w:r>
        <w:bookmarkEnd w:id="377"/>
        <w:bookmarkEnd w:id="378"/>
        <w:r w:rsidR="00D106BD" w:rsidRPr="008734F2">
          <w:rPr>
            <w:rStyle w:val="Hyperlink"/>
            <w:i/>
            <w:iCs/>
          </w:rPr>
          <w:t>Committee</w:t>
        </w:r>
      </w:hyperlink>
      <w:r w:rsidR="00FD08A8" w:rsidRPr="000D3053">
        <w:rPr>
          <w:rStyle w:val="Hyperlink"/>
          <w:color w:val="auto"/>
          <w:u w:val="none"/>
        </w:rPr>
        <w:t>, PBS</w:t>
      </w:r>
      <w:r w:rsidR="00D106BD" w:rsidRPr="00DE1974">
        <w:t>.</w:t>
      </w:r>
    </w:p>
  </w:footnote>
  <w:footnote w:id="124">
    <w:p w14:paraId="23E3BE2F" w14:textId="102A2D32" w:rsidR="00DA2F8F" w:rsidRDefault="00DA2F8F" w:rsidP="004F6AFB">
      <w:pPr>
        <w:pStyle w:val="FootnoteText"/>
      </w:pPr>
      <w:r>
        <w:rPr>
          <w:rStyle w:val="FootnoteReference"/>
        </w:rPr>
        <w:footnoteRef/>
      </w:r>
      <w:r>
        <w:t xml:space="preserve"> </w:t>
      </w:r>
      <w:r w:rsidR="004F6AFB">
        <w:t>D</w:t>
      </w:r>
      <w:r w:rsidR="005E7D97">
        <w:t>HAC</w:t>
      </w:r>
      <w:r w:rsidR="004F6AFB">
        <w:t xml:space="preserve"> </w:t>
      </w:r>
      <w:r w:rsidR="005E7D97">
        <w:t>(</w:t>
      </w:r>
      <w:r w:rsidR="004F6AFB">
        <w:t>202</w:t>
      </w:r>
      <w:r w:rsidR="00F51E5B">
        <w:t>1</w:t>
      </w:r>
      <w:r w:rsidR="005E7D97">
        <w:t>)</w:t>
      </w:r>
      <w:r w:rsidR="004F6AFB">
        <w:t xml:space="preserve"> </w:t>
      </w:r>
      <w:hyperlink r:id="rId105" w:history="1">
        <w:r w:rsidR="004F6AFB" w:rsidRPr="00A33FB3">
          <w:rPr>
            <w:rStyle w:val="Hyperlink"/>
            <w:i/>
            <w:iCs/>
          </w:rPr>
          <w:t>Guidelines for preparing assessments for the Medical Servic</w:t>
        </w:r>
        <w:bookmarkStart w:id="380" w:name="_Hlt176510860"/>
        <w:bookmarkStart w:id="381" w:name="_Hlt176510861"/>
        <w:r w:rsidR="004F6AFB" w:rsidRPr="00A33FB3">
          <w:rPr>
            <w:rStyle w:val="Hyperlink"/>
            <w:i/>
            <w:iCs/>
          </w:rPr>
          <w:t>e</w:t>
        </w:r>
        <w:bookmarkEnd w:id="380"/>
        <w:bookmarkEnd w:id="381"/>
        <w:r w:rsidR="004F6AFB" w:rsidRPr="00A33FB3">
          <w:rPr>
            <w:rStyle w:val="Hyperlink"/>
            <w:i/>
            <w:iCs/>
          </w:rPr>
          <w:t>s Advisory Committee</w:t>
        </w:r>
      </w:hyperlink>
      <w:r w:rsidR="00FD08A8" w:rsidRPr="000D3053">
        <w:rPr>
          <w:rStyle w:val="Hyperlink"/>
          <w:color w:val="auto"/>
          <w:u w:val="none"/>
        </w:rPr>
        <w:t>, MSAC</w:t>
      </w:r>
      <w:r w:rsidR="00147AD1" w:rsidRPr="00DE1974">
        <w:t>.</w:t>
      </w:r>
    </w:p>
  </w:footnote>
  <w:footnote w:id="125">
    <w:p w14:paraId="79F1F04C" w14:textId="7F976130" w:rsidR="00BD137F" w:rsidRDefault="00BD137F">
      <w:pPr>
        <w:pStyle w:val="FootnoteText"/>
      </w:pPr>
      <w:r>
        <w:rPr>
          <w:rStyle w:val="FootnoteReference"/>
        </w:rPr>
        <w:footnoteRef/>
      </w:r>
      <w:r>
        <w:t xml:space="preserve"> DHAC </w:t>
      </w:r>
      <w:r w:rsidR="00593788">
        <w:t xml:space="preserve">(2021) </w:t>
      </w:r>
      <w:hyperlink r:id="rId106" w:history="1">
        <w:r w:rsidR="007F03C3" w:rsidRPr="007F03C3">
          <w:rPr>
            <w:rStyle w:val="Hyperlink"/>
            <w:i/>
            <w:iCs/>
          </w:rPr>
          <w:t>MSAC Guidelines Summary for Stakehol</w:t>
        </w:r>
        <w:bookmarkStart w:id="383" w:name="_Hlt176510884"/>
        <w:bookmarkStart w:id="384" w:name="_Hlt176510885"/>
        <w:r w:rsidR="007F03C3" w:rsidRPr="007F03C3">
          <w:rPr>
            <w:rStyle w:val="Hyperlink"/>
            <w:i/>
            <w:iCs/>
          </w:rPr>
          <w:t>d</w:t>
        </w:r>
        <w:bookmarkEnd w:id="383"/>
        <w:bookmarkEnd w:id="384"/>
        <w:r w:rsidR="007F03C3" w:rsidRPr="007F03C3">
          <w:rPr>
            <w:rStyle w:val="Hyperlink"/>
            <w:i/>
            <w:iCs/>
          </w:rPr>
          <w:t>ers</w:t>
        </w:r>
      </w:hyperlink>
      <w:r w:rsidR="00FD08A8" w:rsidRPr="000D3053">
        <w:rPr>
          <w:rStyle w:val="Hyperlink"/>
          <w:color w:val="auto"/>
          <w:u w:val="none"/>
        </w:rPr>
        <w:t>, MSAC</w:t>
      </w:r>
      <w:r w:rsidR="00914454" w:rsidRPr="00DE1974">
        <w:t>.</w:t>
      </w:r>
    </w:p>
  </w:footnote>
  <w:footnote w:id="126">
    <w:p w14:paraId="737786DF" w14:textId="40730740" w:rsidR="00383468" w:rsidRDefault="00383468">
      <w:pPr>
        <w:pStyle w:val="FootnoteText"/>
      </w:pPr>
      <w:r>
        <w:rPr>
          <w:rStyle w:val="FootnoteReference"/>
        </w:rPr>
        <w:footnoteRef/>
      </w:r>
      <w:r>
        <w:t xml:space="preserve"> </w:t>
      </w:r>
      <w:r w:rsidR="00635DA5" w:rsidRPr="002E12C3">
        <w:t>DHAC (</w:t>
      </w:r>
      <w:r w:rsidR="00635DA5">
        <w:t>2020</w:t>
      </w:r>
      <w:r w:rsidR="00635DA5" w:rsidRPr="002E12C3">
        <w:t xml:space="preserve">) </w:t>
      </w:r>
      <w:hyperlink r:id="rId107" w:history="1">
        <w:r w:rsidR="002D334C" w:rsidRPr="00A318F7">
          <w:rPr>
            <w:rStyle w:val="Hyperlink"/>
            <w:i/>
            <w:iCs/>
          </w:rPr>
          <w:t>Procedure guidance for listing medicines on the Pharmaceutical Benefits Scheme</w:t>
        </w:r>
      </w:hyperlink>
      <w:r w:rsidR="00635DA5" w:rsidRPr="002E12C3">
        <w:t>, PBS</w:t>
      </w:r>
      <w:r w:rsidR="00635DA5">
        <w:t>.</w:t>
      </w:r>
    </w:p>
  </w:footnote>
  <w:footnote w:id="127">
    <w:p w14:paraId="25972C52" w14:textId="403BAEC1" w:rsidR="00C55E9C" w:rsidRDefault="00C55E9C">
      <w:pPr>
        <w:pStyle w:val="FootnoteText"/>
      </w:pPr>
      <w:r>
        <w:rPr>
          <w:rStyle w:val="FootnoteReference"/>
        </w:rPr>
        <w:footnoteRef/>
      </w:r>
      <w:r>
        <w:t xml:space="preserve"> </w:t>
      </w:r>
      <w:r w:rsidR="00A33FB3">
        <w:t>DHAC (</w:t>
      </w:r>
      <w:r w:rsidR="00D031E7">
        <w:t>2024</w:t>
      </w:r>
      <w:r w:rsidR="00A33FB3">
        <w:t>)</w:t>
      </w:r>
      <w:r>
        <w:t xml:space="preserve"> </w:t>
      </w:r>
      <w:hyperlink r:id="rId108" w:history="1">
        <w:r w:rsidR="009E509A" w:rsidRPr="009E509A">
          <w:rPr>
            <w:rStyle w:val="Hyperlink"/>
            <w:i/>
            <w:iCs/>
          </w:rPr>
          <w:t>Public Summary Documents</w:t>
        </w:r>
      </w:hyperlink>
      <w:r w:rsidR="009E509A">
        <w:t>, PBAC</w:t>
      </w:r>
      <w:r w:rsidR="00512628">
        <w:t>.</w:t>
      </w:r>
    </w:p>
  </w:footnote>
  <w:footnote w:id="128">
    <w:p w14:paraId="64FB5A80" w14:textId="3B31C1AA" w:rsidR="00D523B0" w:rsidRDefault="00D523B0">
      <w:pPr>
        <w:pStyle w:val="FootnoteText"/>
      </w:pPr>
      <w:r>
        <w:rPr>
          <w:rStyle w:val="FootnoteReference"/>
        </w:rPr>
        <w:footnoteRef/>
      </w:r>
      <w:r w:rsidR="001576D2">
        <w:t xml:space="preserve"> DHAC (</w:t>
      </w:r>
      <w:r w:rsidR="00D031E7">
        <w:t>2016</w:t>
      </w:r>
      <w:r w:rsidR="001576D2">
        <w:t xml:space="preserve">) </w:t>
      </w:r>
      <w:hyperlink r:id="rId109" w:history="1">
        <w:r w:rsidR="00016160" w:rsidRPr="00483B4E">
          <w:rPr>
            <w:rStyle w:val="Hyperlink"/>
            <w:i/>
            <w:iCs/>
          </w:rPr>
          <w:t>Post MSAC Process</w:t>
        </w:r>
      </w:hyperlink>
      <w:r w:rsidR="00016160">
        <w:t xml:space="preserve">, </w:t>
      </w:r>
      <w:r w:rsidR="00F53CE7">
        <w:t>MSAC website</w:t>
      </w:r>
      <w:r w:rsidR="00512628">
        <w:t>.</w:t>
      </w:r>
    </w:p>
  </w:footnote>
  <w:footnote w:id="129">
    <w:p w14:paraId="3AC5DDEB" w14:textId="15B20684" w:rsidR="006346CD" w:rsidRDefault="006346CD">
      <w:pPr>
        <w:pStyle w:val="FootnoteText"/>
      </w:pPr>
      <w:r>
        <w:rPr>
          <w:rStyle w:val="FootnoteReference"/>
        </w:rPr>
        <w:footnoteRef/>
      </w:r>
      <w:r>
        <w:t xml:space="preserve"> </w:t>
      </w:r>
      <w:r w:rsidR="0082599A" w:rsidRPr="0082599A">
        <w:t>Adelaide Health Technology Assessment (2023)</w:t>
      </w:r>
      <w:r w:rsidR="00E57E49" w:rsidRPr="00E57E49">
        <w:t xml:space="preserve"> </w:t>
      </w:r>
      <w:r w:rsidR="007D1AB0" w:rsidRPr="009F4120">
        <w:rPr>
          <w:i/>
          <w:iCs/>
        </w:rPr>
        <w:t>International Health Technology Market Approval, Funding and Assessment Pathways</w:t>
      </w:r>
      <w:r w:rsidR="0082599A" w:rsidRPr="0082599A">
        <w:t>, Health Technology Assessment Policy and Methods Review</w:t>
      </w:r>
      <w:r w:rsidR="007D1AB0">
        <w:t xml:space="preserve"> within Adelaide Health Technology Assessment (2024)  </w:t>
      </w:r>
      <w:hyperlink r:id="rId110" w:history="1">
        <w:r w:rsidR="007D1AB0" w:rsidRPr="00C52F5D">
          <w:rPr>
            <w:rStyle w:val="Hyperlink"/>
            <w:i/>
            <w:iCs/>
          </w:rPr>
          <w:t>HTA Pathways and Processes, Clinical Evaluation Methods and Horizon Scanning</w:t>
        </w:r>
      </w:hyperlink>
      <w:r w:rsidR="007D1AB0">
        <w:t>, Health Technology Assessment Policy and Methods Review</w:t>
      </w:r>
      <w:r w:rsidR="00180158">
        <w:t>.</w:t>
      </w:r>
    </w:p>
  </w:footnote>
  <w:footnote w:id="130">
    <w:p w14:paraId="19DCB456" w14:textId="13DC5325" w:rsidR="00824DA9" w:rsidRPr="000D3053" w:rsidRDefault="00824DA9">
      <w:pPr>
        <w:pStyle w:val="FootnoteText"/>
      </w:pPr>
      <w:r w:rsidRPr="000D3053">
        <w:rPr>
          <w:rStyle w:val="FootnoteReference"/>
        </w:rPr>
        <w:footnoteRef/>
      </w:r>
      <w:r w:rsidR="00D578EB" w:rsidRPr="000D3053">
        <w:t xml:space="preserve"> </w:t>
      </w:r>
      <w:r w:rsidR="00AD53E6" w:rsidRPr="000D3053">
        <w:t>Bastion Insights (2024) Consultation 2 Stakeholder Engagement Report, DHAC.</w:t>
      </w:r>
    </w:p>
  </w:footnote>
  <w:footnote w:id="131">
    <w:p w14:paraId="3122F503" w14:textId="6EFBECFE" w:rsidR="00072F0B" w:rsidRDefault="00072F0B">
      <w:pPr>
        <w:pStyle w:val="FootnoteText"/>
      </w:pPr>
      <w:r w:rsidRPr="000D3053">
        <w:rPr>
          <w:rStyle w:val="FootnoteReference"/>
        </w:rPr>
        <w:footnoteRef/>
      </w:r>
      <w:r w:rsidRPr="000D3053">
        <w:t xml:space="preserve"> </w:t>
      </w:r>
      <w:r w:rsidR="00463591" w:rsidRPr="000D3053">
        <w:rPr>
          <w:rFonts w:eastAsia="Segoe UI" w:cs="Segoe UI"/>
        </w:rPr>
        <w:t>Consensus Letter from 51 consumer organisations</w:t>
      </w:r>
      <w:r w:rsidR="00D578EB" w:rsidRPr="000D3053">
        <w:rPr>
          <w:rFonts w:eastAsia="Segoe UI" w:cs="Segoe UI"/>
        </w:rPr>
        <w:t xml:space="preserve"> to </w:t>
      </w:r>
      <w:r w:rsidR="00F67D52" w:rsidRPr="000D3053">
        <w:rPr>
          <w:rFonts w:eastAsia="Segoe UI" w:cs="Segoe UI"/>
        </w:rPr>
        <w:t>C</w:t>
      </w:r>
      <w:r w:rsidRPr="000D3053">
        <w:rPr>
          <w:rFonts w:eastAsia="Segoe UI" w:cs="Segoe UI"/>
        </w:rPr>
        <w:t>onsultation 2</w:t>
      </w:r>
      <w:r w:rsidR="00180158" w:rsidRPr="000D3053">
        <w:rPr>
          <w:rFonts w:eastAsia="Segoe UI" w:cs="Segoe UI"/>
        </w:rPr>
        <w:t>.</w:t>
      </w:r>
    </w:p>
  </w:footnote>
  <w:footnote w:id="132">
    <w:p w14:paraId="1AC9DC7C" w14:textId="64752039" w:rsidR="00F432CA" w:rsidRDefault="00F432CA">
      <w:pPr>
        <w:pStyle w:val="FootnoteText"/>
      </w:pPr>
      <w:r>
        <w:rPr>
          <w:rStyle w:val="FootnoteReference"/>
        </w:rPr>
        <w:footnoteRef/>
      </w:r>
      <w:r>
        <w:t xml:space="preserve"> </w:t>
      </w:r>
      <w:r w:rsidR="001F6525" w:rsidRPr="000D3053">
        <w:rPr>
          <w:rFonts w:eastAsia="Segoe UI" w:cs="Segoe UI"/>
        </w:rPr>
        <w:t>B</w:t>
      </w:r>
      <w:r w:rsidR="00477117" w:rsidRPr="000D3053">
        <w:rPr>
          <w:rFonts w:eastAsia="Segoe UI" w:cs="Segoe UI"/>
        </w:rPr>
        <w:t>ristol Myers Squibb Australia’s</w:t>
      </w:r>
      <w:r w:rsidR="00ED61E7" w:rsidRPr="000D3053">
        <w:rPr>
          <w:rFonts w:eastAsia="Segoe UI" w:cs="Segoe UI"/>
        </w:rPr>
        <w:t xml:space="preserve"> submission to </w:t>
      </w:r>
      <w:r w:rsidR="00477117" w:rsidRPr="000D3053">
        <w:rPr>
          <w:rFonts w:eastAsia="Segoe UI" w:cs="Segoe UI"/>
        </w:rPr>
        <w:t>Consultation 2</w:t>
      </w:r>
      <w:r w:rsidR="00180158" w:rsidRPr="000D3053">
        <w:rPr>
          <w:rFonts w:eastAsia="Segoe UI" w:cs="Segoe UI"/>
        </w:rPr>
        <w:t>.</w:t>
      </w:r>
      <w:r w:rsidR="00477117">
        <w:rPr>
          <w:rFonts w:eastAsia="Segoe UI" w:cs="Segoe UI"/>
        </w:rPr>
        <w:t xml:space="preserve"> </w:t>
      </w:r>
    </w:p>
  </w:footnote>
  <w:footnote w:id="133">
    <w:p w14:paraId="1F575D29" w14:textId="047508D1" w:rsidR="00C059BC" w:rsidRDefault="00C059BC" w:rsidP="00C059BC">
      <w:pPr>
        <w:pStyle w:val="FootnoteText"/>
      </w:pPr>
      <w:r>
        <w:rPr>
          <w:rStyle w:val="FootnoteReference"/>
        </w:rPr>
        <w:footnoteRef/>
      </w:r>
      <w:r>
        <w:t xml:space="preserve"> </w:t>
      </w:r>
      <w:r w:rsidR="00D4407E">
        <w:t xml:space="preserve">DHAC (2023) </w:t>
      </w:r>
      <w:hyperlink r:id="rId111" w:history="1">
        <w:r w:rsidRPr="00A77A06">
          <w:rPr>
            <w:rStyle w:val="Hyperlink"/>
            <w:rFonts w:ascii="Calibri" w:eastAsia="Calibri" w:hAnsi="Calibri" w:cs="Calibri"/>
            <w:i/>
            <w:iCs/>
            <w:lang w:val="en-US"/>
          </w:rPr>
          <w:t>Conversations for Change report: improving consumer engagement in Health Technology Assessment</w:t>
        </w:r>
      </w:hyperlink>
      <w:r w:rsidR="00147AD1">
        <w:t>.</w:t>
      </w:r>
    </w:p>
  </w:footnote>
  <w:footnote w:id="134">
    <w:p w14:paraId="1DB24428" w14:textId="52FC3D0D" w:rsidR="00A16D95" w:rsidRDefault="00A16D95">
      <w:pPr>
        <w:pStyle w:val="FootnoteText"/>
      </w:pPr>
      <w:r>
        <w:rPr>
          <w:rStyle w:val="FootnoteReference"/>
        </w:rPr>
        <w:footnoteRef/>
      </w:r>
      <w:r>
        <w:t xml:space="preserve"> </w:t>
      </w:r>
      <w:hyperlink r:id="rId112" w:history="1">
        <w:r w:rsidRPr="000116F3">
          <w:rPr>
            <w:rStyle w:val="Hyperlink"/>
            <w:i/>
            <w:iCs/>
          </w:rPr>
          <w:t>National Health Act 1953</w:t>
        </w:r>
      </w:hyperlink>
      <w:r w:rsidR="00147AD1">
        <w:t>.</w:t>
      </w:r>
    </w:p>
  </w:footnote>
  <w:footnote w:id="135">
    <w:p w14:paraId="3280E66D" w14:textId="205EF444" w:rsidR="000E2A55" w:rsidRDefault="000E2A55">
      <w:pPr>
        <w:pStyle w:val="FootnoteText"/>
      </w:pPr>
      <w:r>
        <w:rPr>
          <w:rStyle w:val="FootnoteReference"/>
        </w:rPr>
        <w:footnoteRef/>
      </w:r>
      <w:r>
        <w:t xml:space="preserve"> </w:t>
      </w:r>
      <w:r w:rsidRPr="00EE7559">
        <w:t>Australia</w:t>
      </w:r>
      <w:r w:rsidR="00FA396E">
        <w:t>n</w:t>
      </w:r>
      <w:r w:rsidRPr="00EE7559">
        <w:t xml:space="preserve"> Parliament House of Representatives Standing Committee on Health, Aged Care and Sport (2021) </w:t>
      </w:r>
      <w:hyperlink r:id="rId113" w:history="1">
        <w:r w:rsidRPr="00EE7559">
          <w:rPr>
            <w:rStyle w:val="Hyperlink"/>
            <w:i/>
            <w:iCs/>
          </w:rPr>
          <w:t xml:space="preserve">The New Frontier </w:t>
        </w:r>
        <w:r>
          <w:rPr>
            <w:rStyle w:val="Hyperlink"/>
            <w:i/>
            <w:iCs/>
          </w:rPr>
          <w:t>i</w:t>
        </w:r>
        <w:r w:rsidRPr="00EE7559">
          <w:rPr>
            <w:rStyle w:val="Hyperlink"/>
            <w:i/>
            <w:iCs/>
          </w:rPr>
          <w:t>nquiry</w:t>
        </w:r>
      </w:hyperlink>
      <w:r w:rsidR="00147AD1">
        <w:t>.</w:t>
      </w:r>
    </w:p>
  </w:footnote>
  <w:footnote w:id="136">
    <w:p w14:paraId="066D387C" w14:textId="50B9DC95" w:rsidR="00EF28C6" w:rsidRDefault="00EF28C6">
      <w:pPr>
        <w:pStyle w:val="FootnoteText"/>
      </w:pPr>
      <w:r>
        <w:rPr>
          <w:rStyle w:val="FootnoteReference"/>
        </w:rPr>
        <w:footnoteRef/>
      </w:r>
      <w:r>
        <w:t xml:space="preserve"> </w:t>
      </w:r>
      <w:r w:rsidR="00CC46DB" w:rsidRPr="008734F2">
        <w:t xml:space="preserve">DHAC (2016) </w:t>
      </w:r>
      <w:hyperlink r:id="rId114" w:history="1">
        <w:r w:rsidR="00CC46DB" w:rsidRPr="008734F2">
          <w:rPr>
            <w:rStyle w:val="Hyperlink"/>
            <w:i/>
            <w:iCs/>
          </w:rPr>
          <w:t>Guidelines for preparing a submission to the Pharmaceutical Benefits Advisory Committee</w:t>
        </w:r>
      </w:hyperlink>
      <w:r w:rsidR="00754E10" w:rsidRPr="000D3053">
        <w:rPr>
          <w:rStyle w:val="Hyperlink"/>
          <w:color w:val="auto"/>
          <w:u w:val="none"/>
        </w:rPr>
        <w:t>, PBS</w:t>
      </w:r>
      <w:r w:rsidR="00CC46DB" w:rsidRPr="00DE1974">
        <w:t>.</w:t>
      </w:r>
    </w:p>
  </w:footnote>
  <w:footnote w:id="137">
    <w:p w14:paraId="17760814" w14:textId="415F7893" w:rsidR="00E136D3" w:rsidRDefault="00E136D3">
      <w:pPr>
        <w:pStyle w:val="FootnoteText"/>
      </w:pPr>
      <w:r>
        <w:rPr>
          <w:rStyle w:val="FootnoteReference"/>
        </w:rPr>
        <w:footnoteRef/>
      </w:r>
      <w:r>
        <w:t xml:space="preserve"> </w:t>
      </w:r>
      <w:r w:rsidR="00DF399C">
        <w:t xml:space="preserve">DHAC (2021) </w:t>
      </w:r>
      <w:hyperlink r:id="rId115" w:history="1">
        <w:r w:rsidR="00DF399C" w:rsidRPr="00A33FB3">
          <w:rPr>
            <w:rStyle w:val="Hyperlink"/>
            <w:i/>
            <w:iCs/>
          </w:rPr>
          <w:t>Guidelines for preparing assessments for the Medical Services Advisory Committee</w:t>
        </w:r>
      </w:hyperlink>
      <w:r w:rsidR="00754E10">
        <w:t>, MSAC.</w:t>
      </w:r>
    </w:p>
  </w:footnote>
  <w:footnote w:id="138">
    <w:p w14:paraId="7EF68F32" w14:textId="69B0A455" w:rsidR="007A50EA" w:rsidRPr="004C33B6" w:rsidRDefault="007A50EA">
      <w:pPr>
        <w:pStyle w:val="FootnoteText"/>
        <w:rPr>
          <w:i/>
        </w:rPr>
      </w:pPr>
      <w:r>
        <w:rPr>
          <w:rStyle w:val="FootnoteReference"/>
        </w:rPr>
        <w:footnoteRef/>
      </w:r>
      <w:r>
        <w:t xml:space="preserve"> </w:t>
      </w:r>
      <w:r w:rsidR="004C33B6" w:rsidRPr="004C33B6">
        <w:t xml:space="preserve">Adelaide Health Technology Assessment (2023) </w:t>
      </w:r>
      <w:r w:rsidR="00535230" w:rsidRPr="009F4120">
        <w:rPr>
          <w:i/>
          <w:iCs/>
        </w:rPr>
        <w:t>Clinical Evaluation Methods in HTA</w:t>
      </w:r>
      <w:r w:rsidR="004C33B6" w:rsidRPr="004C33B6">
        <w:t>, Health Technology Assessment Policy and Methods Review</w:t>
      </w:r>
      <w:r w:rsidR="00535230">
        <w:t xml:space="preserve"> within Adelaide Health Technology Assessment (2024)  </w:t>
      </w:r>
      <w:hyperlink r:id="rId116" w:history="1">
        <w:r w:rsidR="00535230" w:rsidRPr="00C52F5D">
          <w:rPr>
            <w:rStyle w:val="Hyperlink"/>
            <w:i/>
            <w:iCs/>
          </w:rPr>
          <w:t>HTA Pathways and Processes, Clinical Evaluation Methods and Horizon Scanning</w:t>
        </w:r>
      </w:hyperlink>
      <w:r w:rsidR="00535230">
        <w:t>, Health Technology Assessment Policy and Methods Review</w:t>
      </w:r>
      <w:r w:rsidR="00DB7AFF">
        <w:t>.</w:t>
      </w:r>
      <w:r w:rsidR="00FA396E">
        <w:t xml:space="preserve"> </w:t>
      </w:r>
    </w:p>
  </w:footnote>
  <w:footnote w:id="139">
    <w:p w14:paraId="46D582F1" w14:textId="389D3B6D" w:rsidR="00DB7AFF" w:rsidRDefault="00DB7AFF">
      <w:pPr>
        <w:pStyle w:val="FootnoteText"/>
      </w:pPr>
      <w:r>
        <w:rPr>
          <w:rStyle w:val="FootnoteReference"/>
        </w:rPr>
        <w:footnoteRef/>
      </w:r>
      <w:r>
        <w:t xml:space="preserve"> </w:t>
      </w:r>
      <w:r w:rsidRPr="004C33B6">
        <w:t xml:space="preserve">Adelaide Health Technology Assessment (2023) </w:t>
      </w:r>
      <w:r w:rsidR="00535230" w:rsidRPr="009F4120">
        <w:rPr>
          <w:i/>
          <w:iCs/>
        </w:rPr>
        <w:t>Clinical Evaluation Methods in HTA</w:t>
      </w:r>
      <w:r w:rsidRPr="004C33B6">
        <w:t>, Health Technology Assessment Policy and Methods Review</w:t>
      </w:r>
      <w:r w:rsidR="00535230">
        <w:t xml:space="preserve"> within Adelaide Health Technology Assessment (2024)  </w:t>
      </w:r>
      <w:hyperlink r:id="rId117" w:history="1">
        <w:r w:rsidR="00535230" w:rsidRPr="00C52F5D">
          <w:rPr>
            <w:rStyle w:val="Hyperlink"/>
            <w:i/>
            <w:iCs/>
          </w:rPr>
          <w:t>HTA Pathways and Processes, Clinical Evaluation Methods and Horizon Scanning</w:t>
        </w:r>
      </w:hyperlink>
      <w:r w:rsidR="00535230">
        <w:t>, Health Technology Assessment Policy and Methods Review</w:t>
      </w:r>
      <w:r>
        <w:t>.</w:t>
      </w:r>
    </w:p>
  </w:footnote>
  <w:footnote w:id="140">
    <w:p w14:paraId="2734AC69" w14:textId="71C894F0" w:rsidR="00E04A25" w:rsidRDefault="00E04A25">
      <w:pPr>
        <w:pStyle w:val="FootnoteText"/>
      </w:pPr>
      <w:r>
        <w:rPr>
          <w:rStyle w:val="FootnoteReference"/>
        </w:rPr>
        <w:footnoteRef/>
      </w:r>
      <w:r>
        <w:t xml:space="preserve"> </w:t>
      </w:r>
      <w:r w:rsidR="00615819">
        <w:t>See Appendix 6 in</w:t>
      </w:r>
      <w:r>
        <w:t xml:space="preserve"> </w:t>
      </w:r>
      <w:r w:rsidRPr="008734F2">
        <w:t xml:space="preserve">DHAC (2016) </w:t>
      </w:r>
      <w:hyperlink r:id="rId118" w:history="1">
        <w:r w:rsidRPr="008734F2">
          <w:rPr>
            <w:rStyle w:val="Hyperlink"/>
            <w:i/>
            <w:iCs/>
          </w:rPr>
          <w:t>Guidelines for preparing a submission to the Pharmaceutical Benefits Advisory Committee</w:t>
        </w:r>
      </w:hyperlink>
      <w:r w:rsidR="00147AD1">
        <w:t>.</w:t>
      </w:r>
    </w:p>
  </w:footnote>
  <w:footnote w:id="141">
    <w:p w14:paraId="692EEBBD" w14:textId="30B8C211" w:rsidR="00613CA3" w:rsidRPr="007113B5" w:rsidRDefault="00613CA3" w:rsidP="00613CA3">
      <w:pPr>
        <w:pStyle w:val="FootnoteText"/>
        <w:rPr>
          <w:sz w:val="16"/>
          <w:szCs w:val="16"/>
        </w:rPr>
      </w:pPr>
      <w:r w:rsidRPr="004C33B6">
        <w:rPr>
          <w:rStyle w:val="FootnoteReference"/>
        </w:rPr>
        <w:footnoteRef/>
      </w:r>
      <w:r w:rsidRPr="004C33B6">
        <w:t xml:space="preserve"> </w:t>
      </w:r>
      <w:r w:rsidR="007F2024" w:rsidRPr="004C33B6">
        <w:t xml:space="preserve">Centre of Research Excellence in Medicines Intelligence (2023) </w:t>
      </w:r>
      <w:hyperlink r:id="rId119" w:history="1">
        <w:r w:rsidRPr="004C33B6">
          <w:rPr>
            <w:rStyle w:val="Hyperlink"/>
            <w:i/>
          </w:rPr>
          <w:t>Optimised real world evidence to support health technology assessment in Australia</w:t>
        </w:r>
      </w:hyperlink>
      <w:r w:rsidR="007F2024" w:rsidRPr="004C33B6">
        <w:t>, Health Technology Assessment Policy and Methods Review</w:t>
      </w:r>
      <w:r w:rsidR="0049320A">
        <w:t>.</w:t>
      </w:r>
      <w:r w:rsidR="007F2024" w:rsidRPr="004C33B6">
        <w:t xml:space="preserve"> </w:t>
      </w:r>
    </w:p>
  </w:footnote>
  <w:footnote w:id="142">
    <w:p w14:paraId="39C2CCC2" w14:textId="097CAD4E" w:rsidR="0049320A" w:rsidRDefault="0049320A">
      <w:pPr>
        <w:pStyle w:val="FootnoteText"/>
      </w:pPr>
      <w:r>
        <w:rPr>
          <w:rStyle w:val="FootnoteReference"/>
        </w:rPr>
        <w:footnoteRef/>
      </w:r>
      <w:r>
        <w:t xml:space="preserve"> </w:t>
      </w:r>
      <w:r w:rsidRPr="004C33B6">
        <w:t xml:space="preserve">Centre of Research Excellence in Medicines Intelligence (2023) </w:t>
      </w:r>
      <w:hyperlink r:id="rId120"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43">
    <w:p w14:paraId="4F0C5D0C" w14:textId="5610086A" w:rsidR="0049320A" w:rsidRDefault="0049320A">
      <w:pPr>
        <w:pStyle w:val="FootnoteText"/>
      </w:pPr>
      <w:r>
        <w:rPr>
          <w:rStyle w:val="FootnoteReference"/>
        </w:rPr>
        <w:footnoteRef/>
      </w:r>
      <w:r>
        <w:t xml:space="preserve"> </w:t>
      </w:r>
      <w:r w:rsidRPr="004C33B6">
        <w:t xml:space="preserve">Centre of Research Excellence in Medicines Intelligence (2023) </w:t>
      </w:r>
      <w:hyperlink r:id="rId121"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44">
    <w:p w14:paraId="2A775061" w14:textId="707EE02D" w:rsidR="00775F31" w:rsidRDefault="00775F31">
      <w:pPr>
        <w:pStyle w:val="FootnoteText"/>
      </w:pPr>
      <w:r>
        <w:rPr>
          <w:rStyle w:val="FootnoteReference"/>
        </w:rPr>
        <w:footnoteRef/>
      </w:r>
      <w:r>
        <w:t xml:space="preserve"> </w:t>
      </w:r>
      <w:r w:rsidRPr="004C33B6">
        <w:t xml:space="preserve">Centre of Research Excellence in Medicines Intelligence (2023) </w:t>
      </w:r>
      <w:hyperlink r:id="rId122"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45">
    <w:p w14:paraId="4304FD29" w14:textId="42B92BE3" w:rsidR="001156F2" w:rsidRDefault="001156F2">
      <w:pPr>
        <w:pStyle w:val="FootnoteText"/>
      </w:pPr>
      <w:r>
        <w:rPr>
          <w:rStyle w:val="FootnoteReference"/>
        </w:rPr>
        <w:footnoteRef/>
      </w:r>
      <w:r>
        <w:t xml:space="preserve"> </w:t>
      </w:r>
      <w:r w:rsidR="006319F6">
        <w:t xml:space="preserve"> Adapted from</w:t>
      </w:r>
      <w:r>
        <w:t xml:space="preserve"> </w:t>
      </w:r>
      <w:r w:rsidR="0074364D">
        <w:t>p8 in</w:t>
      </w:r>
      <w:r>
        <w:t xml:space="preserve"> </w:t>
      </w:r>
      <w:r w:rsidRPr="004C33B6">
        <w:t xml:space="preserve">Centre of Research Excellence in Medicines Intelligence (2023) </w:t>
      </w:r>
      <w:hyperlink r:id="rId123" w:history="1">
        <w:r w:rsidRPr="004C33B6">
          <w:rPr>
            <w:rStyle w:val="Hyperlink"/>
            <w:i/>
          </w:rPr>
          <w:t>Optimised real world evidence to support health technology assessment in Australia</w:t>
        </w:r>
      </w:hyperlink>
      <w:r w:rsidRPr="004C33B6">
        <w:t>, Health Technology Assessment Policy and Methods Review</w:t>
      </w:r>
      <w:r w:rsidR="005B7CFC">
        <w:t>.</w:t>
      </w:r>
    </w:p>
  </w:footnote>
  <w:footnote w:id="146">
    <w:p w14:paraId="112F2F56" w14:textId="52A592B8" w:rsidR="001156F2" w:rsidRDefault="001156F2">
      <w:pPr>
        <w:pStyle w:val="FootnoteText"/>
      </w:pPr>
      <w:r>
        <w:rPr>
          <w:rStyle w:val="FootnoteReference"/>
        </w:rPr>
        <w:footnoteRef/>
      </w:r>
      <w:r>
        <w:t xml:space="preserve"> </w:t>
      </w:r>
      <w:r w:rsidRPr="004C33B6">
        <w:t xml:space="preserve">Centre of Research Excellence in Medicines Intelligence (2023) </w:t>
      </w:r>
      <w:hyperlink r:id="rId124" w:history="1">
        <w:r w:rsidRPr="004C33B6">
          <w:rPr>
            <w:rStyle w:val="Hyperlink"/>
            <w:i/>
          </w:rPr>
          <w:t>Optimised real world evidence to support health technology assessment in Australia</w:t>
        </w:r>
      </w:hyperlink>
      <w:r w:rsidRPr="004C33B6">
        <w:t>, Health Technology Assessment Policy and Methods Review</w:t>
      </w:r>
      <w:r w:rsidR="005B7CFC">
        <w:t>.</w:t>
      </w:r>
    </w:p>
  </w:footnote>
  <w:footnote w:id="147">
    <w:p w14:paraId="7E73D98C" w14:textId="62645C66" w:rsidR="005C39FD" w:rsidRDefault="005C39FD">
      <w:pPr>
        <w:pStyle w:val="FootnoteText"/>
      </w:pPr>
      <w:r>
        <w:rPr>
          <w:rStyle w:val="FootnoteReference"/>
        </w:rPr>
        <w:footnoteRef/>
      </w:r>
      <w:r>
        <w:t xml:space="preserve"> </w:t>
      </w:r>
      <w:r w:rsidRPr="004C33B6">
        <w:t xml:space="preserve">Centre of Research Excellence in Medicines Intelligence (2023) </w:t>
      </w:r>
      <w:hyperlink r:id="rId125" w:history="1">
        <w:r w:rsidRPr="004C33B6">
          <w:rPr>
            <w:rStyle w:val="Hyperlink"/>
            <w:i/>
          </w:rPr>
          <w:t>Optimised real world evidence to support health technology assessment in Australia</w:t>
        </w:r>
      </w:hyperlink>
      <w:r w:rsidRPr="004C33B6">
        <w:t>, Health Technology Assessment Policy and Methods Review</w:t>
      </w:r>
      <w:r>
        <w:t xml:space="preserve">. </w:t>
      </w:r>
    </w:p>
  </w:footnote>
  <w:footnote w:id="148">
    <w:p w14:paraId="1345DD79" w14:textId="4ECE59C9" w:rsidR="00C2776A" w:rsidRDefault="00C2776A">
      <w:pPr>
        <w:pStyle w:val="FootnoteText"/>
      </w:pPr>
      <w:r w:rsidRPr="00861E0B">
        <w:rPr>
          <w:rStyle w:val="FootnoteReference"/>
        </w:rPr>
        <w:footnoteRef/>
      </w:r>
      <w:r w:rsidRPr="00861E0B">
        <w:t xml:space="preserve"> </w:t>
      </w:r>
      <w:r w:rsidR="00E124D4" w:rsidRPr="00861E0B">
        <w:t xml:space="preserve">DHAC </w:t>
      </w:r>
      <w:r w:rsidR="00CE178C" w:rsidRPr="00861E0B">
        <w:t xml:space="preserve">(2019) </w:t>
      </w:r>
      <w:hyperlink r:id="rId126" w:history="1">
        <w:r w:rsidR="00CC7FA4">
          <w:rPr>
            <w:rStyle w:val="Hyperlink"/>
          </w:rPr>
          <w:t>National Hepatitis C Data Collection Public Summary Document, March 2019 PBAC Meeting</w:t>
        </w:r>
      </w:hyperlink>
      <w:r w:rsidR="000A334E">
        <w:t>, PBS.</w:t>
      </w:r>
    </w:p>
  </w:footnote>
  <w:footnote w:id="149">
    <w:p w14:paraId="3A92E228" w14:textId="5200A7BC" w:rsidR="0012509C" w:rsidRDefault="0012509C">
      <w:pPr>
        <w:pStyle w:val="FootnoteText"/>
      </w:pPr>
      <w:r w:rsidRPr="00D155D7">
        <w:rPr>
          <w:rStyle w:val="FootnoteReference"/>
        </w:rPr>
        <w:footnoteRef/>
      </w:r>
      <w:r w:rsidRPr="00D155D7">
        <w:t xml:space="preserve"> </w:t>
      </w:r>
      <w:r w:rsidR="001F7D56" w:rsidRPr="00D155D7">
        <w:t>See December 2020</w:t>
      </w:r>
      <w:r w:rsidR="002F015A">
        <w:t xml:space="preserve">, </w:t>
      </w:r>
      <w:r w:rsidR="00D155D7" w:rsidRPr="00D155D7">
        <w:t xml:space="preserve">Other matters in </w:t>
      </w:r>
      <w:r w:rsidR="0079127F" w:rsidRPr="00D155D7">
        <w:t>DHAC (20</w:t>
      </w:r>
      <w:r w:rsidR="005D7317" w:rsidRPr="00D155D7">
        <w:t xml:space="preserve">20) </w:t>
      </w:r>
      <w:r w:rsidR="00A33E82" w:rsidRPr="00D155D7">
        <w:t xml:space="preserve">December 2020 </w:t>
      </w:r>
      <w:hyperlink r:id="rId127" w:history="1">
        <w:r w:rsidR="00E9045E" w:rsidRPr="00A4281D">
          <w:rPr>
            <w:rStyle w:val="Hyperlink"/>
            <w:i/>
            <w:iCs/>
          </w:rPr>
          <w:t>Recommendations made by the PBAC – December 2020 Intracycle meeting</w:t>
        </w:r>
      </w:hyperlink>
      <w:r w:rsidR="00E9045E" w:rsidRPr="00D155D7">
        <w:t>, PBS</w:t>
      </w:r>
      <w:r w:rsidR="002F015A">
        <w:t>.</w:t>
      </w:r>
      <w:r w:rsidR="00E9045E" w:rsidRPr="00D155D7">
        <w:t xml:space="preserve"> </w:t>
      </w:r>
    </w:p>
  </w:footnote>
  <w:footnote w:id="150">
    <w:p w14:paraId="5487802F" w14:textId="09A4839D" w:rsidR="001848EC" w:rsidRDefault="001848EC">
      <w:pPr>
        <w:pStyle w:val="FootnoteText"/>
      </w:pPr>
      <w:r>
        <w:rPr>
          <w:rStyle w:val="FootnoteReference"/>
        </w:rPr>
        <w:footnoteRef/>
      </w:r>
      <w:r>
        <w:t xml:space="preserve"> </w:t>
      </w:r>
      <w:r w:rsidRPr="004C33B6">
        <w:t xml:space="preserve">Centre of Research Excellence in Medicines Intelligence (2023) </w:t>
      </w:r>
      <w:hyperlink r:id="rId128"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1">
    <w:p w14:paraId="4DED502A" w14:textId="4E74BF7B" w:rsidR="00C9592F" w:rsidRDefault="00C9592F">
      <w:pPr>
        <w:pStyle w:val="FootnoteText"/>
      </w:pPr>
      <w:r>
        <w:rPr>
          <w:rStyle w:val="FootnoteReference"/>
        </w:rPr>
        <w:footnoteRef/>
      </w:r>
      <w:r>
        <w:t xml:space="preserve"> </w:t>
      </w:r>
      <w:r w:rsidRPr="004C33B6">
        <w:t xml:space="preserve">Centre of Research Excellence in Medicines Intelligence (2023) </w:t>
      </w:r>
      <w:hyperlink r:id="rId129"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2">
    <w:p w14:paraId="1B317912" w14:textId="689BEA09" w:rsidR="00C9592F" w:rsidRDefault="00C9592F">
      <w:pPr>
        <w:pStyle w:val="FootnoteText"/>
      </w:pPr>
      <w:r>
        <w:rPr>
          <w:rStyle w:val="FootnoteReference"/>
        </w:rPr>
        <w:footnoteRef/>
      </w:r>
      <w:r>
        <w:t xml:space="preserve"> </w:t>
      </w:r>
      <w:r w:rsidRPr="004C33B6">
        <w:t xml:space="preserve">Centre of Research Excellence in Medicines Intelligence (2023) </w:t>
      </w:r>
      <w:hyperlink r:id="rId130"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3">
    <w:p w14:paraId="2186E671" w14:textId="374316BB" w:rsidR="000E54E8" w:rsidRDefault="000E54E8">
      <w:pPr>
        <w:pStyle w:val="FootnoteText"/>
      </w:pPr>
      <w:r>
        <w:rPr>
          <w:rStyle w:val="FootnoteReference"/>
        </w:rPr>
        <w:footnoteRef/>
      </w:r>
      <w:r>
        <w:t xml:space="preserve"> </w:t>
      </w:r>
      <w:r w:rsidR="008A46B9">
        <w:t>Australian Bureau of Statistic</w:t>
      </w:r>
      <w:r w:rsidR="0060720A">
        <w:t>s (ABS)</w:t>
      </w:r>
      <w:r w:rsidR="008A46B9">
        <w:t xml:space="preserve"> </w:t>
      </w:r>
      <w:r w:rsidR="00AE1130">
        <w:t xml:space="preserve">(2021) </w:t>
      </w:r>
      <w:hyperlink r:id="rId131" w:history="1">
        <w:r w:rsidR="00AE1130" w:rsidRPr="00A235BE">
          <w:rPr>
            <w:rStyle w:val="Hyperlink"/>
            <w:i/>
            <w:iCs/>
          </w:rPr>
          <w:t>DataLab</w:t>
        </w:r>
      </w:hyperlink>
      <w:r w:rsidR="00955058">
        <w:t>.</w:t>
      </w:r>
    </w:p>
  </w:footnote>
  <w:footnote w:id="154">
    <w:p w14:paraId="5D586E52" w14:textId="0C10BDAF" w:rsidR="003A518D" w:rsidRDefault="003A518D">
      <w:pPr>
        <w:pStyle w:val="FootnoteText"/>
      </w:pPr>
      <w:r>
        <w:rPr>
          <w:rStyle w:val="FootnoteReference"/>
        </w:rPr>
        <w:footnoteRef/>
      </w:r>
      <w:r>
        <w:t xml:space="preserve"> </w:t>
      </w:r>
      <w:r w:rsidRPr="004C33B6">
        <w:t xml:space="preserve">Centre of Research Excellence in Medicines Intelligence (2023) </w:t>
      </w:r>
      <w:hyperlink r:id="rId132"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5">
    <w:p w14:paraId="1FA17364" w14:textId="79B26A8C" w:rsidR="003A518D" w:rsidRDefault="003A518D">
      <w:pPr>
        <w:pStyle w:val="FootnoteText"/>
      </w:pPr>
      <w:r>
        <w:rPr>
          <w:rStyle w:val="FootnoteReference"/>
        </w:rPr>
        <w:footnoteRef/>
      </w:r>
      <w:r>
        <w:t xml:space="preserve"> </w:t>
      </w:r>
      <w:r w:rsidRPr="004C33B6">
        <w:t xml:space="preserve">Centre of Research Excellence in Medicines Intelligence (2023) </w:t>
      </w:r>
      <w:hyperlink r:id="rId133"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6">
    <w:p w14:paraId="113FD99C" w14:textId="2F620348" w:rsidR="009A1C2B" w:rsidRDefault="009A1C2B">
      <w:pPr>
        <w:pStyle w:val="FootnoteText"/>
      </w:pPr>
      <w:r>
        <w:rPr>
          <w:rStyle w:val="FootnoteReference"/>
        </w:rPr>
        <w:footnoteRef/>
      </w:r>
      <w:r>
        <w:t xml:space="preserve"> </w:t>
      </w:r>
      <w:r w:rsidRPr="004C33B6">
        <w:t xml:space="preserve">Centre of Research Excellence in Medicines Intelligence (2023) </w:t>
      </w:r>
      <w:hyperlink r:id="rId134"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7">
    <w:p w14:paraId="55FA5A45" w14:textId="55C1D0AF" w:rsidR="009A1C2B" w:rsidRDefault="009A1C2B">
      <w:pPr>
        <w:pStyle w:val="FootnoteText"/>
      </w:pPr>
      <w:r>
        <w:rPr>
          <w:rStyle w:val="FootnoteReference"/>
        </w:rPr>
        <w:footnoteRef/>
      </w:r>
      <w:r>
        <w:t xml:space="preserve"> </w:t>
      </w:r>
      <w:r w:rsidRPr="004C33B6">
        <w:t xml:space="preserve">Centre of Research Excellence in Medicines Intelligence (2023) </w:t>
      </w:r>
      <w:hyperlink r:id="rId135"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8">
    <w:p w14:paraId="23A41EA1" w14:textId="35234351" w:rsidR="009A1C2B" w:rsidRDefault="009A1C2B">
      <w:pPr>
        <w:pStyle w:val="FootnoteText"/>
      </w:pPr>
      <w:r>
        <w:rPr>
          <w:rStyle w:val="FootnoteReference"/>
        </w:rPr>
        <w:footnoteRef/>
      </w:r>
      <w:r>
        <w:t xml:space="preserve"> </w:t>
      </w:r>
      <w:r w:rsidRPr="004C33B6">
        <w:t xml:space="preserve">Centre of Research Excellence in Medicines Intelligence (2023) </w:t>
      </w:r>
      <w:hyperlink r:id="rId136"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59">
    <w:p w14:paraId="2EF36ED5" w14:textId="7AFA486A" w:rsidR="0063349F" w:rsidRDefault="0063349F">
      <w:pPr>
        <w:pStyle w:val="FootnoteText"/>
      </w:pPr>
      <w:r>
        <w:rPr>
          <w:rStyle w:val="FootnoteReference"/>
        </w:rPr>
        <w:footnoteRef/>
      </w:r>
      <w:r>
        <w:t xml:space="preserve"> </w:t>
      </w:r>
      <w:r w:rsidRPr="004C33B6">
        <w:t xml:space="preserve">Centre of Research Excellence in Medicines Intelligence (2023) </w:t>
      </w:r>
      <w:hyperlink r:id="rId137"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60">
    <w:p w14:paraId="014A55F8" w14:textId="07D5164F" w:rsidR="0063349F" w:rsidRDefault="0063349F">
      <w:pPr>
        <w:pStyle w:val="FootnoteText"/>
      </w:pPr>
      <w:r>
        <w:rPr>
          <w:rStyle w:val="FootnoteReference"/>
        </w:rPr>
        <w:footnoteRef/>
      </w:r>
      <w:r>
        <w:t xml:space="preserve"> </w:t>
      </w:r>
      <w:r w:rsidRPr="004C33B6">
        <w:t xml:space="preserve">Centre of Research Excellence in Medicines Intelligence (2023) </w:t>
      </w:r>
      <w:hyperlink r:id="rId138"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61">
    <w:p w14:paraId="3E4895E5" w14:textId="792DC77C" w:rsidR="0063349F" w:rsidRDefault="0063349F">
      <w:pPr>
        <w:pStyle w:val="FootnoteText"/>
      </w:pPr>
      <w:r>
        <w:rPr>
          <w:rStyle w:val="FootnoteReference"/>
        </w:rPr>
        <w:footnoteRef/>
      </w:r>
      <w:r>
        <w:t xml:space="preserve"> </w:t>
      </w:r>
      <w:r w:rsidRPr="004C33B6">
        <w:t xml:space="preserve">Centre of Research Excellence in Medicines Intelligence (2023) </w:t>
      </w:r>
      <w:hyperlink r:id="rId139"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62">
    <w:p w14:paraId="1838F986" w14:textId="63BB0287" w:rsidR="00AE488C" w:rsidRDefault="00AE488C" w:rsidP="00AE488C">
      <w:pPr>
        <w:pStyle w:val="FootnoteText"/>
      </w:pPr>
      <w:r>
        <w:rPr>
          <w:rStyle w:val="FootnoteReference"/>
        </w:rPr>
        <w:footnoteRef/>
      </w:r>
      <w:r>
        <w:t xml:space="preserve"> See findings and observations summarised in</w:t>
      </w:r>
      <w:r w:rsidR="00D80679">
        <w:t xml:space="preserve"> Centre for Health Economics Research &amp; Evaluation (2023)</w:t>
      </w:r>
      <w:r w:rsidR="006D7611" w:rsidRPr="006D7611">
        <w:t xml:space="preserve"> </w:t>
      </w:r>
      <w:hyperlink r:id="rId140" w:history="1">
        <w:r w:rsidR="006D7611" w:rsidRPr="00EC6F5B">
          <w:rPr>
            <w:rStyle w:val="Hyperlink"/>
            <w:i/>
            <w:iCs/>
          </w:rPr>
          <w:t>Health Technology Assessment Policy and Methods Review – Consultation 1 Report</w:t>
        </w:r>
      </w:hyperlink>
      <w:r w:rsidR="00955058">
        <w:t>.</w:t>
      </w:r>
    </w:p>
  </w:footnote>
  <w:footnote w:id="163">
    <w:p w14:paraId="6C34A8C1" w14:textId="4D33069A" w:rsidR="005665AC" w:rsidRDefault="005665AC">
      <w:pPr>
        <w:pStyle w:val="FootnoteText"/>
      </w:pPr>
      <w:r>
        <w:rPr>
          <w:rStyle w:val="FootnoteReference"/>
        </w:rPr>
        <w:footnoteRef/>
      </w:r>
      <w:r>
        <w:t xml:space="preserve"> </w:t>
      </w:r>
      <w:r w:rsidRPr="00EE7559">
        <w:t>Australia</w:t>
      </w:r>
      <w:r w:rsidR="00955058">
        <w:t>n</w:t>
      </w:r>
      <w:r w:rsidRPr="00EE7559">
        <w:t xml:space="preserve"> Parliament House of Representatives Standing Committee on Health, Aged Care and Sport (2021) </w:t>
      </w:r>
      <w:hyperlink r:id="rId141" w:history="1">
        <w:r w:rsidRPr="00EE7559">
          <w:rPr>
            <w:rStyle w:val="Hyperlink"/>
            <w:i/>
            <w:iCs/>
          </w:rPr>
          <w:t>The New Frontier Inquiry</w:t>
        </w:r>
      </w:hyperlink>
      <w:r w:rsidR="00147AD1">
        <w:t>.</w:t>
      </w:r>
    </w:p>
  </w:footnote>
  <w:footnote w:id="164">
    <w:p w14:paraId="315E20A2" w14:textId="02FDA9AE" w:rsidR="00AE488C" w:rsidRDefault="00AE488C" w:rsidP="00AE488C">
      <w:pPr>
        <w:pStyle w:val="FootnoteText"/>
      </w:pPr>
      <w:r>
        <w:rPr>
          <w:rStyle w:val="FootnoteReference"/>
        </w:rPr>
        <w:footnoteRef/>
      </w:r>
      <w:r>
        <w:t xml:space="preserve"> </w:t>
      </w:r>
      <w:r w:rsidRPr="006117D9">
        <w:t xml:space="preserve">See </w:t>
      </w:r>
      <w:r w:rsidR="00B75833" w:rsidRPr="006117D9">
        <w:t>Breast Cancer Network Australia</w:t>
      </w:r>
      <w:r w:rsidRPr="006117D9">
        <w:t xml:space="preserve">, </w:t>
      </w:r>
      <w:r w:rsidR="00B75833" w:rsidRPr="006117D9">
        <w:t>Rare Voices Australia</w:t>
      </w:r>
      <w:r w:rsidRPr="006117D9">
        <w:t>, Antengene</w:t>
      </w:r>
      <w:r w:rsidR="007A7350" w:rsidRPr="006117D9">
        <w:t xml:space="preserve"> and</w:t>
      </w:r>
      <w:r w:rsidRPr="006117D9">
        <w:t xml:space="preserve"> Biogen submissions to Consultation 2 for representative views on these matters</w:t>
      </w:r>
      <w:r w:rsidR="00955058" w:rsidRPr="006117D9">
        <w:t>.</w:t>
      </w:r>
    </w:p>
  </w:footnote>
  <w:footnote w:id="165">
    <w:p w14:paraId="0316B083" w14:textId="383789F6" w:rsidR="00AE488C" w:rsidRDefault="00AE488C" w:rsidP="00AE488C">
      <w:pPr>
        <w:pStyle w:val="FootnoteText"/>
      </w:pPr>
      <w:r>
        <w:rPr>
          <w:rStyle w:val="FootnoteReference"/>
        </w:rPr>
        <w:footnoteRef/>
      </w:r>
      <w:r>
        <w:t xml:space="preserve"> </w:t>
      </w:r>
      <w:r w:rsidR="00AD53E6" w:rsidRPr="00FC696D">
        <w:t xml:space="preserve">Bastion Insights (2024) </w:t>
      </w:r>
      <w:r w:rsidRPr="00FC696D">
        <w:t xml:space="preserve">Consultation 2 </w:t>
      </w:r>
      <w:r w:rsidR="008D4AAC" w:rsidRPr="00FC696D">
        <w:t>Stakeholder Engagement Report</w:t>
      </w:r>
      <w:r w:rsidR="00AD53E6" w:rsidRPr="00FC696D">
        <w:t>, DHAC</w:t>
      </w:r>
      <w:r w:rsidR="00955058" w:rsidRPr="00FC696D">
        <w:t>.</w:t>
      </w:r>
    </w:p>
  </w:footnote>
  <w:footnote w:id="166">
    <w:p w14:paraId="0C5CFAC0" w14:textId="7B559C79" w:rsidR="009C10DF" w:rsidRDefault="009C10DF">
      <w:pPr>
        <w:pStyle w:val="FootnoteText"/>
      </w:pPr>
      <w:r>
        <w:rPr>
          <w:rStyle w:val="FootnoteReference"/>
        </w:rPr>
        <w:footnoteRef/>
      </w:r>
      <w:r>
        <w:t xml:space="preserve"> </w:t>
      </w:r>
      <w:r w:rsidRPr="004C33B6">
        <w:t xml:space="preserve">Centre of Research Excellence in Medicines Intelligence (2023) </w:t>
      </w:r>
      <w:hyperlink r:id="rId142" w:history="1">
        <w:r w:rsidRPr="004C33B6">
          <w:rPr>
            <w:rStyle w:val="Hyperlink"/>
            <w:i/>
          </w:rPr>
          <w:t>Optimised real world evidence to support health technology assessment in Australia</w:t>
        </w:r>
      </w:hyperlink>
      <w:r w:rsidRPr="004C33B6">
        <w:t>, Health Technology Assessment Policy and Methods Review</w:t>
      </w:r>
      <w:r>
        <w:t>.</w:t>
      </w:r>
    </w:p>
  </w:footnote>
  <w:footnote w:id="167">
    <w:p w14:paraId="187E33E9" w14:textId="185CE091" w:rsidR="00AE488C" w:rsidRDefault="00AE488C" w:rsidP="00AE488C">
      <w:pPr>
        <w:pStyle w:val="FootnoteText"/>
      </w:pPr>
      <w:r>
        <w:rPr>
          <w:rStyle w:val="FootnoteReference"/>
        </w:rPr>
        <w:footnoteRef/>
      </w:r>
      <w:r>
        <w:t xml:space="preserve"> </w:t>
      </w:r>
      <w:r w:rsidR="008C7C6A" w:rsidRPr="00FC696D">
        <w:t>See Consumers Health Forum</w:t>
      </w:r>
      <w:r w:rsidRPr="00FC696D">
        <w:t xml:space="preserve"> </w:t>
      </w:r>
      <w:r w:rsidR="008C7C6A" w:rsidRPr="00FC696D">
        <w:t>of Australia</w:t>
      </w:r>
      <w:r w:rsidRPr="00FC696D">
        <w:t xml:space="preserve"> and Janssen submissions to Consultation 2 for representative views on this matter</w:t>
      </w:r>
      <w:r w:rsidR="008E48C8" w:rsidRPr="00FC696D">
        <w:t>.</w:t>
      </w:r>
    </w:p>
  </w:footnote>
  <w:footnote w:id="168">
    <w:p w14:paraId="19C7B761" w14:textId="18DFF6D8" w:rsidR="00A66155" w:rsidRPr="00FF473B" w:rsidRDefault="00695D29" w:rsidP="00A66155">
      <w:pPr>
        <w:pStyle w:val="FootnoteText"/>
        <w:rPr>
          <w:color w:val="0E6C9B" w:themeColor="hyperlink"/>
        </w:rPr>
      </w:pPr>
      <w:r>
        <w:rPr>
          <w:rStyle w:val="FootnoteReference"/>
        </w:rPr>
        <w:footnoteRef/>
      </w:r>
      <w:r w:rsidR="007E22FA">
        <w:t xml:space="preserve"> </w:t>
      </w:r>
      <w:r w:rsidR="00A66155">
        <w:t>See p41</w:t>
      </w:r>
      <w:r w:rsidR="009C10DF">
        <w:t>–</w:t>
      </w:r>
      <w:r w:rsidR="00A66155">
        <w:t xml:space="preserve">47 </w:t>
      </w:r>
      <w:r w:rsidR="002A2793">
        <w:t>‘</w:t>
      </w:r>
      <w:r w:rsidR="00F2156E" w:rsidRPr="00405FD7">
        <w:rPr>
          <w:i/>
        </w:rPr>
        <w:t xml:space="preserve">PART 2: Roadmap for optimising the availability and use of RWD to generate robust RWE to support the HTA lifecycle in </w:t>
      </w:r>
      <w:r w:rsidR="00F2156E" w:rsidRPr="00405FD7">
        <w:rPr>
          <w:i/>
          <w:iCs/>
        </w:rPr>
        <w:t>Australia</w:t>
      </w:r>
      <w:r w:rsidR="002A2793" w:rsidRPr="00405FD7">
        <w:rPr>
          <w:i/>
          <w:iCs/>
        </w:rPr>
        <w:t>’</w:t>
      </w:r>
      <w:r w:rsidR="00F2156E">
        <w:t xml:space="preserve">, in </w:t>
      </w:r>
      <w:r w:rsidR="00A66155" w:rsidRPr="00FF473B">
        <w:t>Centre of Research Excellence</w:t>
      </w:r>
      <w:r w:rsidR="00FC7F78" w:rsidRPr="00FF473B">
        <w:t xml:space="preserve"> in </w:t>
      </w:r>
      <w:r w:rsidR="00A66155" w:rsidRPr="00FF473B">
        <w:t xml:space="preserve">Medicines Intelligence (2023) </w:t>
      </w:r>
      <w:hyperlink r:id="rId143" w:history="1">
        <w:r w:rsidR="00A66155" w:rsidRPr="00A66155">
          <w:rPr>
            <w:rStyle w:val="Hyperlink"/>
            <w:i/>
            <w:iCs/>
          </w:rPr>
          <w:t>Optimised real world evidence to support health technology assessment in Australia</w:t>
        </w:r>
      </w:hyperlink>
      <w:r w:rsidR="00A66155" w:rsidRPr="00FF473B">
        <w:t>, Health Technology Assessment Policy and Methods Review</w:t>
      </w:r>
      <w:r w:rsidR="008E48C8">
        <w:t>.</w:t>
      </w:r>
    </w:p>
    <w:p w14:paraId="743EEBD5" w14:textId="1DD2B2CF" w:rsidR="00695D29" w:rsidRDefault="00695D29">
      <w:pPr>
        <w:pStyle w:val="FootnoteText"/>
      </w:pPr>
    </w:p>
  </w:footnote>
  <w:footnote w:id="169">
    <w:p w14:paraId="4FC9E88D" w14:textId="00F63ABD" w:rsidR="003B50A6" w:rsidRDefault="003B50A6">
      <w:pPr>
        <w:pStyle w:val="FootnoteText"/>
      </w:pPr>
      <w:r>
        <w:rPr>
          <w:rStyle w:val="FootnoteReference"/>
        </w:rPr>
        <w:footnoteRef/>
      </w:r>
      <w:r>
        <w:t xml:space="preserve"> </w:t>
      </w:r>
      <w:r w:rsidRPr="008734F2">
        <w:t xml:space="preserve">DHAC (2016) </w:t>
      </w:r>
      <w:hyperlink r:id="rId144" w:history="1">
        <w:r w:rsidRPr="008734F2">
          <w:rPr>
            <w:rStyle w:val="Hyperlink"/>
            <w:i/>
            <w:iCs/>
          </w:rPr>
          <w:t>Guidelines for preparing a submission to the Pharmaceutical Benefits Advisory Committee</w:t>
        </w:r>
      </w:hyperlink>
      <w:r w:rsidR="00F42D73" w:rsidRPr="00595E46">
        <w:rPr>
          <w:rStyle w:val="Hyperlink"/>
          <w:color w:val="auto"/>
          <w:u w:val="none"/>
        </w:rPr>
        <w:t>, PBS</w:t>
      </w:r>
      <w:r w:rsidR="00147AD1" w:rsidRPr="00404AB2">
        <w:t>.</w:t>
      </w:r>
    </w:p>
  </w:footnote>
  <w:footnote w:id="170">
    <w:p w14:paraId="61B33C88" w14:textId="19A32AA2" w:rsidR="003B50A6" w:rsidRDefault="003B50A6">
      <w:pPr>
        <w:pStyle w:val="FootnoteText"/>
      </w:pPr>
      <w:r>
        <w:rPr>
          <w:rStyle w:val="FootnoteReference"/>
        </w:rPr>
        <w:footnoteRef/>
      </w:r>
      <w:r>
        <w:t xml:space="preserve"> DHAC (2021) </w:t>
      </w:r>
      <w:hyperlink r:id="rId145" w:history="1">
        <w:r w:rsidRPr="00A33FB3">
          <w:rPr>
            <w:rStyle w:val="Hyperlink"/>
            <w:i/>
            <w:iCs/>
          </w:rPr>
          <w:t>Guidelines for preparing assessments for the Medical Services Advisory Committee</w:t>
        </w:r>
      </w:hyperlink>
      <w:r w:rsidR="00F42D73" w:rsidRPr="00595E46">
        <w:rPr>
          <w:rStyle w:val="Hyperlink"/>
          <w:color w:val="auto"/>
          <w:u w:val="none"/>
        </w:rPr>
        <w:t>, MSAC</w:t>
      </w:r>
      <w:r w:rsidR="00147AD1" w:rsidRPr="00404AB2">
        <w:t>.</w:t>
      </w:r>
    </w:p>
  </w:footnote>
  <w:footnote w:id="171">
    <w:p w14:paraId="34A94E8B" w14:textId="630D89CB" w:rsidR="004533E0" w:rsidRDefault="004533E0">
      <w:pPr>
        <w:pStyle w:val="FootnoteText"/>
      </w:pPr>
      <w:r>
        <w:rPr>
          <w:rStyle w:val="FootnoteReference"/>
        </w:rPr>
        <w:footnoteRef/>
      </w:r>
      <w:r>
        <w:t xml:space="preserve"> </w:t>
      </w:r>
      <w:r w:rsidRPr="00512EBF">
        <w:t xml:space="preserve">Adelaide Health Technology Assessment (2023) </w:t>
      </w:r>
      <w:r w:rsidR="00535230" w:rsidRPr="009F4120">
        <w:rPr>
          <w:i/>
          <w:iCs/>
        </w:rPr>
        <w:t>Determination of the Population, Intervention Comparator, and Outcome (PICO)</w:t>
      </w:r>
      <w:r w:rsidRPr="00512EBF">
        <w:t>, Health Technology Assessment Policy and Methods Review</w:t>
      </w:r>
      <w:r w:rsidR="00535230">
        <w:t xml:space="preserve"> within Adelaide Health Technology Assessment (2024)  </w:t>
      </w:r>
      <w:hyperlink r:id="rId146" w:history="1">
        <w:r w:rsidR="00535230" w:rsidRPr="00C52F5D">
          <w:rPr>
            <w:rStyle w:val="Hyperlink"/>
            <w:i/>
            <w:iCs/>
          </w:rPr>
          <w:t>HTA Pathways and Processes, Clinical Evaluation Methods and Horizon Scanning</w:t>
        </w:r>
      </w:hyperlink>
      <w:r w:rsidR="00535230">
        <w:t>, Health Technology Assessment Policy and Methods Review</w:t>
      </w:r>
      <w:r>
        <w:t>.</w:t>
      </w:r>
    </w:p>
  </w:footnote>
  <w:footnote w:id="172">
    <w:p w14:paraId="3FB4CFCE" w14:textId="4D5362F0" w:rsidR="00487920" w:rsidRDefault="00487920">
      <w:pPr>
        <w:pStyle w:val="FootnoteText"/>
      </w:pPr>
      <w:r w:rsidRPr="002912F0">
        <w:rPr>
          <w:rStyle w:val="FootnoteReference"/>
        </w:rPr>
        <w:footnoteRef/>
      </w:r>
      <w:r w:rsidRPr="002912F0">
        <w:t xml:space="preserve"> Staniszewska S</w:t>
      </w:r>
      <w:r w:rsidR="002912F0">
        <w:t xml:space="preserve"> and</w:t>
      </w:r>
      <w:r w:rsidRPr="002912F0">
        <w:t xml:space="preserve"> Werkӧ S</w:t>
      </w:r>
      <w:r w:rsidR="00F80D56">
        <w:t xml:space="preserve"> (2017) </w:t>
      </w:r>
      <w:r w:rsidR="00F11316">
        <w:t>‘</w:t>
      </w:r>
      <w:r w:rsidRPr="002912F0">
        <w:t>Patient-based evidence in HTA</w:t>
      </w:r>
      <w:r w:rsidR="00FD0D7B">
        <w:t>’</w:t>
      </w:r>
      <w:r w:rsidRPr="002912F0">
        <w:t xml:space="preserve"> in </w:t>
      </w:r>
      <w:r w:rsidRPr="00FD0D7B">
        <w:rPr>
          <w:i/>
        </w:rPr>
        <w:t>Patient involvement in Health Technology Assessment</w:t>
      </w:r>
      <w:r w:rsidRPr="002912F0">
        <w:t>, K. Facey, HP Hansen</w:t>
      </w:r>
      <w:r w:rsidR="00546A48">
        <w:t xml:space="preserve"> and </w:t>
      </w:r>
      <w:r w:rsidRPr="002912F0">
        <w:t>ANV Single (Eds) Springer Nature: Singapore</w:t>
      </w:r>
      <w:r w:rsidR="000B7CE4">
        <w:t xml:space="preserve">, </w:t>
      </w:r>
      <w:r w:rsidRPr="002912F0">
        <w:t>p</w:t>
      </w:r>
      <w:r w:rsidR="000B7CE4">
        <w:t>:</w:t>
      </w:r>
      <w:r w:rsidRPr="002912F0">
        <w:t>43</w:t>
      </w:r>
      <w:r w:rsidR="00BE4EAD">
        <w:t>–</w:t>
      </w:r>
      <w:r w:rsidRPr="002912F0">
        <w:t>50</w:t>
      </w:r>
      <w:r w:rsidR="000B7CE4">
        <w:t>, doi:</w:t>
      </w:r>
      <w:r w:rsidR="00CC7AAC" w:rsidRPr="00CC7AAC">
        <w:t xml:space="preserve"> </w:t>
      </w:r>
      <w:hyperlink r:id="rId147" w:history="1">
        <w:r w:rsidR="00CC7AAC" w:rsidRPr="00D251D2">
          <w:rPr>
            <w:rStyle w:val="Hyperlink"/>
          </w:rPr>
          <w:t>https://doi.org/10.1007/978-981-10-4068-9_4</w:t>
        </w:r>
      </w:hyperlink>
      <w:r w:rsidR="00360CC6">
        <w:t>.</w:t>
      </w:r>
    </w:p>
  </w:footnote>
  <w:footnote w:id="173">
    <w:p w14:paraId="330AEE7A" w14:textId="130765EF" w:rsidR="000E74D5" w:rsidRDefault="000E74D5" w:rsidP="000E74D5">
      <w:pPr>
        <w:pStyle w:val="FootnoteText"/>
      </w:pPr>
      <w:r>
        <w:rPr>
          <w:rStyle w:val="FootnoteReference"/>
        </w:rPr>
        <w:footnoteRef/>
      </w:r>
      <w:r>
        <w:t xml:space="preserve"> See for example </w:t>
      </w:r>
      <w:r w:rsidR="00E85AA7">
        <w:t xml:space="preserve">paragraph 6.46 of </w:t>
      </w:r>
      <w:r w:rsidR="00C046A2">
        <w:t>DHAC</w:t>
      </w:r>
      <w:r>
        <w:t xml:space="preserve"> </w:t>
      </w:r>
      <w:r w:rsidR="00D8702F">
        <w:t>(2022</w:t>
      </w:r>
      <w:hyperlink r:id="rId148" w:history="1">
        <w:r w:rsidR="00D8702F" w:rsidRPr="00CD498C">
          <w:rPr>
            <w:rStyle w:val="Hyperlink"/>
            <w:i/>
            <w:iCs/>
          </w:rPr>
          <w:t xml:space="preserve">) </w:t>
        </w:r>
        <w:r w:rsidR="00CD498C" w:rsidRPr="00CD498C">
          <w:rPr>
            <w:rStyle w:val="Hyperlink"/>
            <w:i/>
            <w:iCs/>
          </w:rPr>
          <w:t>Z</w:t>
        </w:r>
        <w:r w:rsidR="00D8702F" w:rsidRPr="00CD498C">
          <w:rPr>
            <w:rStyle w:val="Hyperlink"/>
            <w:i/>
            <w:iCs/>
          </w:rPr>
          <w:t>anubrutinib</w:t>
        </w:r>
        <w:r w:rsidR="00E85AA7" w:rsidRPr="00CD498C">
          <w:rPr>
            <w:rStyle w:val="Hyperlink"/>
            <w:i/>
            <w:iCs/>
          </w:rPr>
          <w:t xml:space="preserve"> Public Summary Document</w:t>
        </w:r>
        <w:r w:rsidR="00D8702F" w:rsidRPr="00CD498C">
          <w:rPr>
            <w:rStyle w:val="Hyperlink"/>
            <w:i/>
            <w:iCs/>
          </w:rPr>
          <w:t>,</w:t>
        </w:r>
        <w:r w:rsidR="00FA396E">
          <w:rPr>
            <w:rStyle w:val="Hyperlink"/>
            <w:i/>
            <w:iCs/>
          </w:rPr>
          <w:t xml:space="preserve"> </w:t>
        </w:r>
        <w:r w:rsidRPr="00CD498C">
          <w:rPr>
            <w:rStyle w:val="Hyperlink"/>
            <w:i/>
            <w:iCs/>
          </w:rPr>
          <w:t>March 2022 PBAC</w:t>
        </w:r>
        <w:r w:rsidR="00E85AA7" w:rsidRPr="00CD498C">
          <w:rPr>
            <w:rStyle w:val="Hyperlink"/>
            <w:i/>
            <w:iCs/>
          </w:rPr>
          <w:t xml:space="preserve"> Meeting</w:t>
        </w:r>
      </w:hyperlink>
      <w:r w:rsidDel="00E85AA7">
        <w:t xml:space="preserve"> </w:t>
      </w:r>
      <w:r w:rsidR="00EF62AE">
        <w:t xml:space="preserve">and paragraph 7.14 </w:t>
      </w:r>
      <w:r w:rsidR="00F427FC">
        <w:t xml:space="preserve">of DHAC (2021) </w:t>
      </w:r>
      <w:hyperlink r:id="rId149" w:history="1">
        <w:r w:rsidR="00F427FC" w:rsidRPr="00BD1BF1">
          <w:rPr>
            <w:rStyle w:val="Hyperlink"/>
            <w:i/>
            <w:iCs/>
          </w:rPr>
          <w:t>Sacituzumab govitecan Public Summary Document, November 2021 PBAC Meeting</w:t>
        </w:r>
      </w:hyperlink>
      <w:r w:rsidR="00360CC6">
        <w:rPr>
          <w:i/>
        </w:rPr>
        <w:t>.</w:t>
      </w:r>
    </w:p>
  </w:footnote>
  <w:footnote w:id="174">
    <w:p w14:paraId="721A8AA3" w14:textId="3C79A814" w:rsidR="00AC52C4" w:rsidRDefault="00AC52C4">
      <w:pPr>
        <w:pStyle w:val="FootnoteText"/>
      </w:pPr>
      <w:r>
        <w:rPr>
          <w:rStyle w:val="FootnoteReference"/>
        </w:rPr>
        <w:footnoteRef/>
      </w:r>
      <w:r>
        <w:t xml:space="preserve"> </w:t>
      </w:r>
      <w:r w:rsidRPr="008734F2">
        <w:t xml:space="preserve">DHAC (2016) </w:t>
      </w:r>
      <w:hyperlink r:id="rId150" w:history="1">
        <w:r w:rsidRPr="008734F2">
          <w:rPr>
            <w:rStyle w:val="Hyperlink"/>
            <w:i/>
            <w:iCs/>
          </w:rPr>
          <w:t>Guidelines for preparing a submission to the Pharmaceutical Benefits Advisory Committee</w:t>
        </w:r>
      </w:hyperlink>
      <w:r w:rsidR="00F42D73" w:rsidRPr="00B62CE8">
        <w:rPr>
          <w:rStyle w:val="Hyperlink"/>
          <w:color w:val="auto"/>
          <w:u w:val="none"/>
        </w:rPr>
        <w:t>, PBS</w:t>
      </w:r>
      <w:r w:rsidR="00147AD1" w:rsidRPr="00404AB2">
        <w:t>.</w:t>
      </w:r>
    </w:p>
  </w:footnote>
  <w:footnote w:id="175">
    <w:p w14:paraId="183B05C9" w14:textId="57988742" w:rsidR="00AC52C4" w:rsidRDefault="00AC52C4">
      <w:pPr>
        <w:pStyle w:val="FootnoteText"/>
      </w:pPr>
      <w:r>
        <w:rPr>
          <w:rStyle w:val="FootnoteReference"/>
        </w:rPr>
        <w:footnoteRef/>
      </w:r>
      <w:r>
        <w:t xml:space="preserve"> DHAC (2021) </w:t>
      </w:r>
      <w:hyperlink r:id="rId151" w:history="1">
        <w:r w:rsidRPr="00A33FB3">
          <w:rPr>
            <w:rStyle w:val="Hyperlink"/>
            <w:i/>
            <w:iCs/>
          </w:rPr>
          <w:t>Guidelines for preparing assessments for the Medical Services Advisory Committee</w:t>
        </w:r>
      </w:hyperlink>
      <w:r w:rsidR="00F42D73" w:rsidRPr="00B62CE8">
        <w:rPr>
          <w:rStyle w:val="Hyperlink"/>
          <w:color w:val="auto"/>
          <w:u w:val="none"/>
        </w:rPr>
        <w:t>, MSAC</w:t>
      </w:r>
      <w:r w:rsidR="00147AD1" w:rsidRPr="00404AB2">
        <w:t>.</w:t>
      </w:r>
    </w:p>
  </w:footnote>
  <w:footnote w:id="176">
    <w:p w14:paraId="5C7D60F3" w14:textId="6FC0AE69" w:rsidR="003D7B6F" w:rsidRDefault="003D7B6F">
      <w:pPr>
        <w:pStyle w:val="FootnoteText"/>
      </w:pPr>
      <w:r>
        <w:rPr>
          <w:rStyle w:val="FootnoteReference"/>
        </w:rPr>
        <w:footnoteRef/>
      </w:r>
      <w:r>
        <w:t xml:space="preserve"> </w:t>
      </w:r>
      <w:r w:rsidRPr="004C33B6">
        <w:t xml:space="preserve">Adelaide Health Technology Assessment (2023) </w:t>
      </w:r>
      <w:r w:rsidR="005519DA" w:rsidRPr="009F4120">
        <w:rPr>
          <w:i/>
          <w:iCs/>
        </w:rPr>
        <w:t>Clinical Evaluation Methods in HTA</w:t>
      </w:r>
      <w:r w:rsidRPr="004C33B6">
        <w:t>, Health Technology Assessment Policy and Methods Review</w:t>
      </w:r>
      <w:r w:rsidR="005519DA">
        <w:t xml:space="preserve"> within Adelaide Health Technology Assessment (2024)  </w:t>
      </w:r>
      <w:hyperlink r:id="rId152" w:history="1">
        <w:r w:rsidR="005519DA" w:rsidRPr="00C52F5D">
          <w:rPr>
            <w:rStyle w:val="Hyperlink"/>
            <w:i/>
            <w:iCs/>
          </w:rPr>
          <w:t>HTA Pathways and Processes, Clinical Evaluation Methods and Horizon Scanning</w:t>
        </w:r>
      </w:hyperlink>
      <w:r w:rsidR="005519DA">
        <w:t>, Health Technology Assessment Policy and Methods Review</w:t>
      </w:r>
      <w:r>
        <w:rPr>
          <w:i/>
          <w:iCs/>
        </w:rPr>
        <w:t>.</w:t>
      </w:r>
    </w:p>
  </w:footnote>
  <w:footnote w:id="177">
    <w:p w14:paraId="6294D821" w14:textId="41B3E1FA" w:rsidR="00F965AA" w:rsidRDefault="00F965AA" w:rsidP="00F965AA">
      <w:pPr>
        <w:pStyle w:val="FootnoteText"/>
      </w:pPr>
      <w:r>
        <w:rPr>
          <w:rStyle w:val="FootnoteReference"/>
        </w:rPr>
        <w:footnoteRef/>
      </w:r>
      <w:r>
        <w:t xml:space="preserve"> See for example </w:t>
      </w:r>
      <w:r w:rsidR="004E0B8E" w:rsidRPr="003A3341">
        <w:t>DHAC (2022)</w:t>
      </w:r>
      <w:r w:rsidR="004E0B8E" w:rsidRPr="003A3341">
        <w:rPr>
          <w:rStyle w:val="Hyperlink"/>
          <w:u w:val="none"/>
        </w:rPr>
        <w:t xml:space="preserve"> </w:t>
      </w:r>
      <w:hyperlink r:id="rId153" w:history="1">
        <w:r w:rsidR="003A3341" w:rsidRPr="003A3341">
          <w:rPr>
            <w:rStyle w:val="Hyperlink"/>
            <w:i/>
            <w:iCs/>
          </w:rPr>
          <w:t>Cemiplimab Public Summary Document, March 2022 PBAC Meeting</w:t>
        </w:r>
      </w:hyperlink>
      <w:r w:rsidR="00C17F70" w:rsidRPr="00B62CE8">
        <w:rPr>
          <w:rStyle w:val="Hyperlink"/>
          <w:color w:val="auto"/>
          <w:u w:val="none"/>
        </w:rPr>
        <w:t>, PBS</w:t>
      </w:r>
      <w:r w:rsidR="00147AD1" w:rsidRPr="00B62CE8">
        <w:t>.</w:t>
      </w:r>
    </w:p>
  </w:footnote>
  <w:footnote w:id="178">
    <w:p w14:paraId="71700F50" w14:textId="025EC6EB" w:rsidR="006A39FF" w:rsidRDefault="006A39FF" w:rsidP="006A39FF">
      <w:pPr>
        <w:pStyle w:val="FootnoteText"/>
      </w:pPr>
      <w:r>
        <w:rPr>
          <w:rStyle w:val="FootnoteReference"/>
        </w:rPr>
        <w:footnoteRef/>
      </w:r>
      <w:r>
        <w:t xml:space="preserve"> </w:t>
      </w:r>
      <w:r w:rsidR="00B703EE" w:rsidRPr="00FC696D">
        <w:t xml:space="preserve">See </w:t>
      </w:r>
      <w:r w:rsidRPr="00FC696D">
        <w:t>Pfizer</w:t>
      </w:r>
      <w:r w:rsidR="00B703EE" w:rsidRPr="00FC696D">
        <w:t xml:space="preserve">’s </w:t>
      </w:r>
      <w:r w:rsidR="00350241" w:rsidRPr="00FC696D">
        <w:t>submission to Consultation 2</w:t>
      </w:r>
      <w:r w:rsidR="00F11312" w:rsidRPr="00FC696D">
        <w:t>.</w:t>
      </w:r>
    </w:p>
  </w:footnote>
  <w:footnote w:id="179">
    <w:p w14:paraId="7298CAA7" w14:textId="59D999AE" w:rsidR="00ED656B" w:rsidRDefault="00ED656B" w:rsidP="00ED656B">
      <w:pPr>
        <w:pStyle w:val="FootnoteText"/>
      </w:pPr>
      <w:r>
        <w:rPr>
          <w:rStyle w:val="FootnoteReference"/>
        </w:rPr>
        <w:footnoteRef/>
      </w:r>
      <w:r>
        <w:t xml:space="preserve"> </w:t>
      </w:r>
      <w:r w:rsidR="00FF4C9E" w:rsidRPr="00FC696D">
        <w:t>See Roche’s submission to Consultation 2</w:t>
      </w:r>
      <w:r w:rsidR="00824DED" w:rsidRPr="00FC696D">
        <w:t>.</w:t>
      </w:r>
      <w:r w:rsidR="00FF4C9E">
        <w:t xml:space="preserve"> </w:t>
      </w:r>
    </w:p>
  </w:footnote>
  <w:footnote w:id="180">
    <w:p w14:paraId="432D8545" w14:textId="008ED195" w:rsidR="00824DED" w:rsidRDefault="00824DED">
      <w:pPr>
        <w:pStyle w:val="FootnoteText"/>
      </w:pPr>
      <w:r>
        <w:rPr>
          <w:rStyle w:val="FootnoteReference"/>
        </w:rPr>
        <w:footnoteRef/>
      </w:r>
      <w:r>
        <w:t xml:space="preserve"> </w:t>
      </w:r>
      <w:r w:rsidRPr="008734F2">
        <w:t xml:space="preserve">DHAC (2016) </w:t>
      </w:r>
      <w:hyperlink r:id="rId154" w:history="1">
        <w:r w:rsidRPr="008734F2">
          <w:rPr>
            <w:rStyle w:val="Hyperlink"/>
            <w:i/>
            <w:iCs/>
          </w:rPr>
          <w:t>Guidelines for preparing a submission to the Pharmaceutical Benefits Advisory Committee</w:t>
        </w:r>
      </w:hyperlink>
      <w:r w:rsidR="00147AD1">
        <w:t>.</w:t>
      </w:r>
    </w:p>
  </w:footnote>
  <w:footnote w:id="181">
    <w:p w14:paraId="7A2211B3" w14:textId="595C33D2" w:rsidR="00824DED" w:rsidRDefault="00824DED">
      <w:pPr>
        <w:pStyle w:val="FootnoteText"/>
      </w:pPr>
      <w:r>
        <w:rPr>
          <w:rStyle w:val="FootnoteReference"/>
        </w:rPr>
        <w:footnoteRef/>
      </w:r>
      <w:r>
        <w:t xml:space="preserve"> DHAC (2021) </w:t>
      </w:r>
      <w:hyperlink r:id="rId155" w:history="1">
        <w:r w:rsidRPr="00A33FB3">
          <w:rPr>
            <w:rStyle w:val="Hyperlink"/>
            <w:i/>
            <w:iCs/>
          </w:rPr>
          <w:t>Guidelines for preparing assessments for the Medical Services Advisory Committee</w:t>
        </w:r>
      </w:hyperlink>
      <w:r w:rsidR="00147AD1">
        <w:t>.</w:t>
      </w:r>
    </w:p>
  </w:footnote>
  <w:footnote w:id="182">
    <w:p w14:paraId="77546F81" w14:textId="090AC524" w:rsidR="000853C0" w:rsidRPr="00EB43D4" w:rsidRDefault="000853C0" w:rsidP="000853C0">
      <w:pPr>
        <w:pStyle w:val="FootnoteText"/>
        <w:rPr>
          <w:i/>
        </w:rPr>
      </w:pPr>
      <w:r>
        <w:rPr>
          <w:rStyle w:val="FootnoteReference"/>
        </w:rPr>
        <w:footnoteRef/>
      </w:r>
      <w:r>
        <w:t xml:space="preserve"> </w:t>
      </w:r>
      <w:r w:rsidR="00E75AF2">
        <w:t>DHAC (</w:t>
      </w:r>
      <w:r w:rsidR="00D4707C">
        <w:t>202</w:t>
      </w:r>
      <w:r w:rsidR="005D447E">
        <w:t>4</w:t>
      </w:r>
      <w:r w:rsidR="00E75AF2">
        <w:t xml:space="preserve">) </w:t>
      </w:r>
      <w:hyperlink r:id="rId156" w:history="1">
        <w:r w:rsidR="00EB43D4" w:rsidRPr="00EB43D4">
          <w:rPr>
            <w:rStyle w:val="Hyperlink"/>
            <w:i/>
            <w:iCs/>
          </w:rPr>
          <w:t>Emerging health technologies</w:t>
        </w:r>
      </w:hyperlink>
      <w:r w:rsidR="00147AD1">
        <w:t>.</w:t>
      </w:r>
      <w:r w:rsidR="00FA396E">
        <w:t xml:space="preserve"> </w:t>
      </w:r>
    </w:p>
  </w:footnote>
  <w:footnote w:id="183">
    <w:p w14:paraId="19FAC108" w14:textId="0F61CA26" w:rsidR="00E27510" w:rsidRPr="00E27510" w:rsidRDefault="00273CB5" w:rsidP="00E27510">
      <w:pPr>
        <w:pStyle w:val="FootnoteText"/>
        <w:rPr>
          <w:i/>
          <w:iCs/>
        </w:rPr>
      </w:pPr>
      <w:r>
        <w:rPr>
          <w:rStyle w:val="FootnoteReference"/>
        </w:rPr>
        <w:footnoteRef/>
      </w:r>
      <w:r>
        <w:t xml:space="preserve"> </w:t>
      </w:r>
      <w:r w:rsidR="001B6352">
        <w:t xml:space="preserve">See </w:t>
      </w:r>
      <w:r w:rsidR="00F125BD">
        <w:t xml:space="preserve">p363 </w:t>
      </w:r>
      <w:r w:rsidR="00A2662E">
        <w:t>in</w:t>
      </w:r>
      <w:r w:rsidR="001B6352">
        <w:t xml:space="preserve"> </w:t>
      </w:r>
      <w:r w:rsidR="00E27510" w:rsidRPr="00E27510">
        <w:t xml:space="preserve">Adelaide Health Technology Assessment (2023) </w:t>
      </w:r>
      <w:r w:rsidR="00E27510" w:rsidRPr="009F4120">
        <w:rPr>
          <w:i/>
          <w:iCs/>
        </w:rPr>
        <w:t>Clinical Evaluation Methods in HTA</w:t>
      </w:r>
      <w:r w:rsidR="00E27510" w:rsidRPr="00E27510">
        <w:t>, Health Technology Assessment Policy and Methods Review</w:t>
      </w:r>
      <w:r w:rsidR="00F125BD">
        <w:t xml:space="preserve"> </w:t>
      </w:r>
      <w:r w:rsidR="00E4350D">
        <w:t xml:space="preserve">within </w:t>
      </w:r>
      <w:r w:rsidR="00F125BD">
        <w:t xml:space="preserve">Adelaide Health Technology Assessment (2024)  </w:t>
      </w:r>
      <w:hyperlink r:id="rId157" w:history="1">
        <w:r w:rsidR="00F125BD" w:rsidRPr="00C52F5D">
          <w:rPr>
            <w:rStyle w:val="Hyperlink"/>
            <w:i/>
            <w:iCs/>
          </w:rPr>
          <w:t>HTA Pathways and Processes, Clinical Evaluation Methods and Horizon Scanning</w:t>
        </w:r>
      </w:hyperlink>
      <w:r w:rsidR="00F125BD">
        <w:t>, Health Technology Assessment Policy and Methods Review</w:t>
      </w:r>
      <w:r w:rsidR="00147AD1">
        <w:t>.</w:t>
      </w:r>
      <w:r w:rsidR="00FA396E">
        <w:t xml:space="preserve"> </w:t>
      </w:r>
    </w:p>
    <w:p w14:paraId="4D55F889" w14:textId="43CC16DD" w:rsidR="00273CB5" w:rsidRDefault="00273CB5" w:rsidP="00273CB5">
      <w:pPr>
        <w:pStyle w:val="FootnoteText"/>
      </w:pPr>
    </w:p>
  </w:footnote>
  <w:footnote w:id="184">
    <w:p w14:paraId="32347F07" w14:textId="3653C9DD" w:rsidR="00C20B05" w:rsidRDefault="00C20B05">
      <w:pPr>
        <w:pStyle w:val="FootnoteText"/>
      </w:pPr>
      <w:r>
        <w:rPr>
          <w:rStyle w:val="FootnoteReference"/>
        </w:rPr>
        <w:footnoteRef/>
      </w:r>
      <w:r>
        <w:t xml:space="preserve"> See p87 </w:t>
      </w:r>
      <w:r w:rsidR="00221004">
        <w:t xml:space="preserve">in </w:t>
      </w:r>
      <w:r>
        <w:t>Australian Government (</w:t>
      </w:r>
      <w:r w:rsidR="005C275F">
        <w:t xml:space="preserve">2023) </w:t>
      </w:r>
      <w:hyperlink r:id="rId158" w:history="1">
        <w:r w:rsidR="003E4E9D" w:rsidRPr="00776710">
          <w:rPr>
            <w:rStyle w:val="Hyperlink"/>
            <w:i/>
            <w:iCs/>
          </w:rPr>
          <w:t>Budget Strategy and Outlook Budget Paper No. 1</w:t>
        </w:r>
      </w:hyperlink>
      <w:r w:rsidR="00FF1419" w:rsidRPr="00595E46">
        <w:rPr>
          <w:rStyle w:val="Hyperlink"/>
          <w:color w:val="auto"/>
          <w:u w:val="none"/>
        </w:rPr>
        <w:t>.</w:t>
      </w:r>
    </w:p>
  </w:footnote>
  <w:footnote w:id="185">
    <w:p w14:paraId="352782DA" w14:textId="1977C072" w:rsidR="000F7695" w:rsidRDefault="000F7695">
      <w:pPr>
        <w:pStyle w:val="FootnoteText"/>
      </w:pPr>
      <w:r>
        <w:rPr>
          <w:rStyle w:val="FootnoteReference"/>
        </w:rPr>
        <w:footnoteRef/>
      </w:r>
      <w:r>
        <w:t xml:space="preserve"> </w:t>
      </w:r>
      <w:r w:rsidR="00977B59">
        <w:t xml:space="preserve">Australian Government, </w:t>
      </w:r>
      <w:r w:rsidR="00DA5FC5" w:rsidRPr="004E1A31">
        <w:rPr>
          <w:rStyle w:val="Hyperlink"/>
          <w:color w:val="auto"/>
          <w:u w:val="none"/>
        </w:rPr>
        <w:t xml:space="preserve">Department of Finance (2022) </w:t>
      </w:r>
      <w:hyperlink r:id="rId159" w:history="1">
        <w:r w:rsidR="00DA5FC5" w:rsidRPr="004E1A31">
          <w:rPr>
            <w:rStyle w:val="Hyperlink"/>
            <w:i/>
            <w:iCs/>
          </w:rPr>
          <w:t>Budget Process Operational Rules (BPORs)</w:t>
        </w:r>
      </w:hyperlink>
      <w:r w:rsidR="00147AD1">
        <w:t>.</w:t>
      </w:r>
      <w:r w:rsidR="00DA5FC5" w:rsidRPr="004E1A31">
        <w:rPr>
          <w:rStyle w:val="Hyperlink"/>
          <w:color w:val="auto"/>
          <w:u w:val="none"/>
        </w:rPr>
        <w:t xml:space="preserve"> </w:t>
      </w:r>
    </w:p>
  </w:footnote>
  <w:footnote w:id="186">
    <w:p w14:paraId="67B45533" w14:textId="085A08C3" w:rsidR="000F7695" w:rsidRDefault="000F7695">
      <w:pPr>
        <w:pStyle w:val="FootnoteText"/>
      </w:pPr>
      <w:r>
        <w:rPr>
          <w:rStyle w:val="FootnoteReference"/>
        </w:rPr>
        <w:footnoteRef/>
      </w:r>
      <w:r w:rsidR="00C7259D">
        <w:t xml:space="preserve"> </w:t>
      </w:r>
      <w:r w:rsidR="00977B59">
        <w:t xml:space="preserve">Australian Government, </w:t>
      </w:r>
      <w:r w:rsidR="00FB0842" w:rsidRPr="004E1A31">
        <w:rPr>
          <w:rStyle w:val="Hyperlink"/>
          <w:color w:val="auto"/>
          <w:u w:val="none"/>
        </w:rPr>
        <w:t xml:space="preserve">Department of Finance (2022) </w:t>
      </w:r>
      <w:hyperlink r:id="rId160" w:history="1">
        <w:r w:rsidR="00FB0842" w:rsidRPr="004E1A31">
          <w:rPr>
            <w:rStyle w:val="Hyperlink"/>
            <w:i/>
            <w:iCs/>
          </w:rPr>
          <w:t>Budget Process Operational Rules (BPORs)</w:t>
        </w:r>
      </w:hyperlink>
      <w:r w:rsidR="00147AD1">
        <w:t>.</w:t>
      </w:r>
    </w:p>
  </w:footnote>
  <w:footnote w:id="187">
    <w:p w14:paraId="19BC194D" w14:textId="522F8C45" w:rsidR="002E6CFD" w:rsidRDefault="002E6CFD">
      <w:pPr>
        <w:pStyle w:val="FootnoteText"/>
      </w:pPr>
      <w:r>
        <w:rPr>
          <w:rStyle w:val="FootnoteReference"/>
        </w:rPr>
        <w:footnoteRef/>
      </w:r>
      <w:r>
        <w:t xml:space="preserve"> See p5 in </w:t>
      </w:r>
      <w:r w:rsidRPr="006A08F9">
        <w:t xml:space="preserve">Centre for Health Economics Research &amp; Evaluation (2023) </w:t>
      </w:r>
      <w:hyperlink r:id="rId161" w:history="1">
        <w:r w:rsidRPr="006A08F9">
          <w:rPr>
            <w:rStyle w:val="Hyperlink"/>
            <w:i/>
            <w:iCs/>
          </w:rPr>
          <w:t>HTA Methods: Economic evaluation</w:t>
        </w:r>
      </w:hyperlink>
      <w:r w:rsidRPr="006A08F9">
        <w:t>, Health Technology Assessment Policy and Methods Review</w:t>
      </w:r>
      <w:r w:rsidR="0036439F">
        <w:t>.</w:t>
      </w:r>
    </w:p>
  </w:footnote>
  <w:footnote w:id="188">
    <w:p w14:paraId="62714247" w14:textId="386BF246" w:rsidR="003D442F" w:rsidRDefault="003D442F">
      <w:pPr>
        <w:pStyle w:val="FootnoteText"/>
      </w:pPr>
      <w:r>
        <w:rPr>
          <w:rStyle w:val="FootnoteReference"/>
        </w:rPr>
        <w:footnoteRef/>
      </w:r>
      <w:r>
        <w:t xml:space="preserve"> </w:t>
      </w:r>
      <w:r w:rsidR="00FB0842">
        <w:t>DHAC (</w:t>
      </w:r>
      <w:r w:rsidR="00234438">
        <w:t xml:space="preserve">2019) </w:t>
      </w:r>
      <w:hyperlink r:id="rId162" w:history="1">
        <w:r w:rsidR="00F52D4B" w:rsidRPr="00FC103A">
          <w:rPr>
            <w:rStyle w:val="Hyperlink"/>
            <w:i/>
            <w:iCs/>
          </w:rPr>
          <w:t>Multicomponent Meningococcal group B vaccine Public Summary Document, November 2019 PBAC Meeting</w:t>
        </w:r>
      </w:hyperlink>
      <w:r w:rsidR="00977B59" w:rsidRPr="00595E46">
        <w:rPr>
          <w:rStyle w:val="Hyperlink"/>
          <w:color w:val="auto"/>
          <w:u w:val="none"/>
        </w:rPr>
        <w:t>, PBS</w:t>
      </w:r>
      <w:r w:rsidR="00147AD1" w:rsidRPr="00B62CE8">
        <w:t>.</w:t>
      </w:r>
      <w:r w:rsidR="00F52D4B" w:rsidRPr="00B62CE8">
        <w:rPr>
          <w:i/>
          <w:iCs/>
        </w:rPr>
        <w:t xml:space="preserve"> </w:t>
      </w:r>
    </w:p>
  </w:footnote>
  <w:footnote w:id="189">
    <w:p w14:paraId="32E41147" w14:textId="0C1F389B" w:rsidR="00493458" w:rsidRDefault="00493458">
      <w:pPr>
        <w:pStyle w:val="FootnoteText"/>
      </w:pPr>
      <w:r>
        <w:rPr>
          <w:rStyle w:val="FootnoteReference"/>
        </w:rPr>
        <w:footnoteRef/>
      </w:r>
      <w:r>
        <w:t xml:space="preserve"> </w:t>
      </w:r>
      <w:r w:rsidRPr="008734F2">
        <w:t xml:space="preserve">DHAC (2016) </w:t>
      </w:r>
      <w:hyperlink r:id="rId163" w:history="1">
        <w:r w:rsidRPr="008734F2">
          <w:rPr>
            <w:rStyle w:val="Hyperlink"/>
            <w:i/>
            <w:iCs/>
          </w:rPr>
          <w:t>Guidelines for preparing a submission to the Pharmaceutical Benefits Advisory Committee</w:t>
        </w:r>
      </w:hyperlink>
      <w:r w:rsidR="00977B59" w:rsidRPr="00595E46">
        <w:rPr>
          <w:rStyle w:val="Hyperlink"/>
          <w:color w:val="auto"/>
          <w:u w:val="none"/>
        </w:rPr>
        <w:t>, PBS</w:t>
      </w:r>
      <w:r w:rsidR="00147AD1" w:rsidRPr="00B62CE8">
        <w:t>.</w:t>
      </w:r>
    </w:p>
  </w:footnote>
  <w:footnote w:id="190">
    <w:p w14:paraId="79E2DD80" w14:textId="56595D17" w:rsidR="00493458" w:rsidRDefault="00493458">
      <w:pPr>
        <w:pStyle w:val="FootnoteText"/>
      </w:pPr>
      <w:r>
        <w:rPr>
          <w:rStyle w:val="FootnoteReference"/>
        </w:rPr>
        <w:footnoteRef/>
      </w:r>
      <w:r>
        <w:t xml:space="preserve"> DHAC (2021) </w:t>
      </w:r>
      <w:hyperlink r:id="rId164" w:history="1">
        <w:r w:rsidRPr="00A33FB3">
          <w:rPr>
            <w:rStyle w:val="Hyperlink"/>
            <w:i/>
            <w:iCs/>
          </w:rPr>
          <w:t>Guidelines for preparing assessments for the Medical Services Advisory Committee</w:t>
        </w:r>
      </w:hyperlink>
      <w:r w:rsidR="00977B59" w:rsidRPr="00595E46">
        <w:rPr>
          <w:rStyle w:val="Hyperlink"/>
          <w:color w:val="auto"/>
          <w:u w:val="none"/>
        </w:rPr>
        <w:t>, MSAC</w:t>
      </w:r>
      <w:r w:rsidR="00147AD1" w:rsidRPr="00B62CE8">
        <w:t>.</w:t>
      </w:r>
    </w:p>
  </w:footnote>
  <w:footnote w:id="191">
    <w:p w14:paraId="6137AE7B" w14:textId="2A24073E" w:rsidR="006A08F9" w:rsidRDefault="006A08F9">
      <w:pPr>
        <w:pStyle w:val="FootnoteText"/>
      </w:pPr>
      <w:r>
        <w:rPr>
          <w:rStyle w:val="FootnoteReference"/>
        </w:rPr>
        <w:footnoteRef/>
      </w:r>
      <w:r>
        <w:t xml:space="preserve"> </w:t>
      </w:r>
      <w:r w:rsidRPr="006A08F9">
        <w:t xml:space="preserve">Centre for Health Economics Research &amp; Evaluation (2023) </w:t>
      </w:r>
      <w:hyperlink r:id="rId165" w:history="1">
        <w:r w:rsidRPr="006A08F9">
          <w:rPr>
            <w:rStyle w:val="Hyperlink"/>
            <w:i/>
            <w:iCs/>
          </w:rPr>
          <w:t>HTA Methods: Economic evaluation</w:t>
        </w:r>
      </w:hyperlink>
      <w:r w:rsidRPr="006A08F9">
        <w:t>, Health Technology Assessment Policy and Methods Review</w:t>
      </w:r>
      <w:r w:rsidR="00344DCA">
        <w:t>.</w:t>
      </w:r>
    </w:p>
  </w:footnote>
  <w:footnote w:id="192">
    <w:p w14:paraId="08D33CA2" w14:textId="5F2878AB" w:rsidR="003C6BE2" w:rsidRPr="003C6BE2" w:rsidRDefault="00B50E68" w:rsidP="003C6BE2">
      <w:pPr>
        <w:pStyle w:val="FootnoteText"/>
      </w:pPr>
      <w:r>
        <w:rPr>
          <w:rStyle w:val="FootnoteReference"/>
        </w:rPr>
        <w:footnoteRef/>
      </w:r>
      <w:r>
        <w:t xml:space="preserve"> </w:t>
      </w:r>
      <w:r w:rsidR="003C6BE2">
        <w:t xml:space="preserve">See p37 </w:t>
      </w:r>
      <w:r w:rsidR="00FF054F">
        <w:t>DHAC</w:t>
      </w:r>
      <w:r w:rsidR="003C6BE2" w:rsidRPr="003C6BE2">
        <w:t xml:space="preserve"> (2023) </w:t>
      </w:r>
      <w:hyperlink r:id="rId166" w:history="1">
        <w:r w:rsidR="003C6BE2" w:rsidRPr="003C6BE2">
          <w:rPr>
            <w:rStyle w:val="Hyperlink"/>
            <w:i/>
            <w:iCs/>
          </w:rPr>
          <w:t>Australian market authorisation, funding and assessment pathways and timelines</w:t>
        </w:r>
      </w:hyperlink>
      <w:r w:rsidR="003C6BE2" w:rsidRPr="003C6BE2">
        <w:t>, Health Technology Assessment Policy and Methods Review</w:t>
      </w:r>
      <w:r w:rsidR="00147AD1">
        <w:t>.</w:t>
      </w:r>
    </w:p>
    <w:p w14:paraId="467C0488" w14:textId="2AC9C847" w:rsidR="00B50E68" w:rsidRDefault="00B50E68">
      <w:pPr>
        <w:pStyle w:val="FootnoteText"/>
      </w:pPr>
    </w:p>
  </w:footnote>
  <w:footnote w:id="193">
    <w:p w14:paraId="32B6C96A" w14:textId="653A0460" w:rsidR="00612614" w:rsidRPr="003F4A06" w:rsidRDefault="00612614" w:rsidP="00612614">
      <w:pPr>
        <w:pStyle w:val="FootnoteText"/>
      </w:pPr>
      <w:r>
        <w:rPr>
          <w:rStyle w:val="FootnoteReference"/>
        </w:rPr>
        <w:footnoteRef/>
      </w:r>
      <w:r>
        <w:t xml:space="preserve"> Scope 1 emissions (direct emissions) are produced from sources within the boundary of an organisation, and </w:t>
      </w:r>
      <w:r>
        <w:t>as a result of that organisation’s activities, and are calculated at the point of emission release</w:t>
      </w:r>
      <w:r w:rsidR="00952020">
        <w:t>.</w:t>
      </w:r>
    </w:p>
  </w:footnote>
  <w:footnote w:id="194">
    <w:p w14:paraId="2959B2BD" w14:textId="475D9542" w:rsidR="00612614" w:rsidRPr="003F4A06" w:rsidRDefault="00612614" w:rsidP="00612614">
      <w:pPr>
        <w:pStyle w:val="FootnoteText"/>
      </w:pPr>
      <w:r>
        <w:rPr>
          <w:rStyle w:val="FootnoteReference"/>
        </w:rPr>
        <w:footnoteRef/>
      </w:r>
      <w:r>
        <w:t xml:space="preserve"> Scope 2 emissions (energy-related indirect emissions) occur outside the boundary of an organisation from the generation of electricity consumed by the organisation</w:t>
      </w:r>
      <w:r w:rsidR="00952020">
        <w:t>.</w:t>
      </w:r>
    </w:p>
  </w:footnote>
  <w:footnote w:id="195">
    <w:p w14:paraId="7912DE02" w14:textId="4B92A2D1" w:rsidR="0059623D" w:rsidRDefault="0059623D">
      <w:pPr>
        <w:pStyle w:val="FootnoteText"/>
      </w:pPr>
      <w:r>
        <w:rPr>
          <w:rStyle w:val="FootnoteReference"/>
        </w:rPr>
        <w:footnoteRef/>
      </w:r>
      <w:r>
        <w:t xml:space="preserve"> DHAC (2023) </w:t>
      </w:r>
      <w:hyperlink r:id="rId167" w:history="1">
        <w:r w:rsidR="00ED5B8D" w:rsidRPr="00ED5B8D">
          <w:rPr>
            <w:rStyle w:val="Hyperlink"/>
            <w:i/>
            <w:iCs/>
          </w:rPr>
          <w:t>National Health and Climate Strategy</w:t>
        </w:r>
      </w:hyperlink>
      <w:r w:rsidR="00147AD1">
        <w:t>.</w:t>
      </w:r>
    </w:p>
  </w:footnote>
  <w:footnote w:id="196">
    <w:p w14:paraId="79A08EA0" w14:textId="04FE7959" w:rsidR="00AF1DC5" w:rsidRDefault="00AF1DC5">
      <w:pPr>
        <w:pStyle w:val="FootnoteText"/>
      </w:pPr>
      <w:r>
        <w:rPr>
          <w:rStyle w:val="FootnoteReference"/>
        </w:rPr>
        <w:footnoteRef/>
      </w:r>
      <w:r>
        <w:t xml:space="preserve"> DHAC (202</w:t>
      </w:r>
      <w:r w:rsidR="002961A2">
        <w:t>3</w:t>
      </w:r>
      <w:r>
        <w:t>)</w:t>
      </w:r>
      <w:r w:rsidR="002961A2" w:rsidRPr="002961A2">
        <w:t xml:space="preserve"> </w:t>
      </w:r>
      <w:hyperlink r:id="rId168" w:history="1">
        <w:r w:rsidR="002961A2" w:rsidRPr="00D0529A">
          <w:rPr>
            <w:rStyle w:val="Hyperlink"/>
            <w:i/>
            <w:iCs/>
          </w:rPr>
          <w:t>National Health and Climate Strategy - Consultation</w:t>
        </w:r>
      </w:hyperlink>
      <w:r>
        <w:t>, DHAC Consultation Hub</w:t>
      </w:r>
      <w:r w:rsidR="00BB3842">
        <w:t>.</w:t>
      </w:r>
    </w:p>
  </w:footnote>
  <w:footnote w:id="197">
    <w:p w14:paraId="7B623180" w14:textId="1354C03B" w:rsidR="00562D90" w:rsidRPr="003F4A06" w:rsidRDefault="00562D90" w:rsidP="00E66781">
      <w:pPr>
        <w:pStyle w:val="FootnoteText"/>
        <w:jc w:val="left"/>
      </w:pPr>
      <w:r>
        <w:rPr>
          <w:rStyle w:val="FootnoteReference"/>
        </w:rPr>
        <w:footnoteRef/>
      </w:r>
      <w:r>
        <w:t xml:space="preserve"> </w:t>
      </w:r>
      <w:r w:rsidRPr="0022690D">
        <w:t>Bell</w:t>
      </w:r>
      <w:r w:rsidR="008D7F82" w:rsidRPr="008D7F82">
        <w:t xml:space="preserve"> K</w:t>
      </w:r>
      <w:r w:rsidRPr="0022690D">
        <w:t>, Kazda</w:t>
      </w:r>
      <w:r w:rsidR="008D7F82" w:rsidRPr="008D7F82">
        <w:t xml:space="preserve"> L and</w:t>
      </w:r>
      <w:r w:rsidRPr="0022690D">
        <w:t xml:space="preserve"> Parker</w:t>
      </w:r>
      <w:r w:rsidR="008D7F82" w:rsidRPr="008D7F82">
        <w:t xml:space="preserve"> G (2023) ‘</w:t>
      </w:r>
      <w:r w:rsidRPr="0022690D">
        <w:t xml:space="preserve">Asthma in </w:t>
      </w:r>
      <w:r w:rsidR="008D7F82" w:rsidRPr="008D7F82">
        <w:t xml:space="preserve">Adults’, </w:t>
      </w:r>
      <w:r w:rsidR="008D7F82" w:rsidRPr="008D7F82">
        <w:rPr>
          <w:i/>
          <w:iCs/>
        </w:rPr>
        <w:t>The</w:t>
      </w:r>
      <w:r w:rsidRPr="008D7F82">
        <w:rPr>
          <w:i/>
        </w:rPr>
        <w:t xml:space="preserve"> New England Journal of Medicine</w:t>
      </w:r>
      <w:r w:rsidR="008D7F82" w:rsidRPr="008D7F82">
        <w:t xml:space="preserve">, </w:t>
      </w:r>
      <w:r w:rsidRPr="0022690D">
        <w:t>389(22</w:t>
      </w:r>
      <w:r w:rsidR="008D7F82" w:rsidRPr="008D7F82">
        <w:t>), doi:</w:t>
      </w:r>
      <w:r w:rsidR="00761E7E" w:rsidRPr="00761E7E">
        <w:t xml:space="preserve"> </w:t>
      </w:r>
      <w:hyperlink r:id="rId169" w:history="1">
        <w:r w:rsidR="00761E7E" w:rsidRPr="003A22A8">
          <w:rPr>
            <w:rStyle w:val="Hyperlink"/>
          </w:rPr>
          <w:t>10.1056/NEJMc2312345</w:t>
        </w:r>
      </w:hyperlink>
      <w:r w:rsidR="00147AD1">
        <w:t>.</w:t>
      </w:r>
    </w:p>
  </w:footnote>
  <w:footnote w:id="198">
    <w:p w14:paraId="0111E5E7" w14:textId="5BC4ADEE" w:rsidR="00562D90" w:rsidRPr="00763C86" w:rsidRDefault="00562D90" w:rsidP="00987959">
      <w:pPr>
        <w:pStyle w:val="FootnoteText"/>
        <w:jc w:val="left"/>
      </w:pPr>
      <w:r>
        <w:rPr>
          <w:rStyle w:val="FootnoteReference"/>
        </w:rPr>
        <w:footnoteRef/>
      </w:r>
      <w:r>
        <w:t xml:space="preserve"> </w:t>
      </w:r>
      <w:r w:rsidRPr="008C677D">
        <w:t>McAlister S, Morton RL</w:t>
      </w:r>
      <w:r w:rsidR="00FA4C86" w:rsidRPr="00FA4C86">
        <w:t xml:space="preserve"> and</w:t>
      </w:r>
      <w:r w:rsidRPr="008C677D">
        <w:t xml:space="preserve"> Barratt A</w:t>
      </w:r>
      <w:r w:rsidR="00FA4C86" w:rsidRPr="00FA4C86">
        <w:t xml:space="preserve"> (2022) ‘</w:t>
      </w:r>
      <w:r w:rsidRPr="008C677D">
        <w:t xml:space="preserve">Incorporating carbon into health technology </w:t>
      </w:r>
      <w:r w:rsidR="00FA4C86" w:rsidRPr="00FA4C86">
        <w:t xml:space="preserve">assessments’, </w:t>
      </w:r>
      <w:r w:rsidR="00FA4C86" w:rsidRPr="00FA4C86">
        <w:rPr>
          <w:i/>
          <w:iCs/>
        </w:rPr>
        <w:t>The</w:t>
      </w:r>
      <w:r w:rsidRPr="00FA4C86">
        <w:rPr>
          <w:i/>
        </w:rPr>
        <w:t xml:space="preserve"> Lancet Planetary Health</w:t>
      </w:r>
      <w:r w:rsidRPr="008C677D">
        <w:t xml:space="preserve"> 6(12), pp. </w:t>
      </w:r>
      <w:r w:rsidR="00FA4C86" w:rsidRPr="00FA4C86">
        <w:t xml:space="preserve">e993-e999, doi: </w:t>
      </w:r>
      <w:hyperlink r:id="rId170" w:history="1">
        <w:r w:rsidR="00ED343F" w:rsidRPr="00CF3D61">
          <w:rPr>
            <w:rStyle w:val="Hyperlink"/>
          </w:rPr>
          <w:t>https://doi.org/10.1016/S2542-5196(22)00258-3</w:t>
        </w:r>
      </w:hyperlink>
      <w:r w:rsidR="00147AD1">
        <w:t>.</w:t>
      </w:r>
    </w:p>
  </w:footnote>
  <w:footnote w:id="199">
    <w:p w14:paraId="26AD7FB3" w14:textId="22455EEF" w:rsidR="00562D90" w:rsidRPr="00776889" w:rsidRDefault="00562D90" w:rsidP="00562D90">
      <w:pPr>
        <w:pStyle w:val="FootnoteText"/>
      </w:pPr>
      <w:r>
        <w:rPr>
          <w:rStyle w:val="FootnoteReference"/>
        </w:rPr>
        <w:footnoteRef/>
      </w:r>
      <w:r w:rsidRPr="001A02BF">
        <w:t xml:space="preserve"> </w:t>
      </w:r>
      <w:r w:rsidR="00487466">
        <w:t xml:space="preserve">National Institute for Health and Care Excellence UK (2021) </w:t>
      </w:r>
      <w:hyperlink r:id="rId171" w:history="1">
        <w:r w:rsidR="00EC7E95" w:rsidRPr="00776889">
          <w:rPr>
            <w:rStyle w:val="Hyperlink"/>
            <w:i/>
            <w:iCs/>
          </w:rPr>
          <w:t>NICE Strategy 2021 to 2026 [</w:t>
        </w:r>
        <w:r w:rsidR="00997E5C" w:rsidRPr="00776889">
          <w:rPr>
            <w:rStyle w:val="Hyperlink"/>
            <w:i/>
            <w:iCs/>
          </w:rPr>
          <w:t>PDF 1</w:t>
        </w:r>
        <w:r w:rsidR="00776889" w:rsidRPr="00776889">
          <w:rPr>
            <w:rStyle w:val="Hyperlink"/>
            <w:i/>
            <w:iCs/>
          </w:rPr>
          <w:t>,970KB]</w:t>
        </w:r>
      </w:hyperlink>
      <w:r w:rsidR="00776889">
        <w:t>, NICE</w:t>
      </w:r>
      <w:r w:rsidR="00147AD1">
        <w:t>.</w:t>
      </w:r>
    </w:p>
  </w:footnote>
  <w:footnote w:id="200">
    <w:p w14:paraId="6908B305" w14:textId="7D6BF4C7" w:rsidR="00562D90" w:rsidRPr="00F93291" w:rsidRDefault="00562D90" w:rsidP="00562D90">
      <w:pPr>
        <w:pStyle w:val="FootnoteText"/>
      </w:pPr>
      <w:r>
        <w:rPr>
          <w:rStyle w:val="FootnoteReference"/>
        </w:rPr>
        <w:footnoteRef/>
      </w:r>
      <w:r>
        <w:t xml:space="preserve"> </w:t>
      </w:r>
      <w:r w:rsidRPr="007D2548">
        <w:t>C</w:t>
      </w:r>
      <w:r w:rsidR="007D2548">
        <w:t>a</w:t>
      </w:r>
      <w:r w:rsidR="001D41C9">
        <w:t xml:space="preserve">nadian Agency for Drugs </w:t>
      </w:r>
      <w:r w:rsidR="009A3A48">
        <w:t>&amp;</w:t>
      </w:r>
      <w:r w:rsidR="001D41C9">
        <w:t xml:space="preserve"> Technologies in Health (2022)</w:t>
      </w:r>
      <w:r>
        <w:t xml:space="preserve"> </w:t>
      </w:r>
      <w:hyperlink r:id="rId172" w:history="1">
        <w:r w:rsidRPr="007D2548">
          <w:rPr>
            <w:rStyle w:val="Hyperlink"/>
            <w:i/>
            <w:iCs/>
          </w:rPr>
          <w:t>Ahead of the Curve: Shaping Future-Ready Health Systems 2022-2025 Strategic Plan</w:t>
        </w:r>
      </w:hyperlink>
      <w:r w:rsidR="00147AD1">
        <w:t>.</w:t>
      </w:r>
    </w:p>
  </w:footnote>
  <w:footnote w:id="201">
    <w:p w14:paraId="5B8D47E5" w14:textId="77777777" w:rsidR="00686C37" w:rsidRDefault="00686C37" w:rsidP="00686C37">
      <w:pPr>
        <w:pStyle w:val="FootnoteText"/>
      </w:pPr>
      <w:r>
        <w:rPr>
          <w:rStyle w:val="FootnoteReference"/>
        </w:rPr>
        <w:footnoteRef/>
      </w:r>
      <w:r>
        <w:t xml:space="preserve"> DHAC (2023) </w:t>
      </w:r>
      <w:hyperlink r:id="rId173" w:history="1">
        <w:r w:rsidRPr="00ED5B8D">
          <w:rPr>
            <w:rStyle w:val="Hyperlink"/>
            <w:i/>
            <w:iCs/>
          </w:rPr>
          <w:t>National Health and Climate Strategy</w:t>
        </w:r>
      </w:hyperlink>
      <w:r>
        <w:t>.</w:t>
      </w:r>
    </w:p>
  </w:footnote>
  <w:footnote w:id="202">
    <w:p w14:paraId="11FC3F5F" w14:textId="52789931" w:rsidR="0019548A" w:rsidRDefault="0019548A">
      <w:pPr>
        <w:pStyle w:val="FootnoteText"/>
      </w:pPr>
      <w:r>
        <w:rPr>
          <w:rStyle w:val="FootnoteReference"/>
        </w:rPr>
        <w:footnoteRef/>
      </w:r>
      <w:r>
        <w:t xml:space="preserve"> </w:t>
      </w:r>
      <w:r w:rsidRPr="00417769">
        <w:t>DHAC (2022)</w:t>
      </w:r>
      <w:r w:rsidR="00FA396E">
        <w:t xml:space="preserve"> </w:t>
      </w:r>
      <w:hyperlink r:id="rId174" w:history="1">
        <w:r w:rsidRPr="002E5DF4">
          <w:rPr>
            <w:rStyle w:val="Hyperlink"/>
            <w:i/>
            <w:iCs/>
          </w:rPr>
          <w:t>National Medicines Policy</w:t>
        </w:r>
      </w:hyperlink>
      <w:r w:rsidR="00147AD1">
        <w:t>.</w:t>
      </w:r>
    </w:p>
  </w:footnote>
  <w:footnote w:id="203">
    <w:p w14:paraId="3A1E3CBB" w14:textId="11C2BE3B" w:rsidR="00E23E39" w:rsidRDefault="00E23E39" w:rsidP="00E23E39">
      <w:pPr>
        <w:pStyle w:val="FootnoteText"/>
      </w:pPr>
      <w:r>
        <w:rPr>
          <w:rStyle w:val="FootnoteReference"/>
        </w:rPr>
        <w:footnoteRef/>
      </w:r>
      <w:r>
        <w:t xml:space="preserve"> </w:t>
      </w:r>
      <w:r w:rsidR="00771999" w:rsidRPr="00771999">
        <w:t xml:space="preserve">DHAC (2023) </w:t>
      </w:r>
      <w:hyperlink r:id="rId175" w:anchor=":~:text=HTA%20Review%20%2D%20Consultation%202%20%2D%20options%20paper.DOCX" w:history="1">
        <w:r w:rsidR="00300FE3">
          <w:rPr>
            <w:rStyle w:val="Hyperlink"/>
            <w:i/>
            <w:iCs/>
          </w:rPr>
          <w:t>HTA Review Consultation 2 Options Paper</w:t>
        </w:r>
      </w:hyperlink>
      <w:r w:rsidR="00771999" w:rsidRPr="00771999">
        <w:t>, Health Technology Assessment Policy and Methods Review</w:t>
      </w:r>
      <w:r w:rsidR="00784337">
        <w:t>.</w:t>
      </w:r>
      <w:r w:rsidR="00FA396E">
        <w:t xml:space="preserve"> </w:t>
      </w:r>
    </w:p>
  </w:footnote>
  <w:footnote w:id="204">
    <w:p w14:paraId="350CB404" w14:textId="2D00F2F7" w:rsidR="00E23E39" w:rsidRDefault="00E23E39" w:rsidP="00E23E39">
      <w:pPr>
        <w:pStyle w:val="FootnoteText"/>
      </w:pPr>
      <w:r>
        <w:rPr>
          <w:rStyle w:val="FootnoteReference"/>
        </w:rPr>
        <w:footnoteRef/>
      </w:r>
      <w:r>
        <w:t xml:space="preserve"> See </w:t>
      </w:r>
      <w:r w:rsidR="00622531">
        <w:t>AbbVie’s</w:t>
      </w:r>
      <w:r>
        <w:t xml:space="preserve"> submission to Consultation 2 </w:t>
      </w:r>
      <w:r w:rsidR="00236903">
        <w:t>for</w:t>
      </w:r>
      <w:r>
        <w:t xml:space="preserve"> a representative </w:t>
      </w:r>
      <w:r w:rsidR="00236903">
        <w:t>view</w:t>
      </w:r>
      <w:r>
        <w:t xml:space="preserve"> of this observation</w:t>
      </w:r>
      <w:r w:rsidR="00147AD1">
        <w:t>.</w:t>
      </w:r>
    </w:p>
  </w:footnote>
  <w:footnote w:id="205">
    <w:p w14:paraId="4362CE60" w14:textId="1A4E9CDA" w:rsidR="00E23E39" w:rsidRDefault="00E23E39" w:rsidP="00E23E39">
      <w:pPr>
        <w:pStyle w:val="FootnoteText"/>
      </w:pPr>
      <w:r>
        <w:rPr>
          <w:rStyle w:val="FootnoteReference"/>
        </w:rPr>
        <w:footnoteRef/>
      </w:r>
      <w:r>
        <w:t xml:space="preserve"> </w:t>
      </w:r>
      <w:r w:rsidRPr="00FC696D">
        <w:t xml:space="preserve">See </w:t>
      </w:r>
      <w:r w:rsidR="0050444B" w:rsidRPr="00FC696D">
        <w:rPr>
          <w:i/>
        </w:rPr>
        <w:t>C</w:t>
      </w:r>
      <w:r w:rsidRPr="00FC696D">
        <w:rPr>
          <w:i/>
        </w:rPr>
        <w:t xml:space="preserve">onsensus </w:t>
      </w:r>
      <w:r w:rsidR="00C42C40" w:rsidRPr="00FC696D">
        <w:rPr>
          <w:i/>
          <w:iCs/>
        </w:rPr>
        <w:t>Letter</w:t>
      </w:r>
      <w:r w:rsidRPr="00FC696D">
        <w:rPr>
          <w:i/>
        </w:rPr>
        <w:t xml:space="preserve"> from 51 consumer </w:t>
      </w:r>
      <w:r w:rsidR="00C42C40" w:rsidRPr="00FC696D">
        <w:rPr>
          <w:i/>
          <w:iCs/>
        </w:rPr>
        <w:t>organisations</w:t>
      </w:r>
      <w:r w:rsidRPr="00FC696D">
        <w:t xml:space="preserve"> as part of Consultation 2 </w:t>
      </w:r>
      <w:r w:rsidR="0050444B" w:rsidRPr="00FC696D">
        <w:t>for</w:t>
      </w:r>
      <w:r w:rsidRPr="00FC696D">
        <w:t xml:space="preserve"> a representative </w:t>
      </w:r>
      <w:r w:rsidR="0050444B" w:rsidRPr="00FC696D">
        <w:t>view</w:t>
      </w:r>
      <w:r w:rsidRPr="00FC696D">
        <w:t xml:space="preserve"> of this observation</w:t>
      </w:r>
      <w:r w:rsidR="00147AD1" w:rsidRPr="00FC696D">
        <w:t>.</w:t>
      </w:r>
    </w:p>
  </w:footnote>
  <w:footnote w:id="206">
    <w:p w14:paraId="4094194F" w14:textId="1F7D97C0" w:rsidR="00E23E39" w:rsidRDefault="00E23E39" w:rsidP="00E23E39">
      <w:pPr>
        <w:pStyle w:val="FootnoteText"/>
      </w:pPr>
      <w:r>
        <w:rPr>
          <w:rStyle w:val="FootnoteReference"/>
        </w:rPr>
        <w:footnoteRef/>
      </w:r>
      <w:r>
        <w:t xml:space="preserve"> </w:t>
      </w:r>
      <w:r w:rsidRPr="00FC696D">
        <w:t>See Roche</w:t>
      </w:r>
      <w:r w:rsidR="00236903" w:rsidRPr="00FC696D">
        <w:t>’s</w:t>
      </w:r>
      <w:r w:rsidRPr="00FC696D">
        <w:t xml:space="preserve"> submission to Consultation 2 </w:t>
      </w:r>
      <w:r w:rsidR="00236903" w:rsidRPr="00FC696D">
        <w:t>for</w:t>
      </w:r>
      <w:r w:rsidRPr="00FC696D">
        <w:t xml:space="preserve"> a representative </w:t>
      </w:r>
      <w:r w:rsidR="00236903" w:rsidRPr="00FC696D">
        <w:t>view</w:t>
      </w:r>
      <w:r w:rsidRPr="00FC696D">
        <w:t xml:space="preserve"> of this observation</w:t>
      </w:r>
      <w:r w:rsidR="00147AD1" w:rsidRPr="00FC696D">
        <w:t>.</w:t>
      </w:r>
    </w:p>
  </w:footnote>
  <w:footnote w:id="207">
    <w:p w14:paraId="32DB150C" w14:textId="67EF6628" w:rsidR="0073444D" w:rsidRDefault="0073444D">
      <w:pPr>
        <w:pStyle w:val="FootnoteText"/>
      </w:pPr>
      <w:r>
        <w:rPr>
          <w:rStyle w:val="FootnoteReference"/>
        </w:rPr>
        <w:footnoteRef/>
      </w:r>
      <w:r>
        <w:t xml:space="preserve"> </w:t>
      </w:r>
      <w:r w:rsidRPr="00417769">
        <w:t>DHAC (2022)</w:t>
      </w:r>
      <w:r w:rsidR="00FA396E">
        <w:t xml:space="preserve"> </w:t>
      </w:r>
      <w:hyperlink r:id="rId176" w:history="1">
        <w:r w:rsidRPr="002E5DF4">
          <w:rPr>
            <w:rStyle w:val="Hyperlink"/>
            <w:i/>
            <w:iCs/>
          </w:rPr>
          <w:t>National Medicines Policy</w:t>
        </w:r>
      </w:hyperlink>
      <w:r w:rsidR="00147AD1">
        <w:t>.</w:t>
      </w:r>
    </w:p>
  </w:footnote>
  <w:footnote w:id="208">
    <w:p w14:paraId="4BD7DC0D" w14:textId="75F10641" w:rsidR="0073444D" w:rsidRDefault="0073444D">
      <w:pPr>
        <w:pStyle w:val="FootnoteText"/>
      </w:pPr>
      <w:r>
        <w:rPr>
          <w:rStyle w:val="FootnoteReference"/>
        </w:rPr>
        <w:footnoteRef/>
      </w:r>
      <w:r>
        <w:t xml:space="preserve"> </w:t>
      </w:r>
      <w:r w:rsidRPr="004E3CCC">
        <w:t xml:space="preserve">Australian Government (2020) </w:t>
      </w:r>
      <w:hyperlink r:id="rId177" w:history="1">
        <w:r w:rsidRPr="004E3CCC">
          <w:rPr>
            <w:rStyle w:val="Hyperlink"/>
            <w:i/>
            <w:iCs/>
          </w:rPr>
          <w:t>Australia’s National Antimicrobial Resistance Strategy – 2020 and Beyond</w:t>
        </w:r>
      </w:hyperlink>
      <w:r w:rsidR="00147AD1">
        <w:t>.</w:t>
      </w:r>
    </w:p>
  </w:footnote>
  <w:footnote w:id="209">
    <w:p w14:paraId="09B67831" w14:textId="73953197" w:rsidR="00E03B2C" w:rsidRDefault="00E03B2C">
      <w:pPr>
        <w:pStyle w:val="FootnoteText"/>
      </w:pPr>
      <w:r>
        <w:rPr>
          <w:rStyle w:val="FootnoteReference"/>
        </w:rPr>
        <w:footnoteRef/>
      </w:r>
      <w:r>
        <w:t xml:space="preserve"> </w:t>
      </w:r>
      <w:r w:rsidR="00F1208B">
        <w:t xml:space="preserve">DHAC </w:t>
      </w:r>
      <w:r w:rsidR="002F276A">
        <w:t xml:space="preserve">(2020) </w:t>
      </w:r>
      <w:hyperlink r:id="rId178" w:history="1">
        <w:r w:rsidR="00455EEE" w:rsidRPr="00C17FCB">
          <w:rPr>
            <w:rStyle w:val="Hyperlink"/>
            <w:i/>
            <w:iCs/>
          </w:rPr>
          <w:t>National Strategic Action Plan for Rare Diseases</w:t>
        </w:r>
      </w:hyperlink>
      <w:r w:rsidR="00147AD1">
        <w:t>.</w:t>
      </w:r>
    </w:p>
  </w:footnote>
  <w:footnote w:id="210">
    <w:p w14:paraId="60CEE6BD" w14:textId="3AF9CCFC" w:rsidR="00D7127F" w:rsidRPr="00E841E8" w:rsidRDefault="00E23E39" w:rsidP="00D7127F">
      <w:pPr>
        <w:pStyle w:val="FootnoteText"/>
        <w:rPr>
          <w:i/>
          <w:iCs/>
        </w:rPr>
      </w:pPr>
      <w:r>
        <w:rPr>
          <w:rStyle w:val="FootnoteReference"/>
        </w:rPr>
        <w:footnoteRef/>
      </w:r>
      <w:r>
        <w:t xml:space="preserve"> </w:t>
      </w:r>
      <w:r w:rsidR="00D7127F" w:rsidRPr="00E841E8">
        <w:t xml:space="preserve">See comment from </w:t>
      </w:r>
      <w:r w:rsidR="00D7127F" w:rsidRPr="00D7127F">
        <w:t>Chair of the PBAC and from Roche</w:t>
      </w:r>
      <w:r w:rsidR="00D7127F" w:rsidRPr="00E841E8">
        <w:t xml:space="preserve"> on p</w:t>
      </w:r>
      <w:r w:rsidR="00D7127F" w:rsidRPr="00D7127F">
        <w:t xml:space="preserve">305 </w:t>
      </w:r>
      <w:r w:rsidR="00D7127F">
        <w:t>for representative views of these observations</w:t>
      </w:r>
      <w:r w:rsidR="00D7127F" w:rsidRPr="00E841E8">
        <w:t xml:space="preserve">, Australia Parliament House of Representatives Standing Committee on Health, Aged Care and Sport (2021) </w:t>
      </w:r>
      <w:hyperlink r:id="rId179" w:history="1">
        <w:r w:rsidR="00D7127F" w:rsidRPr="00E841E8">
          <w:rPr>
            <w:rStyle w:val="Hyperlink"/>
            <w:i/>
            <w:iCs/>
          </w:rPr>
          <w:t xml:space="preserve">The New Frontier </w:t>
        </w:r>
        <w:r w:rsidR="00F33A9E">
          <w:rPr>
            <w:rStyle w:val="Hyperlink"/>
            <w:i/>
            <w:iCs/>
          </w:rPr>
          <w:t>i</w:t>
        </w:r>
        <w:r w:rsidR="00D7127F" w:rsidRPr="00E841E8">
          <w:rPr>
            <w:rStyle w:val="Hyperlink"/>
            <w:i/>
            <w:iCs/>
          </w:rPr>
          <w:t>nquiry</w:t>
        </w:r>
      </w:hyperlink>
      <w:r w:rsidR="00147AD1">
        <w:t>.</w:t>
      </w:r>
    </w:p>
    <w:p w14:paraId="4DA5BFEF" w14:textId="14E4FB6F" w:rsidR="00E23E39" w:rsidRPr="007D5714" w:rsidRDefault="00E23E39" w:rsidP="00E23E39">
      <w:pPr>
        <w:pStyle w:val="FootnoteText"/>
      </w:pPr>
    </w:p>
  </w:footnote>
  <w:footnote w:id="211">
    <w:p w14:paraId="6AC12304" w14:textId="527F969E" w:rsidR="00E23E39" w:rsidRDefault="00E23E39" w:rsidP="00E23E39">
      <w:pPr>
        <w:pStyle w:val="FootnoteText"/>
      </w:pPr>
      <w:r>
        <w:rPr>
          <w:rStyle w:val="FootnoteReference"/>
        </w:rPr>
        <w:footnoteRef/>
      </w:r>
      <w:r>
        <w:t xml:space="preserve"> See</w:t>
      </w:r>
      <w:r w:rsidR="00E111E9">
        <w:t xml:space="preserve"> </w:t>
      </w:r>
      <w:hyperlink r:id="rId180" w:history="1">
        <w:r w:rsidR="00E111E9" w:rsidRPr="00865C1A">
          <w:rPr>
            <w:rStyle w:val="Hyperlink"/>
          </w:rPr>
          <w:t xml:space="preserve">Cancer Health Services Research Unit, </w:t>
        </w:r>
        <w:r w:rsidRPr="00865C1A">
          <w:rPr>
            <w:rStyle w:val="Hyperlink"/>
          </w:rPr>
          <w:t>University of Melbourne submission to Consultation</w:t>
        </w:r>
      </w:hyperlink>
      <w:r>
        <w:t xml:space="preserve"> 1 for </w:t>
      </w:r>
      <w:r w:rsidR="00783237">
        <w:t>a representative view of this observation.</w:t>
      </w:r>
    </w:p>
  </w:footnote>
  <w:footnote w:id="212">
    <w:p w14:paraId="0E693F93" w14:textId="1875B07F" w:rsidR="00E23E39" w:rsidRDefault="00E23E39" w:rsidP="00E23E39">
      <w:pPr>
        <w:pStyle w:val="FootnoteText"/>
      </w:pPr>
      <w:r>
        <w:rPr>
          <w:rStyle w:val="FootnoteReference"/>
        </w:rPr>
        <w:footnoteRef/>
      </w:r>
      <w:r>
        <w:t xml:space="preserve"> </w:t>
      </w:r>
      <w:r w:rsidR="00C97EB6" w:rsidRPr="00C97EB6">
        <w:t xml:space="preserve">Adelaide Health Technology Assessment (2023) </w:t>
      </w:r>
      <w:r w:rsidR="00E4350D" w:rsidRPr="009F4120">
        <w:rPr>
          <w:i/>
          <w:iCs/>
        </w:rPr>
        <w:t>Horizon Scanning and Early Assessment</w:t>
      </w:r>
      <w:r w:rsidR="00C97EB6" w:rsidRPr="00C97EB6">
        <w:t>, Health Technology Assessment Policy and Methods Review</w:t>
      </w:r>
      <w:r w:rsidR="00E4350D">
        <w:t xml:space="preserve"> within</w:t>
      </w:r>
      <w:r w:rsidR="00E4350D" w:rsidRPr="00E4350D">
        <w:t xml:space="preserve"> </w:t>
      </w:r>
      <w:r w:rsidR="00E4350D">
        <w:t xml:space="preserve">Adelaide Health Technology Assessment (2024)  </w:t>
      </w:r>
      <w:hyperlink r:id="rId181" w:history="1">
        <w:r w:rsidR="00E4350D" w:rsidRPr="00C52F5D">
          <w:rPr>
            <w:rStyle w:val="Hyperlink"/>
            <w:i/>
            <w:iCs/>
          </w:rPr>
          <w:t>HTA Pathways and Processes, Clinical Evaluation Methods and Horizon Scanning</w:t>
        </w:r>
      </w:hyperlink>
      <w:r w:rsidR="00E4350D">
        <w:t>, Health Technology Assessment Policy and Methods Review</w:t>
      </w:r>
      <w:r w:rsidR="00E50663">
        <w:t>.</w:t>
      </w:r>
      <w:r w:rsidR="00C97EB6" w:rsidRPr="00C97EB6">
        <w:t xml:space="preserve"> </w:t>
      </w:r>
    </w:p>
  </w:footnote>
  <w:footnote w:id="213">
    <w:p w14:paraId="76B8AC30" w14:textId="1C39ABFA" w:rsidR="00E23E39" w:rsidRDefault="00E23E39" w:rsidP="00E23E39">
      <w:pPr>
        <w:pStyle w:val="FootnoteText"/>
      </w:pPr>
      <w:r>
        <w:rPr>
          <w:rStyle w:val="FootnoteReference"/>
        </w:rPr>
        <w:footnoteRef/>
      </w:r>
      <w:r>
        <w:t xml:space="preserve"> </w:t>
      </w:r>
      <w:r w:rsidRPr="005E4560">
        <w:t xml:space="preserve">See Medicines Australia and </w:t>
      </w:r>
      <w:r w:rsidR="00AB10C4" w:rsidRPr="005E4560">
        <w:rPr>
          <w:rFonts w:eastAsia="Times New Roman" w:cs="Segoe UI"/>
          <w:color w:val="000000"/>
          <w:lang w:eastAsia="en-AU"/>
        </w:rPr>
        <w:t>Breast Cancer Network Australia</w:t>
      </w:r>
      <w:r w:rsidRPr="005E4560">
        <w:t xml:space="preserve"> submissions to Consultation 2 </w:t>
      </w:r>
      <w:r w:rsidR="00C97EB6" w:rsidRPr="005E4560">
        <w:t>for</w:t>
      </w:r>
      <w:r w:rsidRPr="005E4560">
        <w:t xml:space="preserve"> representative </w:t>
      </w:r>
      <w:r w:rsidR="00C97EB6" w:rsidRPr="005E4560">
        <w:t>views</w:t>
      </w:r>
      <w:r w:rsidRPr="005E4560">
        <w:t xml:space="preserve"> of these observations</w:t>
      </w:r>
      <w:r w:rsidR="00AB10C4" w:rsidRPr="005E4560">
        <w:t>.</w:t>
      </w:r>
    </w:p>
  </w:footnote>
  <w:footnote w:id="214">
    <w:p w14:paraId="25B299B6" w14:textId="6B8753C9" w:rsidR="00E23E39" w:rsidRDefault="00E23E39" w:rsidP="00E23E39">
      <w:pPr>
        <w:pStyle w:val="FootnoteText"/>
      </w:pPr>
      <w:r>
        <w:rPr>
          <w:rStyle w:val="FootnoteReference"/>
        </w:rPr>
        <w:footnoteRef/>
      </w:r>
      <w:r>
        <w:t xml:space="preserve"> </w:t>
      </w:r>
      <w:r w:rsidR="00FD14B0">
        <w:t>National Institute for Health and Care Research UK (2024)</w:t>
      </w:r>
      <w:r w:rsidR="002632D5">
        <w:t xml:space="preserve"> </w:t>
      </w:r>
      <w:hyperlink r:id="rId182" w:anchor="nihrfinancial-summary-202223" w:history="1">
        <w:r w:rsidR="002632D5" w:rsidRPr="002632D5">
          <w:rPr>
            <w:rStyle w:val="Hyperlink"/>
            <w:i/>
            <w:iCs/>
          </w:rPr>
          <w:t>NIHR Annual Report 2022/23</w:t>
        </w:r>
      </w:hyperlink>
      <w:r w:rsidR="00147AD1">
        <w:t>.</w:t>
      </w:r>
    </w:p>
  </w:footnote>
  <w:footnote w:id="215">
    <w:p w14:paraId="4FBFA0BA" w14:textId="57299353" w:rsidR="00E23E39" w:rsidRDefault="00E23E39" w:rsidP="00E23E39">
      <w:pPr>
        <w:pStyle w:val="FootnoteText"/>
      </w:pPr>
      <w:r>
        <w:rPr>
          <w:rStyle w:val="FootnoteReference"/>
        </w:rPr>
        <w:footnoteRef/>
      </w:r>
      <w:r>
        <w:t xml:space="preserve"> </w:t>
      </w:r>
      <w:r w:rsidR="007844B9">
        <w:t xml:space="preserve">Patient Centred </w:t>
      </w:r>
      <w:r w:rsidR="008A317F">
        <w:t xml:space="preserve">Outcomes Research Institute </w:t>
      </w:r>
      <w:r w:rsidR="00000A1A">
        <w:t xml:space="preserve">(2023) </w:t>
      </w:r>
      <w:hyperlink r:id="rId183" w:history="1">
        <w:r w:rsidR="00000A1A" w:rsidRPr="00000A1A">
          <w:rPr>
            <w:rStyle w:val="Hyperlink"/>
            <w:i/>
            <w:iCs/>
          </w:rPr>
          <w:t>2023 Financial Report and Audit</w:t>
        </w:r>
      </w:hyperlink>
      <w:r w:rsidR="00147AD1">
        <w:t>.</w:t>
      </w:r>
    </w:p>
  </w:footnote>
  <w:footnote w:id="216">
    <w:p w14:paraId="0585CF99" w14:textId="3F3ED030" w:rsidR="00E23E39" w:rsidRDefault="00E23E39" w:rsidP="00E23E39">
      <w:pPr>
        <w:pStyle w:val="FootnoteText"/>
      </w:pPr>
      <w:r>
        <w:rPr>
          <w:rStyle w:val="FootnoteReference"/>
        </w:rPr>
        <w:footnoteRef/>
      </w:r>
      <w:r>
        <w:t xml:space="preserve"> </w:t>
      </w:r>
      <w:r w:rsidRPr="005E4560">
        <w:t>See N</w:t>
      </w:r>
      <w:r w:rsidR="0047180F" w:rsidRPr="005E4560">
        <w:t>eurologi</w:t>
      </w:r>
      <w:r w:rsidR="00AB10C4" w:rsidRPr="005E4560">
        <w:t>c</w:t>
      </w:r>
      <w:r w:rsidR="0047180F" w:rsidRPr="005E4560">
        <w:t xml:space="preserve">al </w:t>
      </w:r>
      <w:r w:rsidRPr="005E4560">
        <w:t>A</w:t>
      </w:r>
      <w:r w:rsidR="0047180F" w:rsidRPr="005E4560">
        <w:t xml:space="preserve">lliance </w:t>
      </w:r>
      <w:r w:rsidRPr="005E4560">
        <w:t>A</w:t>
      </w:r>
      <w:r w:rsidR="0047180F" w:rsidRPr="005E4560">
        <w:t>ustralia</w:t>
      </w:r>
      <w:r w:rsidRPr="005E4560">
        <w:t xml:space="preserve"> and Asthma Australia submissions to Consultation 2 </w:t>
      </w:r>
      <w:r w:rsidR="00A42446" w:rsidRPr="005E4560">
        <w:t>for</w:t>
      </w:r>
      <w:r w:rsidRPr="005E4560">
        <w:t xml:space="preserve"> representative </w:t>
      </w:r>
      <w:r w:rsidR="00A42446" w:rsidRPr="005E4560">
        <w:t>views</w:t>
      </w:r>
      <w:r w:rsidRPr="005E4560">
        <w:t xml:space="preserve"> of this general observation</w:t>
      </w:r>
      <w:r w:rsidR="00147AD1" w:rsidRPr="005E4560">
        <w:t>.</w:t>
      </w:r>
    </w:p>
  </w:footnote>
  <w:footnote w:id="217">
    <w:p w14:paraId="5C989E06" w14:textId="7600A58A" w:rsidR="008444DC" w:rsidRDefault="008444DC">
      <w:pPr>
        <w:pStyle w:val="FootnoteText"/>
      </w:pPr>
      <w:r>
        <w:rPr>
          <w:rStyle w:val="FootnoteReference"/>
        </w:rPr>
        <w:footnoteRef/>
      </w:r>
      <w:r>
        <w:t xml:space="preserve"> </w:t>
      </w:r>
      <w:r w:rsidRPr="00C97EB6">
        <w:t xml:space="preserve">Adelaide Health Technology Assessment (2023) </w:t>
      </w:r>
      <w:r w:rsidR="00E4350D" w:rsidRPr="009F4120">
        <w:rPr>
          <w:i/>
          <w:iCs/>
        </w:rPr>
        <w:t>Horizon Scanning and Early Assessment</w:t>
      </w:r>
      <w:r w:rsidRPr="00C97EB6">
        <w:t>, Health Technology Assessment Policy and Methods Review</w:t>
      </w:r>
      <w:r w:rsidR="00E4350D">
        <w:t xml:space="preserve"> within Adelaide Health Technology Assessment (2024)  </w:t>
      </w:r>
      <w:hyperlink r:id="rId184" w:history="1">
        <w:r w:rsidR="00E4350D" w:rsidRPr="00C52F5D">
          <w:rPr>
            <w:rStyle w:val="Hyperlink"/>
            <w:i/>
            <w:iCs/>
          </w:rPr>
          <w:t>HTA Pathways and Processes, Clinical Evaluation Methods and Horizon Scanning</w:t>
        </w:r>
      </w:hyperlink>
      <w:r w:rsidR="00E4350D">
        <w:t>, Health Technology Assessment Policy and Methods Review</w:t>
      </w:r>
      <w:r>
        <w:t>.</w:t>
      </w:r>
    </w:p>
  </w:footnote>
  <w:footnote w:id="218">
    <w:p w14:paraId="51BD95A3" w14:textId="51F7BBCB" w:rsidR="00E23E39" w:rsidRPr="00AD5DE9" w:rsidRDefault="00E23E39" w:rsidP="00E23E39">
      <w:pPr>
        <w:pStyle w:val="FootnoteText"/>
        <w:rPr>
          <w:i/>
        </w:rPr>
      </w:pPr>
      <w:r>
        <w:rPr>
          <w:rStyle w:val="FootnoteReference"/>
        </w:rPr>
        <w:footnoteRef/>
      </w:r>
      <w:r>
        <w:t xml:space="preserve"> </w:t>
      </w:r>
      <w:r w:rsidR="00AD5DE9" w:rsidRPr="00AD5DE9">
        <w:t xml:space="preserve">DHAC (2022) </w:t>
      </w:r>
      <w:hyperlink r:id="rId185" w:history="1">
        <w:r w:rsidR="00C73D81" w:rsidRPr="00C73D81">
          <w:rPr>
            <w:rStyle w:val="Hyperlink"/>
            <w:i/>
          </w:rPr>
          <w:t>Strategic Agreement between the Commonwealth of Australia and Medicines Australia 2022</w:t>
        </w:r>
        <w:r w:rsidR="00C73D81" w:rsidRPr="00C73D81">
          <w:rPr>
            <w:rStyle w:val="Hyperlink"/>
            <w:i/>
          </w:rPr>
          <w:noBreakHyphen/>
          <w:t>2027</w:t>
        </w:r>
      </w:hyperlink>
      <w:r w:rsidR="0083298B" w:rsidRPr="001652A4">
        <w:rPr>
          <w:rStyle w:val="Hyperlink"/>
          <w:iCs/>
          <w:color w:val="auto"/>
          <w:u w:val="none"/>
        </w:rPr>
        <w:t>, PBS</w:t>
      </w:r>
      <w:r w:rsidR="00C73D81" w:rsidRPr="001652A4">
        <w:rPr>
          <w:iCs/>
        </w:rPr>
        <w:t>.</w:t>
      </w:r>
    </w:p>
    <w:p w14:paraId="7122783C" w14:textId="77777777" w:rsidR="00E23E39" w:rsidRDefault="00E23E39" w:rsidP="00E23E39">
      <w:pPr>
        <w:pStyle w:val="FootnoteText"/>
      </w:pPr>
    </w:p>
  </w:footnote>
  <w:footnote w:id="219">
    <w:p w14:paraId="526B96D3" w14:textId="7F8BB46F" w:rsidR="00E23E39" w:rsidRDefault="00E23E39" w:rsidP="00E23E39">
      <w:pPr>
        <w:pStyle w:val="FootnoteText"/>
      </w:pPr>
      <w:r>
        <w:rPr>
          <w:rStyle w:val="FootnoteReference"/>
        </w:rPr>
        <w:footnoteRef/>
      </w:r>
      <w:r>
        <w:t xml:space="preserve"> </w:t>
      </w:r>
      <w:r w:rsidR="00B97C87" w:rsidRPr="005E4560">
        <w:t xml:space="preserve">See </w:t>
      </w:r>
      <w:r w:rsidR="00622531" w:rsidRPr="005E4560">
        <w:t>AbbVie’s</w:t>
      </w:r>
      <w:r w:rsidRPr="005E4560">
        <w:t xml:space="preserve"> submission to Consultation 2 </w:t>
      </w:r>
      <w:r w:rsidR="00AD5DE9" w:rsidRPr="005E4560">
        <w:t>for</w:t>
      </w:r>
      <w:r w:rsidRPr="005E4560">
        <w:t xml:space="preserve"> a representative </w:t>
      </w:r>
      <w:r w:rsidR="00AD5DE9" w:rsidRPr="005E4560">
        <w:t>view</w:t>
      </w:r>
      <w:r w:rsidRPr="005E4560">
        <w:t xml:space="preserve"> of this general observation</w:t>
      </w:r>
      <w:r w:rsidR="00BC5FBC" w:rsidRPr="005E4560">
        <w:t>.</w:t>
      </w:r>
    </w:p>
  </w:footnote>
  <w:footnote w:id="220">
    <w:p w14:paraId="0485EE67" w14:textId="2554AB50" w:rsidR="00E23E39" w:rsidRDefault="00E23E39" w:rsidP="00E23E39">
      <w:pPr>
        <w:pStyle w:val="FootnoteText"/>
      </w:pPr>
      <w:r>
        <w:rPr>
          <w:rStyle w:val="FootnoteReference"/>
        </w:rPr>
        <w:footnoteRef/>
      </w:r>
      <w:r>
        <w:t xml:space="preserve"> </w:t>
      </w:r>
      <w:r w:rsidRPr="005E4560">
        <w:t>See Novartis Australia</w:t>
      </w:r>
      <w:r w:rsidR="00AD5DE9" w:rsidRPr="005E4560">
        <w:t>’s</w:t>
      </w:r>
      <w:r w:rsidRPr="005E4560">
        <w:t xml:space="preserve"> submission to Consultation 2 </w:t>
      </w:r>
      <w:r w:rsidR="00AD5DE9" w:rsidRPr="005E4560">
        <w:t>for</w:t>
      </w:r>
      <w:r w:rsidRPr="005E4560">
        <w:t xml:space="preserve"> a representative </w:t>
      </w:r>
      <w:r w:rsidR="00AD5DE9" w:rsidRPr="005E4560">
        <w:t>view</w:t>
      </w:r>
      <w:r w:rsidRPr="005E4560">
        <w:t xml:space="preserve"> of this general observation</w:t>
      </w:r>
      <w:r w:rsidR="00BC5FBC">
        <w:t>.</w:t>
      </w:r>
    </w:p>
  </w:footnote>
  <w:footnote w:id="221">
    <w:p w14:paraId="224B6F9D" w14:textId="4447552F" w:rsidR="00E23E39" w:rsidRDefault="00E23E39" w:rsidP="00E23E39">
      <w:pPr>
        <w:pStyle w:val="FootnoteText"/>
      </w:pPr>
      <w:r>
        <w:rPr>
          <w:rStyle w:val="FootnoteReference"/>
        </w:rPr>
        <w:footnoteRef/>
      </w:r>
      <w:r>
        <w:t xml:space="preserve"> </w:t>
      </w:r>
      <w:r w:rsidRPr="005E4560">
        <w:t>See Roche</w:t>
      </w:r>
      <w:r w:rsidR="00AD5DE9" w:rsidRPr="005E4560">
        <w:t>’s</w:t>
      </w:r>
      <w:r w:rsidRPr="005E4560">
        <w:t xml:space="preserve"> submission to Consultation 2 </w:t>
      </w:r>
      <w:r w:rsidR="00AD5DE9" w:rsidRPr="005E4560">
        <w:t>for</w:t>
      </w:r>
      <w:r w:rsidRPr="005E4560">
        <w:t xml:space="preserve"> a representative </w:t>
      </w:r>
      <w:r w:rsidR="00AD5DE9" w:rsidRPr="005E4560">
        <w:t>view</w:t>
      </w:r>
      <w:r w:rsidRPr="005E4560">
        <w:t xml:space="preserve"> of this general observation</w:t>
      </w:r>
      <w:r w:rsidR="00BC5FBC" w:rsidRPr="005E4560">
        <w:t>.</w:t>
      </w:r>
    </w:p>
  </w:footnote>
  <w:footnote w:id="222">
    <w:p w14:paraId="1A5D056A" w14:textId="18CF0968" w:rsidR="00141532" w:rsidRDefault="00141532">
      <w:pPr>
        <w:pStyle w:val="FootnoteText"/>
      </w:pPr>
      <w:r>
        <w:rPr>
          <w:rStyle w:val="FootnoteReference"/>
        </w:rPr>
        <w:footnoteRef/>
      </w:r>
      <w:r>
        <w:t xml:space="preserve"> </w:t>
      </w:r>
      <w:bookmarkStart w:id="742" w:name="_Hlk167712365"/>
      <w:r w:rsidRPr="00417769">
        <w:t>DHAC (2022)</w:t>
      </w:r>
      <w:r w:rsidR="00FA396E">
        <w:t xml:space="preserve"> </w:t>
      </w:r>
      <w:hyperlink r:id="rId186" w:history="1">
        <w:r w:rsidRPr="002E5DF4">
          <w:rPr>
            <w:rStyle w:val="Hyperlink"/>
            <w:i/>
            <w:iCs/>
          </w:rPr>
          <w:t>National Medicines Policy</w:t>
        </w:r>
      </w:hyperlink>
      <w:bookmarkEnd w:id="742"/>
      <w:r w:rsidR="00147AD1">
        <w:t>.</w:t>
      </w:r>
    </w:p>
  </w:footnote>
  <w:footnote w:id="223">
    <w:p w14:paraId="13119AC9" w14:textId="7F9BD7AB" w:rsidR="002F5E82" w:rsidRPr="002F5E82" w:rsidRDefault="00E23E39" w:rsidP="002F5E82">
      <w:pPr>
        <w:pStyle w:val="FootnoteText"/>
      </w:pPr>
      <w:r>
        <w:rPr>
          <w:rStyle w:val="FootnoteReference"/>
        </w:rPr>
        <w:footnoteRef/>
      </w:r>
      <w:r>
        <w:t xml:space="preserve"> </w:t>
      </w:r>
      <w:r w:rsidR="002F5E82" w:rsidRPr="002F5E82">
        <w:t xml:space="preserve">Recommendation </w:t>
      </w:r>
      <w:r w:rsidR="002F5E82">
        <w:t>5</w:t>
      </w:r>
      <w:r w:rsidR="002F5E82" w:rsidRPr="002F5E82">
        <w:t xml:space="preserve">, </w:t>
      </w:r>
      <w:bookmarkStart w:id="761" w:name="_Hlk165382544"/>
      <w:r w:rsidR="002F5E82" w:rsidRPr="002F5E82">
        <w:t xml:space="preserve">Australia Parliament House of Representatives Standing Committee on Health, Aged Care and Sport (2021) </w:t>
      </w:r>
      <w:hyperlink r:id="rId187" w:history="1">
        <w:r w:rsidR="002F5E82" w:rsidRPr="002F5E82">
          <w:rPr>
            <w:rStyle w:val="Hyperlink"/>
            <w:i/>
            <w:iCs/>
          </w:rPr>
          <w:t xml:space="preserve">The New Frontier </w:t>
        </w:r>
        <w:r w:rsidR="00F33A9E">
          <w:rPr>
            <w:rStyle w:val="Hyperlink"/>
            <w:i/>
            <w:iCs/>
          </w:rPr>
          <w:t>i</w:t>
        </w:r>
        <w:r w:rsidR="002F5E82" w:rsidRPr="002F5E82">
          <w:rPr>
            <w:rStyle w:val="Hyperlink"/>
            <w:i/>
            <w:iCs/>
          </w:rPr>
          <w:t>nquiry</w:t>
        </w:r>
      </w:hyperlink>
      <w:r w:rsidR="00147AD1">
        <w:t>.</w:t>
      </w:r>
      <w:r w:rsidRPr="002F5E82">
        <w:rPr>
          <w:i/>
        </w:rPr>
        <w:t xml:space="preserve"> </w:t>
      </w:r>
    </w:p>
    <w:bookmarkEnd w:id="761"/>
    <w:p w14:paraId="4305A62A" w14:textId="3F285E17" w:rsidR="00E23E39" w:rsidRDefault="00E23E39" w:rsidP="00E23E39">
      <w:pPr>
        <w:pStyle w:val="FootnoteText"/>
      </w:pPr>
    </w:p>
  </w:footnote>
  <w:footnote w:id="224">
    <w:p w14:paraId="4AC461B7" w14:textId="49CF6411" w:rsidR="00E23E39" w:rsidRDefault="00E23E39" w:rsidP="00E23E39">
      <w:pPr>
        <w:pStyle w:val="FootnoteText"/>
      </w:pPr>
      <w:r>
        <w:rPr>
          <w:rStyle w:val="FootnoteReference"/>
        </w:rPr>
        <w:footnoteRef/>
      </w:r>
      <w:r>
        <w:t xml:space="preserve"> See </w:t>
      </w:r>
      <w:hyperlink r:id="rId188" w:history="1">
        <w:r w:rsidRPr="00613D17">
          <w:rPr>
            <w:rStyle w:val="Hyperlink"/>
          </w:rPr>
          <w:t xml:space="preserve">Research Australia’s </w:t>
        </w:r>
        <w:r w:rsidR="00C71248" w:rsidRPr="00613D17">
          <w:rPr>
            <w:rStyle w:val="Hyperlink"/>
          </w:rPr>
          <w:t xml:space="preserve">submission to </w:t>
        </w:r>
        <w:r w:rsidRPr="00613D17">
          <w:rPr>
            <w:rStyle w:val="Hyperlink"/>
          </w:rPr>
          <w:t xml:space="preserve">Consultation </w:t>
        </w:r>
        <w:r w:rsidR="001923DC" w:rsidRPr="00613D17">
          <w:rPr>
            <w:rStyle w:val="Hyperlink"/>
          </w:rPr>
          <w:t>1</w:t>
        </w:r>
      </w:hyperlink>
      <w:r>
        <w:t xml:space="preserve"> </w:t>
      </w:r>
      <w:r w:rsidR="00C71248">
        <w:t>for</w:t>
      </w:r>
      <w:r>
        <w:t xml:space="preserve"> representative </w:t>
      </w:r>
      <w:r w:rsidR="00C71248">
        <w:t>views</w:t>
      </w:r>
      <w:r>
        <w:t xml:space="preserve"> of these observations</w:t>
      </w:r>
      <w:r w:rsidR="001E198D">
        <w:t>.</w:t>
      </w:r>
    </w:p>
  </w:footnote>
  <w:footnote w:id="225">
    <w:p w14:paraId="6AE575C1" w14:textId="79233A95" w:rsidR="00E23E39" w:rsidRDefault="00E23E39" w:rsidP="00413992">
      <w:pPr>
        <w:pStyle w:val="FootnoteText"/>
        <w:spacing w:after="160"/>
      </w:pPr>
      <w:r>
        <w:rPr>
          <w:rStyle w:val="FootnoteReference"/>
        </w:rPr>
        <w:footnoteRef/>
      </w:r>
      <w:r>
        <w:t xml:space="preserve"> </w:t>
      </w:r>
      <w:r w:rsidRPr="002C35C3">
        <w:t>See Asthma Australia</w:t>
      </w:r>
      <w:r w:rsidR="00F90CCB" w:rsidRPr="002C35C3">
        <w:t>’s</w:t>
      </w:r>
      <w:r w:rsidRPr="002C35C3">
        <w:t xml:space="preserve"> submission to consultation 2 </w:t>
      </w:r>
      <w:r w:rsidR="00073A40" w:rsidRPr="002C35C3">
        <w:t>for</w:t>
      </w:r>
      <w:r w:rsidRPr="002C35C3">
        <w:t xml:space="preserve"> a representative </w:t>
      </w:r>
      <w:r w:rsidR="00565390" w:rsidRPr="002C35C3">
        <w:t>view</w:t>
      </w:r>
      <w:r w:rsidRPr="002C35C3">
        <w:t xml:space="preserve"> of this observation</w:t>
      </w:r>
      <w:r w:rsidR="001E198D" w:rsidRPr="002C35C3">
        <w:t>.</w:t>
      </w:r>
    </w:p>
  </w:footnote>
  <w:footnote w:id="226">
    <w:p w14:paraId="7FE369DE" w14:textId="55623E62" w:rsidR="00E23E39" w:rsidRDefault="00E23E39" w:rsidP="00B61FDC">
      <w:pPr>
        <w:pStyle w:val="FootnoteText"/>
      </w:pPr>
      <w:r w:rsidRPr="000D09AB">
        <w:rPr>
          <w:rStyle w:val="FootnoteReference"/>
          <w:rFonts w:cstheme="minorHAnsi"/>
        </w:rPr>
        <w:footnoteRef/>
      </w:r>
      <w:r w:rsidRPr="000D09AB">
        <w:rPr>
          <w:rFonts w:cstheme="minorHAnsi"/>
        </w:rPr>
        <w:t xml:space="preserve"> </w:t>
      </w:r>
      <w:r w:rsidR="000D09AB" w:rsidRPr="000D09AB">
        <w:rPr>
          <w:rFonts w:eastAsia="Calibri" w:cstheme="minorHAnsi"/>
          <w:kern w:val="2"/>
          <w14:ligatures w14:val="standardContextual"/>
        </w:rPr>
        <w:t>DHAC (</w:t>
      </w:r>
      <w:r w:rsidR="005123E2">
        <w:rPr>
          <w:rFonts w:eastAsia="Calibri" w:cstheme="minorHAnsi"/>
          <w:kern w:val="2"/>
          <w14:ligatures w14:val="standardContextual"/>
        </w:rPr>
        <w:t>2019</w:t>
      </w:r>
      <w:r w:rsidR="000D09AB" w:rsidRPr="000D09AB">
        <w:rPr>
          <w:rFonts w:eastAsia="Calibri" w:cstheme="minorHAnsi"/>
          <w:kern w:val="2"/>
          <w14:ligatures w14:val="standardContextual"/>
        </w:rPr>
        <w:t xml:space="preserve">) </w:t>
      </w:r>
      <w:hyperlink r:id="rId189" w:history="1">
        <w:r w:rsidR="000D09AB" w:rsidRPr="000D09AB">
          <w:rPr>
            <w:rFonts w:eastAsia="Calibri" w:cstheme="minorHAnsi"/>
            <w:i/>
            <w:iCs/>
            <w:color w:val="0563C1"/>
            <w:kern w:val="2"/>
            <w:u w:val="single"/>
            <w14:ligatures w14:val="standardContextual"/>
          </w:rPr>
          <w:t>Comparable overseas regulators (CORs) for prescription medicines</w:t>
        </w:r>
      </w:hyperlink>
      <w:r w:rsidR="000D09AB" w:rsidRPr="000D09AB">
        <w:rPr>
          <w:rFonts w:eastAsia="Calibri" w:cstheme="minorHAnsi"/>
          <w:kern w:val="2"/>
          <w14:ligatures w14:val="standardContextual"/>
        </w:rPr>
        <w:t xml:space="preserve">, </w:t>
      </w:r>
      <w:r w:rsidR="00283777">
        <w:rPr>
          <w:rFonts w:eastAsia="Calibri" w:cstheme="minorHAnsi"/>
          <w:kern w:val="2"/>
          <w14:ligatures w14:val="standardContextual"/>
        </w:rPr>
        <w:t>Therap</w:t>
      </w:r>
      <w:r w:rsidR="005123E2">
        <w:rPr>
          <w:rFonts w:eastAsia="Calibri" w:cstheme="minorHAnsi"/>
          <w:kern w:val="2"/>
          <w14:ligatures w14:val="standardContextual"/>
        </w:rPr>
        <w:t>eutic Goods Administration (</w:t>
      </w:r>
      <w:r w:rsidR="000D09AB" w:rsidRPr="000D09AB">
        <w:rPr>
          <w:rFonts w:eastAsia="Calibri" w:cstheme="minorHAnsi"/>
          <w:kern w:val="2"/>
          <w14:ligatures w14:val="standardContextual"/>
        </w:rPr>
        <w:t>TGA</w:t>
      </w:r>
      <w:r w:rsidR="005123E2">
        <w:rPr>
          <w:rFonts w:eastAsia="Calibri" w:cstheme="minorHAnsi"/>
          <w:kern w:val="2"/>
          <w14:ligatures w14:val="standardContextual"/>
        </w:rPr>
        <w:t>)</w:t>
      </w:r>
      <w:r w:rsidR="00D27CE1">
        <w:rPr>
          <w:rFonts w:eastAsia="Calibri" w:cstheme="minorHAnsi"/>
          <w:kern w:val="2"/>
          <w14:ligatures w14:val="standardContextual"/>
        </w:rPr>
        <w:t>.</w:t>
      </w:r>
      <w:r w:rsidR="000D09AB" w:rsidRPr="000D09AB">
        <w:rPr>
          <w:rFonts w:eastAsia="Calibri" w:cstheme="minorHAnsi"/>
          <w:kern w:val="2"/>
          <w14:ligatures w14:val="standardContextual"/>
        </w:rPr>
        <w:t xml:space="preserve"> </w:t>
      </w:r>
    </w:p>
  </w:footnote>
  <w:footnote w:id="227">
    <w:p w14:paraId="5261541F" w14:textId="2D71DC26" w:rsidR="00E23E39" w:rsidRDefault="00E23E39" w:rsidP="00E23E39">
      <w:pPr>
        <w:pStyle w:val="FootnoteText"/>
      </w:pPr>
      <w:r>
        <w:rPr>
          <w:rStyle w:val="FootnoteReference"/>
        </w:rPr>
        <w:footnoteRef/>
      </w:r>
      <w:r>
        <w:t xml:space="preserve"> </w:t>
      </w:r>
      <w:r w:rsidR="003F0FBF" w:rsidRPr="003F0FBF">
        <w:t>DHAC (</w:t>
      </w:r>
      <w:r w:rsidR="000926DB">
        <w:t>2023</w:t>
      </w:r>
      <w:r w:rsidR="003F0FBF" w:rsidRPr="003F0FBF">
        <w:t xml:space="preserve">) </w:t>
      </w:r>
      <w:hyperlink r:id="rId190" w:history="1">
        <w:r w:rsidR="00836395" w:rsidRPr="005503BA">
          <w:rPr>
            <w:rStyle w:val="Hyperlink"/>
            <w:i/>
            <w:iCs/>
          </w:rPr>
          <w:t>Australia-Canada-Singapore-Switzerland-United Kingdom (Access) Consortium</w:t>
        </w:r>
      </w:hyperlink>
      <w:r w:rsidR="00597453" w:rsidRPr="003F0FBF">
        <w:rPr>
          <w:i/>
        </w:rPr>
        <w:fldChar w:fldCharType="begin"/>
      </w:r>
      <w:r w:rsidR="00597453" w:rsidRPr="003F0FBF">
        <w:rPr>
          <w:i/>
        </w:rPr>
        <w:fldChar w:fldCharType="separate"/>
      </w:r>
      <w:r w:rsidR="003F0FBF" w:rsidRPr="003F0FBF">
        <w:rPr>
          <w:rStyle w:val="Hyperlink"/>
          <w:i/>
          <w:iCs/>
        </w:rPr>
        <w:t>Australia-Canada-Singapore-Switzerland-United Kingdom (Access) Consortium</w:t>
      </w:r>
      <w:r w:rsidR="00597453" w:rsidRPr="003F0FBF">
        <w:fldChar w:fldCharType="end"/>
      </w:r>
      <w:r w:rsidR="003F0FBF" w:rsidRPr="003F0FBF">
        <w:t>, TGA</w:t>
      </w:r>
      <w:r w:rsidR="00D27CE1">
        <w:t>.</w:t>
      </w:r>
      <w:r w:rsidR="003F0FBF" w:rsidRPr="003F0FBF">
        <w:t xml:space="preserve"> </w:t>
      </w:r>
    </w:p>
  </w:footnote>
  <w:footnote w:id="228">
    <w:p w14:paraId="7AE50771" w14:textId="21C99F40" w:rsidR="00E23E39" w:rsidRDefault="00E23E39" w:rsidP="00E23E39">
      <w:pPr>
        <w:pStyle w:val="FootnoteText"/>
      </w:pPr>
      <w:r>
        <w:rPr>
          <w:rStyle w:val="FootnoteReference"/>
        </w:rPr>
        <w:footnoteRef/>
      </w:r>
      <w:r>
        <w:t xml:space="preserve"> </w:t>
      </w:r>
      <w:r w:rsidR="00413992" w:rsidRPr="00413992">
        <w:t>DHAC (</w:t>
      </w:r>
      <w:r w:rsidR="000926DB">
        <w:t>2023</w:t>
      </w:r>
      <w:r w:rsidR="00413992" w:rsidRPr="00413992">
        <w:t xml:space="preserve">) </w:t>
      </w:r>
      <w:hyperlink r:id="rId191" w:history="1">
        <w:r w:rsidR="00413992" w:rsidRPr="00413992">
          <w:rPr>
            <w:rStyle w:val="Hyperlink"/>
            <w:i/>
            <w:iCs/>
          </w:rPr>
          <w:t>Project Orbis</w:t>
        </w:r>
      </w:hyperlink>
      <w:r w:rsidR="00413992" w:rsidRPr="00413992">
        <w:t>, TGA</w:t>
      </w:r>
      <w:r w:rsidR="00D27CE1">
        <w:t>.</w:t>
      </w:r>
      <w:r w:rsidR="00413992" w:rsidRPr="00413992">
        <w:t xml:space="preserve"> </w:t>
      </w:r>
    </w:p>
  </w:footnote>
  <w:footnote w:id="229">
    <w:p w14:paraId="3F5B869E" w14:textId="2D9609FA" w:rsidR="00E23E39" w:rsidRDefault="00E23E39" w:rsidP="00E23E39">
      <w:pPr>
        <w:pStyle w:val="FootnoteText"/>
      </w:pPr>
      <w:r>
        <w:rPr>
          <w:rStyle w:val="FootnoteReference"/>
        </w:rPr>
        <w:footnoteRef/>
      </w:r>
      <w:r>
        <w:t xml:space="preserve"> Additional details on these arrangements can be found </w:t>
      </w:r>
      <w:r w:rsidR="002F1D01">
        <w:t xml:space="preserve">in </w:t>
      </w:r>
      <w:r w:rsidR="002F1D01" w:rsidRPr="002F1D01">
        <w:t>Adelaide Health Technology Assessment (2023)</w:t>
      </w:r>
      <w:bookmarkStart w:id="764" w:name="_Hlk165391618"/>
      <w:r w:rsidR="002F1D01" w:rsidRPr="002F1D01">
        <w:t xml:space="preserve">, </w:t>
      </w:r>
      <w:r w:rsidR="00380E43" w:rsidRPr="009F4120">
        <w:rPr>
          <w:i/>
          <w:iCs/>
        </w:rPr>
        <w:t>International Health Technology Market Approval, Funding and Assessment Pathways</w:t>
      </w:r>
      <w:r w:rsidR="007D3D49">
        <w:t xml:space="preserve">, </w:t>
      </w:r>
      <w:r w:rsidR="002F1D01" w:rsidRPr="002F1D01">
        <w:t>Health Technology Assessment Policy and Methods Review</w:t>
      </w:r>
      <w:bookmarkEnd w:id="764"/>
      <w:r w:rsidR="00380E43">
        <w:t xml:space="preserve"> within Adelaide Health Technology Assessment (2024)  </w:t>
      </w:r>
      <w:hyperlink r:id="rId192" w:history="1">
        <w:r w:rsidR="00380E43" w:rsidRPr="00C52F5D">
          <w:rPr>
            <w:rStyle w:val="Hyperlink"/>
            <w:i/>
            <w:iCs/>
          </w:rPr>
          <w:t>HTA Pathways and Processes, Clinical Evaluation Methods and Horizon Scanning</w:t>
        </w:r>
      </w:hyperlink>
      <w:r w:rsidR="00380E43">
        <w:t>, Health Technology Assessment Policy and Methods Review</w:t>
      </w:r>
      <w:r w:rsidR="00D27CE1">
        <w:t>.</w:t>
      </w:r>
    </w:p>
  </w:footnote>
  <w:footnote w:id="230">
    <w:p w14:paraId="35482BF3" w14:textId="18AA674E" w:rsidR="00E23E39" w:rsidRDefault="00E23E39" w:rsidP="00E23E39">
      <w:pPr>
        <w:pStyle w:val="FootnoteText"/>
      </w:pPr>
      <w:r>
        <w:rPr>
          <w:rStyle w:val="FootnoteReference"/>
        </w:rPr>
        <w:footnoteRef/>
      </w:r>
      <w:r>
        <w:t xml:space="preserve"> </w:t>
      </w:r>
      <w:r w:rsidRPr="002C35C3">
        <w:t xml:space="preserve">See BMS Australia and Novartis Australia submissions to Consultation 2 </w:t>
      </w:r>
      <w:r w:rsidR="009E7E06" w:rsidRPr="002C35C3">
        <w:t>for</w:t>
      </w:r>
      <w:r w:rsidRPr="002C35C3">
        <w:t xml:space="preserve"> representative </w:t>
      </w:r>
      <w:r w:rsidR="009E7E06" w:rsidRPr="002C35C3">
        <w:t>views</w:t>
      </w:r>
      <w:r w:rsidRPr="002C35C3">
        <w:t xml:space="preserve"> of this observation</w:t>
      </w:r>
      <w:r w:rsidR="00D27CE1" w:rsidRPr="002C35C3">
        <w:t>.</w:t>
      </w:r>
    </w:p>
  </w:footnote>
  <w:footnote w:id="231">
    <w:p w14:paraId="2CCAC6DF" w14:textId="53365F39" w:rsidR="00E23E39" w:rsidRDefault="00E23E39" w:rsidP="00E23E39">
      <w:pPr>
        <w:pStyle w:val="FootnoteText"/>
      </w:pPr>
      <w:r>
        <w:rPr>
          <w:rStyle w:val="FootnoteReference"/>
        </w:rPr>
        <w:footnoteRef/>
      </w:r>
      <w:r>
        <w:t xml:space="preserve"> </w:t>
      </w:r>
      <w:r w:rsidRPr="002C35C3">
        <w:t>See Medicines Australia</w:t>
      </w:r>
      <w:r w:rsidR="009E7E06" w:rsidRPr="002C35C3">
        <w:t>’s</w:t>
      </w:r>
      <w:r w:rsidRPr="002C35C3">
        <w:t xml:space="preserve"> submission to Consultation 2 </w:t>
      </w:r>
      <w:r w:rsidR="009E7E06" w:rsidRPr="002C35C3">
        <w:t>for a</w:t>
      </w:r>
      <w:r w:rsidRPr="002C35C3">
        <w:t xml:space="preserve"> representative </w:t>
      </w:r>
      <w:r w:rsidR="009E7E06" w:rsidRPr="002C35C3">
        <w:t>view</w:t>
      </w:r>
      <w:r w:rsidRPr="002C35C3">
        <w:t xml:space="preserve"> of this observation</w:t>
      </w:r>
      <w:r w:rsidR="00D27CE1" w:rsidRPr="002C35C3">
        <w:t>.</w:t>
      </w:r>
    </w:p>
  </w:footnote>
  <w:footnote w:id="232">
    <w:p w14:paraId="33224F16" w14:textId="7A98F1D0" w:rsidR="000B7B40" w:rsidRDefault="000B7B40">
      <w:pPr>
        <w:pStyle w:val="FootnoteText"/>
      </w:pPr>
      <w:r>
        <w:rPr>
          <w:rStyle w:val="FootnoteReference"/>
        </w:rPr>
        <w:footnoteRef/>
      </w:r>
      <w:r>
        <w:t xml:space="preserve"> </w:t>
      </w:r>
      <w:r w:rsidRPr="00417769">
        <w:t>DHAC (2022)</w:t>
      </w:r>
      <w:r w:rsidR="00FA396E">
        <w:t xml:space="preserve"> </w:t>
      </w:r>
      <w:hyperlink r:id="rId193" w:history="1">
        <w:r w:rsidRPr="002E5DF4">
          <w:rPr>
            <w:rStyle w:val="Hyperlink"/>
            <w:i/>
            <w:iCs/>
          </w:rPr>
          <w:t>National Medicines Policy</w:t>
        </w:r>
      </w:hyperlink>
      <w:r w:rsidR="00147AD1">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B8844D6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7D6461"/>
    <w:multiLevelType w:val="hybridMultilevel"/>
    <w:tmpl w:val="142E69E6"/>
    <w:lvl w:ilvl="0" w:tplc="72A6C334">
      <w:numFmt w:val="bullet"/>
      <w:lvlText w:val=""/>
      <w:lvlJc w:val="left"/>
      <w:pPr>
        <w:tabs>
          <w:tab w:val="num" w:pos="360"/>
        </w:tabs>
        <w:ind w:left="360" w:hanging="360"/>
      </w:pPr>
      <w:rPr>
        <w:rFonts w:ascii="Symbol" w:eastAsiaTheme="minorHAnsi" w:hAnsi="Symbol" w:cs="Times New Roman" w:hint="default"/>
      </w:rPr>
    </w:lvl>
    <w:lvl w:ilvl="1" w:tplc="B56A2A7C">
      <w:start w:val="1"/>
      <w:numFmt w:val="bullet"/>
      <w:lvlText w:val="-"/>
      <w:lvlJc w:val="left"/>
      <w:pPr>
        <w:tabs>
          <w:tab w:val="num" w:pos="1080"/>
        </w:tabs>
        <w:ind w:left="1080" w:hanging="360"/>
      </w:pPr>
      <w:rPr>
        <w:rFonts w:ascii="Times New Roman" w:hAnsi="Times New Roman" w:hint="default"/>
      </w:rPr>
    </w:lvl>
    <w:lvl w:ilvl="2" w:tplc="5C8CDC1C" w:tentative="1">
      <w:start w:val="1"/>
      <w:numFmt w:val="bullet"/>
      <w:lvlText w:val="-"/>
      <w:lvlJc w:val="left"/>
      <w:pPr>
        <w:tabs>
          <w:tab w:val="num" w:pos="1800"/>
        </w:tabs>
        <w:ind w:left="1800" w:hanging="360"/>
      </w:pPr>
      <w:rPr>
        <w:rFonts w:ascii="Times New Roman" w:hAnsi="Times New Roman" w:hint="default"/>
      </w:rPr>
    </w:lvl>
    <w:lvl w:ilvl="3" w:tplc="A30C7C40" w:tentative="1">
      <w:start w:val="1"/>
      <w:numFmt w:val="bullet"/>
      <w:lvlText w:val="-"/>
      <w:lvlJc w:val="left"/>
      <w:pPr>
        <w:tabs>
          <w:tab w:val="num" w:pos="2520"/>
        </w:tabs>
        <w:ind w:left="2520" w:hanging="360"/>
      </w:pPr>
      <w:rPr>
        <w:rFonts w:ascii="Times New Roman" w:hAnsi="Times New Roman" w:hint="default"/>
      </w:rPr>
    </w:lvl>
    <w:lvl w:ilvl="4" w:tplc="14C65EF6" w:tentative="1">
      <w:start w:val="1"/>
      <w:numFmt w:val="bullet"/>
      <w:lvlText w:val="-"/>
      <w:lvlJc w:val="left"/>
      <w:pPr>
        <w:tabs>
          <w:tab w:val="num" w:pos="3240"/>
        </w:tabs>
        <w:ind w:left="3240" w:hanging="360"/>
      </w:pPr>
      <w:rPr>
        <w:rFonts w:ascii="Times New Roman" w:hAnsi="Times New Roman" w:hint="default"/>
      </w:rPr>
    </w:lvl>
    <w:lvl w:ilvl="5" w:tplc="89005AAC" w:tentative="1">
      <w:start w:val="1"/>
      <w:numFmt w:val="bullet"/>
      <w:lvlText w:val="-"/>
      <w:lvlJc w:val="left"/>
      <w:pPr>
        <w:tabs>
          <w:tab w:val="num" w:pos="3960"/>
        </w:tabs>
        <w:ind w:left="3960" w:hanging="360"/>
      </w:pPr>
      <w:rPr>
        <w:rFonts w:ascii="Times New Roman" w:hAnsi="Times New Roman" w:hint="default"/>
      </w:rPr>
    </w:lvl>
    <w:lvl w:ilvl="6" w:tplc="0B122F1C" w:tentative="1">
      <w:start w:val="1"/>
      <w:numFmt w:val="bullet"/>
      <w:lvlText w:val="-"/>
      <w:lvlJc w:val="left"/>
      <w:pPr>
        <w:tabs>
          <w:tab w:val="num" w:pos="4680"/>
        </w:tabs>
        <w:ind w:left="4680" w:hanging="360"/>
      </w:pPr>
      <w:rPr>
        <w:rFonts w:ascii="Times New Roman" w:hAnsi="Times New Roman" w:hint="default"/>
      </w:rPr>
    </w:lvl>
    <w:lvl w:ilvl="7" w:tplc="B874C332" w:tentative="1">
      <w:start w:val="1"/>
      <w:numFmt w:val="bullet"/>
      <w:lvlText w:val="-"/>
      <w:lvlJc w:val="left"/>
      <w:pPr>
        <w:tabs>
          <w:tab w:val="num" w:pos="5400"/>
        </w:tabs>
        <w:ind w:left="5400" w:hanging="360"/>
      </w:pPr>
      <w:rPr>
        <w:rFonts w:ascii="Times New Roman" w:hAnsi="Times New Roman" w:hint="default"/>
      </w:rPr>
    </w:lvl>
    <w:lvl w:ilvl="8" w:tplc="F302493C" w:tentative="1">
      <w:start w:val="1"/>
      <w:numFmt w:val="bullet"/>
      <w:lvlText w:val="-"/>
      <w:lvlJc w:val="left"/>
      <w:pPr>
        <w:tabs>
          <w:tab w:val="num" w:pos="6120"/>
        </w:tabs>
        <w:ind w:left="6120" w:hanging="360"/>
      </w:pPr>
      <w:rPr>
        <w:rFonts w:ascii="Times New Roman" w:hAnsi="Times New Roman" w:hint="default"/>
      </w:rPr>
    </w:lvl>
  </w:abstractNum>
  <w:abstractNum w:abstractNumId="2" w15:restartNumberingAfterBreak="0">
    <w:nsid w:val="01FF5407"/>
    <w:multiLevelType w:val="hybridMultilevel"/>
    <w:tmpl w:val="1A9888AE"/>
    <w:lvl w:ilvl="0" w:tplc="0A140A04">
      <w:start w:val="1"/>
      <w:numFmt w:val="decimal"/>
      <w:pStyle w:val="SummaryofRecRecheading"/>
      <w:lvlText w:val="Recommendation %1."/>
      <w:lvlJc w:val="left"/>
      <w:pPr>
        <w:ind w:left="360" w:hanging="360"/>
      </w:pPr>
      <w:rPr>
        <w:rFonts w:hint="default"/>
        <w:b w:val="0"/>
        <w:b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36B6018"/>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4" w15:restartNumberingAfterBreak="0">
    <w:nsid w:val="0379798F"/>
    <w:multiLevelType w:val="hybridMultilevel"/>
    <w:tmpl w:val="7A301BD4"/>
    <w:lvl w:ilvl="0" w:tplc="0C090019">
      <w:start w:val="1"/>
      <w:numFmt w:val="lowerLetter"/>
      <w:lvlText w:val="%1."/>
      <w:lvlJc w:val="left"/>
      <w:pPr>
        <w:ind w:left="1083" w:hanging="360"/>
      </w:pPr>
    </w:lvl>
    <w:lvl w:ilvl="1" w:tplc="0C090019" w:tentative="1">
      <w:start w:val="1"/>
      <w:numFmt w:val="lowerLetter"/>
      <w:lvlText w:val="%2."/>
      <w:lvlJc w:val="left"/>
      <w:pPr>
        <w:ind w:left="1803" w:hanging="360"/>
      </w:pPr>
    </w:lvl>
    <w:lvl w:ilvl="2" w:tplc="0C09001B" w:tentative="1">
      <w:start w:val="1"/>
      <w:numFmt w:val="lowerRoman"/>
      <w:lvlText w:val="%3."/>
      <w:lvlJc w:val="right"/>
      <w:pPr>
        <w:ind w:left="2523" w:hanging="180"/>
      </w:pPr>
    </w:lvl>
    <w:lvl w:ilvl="3" w:tplc="0C09000F" w:tentative="1">
      <w:start w:val="1"/>
      <w:numFmt w:val="decimal"/>
      <w:lvlText w:val="%4."/>
      <w:lvlJc w:val="left"/>
      <w:pPr>
        <w:ind w:left="3243" w:hanging="360"/>
      </w:pPr>
    </w:lvl>
    <w:lvl w:ilvl="4" w:tplc="0C090019" w:tentative="1">
      <w:start w:val="1"/>
      <w:numFmt w:val="lowerLetter"/>
      <w:lvlText w:val="%5."/>
      <w:lvlJc w:val="left"/>
      <w:pPr>
        <w:ind w:left="3963" w:hanging="360"/>
      </w:pPr>
    </w:lvl>
    <w:lvl w:ilvl="5" w:tplc="0C09001B" w:tentative="1">
      <w:start w:val="1"/>
      <w:numFmt w:val="lowerRoman"/>
      <w:lvlText w:val="%6."/>
      <w:lvlJc w:val="right"/>
      <w:pPr>
        <w:ind w:left="4683" w:hanging="180"/>
      </w:pPr>
    </w:lvl>
    <w:lvl w:ilvl="6" w:tplc="0C09000F" w:tentative="1">
      <w:start w:val="1"/>
      <w:numFmt w:val="decimal"/>
      <w:lvlText w:val="%7."/>
      <w:lvlJc w:val="left"/>
      <w:pPr>
        <w:ind w:left="5403" w:hanging="360"/>
      </w:pPr>
    </w:lvl>
    <w:lvl w:ilvl="7" w:tplc="0C090019" w:tentative="1">
      <w:start w:val="1"/>
      <w:numFmt w:val="lowerLetter"/>
      <w:lvlText w:val="%8."/>
      <w:lvlJc w:val="left"/>
      <w:pPr>
        <w:ind w:left="6123" w:hanging="360"/>
      </w:pPr>
    </w:lvl>
    <w:lvl w:ilvl="8" w:tplc="0C09001B" w:tentative="1">
      <w:start w:val="1"/>
      <w:numFmt w:val="lowerRoman"/>
      <w:lvlText w:val="%9."/>
      <w:lvlJc w:val="right"/>
      <w:pPr>
        <w:ind w:left="6843" w:hanging="180"/>
      </w:pPr>
    </w:lvl>
  </w:abstractNum>
  <w:abstractNum w:abstractNumId="5" w15:restartNumberingAfterBreak="0">
    <w:nsid w:val="041F3D01"/>
    <w:multiLevelType w:val="hybridMultilevel"/>
    <w:tmpl w:val="063461D0"/>
    <w:styleLink w:val="Final"/>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B20B04"/>
    <w:multiLevelType w:val="hybridMultilevel"/>
    <w:tmpl w:val="887690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71B4D78"/>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8" w15:restartNumberingAfterBreak="0">
    <w:nsid w:val="07E9201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9" w15:restartNumberingAfterBreak="0">
    <w:nsid w:val="088517EA"/>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0" w15:restartNumberingAfterBreak="0">
    <w:nsid w:val="097042B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 w15:restartNumberingAfterBreak="0">
    <w:nsid w:val="09A06AF4"/>
    <w:multiLevelType w:val="hybridMultilevel"/>
    <w:tmpl w:val="9EC687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9F65E7A"/>
    <w:multiLevelType w:val="hybridMultilevel"/>
    <w:tmpl w:val="862A78D8"/>
    <w:lvl w:ilvl="0" w:tplc="92D4465E">
      <w:start w:val="1"/>
      <w:numFmt w:val="decimal"/>
      <w:pStyle w:val="ListNumber"/>
      <w:lvlText w:val="%1."/>
      <w:lvlJc w:val="left"/>
      <w:pPr>
        <w:ind w:left="723" w:hanging="360"/>
      </w:pPr>
    </w:lvl>
    <w:lvl w:ilvl="1" w:tplc="0C090019" w:tentative="1">
      <w:start w:val="1"/>
      <w:numFmt w:val="lowerLetter"/>
      <w:lvlText w:val="%2."/>
      <w:lvlJc w:val="left"/>
      <w:pPr>
        <w:ind w:left="1443" w:hanging="360"/>
      </w:pPr>
    </w:lvl>
    <w:lvl w:ilvl="2" w:tplc="0C09001B" w:tentative="1">
      <w:start w:val="1"/>
      <w:numFmt w:val="lowerRoman"/>
      <w:lvlText w:val="%3."/>
      <w:lvlJc w:val="right"/>
      <w:pPr>
        <w:ind w:left="2163" w:hanging="180"/>
      </w:pPr>
    </w:lvl>
    <w:lvl w:ilvl="3" w:tplc="0C09000F" w:tentative="1">
      <w:start w:val="1"/>
      <w:numFmt w:val="decimal"/>
      <w:lvlText w:val="%4."/>
      <w:lvlJc w:val="left"/>
      <w:pPr>
        <w:ind w:left="2883" w:hanging="360"/>
      </w:pPr>
    </w:lvl>
    <w:lvl w:ilvl="4" w:tplc="0C090019" w:tentative="1">
      <w:start w:val="1"/>
      <w:numFmt w:val="lowerLetter"/>
      <w:lvlText w:val="%5."/>
      <w:lvlJc w:val="left"/>
      <w:pPr>
        <w:ind w:left="3603" w:hanging="360"/>
      </w:pPr>
    </w:lvl>
    <w:lvl w:ilvl="5" w:tplc="0C09001B" w:tentative="1">
      <w:start w:val="1"/>
      <w:numFmt w:val="lowerRoman"/>
      <w:lvlText w:val="%6."/>
      <w:lvlJc w:val="right"/>
      <w:pPr>
        <w:ind w:left="4323" w:hanging="180"/>
      </w:pPr>
    </w:lvl>
    <w:lvl w:ilvl="6" w:tplc="0C09000F" w:tentative="1">
      <w:start w:val="1"/>
      <w:numFmt w:val="decimal"/>
      <w:lvlText w:val="%7."/>
      <w:lvlJc w:val="left"/>
      <w:pPr>
        <w:ind w:left="5043" w:hanging="360"/>
      </w:pPr>
    </w:lvl>
    <w:lvl w:ilvl="7" w:tplc="0C090019" w:tentative="1">
      <w:start w:val="1"/>
      <w:numFmt w:val="lowerLetter"/>
      <w:lvlText w:val="%8."/>
      <w:lvlJc w:val="left"/>
      <w:pPr>
        <w:ind w:left="5763" w:hanging="360"/>
      </w:pPr>
    </w:lvl>
    <w:lvl w:ilvl="8" w:tplc="0C09001B" w:tentative="1">
      <w:start w:val="1"/>
      <w:numFmt w:val="lowerRoman"/>
      <w:lvlText w:val="%9."/>
      <w:lvlJc w:val="right"/>
      <w:pPr>
        <w:ind w:left="6483" w:hanging="180"/>
      </w:pPr>
    </w:lvl>
  </w:abstractNum>
  <w:abstractNum w:abstractNumId="13" w15:restartNumberingAfterBreak="0">
    <w:nsid w:val="0BCD73F3"/>
    <w:multiLevelType w:val="hybridMultilevel"/>
    <w:tmpl w:val="1EC60B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1580DF6"/>
    <w:multiLevelType w:val="hybridMultilevel"/>
    <w:tmpl w:val="8B20E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2073839"/>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6" w15:restartNumberingAfterBreak="0">
    <w:nsid w:val="12CF525C"/>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7" w15:restartNumberingAfterBreak="0">
    <w:nsid w:val="134E5B79"/>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8" w15:restartNumberingAfterBreak="0">
    <w:nsid w:val="177472A9"/>
    <w:multiLevelType w:val="multilevel"/>
    <w:tmpl w:val="273C73B2"/>
    <w:styleLink w:val="Style2"/>
    <w:lvl w:ilvl="0">
      <w:start w:val="1"/>
      <w:numFmt w:val="lowerLetter"/>
      <w:lvlText w:val="%1."/>
      <w:lvlJc w:val="left"/>
      <w:pPr>
        <w:tabs>
          <w:tab w:val="num" w:pos="1594"/>
        </w:tabs>
        <w:ind w:left="1594" w:hanging="363"/>
      </w:pPr>
      <w:rPr>
        <w:rFonts w:hint="default"/>
      </w:rPr>
    </w:lvl>
    <w:lvl w:ilvl="1">
      <w:start w:val="1"/>
      <w:numFmt w:val="lowerRoman"/>
      <w:lvlText w:val="%2."/>
      <w:lvlJc w:val="left"/>
      <w:pPr>
        <w:tabs>
          <w:tab w:val="num" w:pos="2031"/>
        </w:tabs>
        <w:ind w:left="2031" w:hanging="363"/>
      </w:pPr>
      <w:rPr>
        <w:rFonts w:hint="default"/>
      </w:rPr>
    </w:lvl>
    <w:lvl w:ilvl="2">
      <w:start w:val="1"/>
      <w:numFmt w:val="decimal"/>
      <w:lvlText w:val="%3."/>
      <w:lvlJc w:val="left"/>
      <w:pPr>
        <w:tabs>
          <w:tab w:val="num" w:pos="2468"/>
        </w:tabs>
        <w:ind w:left="2468" w:hanging="363"/>
      </w:pPr>
      <w:rPr>
        <w:rFonts w:hint="default"/>
      </w:rPr>
    </w:lvl>
    <w:lvl w:ilvl="3">
      <w:start w:val="1"/>
      <w:numFmt w:val="lowerLetter"/>
      <w:lvlText w:val="(%4)"/>
      <w:lvlJc w:val="left"/>
      <w:pPr>
        <w:tabs>
          <w:tab w:val="num" w:pos="2905"/>
        </w:tabs>
        <w:ind w:left="2905" w:hanging="363"/>
      </w:pPr>
      <w:rPr>
        <w:rFonts w:hint="default"/>
      </w:rPr>
    </w:lvl>
    <w:lvl w:ilvl="4">
      <w:start w:val="1"/>
      <w:numFmt w:val="lowerRoman"/>
      <w:lvlText w:val="(%5)"/>
      <w:lvlJc w:val="left"/>
      <w:pPr>
        <w:tabs>
          <w:tab w:val="num" w:pos="3342"/>
        </w:tabs>
        <w:ind w:left="3342" w:hanging="363"/>
      </w:pPr>
      <w:rPr>
        <w:rFonts w:hint="default"/>
      </w:rPr>
    </w:lvl>
    <w:lvl w:ilvl="5">
      <w:start w:val="1"/>
      <w:numFmt w:val="decimal"/>
      <w:lvlText w:val="(%6)"/>
      <w:lvlJc w:val="left"/>
      <w:pPr>
        <w:tabs>
          <w:tab w:val="num" w:pos="3779"/>
        </w:tabs>
        <w:ind w:left="3779" w:hanging="363"/>
      </w:pPr>
      <w:rPr>
        <w:rFonts w:hint="default"/>
      </w:rPr>
    </w:lvl>
    <w:lvl w:ilvl="6">
      <w:start w:val="1"/>
      <w:numFmt w:val="bullet"/>
      <w:lvlText w:val="•"/>
      <w:lvlJc w:val="left"/>
      <w:pPr>
        <w:tabs>
          <w:tab w:val="num" w:pos="4216"/>
        </w:tabs>
        <w:ind w:left="4216" w:hanging="363"/>
      </w:pPr>
      <w:rPr>
        <w:rFonts w:ascii="Arial" w:hAnsi="Arial" w:hint="default"/>
      </w:rPr>
    </w:lvl>
    <w:lvl w:ilvl="7">
      <w:start w:val="1"/>
      <w:numFmt w:val="bullet"/>
      <w:lvlText w:val="•"/>
      <w:lvlJc w:val="left"/>
      <w:pPr>
        <w:tabs>
          <w:tab w:val="num" w:pos="4653"/>
        </w:tabs>
        <w:ind w:left="4653" w:hanging="363"/>
      </w:pPr>
      <w:rPr>
        <w:rFonts w:ascii="Arial" w:hAnsi="Arial" w:hint="default"/>
      </w:rPr>
    </w:lvl>
    <w:lvl w:ilvl="8">
      <w:start w:val="1"/>
      <w:numFmt w:val="bullet"/>
      <w:lvlText w:val="•"/>
      <w:lvlJc w:val="left"/>
      <w:pPr>
        <w:tabs>
          <w:tab w:val="num" w:pos="5090"/>
        </w:tabs>
        <w:ind w:left="5090" w:hanging="363"/>
      </w:pPr>
      <w:rPr>
        <w:rFonts w:ascii="Arial" w:hAnsi="Arial" w:hint="default"/>
      </w:rPr>
    </w:lvl>
  </w:abstractNum>
  <w:abstractNum w:abstractNumId="19" w15:restartNumberingAfterBreak="0">
    <w:nsid w:val="19477DB0"/>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20" w15:restartNumberingAfterBreak="0">
    <w:nsid w:val="1A2656D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21" w15:restartNumberingAfterBreak="0">
    <w:nsid w:val="1C232996"/>
    <w:multiLevelType w:val="multilevel"/>
    <w:tmpl w:val="F8C0684A"/>
    <w:lvl w:ilvl="0">
      <w:start w:val="1"/>
      <w:numFmt w:val="lowerLetter"/>
      <w:lvlText w:val="%1."/>
      <w:lvlJc w:val="left"/>
      <w:pPr>
        <w:tabs>
          <w:tab w:val="num" w:pos="1214"/>
        </w:tabs>
        <w:ind w:left="1214" w:hanging="363"/>
      </w:pPr>
      <w:rPr>
        <w:rFonts w:hint="default"/>
      </w:rPr>
    </w:lvl>
    <w:lvl w:ilvl="1">
      <w:start w:val="1"/>
      <w:numFmt w:val="lowerRoman"/>
      <w:lvlText w:val="%2."/>
      <w:lvlJc w:val="left"/>
      <w:pPr>
        <w:tabs>
          <w:tab w:val="num" w:pos="1651"/>
        </w:tabs>
        <w:ind w:left="1651" w:hanging="363"/>
      </w:pPr>
      <w:rPr>
        <w:rFonts w:hint="default"/>
      </w:rPr>
    </w:lvl>
    <w:lvl w:ilvl="2">
      <w:start w:val="1"/>
      <w:numFmt w:val="decimal"/>
      <w:lvlText w:val="%3."/>
      <w:lvlJc w:val="left"/>
      <w:pPr>
        <w:tabs>
          <w:tab w:val="num" w:pos="2088"/>
        </w:tabs>
        <w:ind w:left="2088" w:hanging="363"/>
      </w:pPr>
      <w:rPr>
        <w:rFonts w:hint="default"/>
      </w:rPr>
    </w:lvl>
    <w:lvl w:ilvl="3">
      <w:start w:val="1"/>
      <w:numFmt w:val="lowerLetter"/>
      <w:lvlText w:val="(%4)"/>
      <w:lvlJc w:val="left"/>
      <w:pPr>
        <w:tabs>
          <w:tab w:val="num" w:pos="2525"/>
        </w:tabs>
        <w:ind w:left="2525" w:hanging="363"/>
      </w:pPr>
      <w:rPr>
        <w:rFonts w:hint="default"/>
      </w:rPr>
    </w:lvl>
    <w:lvl w:ilvl="4">
      <w:start w:val="1"/>
      <w:numFmt w:val="lowerRoman"/>
      <w:lvlText w:val="(%5)"/>
      <w:lvlJc w:val="left"/>
      <w:pPr>
        <w:tabs>
          <w:tab w:val="num" w:pos="2962"/>
        </w:tabs>
        <w:ind w:left="2962" w:hanging="363"/>
      </w:pPr>
      <w:rPr>
        <w:rFonts w:hint="default"/>
      </w:rPr>
    </w:lvl>
    <w:lvl w:ilvl="5">
      <w:start w:val="1"/>
      <w:numFmt w:val="decimal"/>
      <w:lvlText w:val="(%6)"/>
      <w:lvlJc w:val="left"/>
      <w:pPr>
        <w:tabs>
          <w:tab w:val="num" w:pos="3399"/>
        </w:tabs>
        <w:ind w:left="3399" w:hanging="363"/>
      </w:pPr>
      <w:rPr>
        <w:rFonts w:hint="default"/>
      </w:rPr>
    </w:lvl>
    <w:lvl w:ilvl="6">
      <w:start w:val="1"/>
      <w:numFmt w:val="bullet"/>
      <w:lvlText w:val="•"/>
      <w:lvlJc w:val="left"/>
      <w:pPr>
        <w:tabs>
          <w:tab w:val="num" w:pos="3836"/>
        </w:tabs>
        <w:ind w:left="3836" w:hanging="363"/>
      </w:pPr>
      <w:rPr>
        <w:rFonts w:ascii="Arial" w:hAnsi="Arial" w:hint="default"/>
      </w:rPr>
    </w:lvl>
    <w:lvl w:ilvl="7">
      <w:start w:val="1"/>
      <w:numFmt w:val="bullet"/>
      <w:lvlText w:val="•"/>
      <w:lvlJc w:val="left"/>
      <w:pPr>
        <w:tabs>
          <w:tab w:val="num" w:pos="4273"/>
        </w:tabs>
        <w:ind w:left="4273" w:hanging="363"/>
      </w:pPr>
      <w:rPr>
        <w:rFonts w:ascii="Arial" w:hAnsi="Arial" w:hint="default"/>
      </w:rPr>
    </w:lvl>
    <w:lvl w:ilvl="8">
      <w:start w:val="1"/>
      <w:numFmt w:val="bullet"/>
      <w:lvlText w:val="•"/>
      <w:lvlJc w:val="left"/>
      <w:pPr>
        <w:tabs>
          <w:tab w:val="num" w:pos="4710"/>
        </w:tabs>
        <w:ind w:left="4710" w:hanging="363"/>
      </w:pPr>
      <w:rPr>
        <w:rFonts w:ascii="Arial" w:hAnsi="Arial" w:hint="default"/>
      </w:rPr>
    </w:lvl>
  </w:abstractNum>
  <w:abstractNum w:abstractNumId="22" w15:restartNumberingAfterBreak="0">
    <w:nsid w:val="1C7154B9"/>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23" w15:restartNumberingAfterBreak="0">
    <w:nsid w:val="1CE6578C"/>
    <w:multiLevelType w:val="hybridMultilevel"/>
    <w:tmpl w:val="C4D0E4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D67226E"/>
    <w:multiLevelType w:val="hybridMultilevel"/>
    <w:tmpl w:val="1DE07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DAC1247"/>
    <w:multiLevelType w:val="hybridMultilevel"/>
    <w:tmpl w:val="B0B0C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F8F6DBD"/>
    <w:multiLevelType w:val="hybridMultilevel"/>
    <w:tmpl w:val="8534A9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09704F4"/>
    <w:multiLevelType w:val="hybridMultilevel"/>
    <w:tmpl w:val="602011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0DB3310"/>
    <w:multiLevelType w:val="hybridMultilevel"/>
    <w:tmpl w:val="51F6E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17407C3"/>
    <w:multiLevelType w:val="hybridMultilevel"/>
    <w:tmpl w:val="E7960A0A"/>
    <w:lvl w:ilvl="0" w:tplc="70D8A696">
      <w:start w:val="1"/>
      <w:numFmt w:val="decimal"/>
      <w:lvlText w:val="%1)"/>
      <w:lvlJc w:val="left"/>
      <w:pPr>
        <w:ind w:left="1440" w:hanging="360"/>
      </w:pPr>
    </w:lvl>
    <w:lvl w:ilvl="1" w:tplc="76307C06">
      <w:start w:val="1"/>
      <w:numFmt w:val="decimal"/>
      <w:lvlText w:val="%2)"/>
      <w:lvlJc w:val="left"/>
      <w:pPr>
        <w:ind w:left="1440" w:hanging="360"/>
      </w:pPr>
    </w:lvl>
    <w:lvl w:ilvl="2" w:tplc="7CBC9480">
      <w:start w:val="1"/>
      <w:numFmt w:val="decimal"/>
      <w:lvlText w:val="%3)"/>
      <w:lvlJc w:val="left"/>
      <w:pPr>
        <w:ind w:left="1440" w:hanging="360"/>
      </w:pPr>
    </w:lvl>
    <w:lvl w:ilvl="3" w:tplc="61DA7FC8">
      <w:start w:val="1"/>
      <w:numFmt w:val="decimal"/>
      <w:lvlText w:val="%4)"/>
      <w:lvlJc w:val="left"/>
      <w:pPr>
        <w:ind w:left="1440" w:hanging="360"/>
      </w:pPr>
    </w:lvl>
    <w:lvl w:ilvl="4" w:tplc="A450203E">
      <w:start w:val="1"/>
      <w:numFmt w:val="decimal"/>
      <w:lvlText w:val="%5)"/>
      <w:lvlJc w:val="left"/>
      <w:pPr>
        <w:ind w:left="1440" w:hanging="360"/>
      </w:pPr>
    </w:lvl>
    <w:lvl w:ilvl="5" w:tplc="483EF904">
      <w:start w:val="1"/>
      <w:numFmt w:val="decimal"/>
      <w:lvlText w:val="%6)"/>
      <w:lvlJc w:val="left"/>
      <w:pPr>
        <w:ind w:left="1440" w:hanging="360"/>
      </w:pPr>
    </w:lvl>
    <w:lvl w:ilvl="6" w:tplc="BA167BD0">
      <w:start w:val="1"/>
      <w:numFmt w:val="decimal"/>
      <w:lvlText w:val="%7)"/>
      <w:lvlJc w:val="left"/>
      <w:pPr>
        <w:ind w:left="1440" w:hanging="360"/>
      </w:pPr>
    </w:lvl>
    <w:lvl w:ilvl="7" w:tplc="7C8CA638">
      <w:start w:val="1"/>
      <w:numFmt w:val="decimal"/>
      <w:lvlText w:val="%8)"/>
      <w:lvlJc w:val="left"/>
      <w:pPr>
        <w:ind w:left="1440" w:hanging="360"/>
      </w:pPr>
    </w:lvl>
    <w:lvl w:ilvl="8" w:tplc="3CE2106A">
      <w:start w:val="1"/>
      <w:numFmt w:val="decimal"/>
      <w:lvlText w:val="%9)"/>
      <w:lvlJc w:val="left"/>
      <w:pPr>
        <w:ind w:left="1440" w:hanging="360"/>
      </w:pPr>
    </w:lvl>
  </w:abstractNum>
  <w:abstractNum w:abstractNumId="30" w15:restartNumberingAfterBreak="0">
    <w:nsid w:val="21BE35AD"/>
    <w:multiLevelType w:val="multilevel"/>
    <w:tmpl w:val="861A3CD4"/>
    <w:lvl w:ilvl="0">
      <w:start w:val="1"/>
      <w:numFmt w:val="lowerLetter"/>
      <w:lvlText w:val="%1."/>
      <w:lvlJc w:val="left"/>
      <w:pPr>
        <w:tabs>
          <w:tab w:val="num" w:pos="567"/>
        </w:tabs>
        <w:ind w:left="924" w:hanging="357"/>
      </w:pPr>
      <w:rPr>
        <w:rFonts w:ascii="Segoe UI" w:hAnsi="Segoe UI" w:hint="default"/>
        <w:sz w:val="24"/>
      </w:rPr>
    </w:lvl>
    <w:lvl w:ilvl="1">
      <w:start w:val="1"/>
      <w:numFmt w:val="lowerRoman"/>
      <w:lvlText w:val="%2."/>
      <w:lvlJc w:val="left"/>
      <w:pPr>
        <w:tabs>
          <w:tab w:val="num" w:pos="992"/>
        </w:tabs>
        <w:ind w:left="1355" w:hanging="363"/>
      </w:pPr>
      <w:rPr>
        <w:rFonts w:ascii="Segoe UI" w:hAnsi="Segoe UI" w:hint="default"/>
        <w:sz w:val="24"/>
      </w:rPr>
    </w:lvl>
    <w:lvl w:ilvl="2">
      <w:start w:val="1"/>
      <w:numFmt w:val="decimal"/>
      <w:lvlRestart w:val="1"/>
      <w:lvlText w:val="%3."/>
      <w:lvlJc w:val="left"/>
      <w:pPr>
        <w:ind w:left="1644" w:hanging="357"/>
      </w:pPr>
      <w:rPr>
        <w:rFonts w:ascii="Segoe UI" w:hAnsi="Segoe UI" w:hint="default"/>
        <w:sz w:val="24"/>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3240" w:hanging="360"/>
      </w:pPr>
      <w:rPr>
        <w:rFonts w:hint="default"/>
      </w:rPr>
    </w:lvl>
    <w:lvl w:ilvl="6">
      <w:start w:val="1"/>
      <w:numFmt w:val="decimal"/>
      <w:lvlText w:val="%7."/>
      <w:lvlJc w:val="left"/>
      <w:pPr>
        <w:ind w:left="3600" w:hanging="360"/>
      </w:pPr>
      <w:rPr>
        <w:rFonts w:ascii="Segoe UI" w:eastAsia="Calibri" w:hAnsi="Segoe UI" w:cs="Segoe UI" w:hint="default"/>
      </w:rPr>
    </w:lvl>
    <w:lvl w:ilvl="7">
      <w:start w:val="1"/>
      <w:numFmt w:val="lowerLetter"/>
      <w:lvlText w:val="%8."/>
      <w:lvlJc w:val="left"/>
      <w:pPr>
        <w:ind w:left="3960" w:hanging="360"/>
      </w:pPr>
      <w:rPr>
        <w:rFonts w:hint="default"/>
      </w:rPr>
    </w:lvl>
    <w:lvl w:ilvl="8">
      <w:start w:val="1"/>
      <w:numFmt w:val="lowerLetter"/>
      <w:lvlText w:val="%9."/>
      <w:lvlJc w:val="left"/>
      <w:pPr>
        <w:ind w:left="4320" w:hanging="362"/>
      </w:pPr>
      <w:rPr>
        <w:rFonts w:ascii="Segoe UI" w:eastAsiaTheme="minorHAnsi" w:hAnsi="Segoe UI" w:cs="Segoe UI" w:hint="default"/>
      </w:rPr>
    </w:lvl>
  </w:abstractNum>
  <w:abstractNum w:abstractNumId="31" w15:restartNumberingAfterBreak="0">
    <w:nsid w:val="22E564F1"/>
    <w:multiLevelType w:val="hybridMultilevel"/>
    <w:tmpl w:val="62B64E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4CE33ED"/>
    <w:multiLevelType w:val="hybridMultilevel"/>
    <w:tmpl w:val="972037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4FB69FB"/>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34" w15:restartNumberingAfterBreak="0">
    <w:nsid w:val="25735391"/>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35" w15:restartNumberingAfterBreak="0">
    <w:nsid w:val="2653055E"/>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36" w15:restartNumberingAfterBreak="0">
    <w:nsid w:val="298812C5"/>
    <w:multiLevelType w:val="hybridMultilevel"/>
    <w:tmpl w:val="773A52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A1117B4"/>
    <w:multiLevelType w:val="hybridMultilevel"/>
    <w:tmpl w:val="F8602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AE726A1"/>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39" w15:restartNumberingAfterBreak="0">
    <w:nsid w:val="2B884CBC"/>
    <w:multiLevelType w:val="multilevel"/>
    <w:tmpl w:val="2FCAA68C"/>
    <w:lvl w:ilvl="0">
      <w:start w:val="3"/>
      <w:numFmt w:val="lowerLetter"/>
      <w:lvlText w:val="%1."/>
      <w:lvlJc w:val="left"/>
      <w:pPr>
        <w:tabs>
          <w:tab w:val="num" w:pos="720"/>
        </w:tabs>
        <w:ind w:left="720" w:hanging="363"/>
      </w:pPr>
      <w:rPr>
        <w:rFonts w:hint="default"/>
      </w:rPr>
    </w:lvl>
    <w:lvl w:ilvl="1">
      <w:start w:val="3"/>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40" w15:restartNumberingAfterBreak="0">
    <w:nsid w:val="2E262B3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41" w15:restartNumberingAfterBreak="0">
    <w:nsid w:val="2E4309CE"/>
    <w:multiLevelType w:val="hybridMultilevel"/>
    <w:tmpl w:val="3E5E1966"/>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2F093717"/>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43" w15:restartNumberingAfterBreak="0">
    <w:nsid w:val="2F2D0E61"/>
    <w:multiLevelType w:val="hybridMultilevel"/>
    <w:tmpl w:val="DAFEC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FD3004E"/>
    <w:multiLevelType w:val="hybridMultilevel"/>
    <w:tmpl w:val="DFFA01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FDF2B02"/>
    <w:multiLevelType w:val="hybridMultilevel"/>
    <w:tmpl w:val="40A8B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1C6444A"/>
    <w:multiLevelType w:val="hybridMultilevel"/>
    <w:tmpl w:val="3CB4534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334468ED"/>
    <w:multiLevelType w:val="hybridMultilevel"/>
    <w:tmpl w:val="377606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40D05CE"/>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49" w15:restartNumberingAfterBreak="0">
    <w:nsid w:val="3414111B"/>
    <w:multiLevelType w:val="hybridMultilevel"/>
    <w:tmpl w:val="472233D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341A08E3"/>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51" w15:restartNumberingAfterBreak="0">
    <w:nsid w:val="34A56971"/>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52" w15:restartNumberingAfterBreak="0">
    <w:nsid w:val="34CE774F"/>
    <w:multiLevelType w:val="hybridMultilevel"/>
    <w:tmpl w:val="23DAE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5194B47"/>
    <w:multiLevelType w:val="multilevel"/>
    <w:tmpl w:val="861A3CD4"/>
    <w:lvl w:ilvl="0">
      <w:start w:val="1"/>
      <w:numFmt w:val="lowerLetter"/>
      <w:lvlText w:val="%1."/>
      <w:lvlJc w:val="left"/>
      <w:pPr>
        <w:tabs>
          <w:tab w:val="num" w:pos="567"/>
        </w:tabs>
        <w:ind w:left="924" w:hanging="357"/>
      </w:pPr>
      <w:rPr>
        <w:rFonts w:ascii="Segoe UI" w:hAnsi="Segoe UI" w:hint="default"/>
        <w:sz w:val="24"/>
      </w:rPr>
    </w:lvl>
    <w:lvl w:ilvl="1">
      <w:start w:val="1"/>
      <w:numFmt w:val="lowerRoman"/>
      <w:lvlText w:val="%2."/>
      <w:lvlJc w:val="left"/>
      <w:pPr>
        <w:tabs>
          <w:tab w:val="num" w:pos="992"/>
        </w:tabs>
        <w:ind w:left="1355" w:hanging="363"/>
      </w:pPr>
      <w:rPr>
        <w:rFonts w:ascii="Segoe UI" w:hAnsi="Segoe UI" w:hint="default"/>
        <w:sz w:val="24"/>
      </w:rPr>
    </w:lvl>
    <w:lvl w:ilvl="2">
      <w:start w:val="1"/>
      <w:numFmt w:val="decimal"/>
      <w:lvlRestart w:val="1"/>
      <w:lvlText w:val="%3."/>
      <w:lvlJc w:val="left"/>
      <w:pPr>
        <w:ind w:left="1644" w:hanging="357"/>
      </w:pPr>
      <w:rPr>
        <w:rFonts w:ascii="Segoe UI" w:hAnsi="Segoe UI" w:hint="default"/>
        <w:sz w:val="24"/>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3240" w:hanging="360"/>
      </w:pPr>
      <w:rPr>
        <w:rFonts w:hint="default"/>
      </w:rPr>
    </w:lvl>
    <w:lvl w:ilvl="6">
      <w:start w:val="1"/>
      <w:numFmt w:val="decimal"/>
      <w:lvlText w:val="%7."/>
      <w:lvlJc w:val="left"/>
      <w:pPr>
        <w:ind w:left="3600" w:hanging="360"/>
      </w:pPr>
      <w:rPr>
        <w:rFonts w:ascii="Segoe UI" w:eastAsia="Calibri" w:hAnsi="Segoe UI" w:cs="Segoe UI" w:hint="default"/>
      </w:rPr>
    </w:lvl>
    <w:lvl w:ilvl="7">
      <w:start w:val="1"/>
      <w:numFmt w:val="lowerLetter"/>
      <w:lvlText w:val="%8."/>
      <w:lvlJc w:val="left"/>
      <w:pPr>
        <w:ind w:left="3960" w:hanging="360"/>
      </w:pPr>
      <w:rPr>
        <w:rFonts w:hint="default"/>
      </w:rPr>
    </w:lvl>
    <w:lvl w:ilvl="8">
      <w:start w:val="1"/>
      <w:numFmt w:val="lowerLetter"/>
      <w:lvlText w:val="%9."/>
      <w:lvlJc w:val="left"/>
      <w:pPr>
        <w:ind w:left="4320" w:hanging="362"/>
      </w:pPr>
      <w:rPr>
        <w:rFonts w:ascii="Segoe UI" w:eastAsiaTheme="minorHAnsi" w:hAnsi="Segoe UI" w:cs="Segoe UI" w:hint="default"/>
      </w:rPr>
    </w:lvl>
  </w:abstractNum>
  <w:abstractNum w:abstractNumId="54" w15:restartNumberingAfterBreak="0">
    <w:nsid w:val="365D5ACF"/>
    <w:multiLevelType w:val="hybridMultilevel"/>
    <w:tmpl w:val="D1FE8C86"/>
    <w:lvl w:ilvl="0" w:tplc="0C090019">
      <w:start w:val="1"/>
      <w:numFmt w:val="lowerLetter"/>
      <w:lvlText w:val="%1."/>
      <w:lvlJc w:val="left"/>
      <w:pPr>
        <w:ind w:left="723" w:hanging="360"/>
      </w:pPr>
    </w:lvl>
    <w:lvl w:ilvl="1" w:tplc="FFFFFFFF" w:tentative="1">
      <w:start w:val="1"/>
      <w:numFmt w:val="lowerLetter"/>
      <w:lvlText w:val="%2."/>
      <w:lvlJc w:val="left"/>
      <w:pPr>
        <w:ind w:left="1443" w:hanging="360"/>
      </w:pPr>
    </w:lvl>
    <w:lvl w:ilvl="2" w:tplc="FFFFFFFF" w:tentative="1">
      <w:start w:val="1"/>
      <w:numFmt w:val="lowerRoman"/>
      <w:lvlText w:val="%3."/>
      <w:lvlJc w:val="right"/>
      <w:pPr>
        <w:ind w:left="2163" w:hanging="180"/>
      </w:pPr>
    </w:lvl>
    <w:lvl w:ilvl="3" w:tplc="FFFFFFFF" w:tentative="1">
      <w:start w:val="1"/>
      <w:numFmt w:val="decimal"/>
      <w:lvlText w:val="%4."/>
      <w:lvlJc w:val="left"/>
      <w:pPr>
        <w:ind w:left="2883" w:hanging="360"/>
      </w:pPr>
    </w:lvl>
    <w:lvl w:ilvl="4" w:tplc="FFFFFFFF" w:tentative="1">
      <w:start w:val="1"/>
      <w:numFmt w:val="lowerLetter"/>
      <w:lvlText w:val="%5."/>
      <w:lvlJc w:val="left"/>
      <w:pPr>
        <w:ind w:left="3603" w:hanging="360"/>
      </w:pPr>
    </w:lvl>
    <w:lvl w:ilvl="5" w:tplc="FFFFFFFF" w:tentative="1">
      <w:start w:val="1"/>
      <w:numFmt w:val="lowerRoman"/>
      <w:lvlText w:val="%6."/>
      <w:lvlJc w:val="right"/>
      <w:pPr>
        <w:ind w:left="4323" w:hanging="180"/>
      </w:pPr>
    </w:lvl>
    <w:lvl w:ilvl="6" w:tplc="FFFFFFFF" w:tentative="1">
      <w:start w:val="1"/>
      <w:numFmt w:val="decimal"/>
      <w:lvlText w:val="%7."/>
      <w:lvlJc w:val="left"/>
      <w:pPr>
        <w:ind w:left="5043" w:hanging="360"/>
      </w:pPr>
    </w:lvl>
    <w:lvl w:ilvl="7" w:tplc="FFFFFFFF" w:tentative="1">
      <w:start w:val="1"/>
      <w:numFmt w:val="lowerLetter"/>
      <w:lvlText w:val="%8."/>
      <w:lvlJc w:val="left"/>
      <w:pPr>
        <w:ind w:left="5763" w:hanging="360"/>
      </w:pPr>
    </w:lvl>
    <w:lvl w:ilvl="8" w:tplc="FFFFFFFF" w:tentative="1">
      <w:start w:val="1"/>
      <w:numFmt w:val="lowerRoman"/>
      <w:lvlText w:val="%9."/>
      <w:lvlJc w:val="right"/>
      <w:pPr>
        <w:ind w:left="6483" w:hanging="180"/>
      </w:pPr>
    </w:lvl>
  </w:abstractNum>
  <w:abstractNum w:abstractNumId="55" w15:restartNumberingAfterBreak="0">
    <w:nsid w:val="376C75E0"/>
    <w:multiLevelType w:val="hybridMultilevel"/>
    <w:tmpl w:val="874A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9C03D0B"/>
    <w:multiLevelType w:val="hybridMultilevel"/>
    <w:tmpl w:val="2A960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39C57D5A"/>
    <w:multiLevelType w:val="multilevel"/>
    <w:tmpl w:val="EDF43DC2"/>
    <w:lvl w:ilvl="0">
      <w:start w:val="4"/>
      <w:numFmt w:val="lowerLetter"/>
      <w:lvlText w:val="%1."/>
      <w:lvlJc w:val="left"/>
      <w:pPr>
        <w:tabs>
          <w:tab w:val="num" w:pos="567"/>
        </w:tabs>
        <w:ind w:left="924" w:hanging="357"/>
      </w:pPr>
      <w:rPr>
        <w:rFonts w:ascii="Segoe UI" w:hAnsi="Segoe UI" w:hint="default"/>
        <w:sz w:val="24"/>
      </w:rPr>
    </w:lvl>
    <w:lvl w:ilvl="1">
      <w:start w:val="1"/>
      <w:numFmt w:val="lowerRoman"/>
      <w:lvlText w:val="%2."/>
      <w:lvlJc w:val="left"/>
      <w:pPr>
        <w:tabs>
          <w:tab w:val="num" w:pos="992"/>
        </w:tabs>
        <w:ind w:left="1355" w:hanging="363"/>
      </w:pPr>
      <w:rPr>
        <w:rFonts w:ascii="Segoe UI" w:hAnsi="Segoe UI" w:hint="default"/>
        <w:sz w:val="24"/>
      </w:rPr>
    </w:lvl>
    <w:lvl w:ilvl="2">
      <w:start w:val="1"/>
      <w:numFmt w:val="decimal"/>
      <w:lvlRestart w:val="1"/>
      <w:lvlText w:val="%3."/>
      <w:lvlJc w:val="left"/>
      <w:pPr>
        <w:ind w:left="1644" w:hanging="357"/>
      </w:pPr>
      <w:rPr>
        <w:rFonts w:ascii="Segoe UI" w:hAnsi="Segoe UI" w:hint="default"/>
        <w:sz w:val="24"/>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3240" w:hanging="360"/>
      </w:pPr>
      <w:rPr>
        <w:rFonts w:hint="default"/>
      </w:rPr>
    </w:lvl>
    <w:lvl w:ilvl="6">
      <w:start w:val="1"/>
      <w:numFmt w:val="decimal"/>
      <w:lvlText w:val="%7."/>
      <w:lvlJc w:val="left"/>
      <w:pPr>
        <w:ind w:left="3600" w:hanging="360"/>
      </w:pPr>
      <w:rPr>
        <w:rFonts w:ascii="Segoe UI" w:eastAsia="Calibri" w:hAnsi="Segoe UI" w:cs="Segoe UI" w:hint="default"/>
      </w:rPr>
    </w:lvl>
    <w:lvl w:ilvl="7">
      <w:start w:val="1"/>
      <w:numFmt w:val="lowerLetter"/>
      <w:lvlText w:val="%8."/>
      <w:lvlJc w:val="left"/>
      <w:pPr>
        <w:ind w:left="3960" w:hanging="360"/>
      </w:pPr>
      <w:rPr>
        <w:rFonts w:hint="default"/>
      </w:rPr>
    </w:lvl>
    <w:lvl w:ilvl="8">
      <w:start w:val="1"/>
      <w:numFmt w:val="lowerLetter"/>
      <w:lvlText w:val="%9."/>
      <w:lvlJc w:val="left"/>
      <w:pPr>
        <w:ind w:left="4320" w:hanging="362"/>
      </w:pPr>
      <w:rPr>
        <w:rFonts w:ascii="Segoe UI" w:eastAsiaTheme="minorHAnsi" w:hAnsi="Segoe UI" w:cs="Segoe UI" w:hint="default"/>
      </w:rPr>
    </w:lvl>
  </w:abstractNum>
  <w:abstractNum w:abstractNumId="58" w15:restartNumberingAfterBreak="0">
    <w:nsid w:val="3AF46DDB"/>
    <w:multiLevelType w:val="hybridMultilevel"/>
    <w:tmpl w:val="72F82A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3B4B6E71"/>
    <w:multiLevelType w:val="hybridMultilevel"/>
    <w:tmpl w:val="7638CF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3DBA3CE3"/>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1" w15:restartNumberingAfterBreak="0">
    <w:nsid w:val="3ECB3DC3"/>
    <w:multiLevelType w:val="multilevel"/>
    <w:tmpl w:val="A55C3462"/>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i w:val="0"/>
        <w:iCs/>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2" w15:restartNumberingAfterBreak="0">
    <w:nsid w:val="3ED70CAF"/>
    <w:multiLevelType w:val="multilevel"/>
    <w:tmpl w:val="5A6091F4"/>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i w:val="0"/>
        <w:iCs/>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3" w15:restartNumberingAfterBreak="0">
    <w:nsid w:val="400A7F98"/>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4" w15:restartNumberingAfterBreak="0">
    <w:nsid w:val="40595F7E"/>
    <w:multiLevelType w:val="multilevel"/>
    <w:tmpl w:val="3C2AA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40943FFC"/>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6" w15:restartNumberingAfterBreak="0">
    <w:nsid w:val="40F716AC"/>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7" w15:restartNumberingAfterBreak="0">
    <w:nsid w:val="41C13961"/>
    <w:multiLevelType w:val="hybridMultilevel"/>
    <w:tmpl w:val="5CACC080"/>
    <w:styleLink w:val="donotusestyle"/>
    <w:lvl w:ilvl="0" w:tplc="0C090001">
      <w:start w:val="1"/>
      <w:numFmt w:val="bullet"/>
      <w:lvlText w:val=""/>
      <w:lvlJc w:val="left"/>
      <w:pPr>
        <w:ind w:left="1220" w:hanging="360"/>
      </w:pPr>
      <w:rPr>
        <w:rFonts w:ascii="Symbol" w:hAnsi="Symbol" w:hint="default"/>
      </w:rPr>
    </w:lvl>
    <w:lvl w:ilvl="1" w:tplc="0C090003" w:tentative="1">
      <w:start w:val="1"/>
      <w:numFmt w:val="bullet"/>
      <w:lvlText w:val="o"/>
      <w:lvlJc w:val="left"/>
      <w:pPr>
        <w:ind w:left="1940" w:hanging="360"/>
      </w:pPr>
      <w:rPr>
        <w:rFonts w:ascii="Courier New" w:hAnsi="Courier New" w:cs="Courier New" w:hint="default"/>
      </w:rPr>
    </w:lvl>
    <w:lvl w:ilvl="2" w:tplc="0C090005" w:tentative="1">
      <w:start w:val="1"/>
      <w:numFmt w:val="bullet"/>
      <w:lvlText w:val=""/>
      <w:lvlJc w:val="left"/>
      <w:pPr>
        <w:ind w:left="2660" w:hanging="360"/>
      </w:pPr>
      <w:rPr>
        <w:rFonts w:ascii="Wingdings" w:hAnsi="Wingdings" w:hint="default"/>
      </w:rPr>
    </w:lvl>
    <w:lvl w:ilvl="3" w:tplc="0C090001" w:tentative="1">
      <w:start w:val="1"/>
      <w:numFmt w:val="bullet"/>
      <w:lvlText w:val=""/>
      <w:lvlJc w:val="left"/>
      <w:pPr>
        <w:ind w:left="3380" w:hanging="360"/>
      </w:pPr>
      <w:rPr>
        <w:rFonts w:ascii="Symbol" w:hAnsi="Symbol" w:hint="default"/>
      </w:rPr>
    </w:lvl>
    <w:lvl w:ilvl="4" w:tplc="0C090003" w:tentative="1">
      <w:start w:val="1"/>
      <w:numFmt w:val="bullet"/>
      <w:lvlText w:val="o"/>
      <w:lvlJc w:val="left"/>
      <w:pPr>
        <w:ind w:left="4100" w:hanging="360"/>
      </w:pPr>
      <w:rPr>
        <w:rFonts w:ascii="Courier New" w:hAnsi="Courier New" w:cs="Courier New" w:hint="default"/>
      </w:rPr>
    </w:lvl>
    <w:lvl w:ilvl="5" w:tplc="0C090005" w:tentative="1">
      <w:start w:val="1"/>
      <w:numFmt w:val="bullet"/>
      <w:lvlText w:val=""/>
      <w:lvlJc w:val="left"/>
      <w:pPr>
        <w:ind w:left="4820" w:hanging="360"/>
      </w:pPr>
      <w:rPr>
        <w:rFonts w:ascii="Wingdings" w:hAnsi="Wingdings" w:hint="default"/>
      </w:rPr>
    </w:lvl>
    <w:lvl w:ilvl="6" w:tplc="0C090001" w:tentative="1">
      <w:start w:val="1"/>
      <w:numFmt w:val="bullet"/>
      <w:lvlText w:val=""/>
      <w:lvlJc w:val="left"/>
      <w:pPr>
        <w:ind w:left="5540" w:hanging="360"/>
      </w:pPr>
      <w:rPr>
        <w:rFonts w:ascii="Symbol" w:hAnsi="Symbol" w:hint="default"/>
      </w:rPr>
    </w:lvl>
    <w:lvl w:ilvl="7" w:tplc="0C090003" w:tentative="1">
      <w:start w:val="1"/>
      <w:numFmt w:val="bullet"/>
      <w:lvlText w:val="o"/>
      <w:lvlJc w:val="left"/>
      <w:pPr>
        <w:ind w:left="6260" w:hanging="360"/>
      </w:pPr>
      <w:rPr>
        <w:rFonts w:ascii="Courier New" w:hAnsi="Courier New" w:cs="Courier New" w:hint="default"/>
      </w:rPr>
    </w:lvl>
    <w:lvl w:ilvl="8" w:tplc="0C090005" w:tentative="1">
      <w:start w:val="1"/>
      <w:numFmt w:val="bullet"/>
      <w:lvlText w:val=""/>
      <w:lvlJc w:val="left"/>
      <w:pPr>
        <w:ind w:left="6980" w:hanging="360"/>
      </w:pPr>
      <w:rPr>
        <w:rFonts w:ascii="Wingdings" w:hAnsi="Wingdings" w:hint="default"/>
      </w:rPr>
    </w:lvl>
  </w:abstractNum>
  <w:abstractNum w:abstractNumId="68" w15:restartNumberingAfterBreak="0">
    <w:nsid w:val="44B33AFF"/>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69" w15:restartNumberingAfterBreak="0">
    <w:nsid w:val="45697F6B"/>
    <w:multiLevelType w:val="hybridMultilevel"/>
    <w:tmpl w:val="EC981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46590AF0"/>
    <w:multiLevelType w:val="multilevel"/>
    <w:tmpl w:val="766C788A"/>
    <w:lvl w:ilvl="0">
      <w:start w:val="1"/>
      <w:numFmt w:val="decimal"/>
      <w:pStyle w:val="Recommendation1"/>
      <w:lvlText w:val="Recommendation %1."/>
      <w:lvlJc w:val="left"/>
      <w:pPr>
        <w:ind w:left="1919" w:hanging="360"/>
      </w:pPr>
      <w:rPr>
        <w:rFonts w:hint="default"/>
      </w:rPr>
    </w:lvl>
    <w:lvl w:ilvl="1">
      <w:start w:val="1"/>
      <w:numFmt w:val="decimal"/>
      <w:pStyle w:val="Recommendation2"/>
      <w:isLgl/>
      <w:lvlText w:val="%1.%2."/>
      <w:lvlJc w:val="left"/>
      <w:pPr>
        <w:ind w:left="1080" w:hanging="720"/>
      </w:pPr>
      <w:rPr>
        <w:rFonts w:cstheme="majorBidi" w:hint="default"/>
        <w:color w:val="00717A"/>
      </w:rPr>
    </w:lvl>
    <w:lvl w:ilvl="2">
      <w:start w:val="1"/>
      <w:numFmt w:val="decimal"/>
      <w:isLgl/>
      <w:lvlText w:val="%1.%2.%3."/>
      <w:lvlJc w:val="left"/>
      <w:pPr>
        <w:ind w:left="1080" w:hanging="720"/>
      </w:pPr>
      <w:rPr>
        <w:rFonts w:cstheme="majorBidi" w:hint="default"/>
        <w:color w:val="00717A"/>
      </w:rPr>
    </w:lvl>
    <w:lvl w:ilvl="3">
      <w:start w:val="1"/>
      <w:numFmt w:val="decimal"/>
      <w:isLgl/>
      <w:lvlText w:val="%1.%2.%3.%4."/>
      <w:lvlJc w:val="left"/>
      <w:pPr>
        <w:ind w:left="1440" w:hanging="1080"/>
      </w:pPr>
      <w:rPr>
        <w:rFonts w:cstheme="majorBidi" w:hint="default"/>
        <w:color w:val="00717A"/>
      </w:rPr>
    </w:lvl>
    <w:lvl w:ilvl="4">
      <w:start w:val="1"/>
      <w:numFmt w:val="decimal"/>
      <w:isLgl/>
      <w:lvlText w:val="%1.%2.%3.%4.%5."/>
      <w:lvlJc w:val="left"/>
      <w:pPr>
        <w:ind w:left="1800" w:hanging="1440"/>
      </w:pPr>
      <w:rPr>
        <w:rFonts w:cstheme="majorBidi" w:hint="default"/>
        <w:color w:val="00717A"/>
      </w:rPr>
    </w:lvl>
    <w:lvl w:ilvl="5">
      <w:start w:val="1"/>
      <w:numFmt w:val="decimal"/>
      <w:isLgl/>
      <w:lvlText w:val="%1.%2.%3.%4.%5.%6."/>
      <w:lvlJc w:val="left"/>
      <w:pPr>
        <w:ind w:left="1800" w:hanging="1440"/>
      </w:pPr>
      <w:rPr>
        <w:rFonts w:cstheme="majorBidi" w:hint="default"/>
        <w:color w:val="00717A"/>
      </w:rPr>
    </w:lvl>
    <w:lvl w:ilvl="6">
      <w:start w:val="1"/>
      <w:numFmt w:val="decimal"/>
      <w:isLgl/>
      <w:lvlText w:val="%1.%2.%3.%4.%5.%6.%7."/>
      <w:lvlJc w:val="left"/>
      <w:pPr>
        <w:ind w:left="2160" w:hanging="1800"/>
      </w:pPr>
      <w:rPr>
        <w:rFonts w:cstheme="majorBidi" w:hint="default"/>
        <w:color w:val="00717A"/>
      </w:rPr>
    </w:lvl>
    <w:lvl w:ilvl="7">
      <w:start w:val="1"/>
      <w:numFmt w:val="decimal"/>
      <w:isLgl/>
      <w:lvlText w:val="%1.%2.%3.%4.%5.%6.%7.%8."/>
      <w:lvlJc w:val="left"/>
      <w:pPr>
        <w:ind w:left="2520" w:hanging="2160"/>
      </w:pPr>
      <w:rPr>
        <w:rFonts w:cstheme="majorBidi" w:hint="default"/>
        <w:color w:val="00717A"/>
      </w:rPr>
    </w:lvl>
    <w:lvl w:ilvl="8">
      <w:start w:val="1"/>
      <w:numFmt w:val="decimal"/>
      <w:isLgl/>
      <w:lvlText w:val="%1.%2.%3.%4.%5.%6.%7.%8.%9."/>
      <w:lvlJc w:val="left"/>
      <w:pPr>
        <w:ind w:left="2520" w:hanging="2160"/>
      </w:pPr>
      <w:rPr>
        <w:rFonts w:cstheme="majorBidi" w:hint="default"/>
        <w:color w:val="00717A"/>
      </w:rPr>
    </w:lvl>
  </w:abstractNum>
  <w:abstractNum w:abstractNumId="71" w15:restartNumberingAfterBreak="0">
    <w:nsid w:val="46A151E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2" w15:restartNumberingAfterBreak="0">
    <w:nsid w:val="48523905"/>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3" w15:restartNumberingAfterBreak="0">
    <w:nsid w:val="48E714E1"/>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4" w15:restartNumberingAfterBreak="0">
    <w:nsid w:val="49DF31C6"/>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5" w15:restartNumberingAfterBreak="0">
    <w:nsid w:val="49E51666"/>
    <w:multiLevelType w:val="hybridMultilevel"/>
    <w:tmpl w:val="45A2C2DE"/>
    <w:lvl w:ilvl="0" w:tplc="9A4A995E">
      <w:numFmt w:val="bullet"/>
      <w:lvlText w:val="-"/>
      <w:lvlJc w:val="left"/>
      <w:pPr>
        <w:ind w:left="720" w:hanging="360"/>
      </w:pPr>
      <w:rPr>
        <w:rFonts w:ascii="Segoe UI" w:eastAsiaTheme="majorEastAsia" w:hAnsi="Segoe UI" w:cs="Segoe U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49E759CF"/>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7" w15:restartNumberingAfterBreak="0">
    <w:nsid w:val="4EA27324"/>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8" w15:restartNumberingAfterBreak="0">
    <w:nsid w:val="4F9C60C4"/>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79" w15:restartNumberingAfterBreak="0">
    <w:nsid w:val="4FE264CD"/>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80" w15:restartNumberingAfterBreak="0">
    <w:nsid w:val="50DD7D30"/>
    <w:multiLevelType w:val="hybridMultilevel"/>
    <w:tmpl w:val="6C3C9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521D5807"/>
    <w:multiLevelType w:val="hybridMultilevel"/>
    <w:tmpl w:val="BF222B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52944025"/>
    <w:multiLevelType w:val="multilevel"/>
    <w:tmpl w:val="C2247A5E"/>
    <w:lvl w:ilvl="0">
      <w:start w:val="1"/>
      <w:numFmt w:val="lowerLetter"/>
      <w:lvlText w:val="%1."/>
      <w:lvlJc w:val="left"/>
      <w:pPr>
        <w:tabs>
          <w:tab w:val="num" w:pos="720"/>
        </w:tabs>
        <w:ind w:left="720" w:hanging="363"/>
      </w:pPr>
      <w:rPr>
        <w:rFonts w:hint="default"/>
        <w:sz w:val="24"/>
        <w:szCs w:val="24"/>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83" w15:restartNumberingAfterBreak="0">
    <w:nsid w:val="54B329E5"/>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84" w15:restartNumberingAfterBreak="0">
    <w:nsid w:val="554C0CEC"/>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85" w15:restartNumberingAfterBreak="0">
    <w:nsid w:val="563902BA"/>
    <w:multiLevelType w:val="hybridMultilevel"/>
    <w:tmpl w:val="3522ADB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6" w15:restartNumberingAfterBreak="0">
    <w:nsid w:val="5A18209B"/>
    <w:multiLevelType w:val="multilevel"/>
    <w:tmpl w:val="D8C44EDE"/>
    <w:styleLink w:val="Recommendationlist"/>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Arial" w:hAnsi="Arial" w:hint="default"/>
      </w:rPr>
    </w:lvl>
    <w:lvl w:ilvl="2">
      <w:start w:val="1"/>
      <w:numFmt w:val="bullet"/>
      <w:lvlText w:val="•"/>
      <w:lvlJc w:val="left"/>
      <w:pPr>
        <w:tabs>
          <w:tab w:val="num" w:pos="2160"/>
        </w:tabs>
        <w:ind w:left="2160" w:hanging="360"/>
      </w:pPr>
      <w:rPr>
        <w:rFonts w:ascii="Arial" w:hAnsi="Arial" w:hint="default"/>
      </w:rPr>
    </w:lvl>
    <w:lvl w:ilvl="3">
      <w:start w:val="1"/>
      <w:numFmt w:val="bullet"/>
      <w:lvlText w:val="•"/>
      <w:lvlJc w:val="left"/>
      <w:pPr>
        <w:tabs>
          <w:tab w:val="num" w:pos="2880"/>
        </w:tabs>
        <w:ind w:left="2880" w:hanging="360"/>
      </w:pPr>
      <w:rPr>
        <w:rFonts w:ascii="Arial" w:hAnsi="Arial" w:hint="default"/>
      </w:rPr>
    </w:lvl>
    <w:lvl w:ilvl="4">
      <w:start w:val="1"/>
      <w:numFmt w:val="bullet"/>
      <w:lvlText w:val="•"/>
      <w:lvlJc w:val="left"/>
      <w:pPr>
        <w:tabs>
          <w:tab w:val="num" w:pos="3600"/>
        </w:tabs>
        <w:ind w:left="3600" w:hanging="360"/>
      </w:pPr>
      <w:rPr>
        <w:rFonts w:ascii="Arial" w:hAnsi="Arial" w:hint="default"/>
      </w:rPr>
    </w:lvl>
    <w:lvl w:ilvl="5" w:tentative="1">
      <w:start w:val="1"/>
      <w:numFmt w:val="bullet"/>
      <w:lvlText w:val="•"/>
      <w:lvlJc w:val="left"/>
      <w:pPr>
        <w:tabs>
          <w:tab w:val="num" w:pos="4320"/>
        </w:tabs>
        <w:ind w:left="4320" w:hanging="360"/>
      </w:pPr>
      <w:rPr>
        <w:rFonts w:ascii="Arial" w:hAnsi="Arial" w:hint="default"/>
      </w:rPr>
    </w:lvl>
    <w:lvl w:ilvl="6" w:tentative="1">
      <w:start w:val="1"/>
      <w:numFmt w:val="bullet"/>
      <w:lvlText w:val="•"/>
      <w:lvlJc w:val="left"/>
      <w:pPr>
        <w:tabs>
          <w:tab w:val="num" w:pos="5040"/>
        </w:tabs>
        <w:ind w:left="5040" w:hanging="360"/>
      </w:pPr>
      <w:rPr>
        <w:rFonts w:ascii="Arial" w:hAnsi="Arial" w:hint="default"/>
      </w:rPr>
    </w:lvl>
    <w:lvl w:ilvl="7" w:tentative="1">
      <w:start w:val="1"/>
      <w:numFmt w:val="bullet"/>
      <w:lvlText w:val="•"/>
      <w:lvlJc w:val="left"/>
      <w:pPr>
        <w:tabs>
          <w:tab w:val="num" w:pos="5760"/>
        </w:tabs>
        <w:ind w:left="5760" w:hanging="360"/>
      </w:pPr>
      <w:rPr>
        <w:rFonts w:ascii="Arial" w:hAnsi="Arial" w:hint="default"/>
      </w:rPr>
    </w:lvl>
    <w:lvl w:ilvl="8" w:tentative="1">
      <w:start w:val="1"/>
      <w:numFmt w:val="bullet"/>
      <w:lvlText w:val="•"/>
      <w:lvlJc w:val="left"/>
      <w:pPr>
        <w:tabs>
          <w:tab w:val="num" w:pos="6480"/>
        </w:tabs>
        <w:ind w:left="6480" w:hanging="360"/>
      </w:pPr>
      <w:rPr>
        <w:rFonts w:ascii="Arial" w:hAnsi="Arial" w:hint="default"/>
      </w:rPr>
    </w:lvl>
  </w:abstractNum>
  <w:abstractNum w:abstractNumId="87" w15:restartNumberingAfterBreak="0">
    <w:nsid w:val="5BC96D18"/>
    <w:multiLevelType w:val="hybridMultilevel"/>
    <w:tmpl w:val="E1C25AB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8" w15:restartNumberingAfterBreak="0">
    <w:nsid w:val="5BE062B0"/>
    <w:multiLevelType w:val="hybridMultilevel"/>
    <w:tmpl w:val="AEE28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5C4A49DE"/>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90" w15:restartNumberingAfterBreak="0">
    <w:nsid w:val="5D235CDE"/>
    <w:multiLevelType w:val="hybridMultilevel"/>
    <w:tmpl w:val="1818D4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5FD65C7E"/>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92" w15:restartNumberingAfterBreak="0">
    <w:nsid w:val="61C62606"/>
    <w:multiLevelType w:val="hybridMultilevel"/>
    <w:tmpl w:val="D0D63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626D4C3E"/>
    <w:multiLevelType w:val="hybridMultilevel"/>
    <w:tmpl w:val="64267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62A80F45"/>
    <w:multiLevelType w:val="multilevel"/>
    <w:tmpl w:val="E0B4EDE6"/>
    <w:lvl w:ilvl="0">
      <w:start w:val="1"/>
      <w:numFmt w:val="decimal"/>
      <w:lvlText w:val="%1."/>
      <w:lvlJc w:val="left"/>
      <w:pPr>
        <w:ind w:left="720" w:hanging="360"/>
      </w:pPr>
      <w:rPr>
        <w:rFonts w:hint="default"/>
      </w:rPr>
    </w:lvl>
    <w:lvl w:ilvl="1">
      <w:start w:val="1"/>
      <w:numFmt w:val="decimal"/>
      <w:isLgl/>
      <w:lvlText w:val="%1.%2"/>
      <w:lvlJc w:val="left"/>
      <w:pPr>
        <w:ind w:left="2160" w:hanging="720"/>
      </w:pPr>
      <w:rPr>
        <w:rFonts w:cstheme="majorBidi" w:hint="default"/>
      </w:rPr>
    </w:lvl>
    <w:lvl w:ilvl="2">
      <w:start w:val="1"/>
      <w:numFmt w:val="decimal"/>
      <w:isLgl/>
      <w:lvlText w:val="%1.%2.%3"/>
      <w:lvlJc w:val="left"/>
      <w:pPr>
        <w:ind w:left="3240" w:hanging="720"/>
      </w:pPr>
      <w:rPr>
        <w:rFonts w:cstheme="majorBidi" w:hint="default"/>
      </w:rPr>
    </w:lvl>
    <w:lvl w:ilvl="3">
      <w:start w:val="1"/>
      <w:numFmt w:val="decimal"/>
      <w:isLgl/>
      <w:lvlText w:val="%1.%2.%3.%4"/>
      <w:lvlJc w:val="left"/>
      <w:pPr>
        <w:ind w:left="4680" w:hanging="1080"/>
      </w:pPr>
      <w:rPr>
        <w:rFonts w:cstheme="majorBidi" w:hint="default"/>
      </w:rPr>
    </w:lvl>
    <w:lvl w:ilvl="4">
      <w:start w:val="1"/>
      <w:numFmt w:val="decimal"/>
      <w:isLgl/>
      <w:lvlText w:val="%1.%2.%3.%4.%5"/>
      <w:lvlJc w:val="left"/>
      <w:pPr>
        <w:ind w:left="5760" w:hanging="1080"/>
      </w:pPr>
      <w:rPr>
        <w:rFonts w:cstheme="majorBidi" w:hint="default"/>
      </w:rPr>
    </w:lvl>
    <w:lvl w:ilvl="5">
      <w:start w:val="1"/>
      <w:numFmt w:val="decimal"/>
      <w:isLgl/>
      <w:lvlText w:val="%1.%2.%3.%4.%5.%6"/>
      <w:lvlJc w:val="left"/>
      <w:pPr>
        <w:ind w:left="7200" w:hanging="1440"/>
      </w:pPr>
      <w:rPr>
        <w:rFonts w:cstheme="majorBidi" w:hint="default"/>
      </w:rPr>
    </w:lvl>
    <w:lvl w:ilvl="6">
      <w:start w:val="1"/>
      <w:numFmt w:val="decimal"/>
      <w:isLgl/>
      <w:lvlText w:val="%1.%2.%3.%4.%5.%6.%7"/>
      <w:lvlJc w:val="left"/>
      <w:pPr>
        <w:ind w:left="8640" w:hanging="1800"/>
      </w:pPr>
      <w:rPr>
        <w:rFonts w:cstheme="majorBidi" w:hint="default"/>
      </w:rPr>
    </w:lvl>
    <w:lvl w:ilvl="7">
      <w:start w:val="1"/>
      <w:numFmt w:val="decimal"/>
      <w:isLgl/>
      <w:lvlText w:val="%1.%2.%3.%4.%5.%6.%7.%8"/>
      <w:lvlJc w:val="left"/>
      <w:pPr>
        <w:ind w:left="9720" w:hanging="1800"/>
      </w:pPr>
      <w:rPr>
        <w:rFonts w:cstheme="majorBidi" w:hint="default"/>
      </w:rPr>
    </w:lvl>
    <w:lvl w:ilvl="8">
      <w:start w:val="1"/>
      <w:numFmt w:val="decimal"/>
      <w:isLgl/>
      <w:lvlText w:val="%1.%2.%3.%4.%5.%6.%7.%8.%9"/>
      <w:lvlJc w:val="left"/>
      <w:pPr>
        <w:ind w:left="11160" w:hanging="2160"/>
      </w:pPr>
      <w:rPr>
        <w:rFonts w:cstheme="majorBidi" w:hint="default"/>
      </w:rPr>
    </w:lvl>
  </w:abstractNum>
  <w:abstractNum w:abstractNumId="95" w15:restartNumberingAfterBreak="0">
    <w:nsid w:val="62B7541C"/>
    <w:multiLevelType w:val="hybridMultilevel"/>
    <w:tmpl w:val="0AD4D2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637248A7"/>
    <w:multiLevelType w:val="hybridMultilevel"/>
    <w:tmpl w:val="1130D28E"/>
    <w:lvl w:ilvl="0" w:tplc="119E1A02">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644A3871"/>
    <w:multiLevelType w:val="hybridMultilevel"/>
    <w:tmpl w:val="134CA4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64C945AB"/>
    <w:multiLevelType w:val="hybridMultilevel"/>
    <w:tmpl w:val="D22ED5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65651011"/>
    <w:multiLevelType w:val="hybridMultilevel"/>
    <w:tmpl w:val="335A4EE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65E55544"/>
    <w:multiLevelType w:val="hybridMultilevel"/>
    <w:tmpl w:val="B71C45A6"/>
    <w:lvl w:ilvl="0" w:tplc="0C090019">
      <w:start w:val="1"/>
      <w:numFmt w:val="lowerLetter"/>
      <w:lvlText w:val="%1."/>
      <w:lvlJc w:val="left"/>
      <w:pPr>
        <w:ind w:left="1083" w:hanging="360"/>
      </w:pPr>
    </w:lvl>
    <w:lvl w:ilvl="1" w:tplc="0C090019" w:tentative="1">
      <w:start w:val="1"/>
      <w:numFmt w:val="lowerLetter"/>
      <w:lvlText w:val="%2."/>
      <w:lvlJc w:val="left"/>
      <w:pPr>
        <w:ind w:left="1803" w:hanging="360"/>
      </w:pPr>
    </w:lvl>
    <w:lvl w:ilvl="2" w:tplc="0C09001B" w:tentative="1">
      <w:start w:val="1"/>
      <w:numFmt w:val="lowerRoman"/>
      <w:lvlText w:val="%3."/>
      <w:lvlJc w:val="right"/>
      <w:pPr>
        <w:ind w:left="2523" w:hanging="180"/>
      </w:pPr>
    </w:lvl>
    <w:lvl w:ilvl="3" w:tplc="0C09000F" w:tentative="1">
      <w:start w:val="1"/>
      <w:numFmt w:val="decimal"/>
      <w:lvlText w:val="%4."/>
      <w:lvlJc w:val="left"/>
      <w:pPr>
        <w:ind w:left="3243" w:hanging="360"/>
      </w:pPr>
    </w:lvl>
    <w:lvl w:ilvl="4" w:tplc="0C090019" w:tentative="1">
      <w:start w:val="1"/>
      <w:numFmt w:val="lowerLetter"/>
      <w:lvlText w:val="%5."/>
      <w:lvlJc w:val="left"/>
      <w:pPr>
        <w:ind w:left="3963" w:hanging="360"/>
      </w:pPr>
    </w:lvl>
    <w:lvl w:ilvl="5" w:tplc="0C09001B" w:tentative="1">
      <w:start w:val="1"/>
      <w:numFmt w:val="lowerRoman"/>
      <w:lvlText w:val="%6."/>
      <w:lvlJc w:val="right"/>
      <w:pPr>
        <w:ind w:left="4683" w:hanging="180"/>
      </w:pPr>
    </w:lvl>
    <w:lvl w:ilvl="6" w:tplc="0C09000F" w:tentative="1">
      <w:start w:val="1"/>
      <w:numFmt w:val="decimal"/>
      <w:lvlText w:val="%7."/>
      <w:lvlJc w:val="left"/>
      <w:pPr>
        <w:ind w:left="5403" w:hanging="360"/>
      </w:pPr>
    </w:lvl>
    <w:lvl w:ilvl="7" w:tplc="0C090019" w:tentative="1">
      <w:start w:val="1"/>
      <w:numFmt w:val="lowerLetter"/>
      <w:lvlText w:val="%8."/>
      <w:lvlJc w:val="left"/>
      <w:pPr>
        <w:ind w:left="6123" w:hanging="360"/>
      </w:pPr>
    </w:lvl>
    <w:lvl w:ilvl="8" w:tplc="0C09001B" w:tentative="1">
      <w:start w:val="1"/>
      <w:numFmt w:val="lowerRoman"/>
      <w:lvlText w:val="%9."/>
      <w:lvlJc w:val="right"/>
      <w:pPr>
        <w:ind w:left="6843" w:hanging="180"/>
      </w:pPr>
    </w:lvl>
  </w:abstractNum>
  <w:abstractNum w:abstractNumId="101" w15:restartNumberingAfterBreak="0">
    <w:nsid w:val="666F0344"/>
    <w:multiLevelType w:val="hybridMultilevel"/>
    <w:tmpl w:val="A796BDA8"/>
    <w:lvl w:ilvl="0" w:tplc="0C09001B">
      <w:start w:val="1"/>
      <w:numFmt w:val="lowerRoman"/>
      <w:lvlText w:val="%1."/>
      <w:lvlJc w:val="right"/>
      <w:pPr>
        <w:ind w:left="1268" w:hanging="360"/>
      </w:pPr>
    </w:lvl>
    <w:lvl w:ilvl="1" w:tplc="FFFFFFFF" w:tentative="1">
      <w:start w:val="1"/>
      <w:numFmt w:val="lowerLetter"/>
      <w:lvlText w:val="%2."/>
      <w:lvlJc w:val="left"/>
      <w:pPr>
        <w:ind w:left="1988" w:hanging="360"/>
      </w:pPr>
    </w:lvl>
    <w:lvl w:ilvl="2" w:tplc="FFFFFFFF" w:tentative="1">
      <w:start w:val="1"/>
      <w:numFmt w:val="lowerRoman"/>
      <w:lvlText w:val="%3."/>
      <w:lvlJc w:val="right"/>
      <w:pPr>
        <w:ind w:left="2708" w:hanging="180"/>
      </w:pPr>
    </w:lvl>
    <w:lvl w:ilvl="3" w:tplc="FFFFFFFF" w:tentative="1">
      <w:start w:val="1"/>
      <w:numFmt w:val="decimal"/>
      <w:lvlText w:val="%4."/>
      <w:lvlJc w:val="left"/>
      <w:pPr>
        <w:ind w:left="3428" w:hanging="360"/>
      </w:pPr>
    </w:lvl>
    <w:lvl w:ilvl="4" w:tplc="FFFFFFFF" w:tentative="1">
      <w:start w:val="1"/>
      <w:numFmt w:val="lowerLetter"/>
      <w:lvlText w:val="%5."/>
      <w:lvlJc w:val="left"/>
      <w:pPr>
        <w:ind w:left="4148" w:hanging="360"/>
      </w:pPr>
    </w:lvl>
    <w:lvl w:ilvl="5" w:tplc="FFFFFFFF" w:tentative="1">
      <w:start w:val="1"/>
      <w:numFmt w:val="lowerRoman"/>
      <w:lvlText w:val="%6."/>
      <w:lvlJc w:val="right"/>
      <w:pPr>
        <w:ind w:left="4868" w:hanging="180"/>
      </w:pPr>
    </w:lvl>
    <w:lvl w:ilvl="6" w:tplc="FFFFFFFF" w:tentative="1">
      <w:start w:val="1"/>
      <w:numFmt w:val="decimal"/>
      <w:lvlText w:val="%7."/>
      <w:lvlJc w:val="left"/>
      <w:pPr>
        <w:ind w:left="5588" w:hanging="360"/>
      </w:pPr>
    </w:lvl>
    <w:lvl w:ilvl="7" w:tplc="FFFFFFFF" w:tentative="1">
      <w:start w:val="1"/>
      <w:numFmt w:val="lowerLetter"/>
      <w:lvlText w:val="%8."/>
      <w:lvlJc w:val="left"/>
      <w:pPr>
        <w:ind w:left="6308" w:hanging="360"/>
      </w:pPr>
    </w:lvl>
    <w:lvl w:ilvl="8" w:tplc="FFFFFFFF" w:tentative="1">
      <w:start w:val="1"/>
      <w:numFmt w:val="lowerRoman"/>
      <w:lvlText w:val="%9."/>
      <w:lvlJc w:val="right"/>
      <w:pPr>
        <w:ind w:left="7028" w:hanging="180"/>
      </w:pPr>
    </w:lvl>
  </w:abstractNum>
  <w:abstractNum w:abstractNumId="102" w15:restartNumberingAfterBreak="0">
    <w:nsid w:val="669E0663"/>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03" w15:restartNumberingAfterBreak="0">
    <w:nsid w:val="67EC07B8"/>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04" w15:restartNumberingAfterBreak="0">
    <w:nsid w:val="67F61252"/>
    <w:multiLevelType w:val="hybridMultilevel"/>
    <w:tmpl w:val="E9D4E8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6A5B6530"/>
    <w:multiLevelType w:val="multilevel"/>
    <w:tmpl w:val="F8C0684A"/>
    <w:lvl w:ilvl="0">
      <w:start w:val="1"/>
      <w:numFmt w:val="lowerLetter"/>
      <w:lvlText w:val="%1."/>
      <w:lvlJc w:val="left"/>
      <w:pPr>
        <w:tabs>
          <w:tab w:val="num" w:pos="1064"/>
        </w:tabs>
        <w:ind w:left="1064" w:hanging="363"/>
      </w:pPr>
      <w:rPr>
        <w:rFonts w:hint="default"/>
      </w:rPr>
    </w:lvl>
    <w:lvl w:ilvl="1">
      <w:start w:val="1"/>
      <w:numFmt w:val="lowerRoman"/>
      <w:lvlText w:val="%2."/>
      <w:lvlJc w:val="left"/>
      <w:pPr>
        <w:tabs>
          <w:tab w:val="num" w:pos="1501"/>
        </w:tabs>
        <w:ind w:left="1501" w:hanging="363"/>
      </w:pPr>
      <w:rPr>
        <w:rFonts w:hint="default"/>
      </w:rPr>
    </w:lvl>
    <w:lvl w:ilvl="2">
      <w:start w:val="1"/>
      <w:numFmt w:val="decimal"/>
      <w:lvlText w:val="%3."/>
      <w:lvlJc w:val="left"/>
      <w:pPr>
        <w:tabs>
          <w:tab w:val="num" w:pos="1938"/>
        </w:tabs>
        <w:ind w:left="1938" w:hanging="363"/>
      </w:pPr>
      <w:rPr>
        <w:rFonts w:hint="default"/>
      </w:rPr>
    </w:lvl>
    <w:lvl w:ilvl="3">
      <w:start w:val="1"/>
      <w:numFmt w:val="lowerLetter"/>
      <w:lvlText w:val="(%4)"/>
      <w:lvlJc w:val="left"/>
      <w:pPr>
        <w:tabs>
          <w:tab w:val="num" w:pos="2375"/>
        </w:tabs>
        <w:ind w:left="2375" w:hanging="363"/>
      </w:pPr>
      <w:rPr>
        <w:rFonts w:hint="default"/>
      </w:rPr>
    </w:lvl>
    <w:lvl w:ilvl="4">
      <w:start w:val="1"/>
      <w:numFmt w:val="lowerRoman"/>
      <w:lvlText w:val="(%5)"/>
      <w:lvlJc w:val="left"/>
      <w:pPr>
        <w:tabs>
          <w:tab w:val="num" w:pos="2812"/>
        </w:tabs>
        <w:ind w:left="2812" w:hanging="363"/>
      </w:pPr>
      <w:rPr>
        <w:rFonts w:hint="default"/>
      </w:rPr>
    </w:lvl>
    <w:lvl w:ilvl="5">
      <w:start w:val="1"/>
      <w:numFmt w:val="decimal"/>
      <w:lvlText w:val="(%6)"/>
      <w:lvlJc w:val="left"/>
      <w:pPr>
        <w:tabs>
          <w:tab w:val="num" w:pos="3249"/>
        </w:tabs>
        <w:ind w:left="3249" w:hanging="363"/>
      </w:pPr>
      <w:rPr>
        <w:rFonts w:hint="default"/>
      </w:rPr>
    </w:lvl>
    <w:lvl w:ilvl="6">
      <w:start w:val="1"/>
      <w:numFmt w:val="bullet"/>
      <w:lvlText w:val="•"/>
      <w:lvlJc w:val="left"/>
      <w:pPr>
        <w:tabs>
          <w:tab w:val="num" w:pos="3686"/>
        </w:tabs>
        <w:ind w:left="3686" w:hanging="363"/>
      </w:pPr>
      <w:rPr>
        <w:rFonts w:ascii="Arial" w:hAnsi="Arial" w:hint="default"/>
      </w:rPr>
    </w:lvl>
    <w:lvl w:ilvl="7">
      <w:start w:val="1"/>
      <w:numFmt w:val="bullet"/>
      <w:lvlText w:val="•"/>
      <w:lvlJc w:val="left"/>
      <w:pPr>
        <w:tabs>
          <w:tab w:val="num" w:pos="4123"/>
        </w:tabs>
        <w:ind w:left="4123" w:hanging="363"/>
      </w:pPr>
      <w:rPr>
        <w:rFonts w:ascii="Arial" w:hAnsi="Arial" w:hint="default"/>
      </w:rPr>
    </w:lvl>
    <w:lvl w:ilvl="8">
      <w:start w:val="1"/>
      <w:numFmt w:val="bullet"/>
      <w:lvlText w:val="•"/>
      <w:lvlJc w:val="left"/>
      <w:pPr>
        <w:tabs>
          <w:tab w:val="num" w:pos="4560"/>
        </w:tabs>
        <w:ind w:left="4560" w:hanging="363"/>
      </w:pPr>
      <w:rPr>
        <w:rFonts w:ascii="Arial" w:hAnsi="Arial" w:hint="default"/>
      </w:rPr>
    </w:lvl>
  </w:abstractNum>
  <w:abstractNum w:abstractNumId="106" w15:restartNumberingAfterBreak="0">
    <w:nsid w:val="6BEF775D"/>
    <w:multiLevelType w:val="hybridMultilevel"/>
    <w:tmpl w:val="73AAB9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6D941610"/>
    <w:multiLevelType w:val="hybridMultilevel"/>
    <w:tmpl w:val="3490D9E6"/>
    <w:lvl w:ilvl="0" w:tplc="EC04FCEA">
      <w:start w:val="1"/>
      <w:numFmt w:val="decimal"/>
      <w:lvlText w:val="%1)"/>
      <w:lvlJc w:val="left"/>
      <w:pPr>
        <w:ind w:left="1440" w:hanging="360"/>
      </w:pPr>
    </w:lvl>
    <w:lvl w:ilvl="1" w:tplc="4944132A">
      <w:start w:val="1"/>
      <w:numFmt w:val="decimal"/>
      <w:lvlText w:val="%2)"/>
      <w:lvlJc w:val="left"/>
      <w:pPr>
        <w:ind w:left="1440" w:hanging="360"/>
      </w:pPr>
    </w:lvl>
    <w:lvl w:ilvl="2" w:tplc="B6F433CA">
      <w:start w:val="1"/>
      <w:numFmt w:val="decimal"/>
      <w:lvlText w:val="%3)"/>
      <w:lvlJc w:val="left"/>
      <w:pPr>
        <w:ind w:left="1440" w:hanging="360"/>
      </w:pPr>
    </w:lvl>
    <w:lvl w:ilvl="3" w:tplc="37F03E84">
      <w:start w:val="1"/>
      <w:numFmt w:val="decimal"/>
      <w:lvlText w:val="%4)"/>
      <w:lvlJc w:val="left"/>
      <w:pPr>
        <w:ind w:left="1440" w:hanging="360"/>
      </w:pPr>
    </w:lvl>
    <w:lvl w:ilvl="4" w:tplc="CF1052C4">
      <w:start w:val="1"/>
      <w:numFmt w:val="decimal"/>
      <w:lvlText w:val="%5)"/>
      <w:lvlJc w:val="left"/>
      <w:pPr>
        <w:ind w:left="1440" w:hanging="360"/>
      </w:pPr>
    </w:lvl>
    <w:lvl w:ilvl="5" w:tplc="BE7C1242">
      <w:start w:val="1"/>
      <w:numFmt w:val="decimal"/>
      <w:lvlText w:val="%6)"/>
      <w:lvlJc w:val="left"/>
      <w:pPr>
        <w:ind w:left="1440" w:hanging="360"/>
      </w:pPr>
    </w:lvl>
    <w:lvl w:ilvl="6" w:tplc="EEA83846">
      <w:start w:val="1"/>
      <w:numFmt w:val="decimal"/>
      <w:lvlText w:val="%7)"/>
      <w:lvlJc w:val="left"/>
      <w:pPr>
        <w:ind w:left="1440" w:hanging="360"/>
      </w:pPr>
    </w:lvl>
    <w:lvl w:ilvl="7" w:tplc="319A6A56">
      <w:start w:val="1"/>
      <w:numFmt w:val="decimal"/>
      <w:lvlText w:val="%8)"/>
      <w:lvlJc w:val="left"/>
      <w:pPr>
        <w:ind w:left="1440" w:hanging="360"/>
      </w:pPr>
    </w:lvl>
    <w:lvl w:ilvl="8" w:tplc="E54A0356">
      <w:start w:val="1"/>
      <w:numFmt w:val="decimal"/>
      <w:lvlText w:val="%9)"/>
      <w:lvlJc w:val="left"/>
      <w:pPr>
        <w:ind w:left="1440" w:hanging="360"/>
      </w:pPr>
    </w:lvl>
  </w:abstractNum>
  <w:abstractNum w:abstractNumId="108" w15:restartNumberingAfterBreak="0">
    <w:nsid w:val="6DC579F8"/>
    <w:multiLevelType w:val="hybridMultilevel"/>
    <w:tmpl w:val="EC02B1C6"/>
    <w:lvl w:ilvl="0" w:tplc="0C090019">
      <w:start w:val="1"/>
      <w:numFmt w:val="lowerLetter"/>
      <w:lvlText w:val="%1."/>
      <w:lvlJc w:val="left"/>
      <w:pPr>
        <w:ind w:left="1083" w:hanging="360"/>
      </w:pPr>
    </w:lvl>
    <w:lvl w:ilvl="1" w:tplc="0C090019" w:tentative="1">
      <w:start w:val="1"/>
      <w:numFmt w:val="lowerLetter"/>
      <w:lvlText w:val="%2."/>
      <w:lvlJc w:val="left"/>
      <w:pPr>
        <w:ind w:left="1803" w:hanging="360"/>
      </w:pPr>
    </w:lvl>
    <w:lvl w:ilvl="2" w:tplc="0C09001B" w:tentative="1">
      <w:start w:val="1"/>
      <w:numFmt w:val="lowerRoman"/>
      <w:lvlText w:val="%3."/>
      <w:lvlJc w:val="right"/>
      <w:pPr>
        <w:ind w:left="2523" w:hanging="180"/>
      </w:pPr>
    </w:lvl>
    <w:lvl w:ilvl="3" w:tplc="0C09000F" w:tentative="1">
      <w:start w:val="1"/>
      <w:numFmt w:val="decimal"/>
      <w:lvlText w:val="%4."/>
      <w:lvlJc w:val="left"/>
      <w:pPr>
        <w:ind w:left="3243" w:hanging="360"/>
      </w:pPr>
    </w:lvl>
    <w:lvl w:ilvl="4" w:tplc="0C090019" w:tentative="1">
      <w:start w:val="1"/>
      <w:numFmt w:val="lowerLetter"/>
      <w:lvlText w:val="%5."/>
      <w:lvlJc w:val="left"/>
      <w:pPr>
        <w:ind w:left="3963" w:hanging="360"/>
      </w:pPr>
    </w:lvl>
    <w:lvl w:ilvl="5" w:tplc="0C09001B" w:tentative="1">
      <w:start w:val="1"/>
      <w:numFmt w:val="lowerRoman"/>
      <w:lvlText w:val="%6."/>
      <w:lvlJc w:val="right"/>
      <w:pPr>
        <w:ind w:left="4683" w:hanging="180"/>
      </w:pPr>
    </w:lvl>
    <w:lvl w:ilvl="6" w:tplc="0C09000F" w:tentative="1">
      <w:start w:val="1"/>
      <w:numFmt w:val="decimal"/>
      <w:lvlText w:val="%7."/>
      <w:lvlJc w:val="left"/>
      <w:pPr>
        <w:ind w:left="5403" w:hanging="360"/>
      </w:pPr>
    </w:lvl>
    <w:lvl w:ilvl="7" w:tplc="0C090019" w:tentative="1">
      <w:start w:val="1"/>
      <w:numFmt w:val="lowerLetter"/>
      <w:lvlText w:val="%8."/>
      <w:lvlJc w:val="left"/>
      <w:pPr>
        <w:ind w:left="6123" w:hanging="360"/>
      </w:pPr>
    </w:lvl>
    <w:lvl w:ilvl="8" w:tplc="0C09001B" w:tentative="1">
      <w:start w:val="1"/>
      <w:numFmt w:val="lowerRoman"/>
      <w:lvlText w:val="%9."/>
      <w:lvlJc w:val="right"/>
      <w:pPr>
        <w:ind w:left="6843" w:hanging="180"/>
      </w:pPr>
    </w:lvl>
  </w:abstractNum>
  <w:abstractNum w:abstractNumId="109" w15:restartNumberingAfterBreak="0">
    <w:nsid w:val="6E60372C"/>
    <w:multiLevelType w:val="hybridMultilevel"/>
    <w:tmpl w:val="B796A21E"/>
    <w:lvl w:ilvl="0" w:tplc="0C090019">
      <w:start w:val="1"/>
      <w:numFmt w:val="lowerLetter"/>
      <w:lvlText w:val="%1."/>
      <w:lvlJc w:val="left"/>
      <w:pPr>
        <w:ind w:left="1083" w:hanging="360"/>
      </w:pPr>
    </w:lvl>
    <w:lvl w:ilvl="1" w:tplc="0C090019" w:tentative="1">
      <w:start w:val="1"/>
      <w:numFmt w:val="lowerLetter"/>
      <w:lvlText w:val="%2."/>
      <w:lvlJc w:val="left"/>
      <w:pPr>
        <w:ind w:left="1803" w:hanging="360"/>
      </w:pPr>
    </w:lvl>
    <w:lvl w:ilvl="2" w:tplc="0C09001B" w:tentative="1">
      <w:start w:val="1"/>
      <w:numFmt w:val="lowerRoman"/>
      <w:lvlText w:val="%3."/>
      <w:lvlJc w:val="right"/>
      <w:pPr>
        <w:ind w:left="2523" w:hanging="180"/>
      </w:pPr>
    </w:lvl>
    <w:lvl w:ilvl="3" w:tplc="0C09000F" w:tentative="1">
      <w:start w:val="1"/>
      <w:numFmt w:val="decimal"/>
      <w:lvlText w:val="%4."/>
      <w:lvlJc w:val="left"/>
      <w:pPr>
        <w:ind w:left="3243" w:hanging="360"/>
      </w:pPr>
    </w:lvl>
    <w:lvl w:ilvl="4" w:tplc="0C090019" w:tentative="1">
      <w:start w:val="1"/>
      <w:numFmt w:val="lowerLetter"/>
      <w:lvlText w:val="%5."/>
      <w:lvlJc w:val="left"/>
      <w:pPr>
        <w:ind w:left="3963" w:hanging="360"/>
      </w:pPr>
    </w:lvl>
    <w:lvl w:ilvl="5" w:tplc="0C09001B" w:tentative="1">
      <w:start w:val="1"/>
      <w:numFmt w:val="lowerRoman"/>
      <w:lvlText w:val="%6."/>
      <w:lvlJc w:val="right"/>
      <w:pPr>
        <w:ind w:left="4683" w:hanging="180"/>
      </w:pPr>
    </w:lvl>
    <w:lvl w:ilvl="6" w:tplc="0C09000F" w:tentative="1">
      <w:start w:val="1"/>
      <w:numFmt w:val="decimal"/>
      <w:lvlText w:val="%7."/>
      <w:lvlJc w:val="left"/>
      <w:pPr>
        <w:ind w:left="5403" w:hanging="360"/>
      </w:pPr>
    </w:lvl>
    <w:lvl w:ilvl="7" w:tplc="0C090019" w:tentative="1">
      <w:start w:val="1"/>
      <w:numFmt w:val="lowerLetter"/>
      <w:lvlText w:val="%8."/>
      <w:lvlJc w:val="left"/>
      <w:pPr>
        <w:ind w:left="6123" w:hanging="360"/>
      </w:pPr>
    </w:lvl>
    <w:lvl w:ilvl="8" w:tplc="0C09001B" w:tentative="1">
      <w:start w:val="1"/>
      <w:numFmt w:val="lowerRoman"/>
      <w:lvlText w:val="%9."/>
      <w:lvlJc w:val="right"/>
      <w:pPr>
        <w:ind w:left="6843" w:hanging="180"/>
      </w:pPr>
    </w:lvl>
  </w:abstractNum>
  <w:abstractNum w:abstractNumId="110" w15:restartNumberingAfterBreak="0">
    <w:nsid w:val="6F6E1FE8"/>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1" w15:restartNumberingAfterBreak="0">
    <w:nsid w:val="6F94478E"/>
    <w:multiLevelType w:val="hybridMultilevel"/>
    <w:tmpl w:val="2982D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6FA60AC7"/>
    <w:multiLevelType w:val="multilevel"/>
    <w:tmpl w:val="36F83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3" w15:restartNumberingAfterBreak="0">
    <w:nsid w:val="709C4ED4"/>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4" w15:restartNumberingAfterBreak="0">
    <w:nsid w:val="70C5102A"/>
    <w:multiLevelType w:val="hybridMultilevel"/>
    <w:tmpl w:val="87D479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70F548B9"/>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6" w15:restartNumberingAfterBreak="0">
    <w:nsid w:val="72CE0F57"/>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7" w15:restartNumberingAfterBreak="0">
    <w:nsid w:val="73E60648"/>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18" w15:restartNumberingAfterBreak="0">
    <w:nsid w:val="75587BE0"/>
    <w:multiLevelType w:val="hybridMultilevel"/>
    <w:tmpl w:val="39EED44E"/>
    <w:lvl w:ilvl="0" w:tplc="0C090019">
      <w:start w:val="1"/>
      <w:numFmt w:val="lowerLetter"/>
      <w:lvlText w:val="%1."/>
      <w:lvlJc w:val="left"/>
      <w:pPr>
        <w:ind w:left="723" w:hanging="360"/>
      </w:pPr>
    </w:lvl>
    <w:lvl w:ilvl="1" w:tplc="FFFFFFFF" w:tentative="1">
      <w:start w:val="1"/>
      <w:numFmt w:val="lowerLetter"/>
      <w:lvlText w:val="%2."/>
      <w:lvlJc w:val="left"/>
      <w:pPr>
        <w:ind w:left="1443" w:hanging="360"/>
      </w:pPr>
    </w:lvl>
    <w:lvl w:ilvl="2" w:tplc="FFFFFFFF" w:tentative="1">
      <w:start w:val="1"/>
      <w:numFmt w:val="lowerRoman"/>
      <w:lvlText w:val="%3."/>
      <w:lvlJc w:val="right"/>
      <w:pPr>
        <w:ind w:left="2163" w:hanging="180"/>
      </w:pPr>
    </w:lvl>
    <w:lvl w:ilvl="3" w:tplc="FFFFFFFF" w:tentative="1">
      <w:start w:val="1"/>
      <w:numFmt w:val="decimal"/>
      <w:lvlText w:val="%4."/>
      <w:lvlJc w:val="left"/>
      <w:pPr>
        <w:ind w:left="2883" w:hanging="360"/>
      </w:pPr>
    </w:lvl>
    <w:lvl w:ilvl="4" w:tplc="FFFFFFFF" w:tentative="1">
      <w:start w:val="1"/>
      <w:numFmt w:val="lowerLetter"/>
      <w:lvlText w:val="%5."/>
      <w:lvlJc w:val="left"/>
      <w:pPr>
        <w:ind w:left="3603" w:hanging="360"/>
      </w:pPr>
    </w:lvl>
    <w:lvl w:ilvl="5" w:tplc="FFFFFFFF" w:tentative="1">
      <w:start w:val="1"/>
      <w:numFmt w:val="lowerRoman"/>
      <w:lvlText w:val="%6."/>
      <w:lvlJc w:val="right"/>
      <w:pPr>
        <w:ind w:left="4323" w:hanging="180"/>
      </w:pPr>
    </w:lvl>
    <w:lvl w:ilvl="6" w:tplc="FFFFFFFF" w:tentative="1">
      <w:start w:val="1"/>
      <w:numFmt w:val="decimal"/>
      <w:lvlText w:val="%7."/>
      <w:lvlJc w:val="left"/>
      <w:pPr>
        <w:ind w:left="5043" w:hanging="360"/>
      </w:pPr>
    </w:lvl>
    <w:lvl w:ilvl="7" w:tplc="FFFFFFFF" w:tentative="1">
      <w:start w:val="1"/>
      <w:numFmt w:val="lowerLetter"/>
      <w:lvlText w:val="%8."/>
      <w:lvlJc w:val="left"/>
      <w:pPr>
        <w:ind w:left="5763" w:hanging="360"/>
      </w:pPr>
    </w:lvl>
    <w:lvl w:ilvl="8" w:tplc="FFFFFFFF" w:tentative="1">
      <w:start w:val="1"/>
      <w:numFmt w:val="lowerRoman"/>
      <w:lvlText w:val="%9."/>
      <w:lvlJc w:val="right"/>
      <w:pPr>
        <w:ind w:left="6483" w:hanging="180"/>
      </w:pPr>
    </w:lvl>
  </w:abstractNum>
  <w:abstractNum w:abstractNumId="119" w15:restartNumberingAfterBreak="0">
    <w:nsid w:val="7730381E"/>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20" w15:restartNumberingAfterBreak="0">
    <w:nsid w:val="784D033C"/>
    <w:multiLevelType w:val="multilevel"/>
    <w:tmpl w:val="28689C28"/>
    <w:lvl w:ilvl="0">
      <w:start w:val="1"/>
      <w:numFmt w:val="decimal"/>
      <w:pStyle w:val="2-SectionHeading"/>
      <w:lvlText w:val="%1"/>
      <w:lvlJc w:val="left"/>
      <w:pPr>
        <w:ind w:left="720" w:hanging="720"/>
      </w:pPr>
      <w:rPr>
        <w:rFonts w:hint="default"/>
        <w:b/>
      </w:rPr>
    </w:lvl>
    <w:lvl w:ilvl="1">
      <w:start w:val="1"/>
      <w:numFmt w:val="decimal"/>
      <w:pStyle w:val="3-BodyText"/>
      <w:lvlText w:val="%1.%2"/>
      <w:lvlJc w:val="left"/>
      <w:pPr>
        <w:ind w:left="720" w:hanging="720"/>
      </w:pPr>
      <w:rPr>
        <w:rFonts w:asciiTheme="minorHAnsi" w:hAnsiTheme="minorHAnsi" w:cstheme="minorHAnsi" w:hint="default"/>
        <w:b w:val="0"/>
        <w:bCs w:val="0"/>
        <w:i w:val="0"/>
        <w:iCs w:val="0"/>
        <w:caps w:val="0"/>
        <w:smallCaps w:val="0"/>
        <w:strike w:val="0"/>
        <w:dstrike w:val="0"/>
        <w:noProof w:val="0"/>
        <w:vanish w:val="0"/>
        <w:color w:val="auto"/>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1" w15:restartNumberingAfterBreak="0">
    <w:nsid w:val="794F2DE3"/>
    <w:multiLevelType w:val="hybridMultilevel"/>
    <w:tmpl w:val="318C4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799F2A12"/>
    <w:multiLevelType w:val="hybridMultilevel"/>
    <w:tmpl w:val="701A25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7A2A6710"/>
    <w:multiLevelType w:val="multilevel"/>
    <w:tmpl w:val="273C73B2"/>
    <w:numStyleLink w:val="Style2"/>
  </w:abstractNum>
  <w:abstractNum w:abstractNumId="124" w15:restartNumberingAfterBreak="0">
    <w:nsid w:val="7AAC5B5F"/>
    <w:multiLevelType w:val="multilevel"/>
    <w:tmpl w:val="DDB06138"/>
    <w:lvl w:ilvl="0">
      <w:start w:val="1"/>
      <w:numFmt w:val="lowerLetter"/>
      <w:lvlText w:val="%1."/>
      <w:lvlJc w:val="left"/>
      <w:pPr>
        <w:tabs>
          <w:tab w:val="num" w:pos="720"/>
        </w:tabs>
        <w:ind w:left="720" w:hanging="363"/>
      </w:pPr>
      <w:rPr>
        <w:rFonts w:ascii="Segoe UI" w:hAnsi="Segoe UI" w:cs="Segoe UI" w:hint="default"/>
        <w:sz w:val="24"/>
        <w:szCs w:val="24"/>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25" w15:restartNumberingAfterBreak="0">
    <w:nsid w:val="7AE867DD"/>
    <w:multiLevelType w:val="multilevel"/>
    <w:tmpl w:val="0688CCA6"/>
    <w:lvl w:ilvl="0">
      <w:start w:val="1"/>
      <w:numFmt w:val="lowerLetter"/>
      <w:lvlText w:val="%1."/>
      <w:lvlJc w:val="left"/>
      <w:pPr>
        <w:tabs>
          <w:tab w:val="num" w:pos="720"/>
        </w:tabs>
        <w:ind w:left="720" w:hanging="363"/>
      </w:pPr>
      <w:rPr>
        <w:rFonts w:hint="default"/>
        <w:i w:val="0"/>
        <w:iCs w:val="0"/>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26" w15:restartNumberingAfterBreak="0">
    <w:nsid w:val="7B3446EE"/>
    <w:multiLevelType w:val="hybridMultilevel"/>
    <w:tmpl w:val="A56CB7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7C116D24"/>
    <w:multiLevelType w:val="hybridMultilevel"/>
    <w:tmpl w:val="A796BDA8"/>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8" w15:restartNumberingAfterBreak="0">
    <w:nsid w:val="7DB15640"/>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29" w15:restartNumberingAfterBreak="0">
    <w:nsid w:val="7E682F7E"/>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30" w15:restartNumberingAfterBreak="0">
    <w:nsid w:val="7EB9588B"/>
    <w:multiLevelType w:val="multilevel"/>
    <w:tmpl w:val="F8C0684A"/>
    <w:lvl w:ilvl="0">
      <w:start w:val="1"/>
      <w:numFmt w:val="lowerLetter"/>
      <w:lvlText w:val="%1."/>
      <w:lvlJc w:val="left"/>
      <w:pPr>
        <w:tabs>
          <w:tab w:val="num" w:pos="720"/>
        </w:tabs>
        <w:ind w:left="720" w:hanging="363"/>
      </w:pPr>
      <w:rPr>
        <w:rFonts w:hint="default"/>
        <w:sz w:val="24"/>
      </w:rPr>
    </w:lvl>
    <w:lvl w:ilvl="1">
      <w:start w:val="1"/>
      <w:numFmt w:val="lowerRoman"/>
      <w:lvlText w:val="%2."/>
      <w:lvlJc w:val="left"/>
      <w:pPr>
        <w:tabs>
          <w:tab w:val="num" w:pos="1157"/>
        </w:tabs>
        <w:ind w:left="1157" w:hanging="363"/>
      </w:pPr>
      <w:rPr>
        <w:rFonts w:hint="default"/>
        <w:sz w:val="24"/>
      </w:rPr>
    </w:lvl>
    <w:lvl w:ilvl="2">
      <w:start w:val="1"/>
      <w:numFmt w:val="decimal"/>
      <w:lvlText w:val="%3."/>
      <w:lvlJc w:val="left"/>
      <w:pPr>
        <w:tabs>
          <w:tab w:val="num" w:pos="1594"/>
        </w:tabs>
        <w:ind w:left="1594" w:hanging="363"/>
      </w:pPr>
      <w:rPr>
        <w:rFonts w:hint="default"/>
        <w:sz w:val="24"/>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abstractNum w:abstractNumId="131" w15:restartNumberingAfterBreak="0">
    <w:nsid w:val="7F3C7675"/>
    <w:multiLevelType w:val="multilevel"/>
    <w:tmpl w:val="F8C0684A"/>
    <w:lvl w:ilvl="0">
      <w:start w:val="1"/>
      <w:numFmt w:val="lowerLetter"/>
      <w:lvlText w:val="%1."/>
      <w:lvlJc w:val="left"/>
      <w:pPr>
        <w:tabs>
          <w:tab w:val="num" w:pos="720"/>
        </w:tabs>
        <w:ind w:left="720" w:hanging="363"/>
      </w:pPr>
      <w:rPr>
        <w:rFonts w:hint="default"/>
      </w:rPr>
    </w:lvl>
    <w:lvl w:ilvl="1">
      <w:start w:val="1"/>
      <w:numFmt w:val="lowerRoman"/>
      <w:lvlText w:val="%2."/>
      <w:lvlJc w:val="left"/>
      <w:pPr>
        <w:tabs>
          <w:tab w:val="num" w:pos="1157"/>
        </w:tabs>
        <w:ind w:left="1157" w:hanging="363"/>
      </w:pPr>
      <w:rPr>
        <w:rFonts w:hint="default"/>
      </w:rPr>
    </w:lvl>
    <w:lvl w:ilvl="2">
      <w:start w:val="1"/>
      <w:numFmt w:val="decimal"/>
      <w:lvlText w:val="%3."/>
      <w:lvlJc w:val="left"/>
      <w:pPr>
        <w:tabs>
          <w:tab w:val="num" w:pos="1594"/>
        </w:tabs>
        <w:ind w:left="1594" w:hanging="363"/>
      </w:pPr>
      <w:rPr>
        <w:rFonts w:hint="default"/>
      </w:rPr>
    </w:lvl>
    <w:lvl w:ilvl="3">
      <w:start w:val="1"/>
      <w:numFmt w:val="lowerLetter"/>
      <w:lvlText w:val="(%4)"/>
      <w:lvlJc w:val="left"/>
      <w:pPr>
        <w:tabs>
          <w:tab w:val="num" w:pos="2031"/>
        </w:tabs>
        <w:ind w:left="2031" w:hanging="363"/>
      </w:pPr>
      <w:rPr>
        <w:rFonts w:hint="default"/>
      </w:rPr>
    </w:lvl>
    <w:lvl w:ilvl="4">
      <w:start w:val="1"/>
      <w:numFmt w:val="lowerRoman"/>
      <w:lvlText w:val="(%5)"/>
      <w:lvlJc w:val="left"/>
      <w:pPr>
        <w:tabs>
          <w:tab w:val="num" w:pos="2468"/>
        </w:tabs>
        <w:ind w:left="2468" w:hanging="363"/>
      </w:pPr>
      <w:rPr>
        <w:rFonts w:hint="default"/>
      </w:rPr>
    </w:lvl>
    <w:lvl w:ilvl="5">
      <w:start w:val="1"/>
      <w:numFmt w:val="decimal"/>
      <w:lvlText w:val="(%6)"/>
      <w:lvlJc w:val="left"/>
      <w:pPr>
        <w:tabs>
          <w:tab w:val="num" w:pos="2905"/>
        </w:tabs>
        <w:ind w:left="2905" w:hanging="363"/>
      </w:pPr>
      <w:rPr>
        <w:rFonts w:hint="default"/>
      </w:rPr>
    </w:lvl>
    <w:lvl w:ilvl="6">
      <w:start w:val="1"/>
      <w:numFmt w:val="bullet"/>
      <w:lvlText w:val="•"/>
      <w:lvlJc w:val="left"/>
      <w:pPr>
        <w:tabs>
          <w:tab w:val="num" w:pos="3342"/>
        </w:tabs>
        <w:ind w:left="3342" w:hanging="363"/>
      </w:pPr>
      <w:rPr>
        <w:rFonts w:ascii="Arial" w:hAnsi="Arial" w:hint="default"/>
      </w:rPr>
    </w:lvl>
    <w:lvl w:ilvl="7">
      <w:start w:val="1"/>
      <w:numFmt w:val="bullet"/>
      <w:lvlText w:val="•"/>
      <w:lvlJc w:val="left"/>
      <w:pPr>
        <w:tabs>
          <w:tab w:val="num" w:pos="3779"/>
        </w:tabs>
        <w:ind w:left="3779" w:hanging="363"/>
      </w:pPr>
      <w:rPr>
        <w:rFonts w:ascii="Arial" w:hAnsi="Arial" w:hint="default"/>
      </w:rPr>
    </w:lvl>
    <w:lvl w:ilvl="8">
      <w:start w:val="1"/>
      <w:numFmt w:val="bullet"/>
      <w:lvlText w:val="•"/>
      <w:lvlJc w:val="left"/>
      <w:pPr>
        <w:tabs>
          <w:tab w:val="num" w:pos="4216"/>
        </w:tabs>
        <w:ind w:left="4216" w:hanging="363"/>
      </w:pPr>
      <w:rPr>
        <w:rFonts w:ascii="Arial" w:hAnsi="Arial" w:hint="default"/>
      </w:rPr>
    </w:lvl>
  </w:abstractNum>
  <w:num w:numId="1" w16cid:durableId="1548683027">
    <w:abstractNumId w:val="120"/>
  </w:num>
  <w:num w:numId="2" w16cid:durableId="1276016739">
    <w:abstractNumId w:val="5"/>
  </w:num>
  <w:num w:numId="3" w16cid:durableId="2014186856">
    <w:abstractNumId w:val="1"/>
  </w:num>
  <w:num w:numId="4" w16cid:durableId="123542666">
    <w:abstractNumId w:val="41"/>
  </w:num>
  <w:num w:numId="5" w16cid:durableId="1140919811">
    <w:abstractNumId w:val="112"/>
  </w:num>
  <w:num w:numId="6" w16cid:durableId="1513105007">
    <w:abstractNumId w:val="64"/>
  </w:num>
  <w:num w:numId="7" w16cid:durableId="469519800">
    <w:abstractNumId w:val="14"/>
  </w:num>
  <w:num w:numId="8" w16cid:durableId="1551259778">
    <w:abstractNumId w:val="87"/>
  </w:num>
  <w:num w:numId="9" w16cid:durableId="1864241717">
    <w:abstractNumId w:val="94"/>
  </w:num>
  <w:num w:numId="10" w16cid:durableId="836503561">
    <w:abstractNumId w:val="70"/>
  </w:num>
  <w:num w:numId="11" w16cid:durableId="631180432">
    <w:abstractNumId w:val="30"/>
  </w:num>
  <w:num w:numId="12" w16cid:durableId="544871065">
    <w:abstractNumId w:val="117"/>
  </w:num>
  <w:num w:numId="13" w16cid:durableId="498428583">
    <w:abstractNumId w:val="68"/>
  </w:num>
  <w:num w:numId="14" w16cid:durableId="1984694887">
    <w:abstractNumId w:val="101"/>
  </w:num>
  <w:num w:numId="15" w16cid:durableId="1419911804">
    <w:abstractNumId w:val="127"/>
  </w:num>
  <w:num w:numId="16" w16cid:durableId="1260060771">
    <w:abstractNumId w:val="2"/>
  </w:num>
  <w:num w:numId="17" w16cid:durableId="1438863619">
    <w:abstractNumId w:val="42"/>
  </w:num>
  <w:num w:numId="18" w16cid:durableId="52049959">
    <w:abstractNumId w:val="67"/>
  </w:num>
  <w:num w:numId="19" w16cid:durableId="1368213893">
    <w:abstractNumId w:val="72"/>
  </w:num>
  <w:num w:numId="20" w16cid:durableId="389379350">
    <w:abstractNumId w:val="124"/>
  </w:num>
  <w:num w:numId="21" w16cid:durableId="508252396">
    <w:abstractNumId w:val="129"/>
  </w:num>
  <w:num w:numId="22" w16cid:durableId="829298980">
    <w:abstractNumId w:val="71"/>
  </w:num>
  <w:num w:numId="23" w16cid:durableId="349571493">
    <w:abstractNumId w:val="21"/>
  </w:num>
  <w:num w:numId="24" w16cid:durableId="1683891818">
    <w:abstractNumId w:val="35"/>
  </w:num>
  <w:num w:numId="25" w16cid:durableId="695275634">
    <w:abstractNumId w:val="39"/>
  </w:num>
  <w:num w:numId="26" w16cid:durableId="622350199">
    <w:abstractNumId w:val="131"/>
  </w:num>
  <w:num w:numId="27" w16cid:durableId="278685394">
    <w:abstractNumId w:val="110"/>
  </w:num>
  <w:num w:numId="28" w16cid:durableId="1479760558">
    <w:abstractNumId w:val="78"/>
  </w:num>
  <w:num w:numId="29" w16cid:durableId="1682780519">
    <w:abstractNumId w:val="33"/>
  </w:num>
  <w:num w:numId="30" w16cid:durableId="1458912807">
    <w:abstractNumId w:val="115"/>
  </w:num>
  <w:num w:numId="31" w16cid:durableId="506556417">
    <w:abstractNumId w:val="74"/>
  </w:num>
  <w:num w:numId="32" w16cid:durableId="576129699">
    <w:abstractNumId w:val="17"/>
  </w:num>
  <w:num w:numId="33" w16cid:durableId="170873625">
    <w:abstractNumId w:val="76"/>
  </w:num>
  <w:num w:numId="34" w16cid:durableId="1045644759">
    <w:abstractNumId w:val="65"/>
  </w:num>
  <w:num w:numId="35" w16cid:durableId="224730105">
    <w:abstractNumId w:val="66"/>
  </w:num>
  <w:num w:numId="36" w16cid:durableId="399792972">
    <w:abstractNumId w:val="15"/>
  </w:num>
  <w:num w:numId="37" w16cid:durableId="840197930">
    <w:abstractNumId w:val="34"/>
  </w:num>
  <w:num w:numId="38" w16cid:durableId="142893374">
    <w:abstractNumId w:val="38"/>
  </w:num>
  <w:num w:numId="39" w16cid:durableId="1214387834">
    <w:abstractNumId w:val="82"/>
  </w:num>
  <w:num w:numId="40" w16cid:durableId="1759908125">
    <w:abstractNumId w:val="63"/>
  </w:num>
  <w:num w:numId="41" w16cid:durableId="1152525064">
    <w:abstractNumId w:val="50"/>
  </w:num>
  <w:num w:numId="42" w16cid:durableId="342781722">
    <w:abstractNumId w:val="128"/>
  </w:num>
  <w:num w:numId="43" w16cid:durableId="2005627454">
    <w:abstractNumId w:val="22"/>
  </w:num>
  <w:num w:numId="44" w16cid:durableId="114720657">
    <w:abstractNumId w:val="77"/>
  </w:num>
  <w:num w:numId="45" w16cid:durableId="877281932">
    <w:abstractNumId w:val="20"/>
  </w:num>
  <w:num w:numId="46" w16cid:durableId="913049215">
    <w:abstractNumId w:val="84"/>
  </w:num>
  <w:num w:numId="47" w16cid:durableId="1870951760">
    <w:abstractNumId w:val="9"/>
  </w:num>
  <w:num w:numId="48" w16cid:durableId="204566300">
    <w:abstractNumId w:val="86"/>
  </w:num>
  <w:num w:numId="49" w16cid:durableId="1191145275">
    <w:abstractNumId w:val="73"/>
  </w:num>
  <w:num w:numId="50" w16cid:durableId="1667323372">
    <w:abstractNumId w:val="91"/>
  </w:num>
  <w:num w:numId="51" w16cid:durableId="69818071">
    <w:abstractNumId w:val="4"/>
  </w:num>
  <w:num w:numId="52" w16cid:durableId="380714755">
    <w:abstractNumId w:val="109"/>
  </w:num>
  <w:num w:numId="53" w16cid:durableId="173158055">
    <w:abstractNumId w:val="108"/>
  </w:num>
  <w:num w:numId="54" w16cid:durableId="1748915429">
    <w:abstractNumId w:val="100"/>
  </w:num>
  <w:num w:numId="55" w16cid:durableId="166100156">
    <w:abstractNumId w:val="99"/>
  </w:num>
  <w:num w:numId="56" w16cid:durableId="894245030">
    <w:abstractNumId w:val="75"/>
  </w:num>
  <w:num w:numId="57" w16cid:durableId="356977074">
    <w:abstractNumId w:val="25"/>
  </w:num>
  <w:num w:numId="58" w16cid:durableId="1106538844">
    <w:abstractNumId w:val="44"/>
  </w:num>
  <w:num w:numId="59" w16cid:durableId="2035813012">
    <w:abstractNumId w:val="126"/>
  </w:num>
  <w:num w:numId="60" w16cid:durableId="1034649335">
    <w:abstractNumId w:val="27"/>
  </w:num>
  <w:num w:numId="61" w16cid:durableId="1152020121">
    <w:abstractNumId w:val="32"/>
  </w:num>
  <w:num w:numId="62" w16cid:durableId="674385854">
    <w:abstractNumId w:val="114"/>
  </w:num>
  <w:num w:numId="63" w16cid:durableId="2071995036">
    <w:abstractNumId w:val="122"/>
  </w:num>
  <w:num w:numId="64" w16cid:durableId="152068473">
    <w:abstractNumId w:val="43"/>
  </w:num>
  <w:num w:numId="65" w16cid:durableId="571358482">
    <w:abstractNumId w:val="28"/>
  </w:num>
  <w:num w:numId="66" w16cid:durableId="226494293">
    <w:abstractNumId w:val="111"/>
  </w:num>
  <w:num w:numId="67" w16cid:durableId="1154490636">
    <w:abstractNumId w:val="121"/>
  </w:num>
  <w:num w:numId="68" w16cid:durableId="1322781361">
    <w:abstractNumId w:val="106"/>
  </w:num>
  <w:num w:numId="69" w16cid:durableId="1058238140">
    <w:abstractNumId w:val="93"/>
  </w:num>
  <w:num w:numId="70" w16cid:durableId="1527014337">
    <w:abstractNumId w:val="24"/>
  </w:num>
  <w:num w:numId="71" w16cid:durableId="1654522844">
    <w:abstractNumId w:val="59"/>
  </w:num>
  <w:num w:numId="72" w16cid:durableId="428280092">
    <w:abstractNumId w:val="46"/>
  </w:num>
  <w:num w:numId="73" w16cid:durableId="2064258049">
    <w:abstractNumId w:val="49"/>
  </w:num>
  <w:num w:numId="74" w16cid:durableId="1421950602">
    <w:abstractNumId w:val="95"/>
  </w:num>
  <w:num w:numId="75" w16cid:durableId="763652265">
    <w:abstractNumId w:val="98"/>
  </w:num>
  <w:num w:numId="76" w16cid:durableId="86931331">
    <w:abstractNumId w:val="58"/>
  </w:num>
  <w:num w:numId="77" w16cid:durableId="141313779">
    <w:abstractNumId w:val="13"/>
  </w:num>
  <w:num w:numId="78" w16cid:durableId="839082903">
    <w:abstractNumId w:val="88"/>
  </w:num>
  <w:num w:numId="79" w16cid:durableId="1711538970">
    <w:abstractNumId w:val="55"/>
  </w:num>
  <w:num w:numId="80" w16cid:durableId="2057001141">
    <w:abstractNumId w:val="104"/>
  </w:num>
  <w:num w:numId="81" w16cid:durableId="1314068142">
    <w:abstractNumId w:val="69"/>
  </w:num>
  <w:num w:numId="82" w16cid:durableId="265240027">
    <w:abstractNumId w:val="36"/>
  </w:num>
  <w:num w:numId="83" w16cid:durableId="1009410510">
    <w:abstractNumId w:val="90"/>
  </w:num>
  <w:num w:numId="84" w16cid:durableId="1197623632">
    <w:abstractNumId w:val="47"/>
  </w:num>
  <w:num w:numId="85" w16cid:durableId="1164471562">
    <w:abstractNumId w:val="97"/>
  </w:num>
  <w:num w:numId="86" w16cid:durableId="1642345197">
    <w:abstractNumId w:val="92"/>
  </w:num>
  <w:num w:numId="87" w16cid:durableId="9335820">
    <w:abstractNumId w:val="80"/>
  </w:num>
  <w:num w:numId="88" w16cid:durableId="196088543">
    <w:abstractNumId w:val="31"/>
  </w:num>
  <w:num w:numId="89" w16cid:durableId="1243636513">
    <w:abstractNumId w:val="37"/>
  </w:num>
  <w:num w:numId="90" w16cid:durableId="1946422316">
    <w:abstractNumId w:val="26"/>
  </w:num>
  <w:num w:numId="91" w16cid:durableId="1364867922">
    <w:abstractNumId w:val="11"/>
  </w:num>
  <w:num w:numId="92" w16cid:durableId="702754706">
    <w:abstractNumId w:val="56"/>
  </w:num>
  <w:num w:numId="93" w16cid:durableId="1659191882">
    <w:abstractNumId w:val="96"/>
  </w:num>
  <w:num w:numId="94" w16cid:durableId="1110860914">
    <w:abstractNumId w:val="45"/>
  </w:num>
  <w:num w:numId="95" w16cid:durableId="644045518">
    <w:abstractNumId w:val="6"/>
  </w:num>
  <w:num w:numId="96" w16cid:durableId="1424374166">
    <w:abstractNumId w:val="52"/>
  </w:num>
  <w:num w:numId="97" w16cid:durableId="899369202">
    <w:abstractNumId w:val="81"/>
  </w:num>
  <w:num w:numId="98" w16cid:durableId="1130901106">
    <w:abstractNumId w:val="85"/>
  </w:num>
  <w:num w:numId="99" w16cid:durableId="1051728507">
    <w:abstractNumId w:val="23"/>
  </w:num>
  <w:num w:numId="100" w16cid:durableId="84882147">
    <w:abstractNumId w:val="10"/>
  </w:num>
  <w:num w:numId="101" w16cid:durableId="689142654">
    <w:abstractNumId w:val="53"/>
  </w:num>
  <w:num w:numId="102" w16cid:durableId="1529753073">
    <w:abstractNumId w:val="57"/>
  </w:num>
  <w:num w:numId="103" w16cid:durableId="2062702100">
    <w:abstractNumId w:val="89"/>
  </w:num>
  <w:num w:numId="104" w16cid:durableId="830214010">
    <w:abstractNumId w:val="116"/>
  </w:num>
  <w:num w:numId="105" w16cid:durableId="1976370011">
    <w:abstractNumId w:val="83"/>
  </w:num>
  <w:num w:numId="106" w16cid:durableId="1715959386">
    <w:abstractNumId w:val="16"/>
  </w:num>
  <w:num w:numId="107" w16cid:durableId="1409690769">
    <w:abstractNumId w:val="3"/>
  </w:num>
  <w:num w:numId="108" w16cid:durableId="498665724">
    <w:abstractNumId w:val="105"/>
  </w:num>
  <w:num w:numId="109" w16cid:durableId="1540781397">
    <w:abstractNumId w:val="79"/>
  </w:num>
  <w:num w:numId="110" w16cid:durableId="1447576957">
    <w:abstractNumId w:val="113"/>
  </w:num>
  <w:num w:numId="111" w16cid:durableId="891621802">
    <w:abstractNumId w:val="8"/>
  </w:num>
  <w:num w:numId="112" w16cid:durableId="1049722468">
    <w:abstractNumId w:val="102"/>
  </w:num>
  <w:num w:numId="113" w16cid:durableId="2087143410">
    <w:abstractNumId w:val="40"/>
  </w:num>
  <w:num w:numId="114" w16cid:durableId="1565025450">
    <w:abstractNumId w:val="103"/>
  </w:num>
  <w:num w:numId="115" w16cid:durableId="1828278307">
    <w:abstractNumId w:val="51"/>
  </w:num>
  <w:num w:numId="116" w16cid:durableId="1533113314">
    <w:abstractNumId w:val="12"/>
    <w:lvlOverride w:ilvl="0">
      <w:startOverride w:val="1"/>
    </w:lvlOverride>
  </w:num>
  <w:num w:numId="117" w16cid:durableId="2056199559">
    <w:abstractNumId w:val="12"/>
    <w:lvlOverride w:ilvl="0">
      <w:startOverride w:val="1"/>
    </w:lvlOverride>
  </w:num>
  <w:num w:numId="118" w16cid:durableId="780682191">
    <w:abstractNumId w:val="54"/>
  </w:num>
  <w:num w:numId="119" w16cid:durableId="1864975977">
    <w:abstractNumId w:val="12"/>
    <w:lvlOverride w:ilvl="0">
      <w:startOverride w:val="1"/>
    </w:lvlOverride>
  </w:num>
  <w:num w:numId="120" w16cid:durableId="1733693191">
    <w:abstractNumId w:val="48"/>
  </w:num>
  <w:num w:numId="121" w16cid:durableId="414934790">
    <w:abstractNumId w:val="12"/>
    <w:lvlOverride w:ilvl="0">
      <w:startOverride w:val="1"/>
    </w:lvlOverride>
  </w:num>
  <w:num w:numId="122" w16cid:durableId="772937883">
    <w:abstractNumId w:val="130"/>
  </w:num>
  <w:num w:numId="123" w16cid:durableId="132017477">
    <w:abstractNumId w:val="119"/>
  </w:num>
  <w:num w:numId="124" w16cid:durableId="895093499">
    <w:abstractNumId w:val="125"/>
  </w:num>
  <w:num w:numId="125" w16cid:durableId="71314158">
    <w:abstractNumId w:val="12"/>
    <w:lvlOverride w:ilvl="0">
      <w:startOverride w:val="1"/>
    </w:lvlOverride>
  </w:num>
  <w:num w:numId="126" w16cid:durableId="461995614">
    <w:abstractNumId w:val="12"/>
    <w:lvlOverride w:ilvl="0">
      <w:startOverride w:val="1"/>
    </w:lvlOverride>
  </w:num>
  <w:num w:numId="127" w16cid:durableId="1996490636">
    <w:abstractNumId w:val="12"/>
    <w:lvlOverride w:ilvl="0">
      <w:startOverride w:val="1"/>
    </w:lvlOverride>
  </w:num>
  <w:num w:numId="128" w16cid:durableId="1371569538">
    <w:abstractNumId w:val="12"/>
    <w:lvlOverride w:ilvl="0">
      <w:startOverride w:val="1"/>
    </w:lvlOverride>
  </w:num>
  <w:num w:numId="129" w16cid:durableId="1727945942">
    <w:abstractNumId w:val="12"/>
    <w:lvlOverride w:ilvl="0">
      <w:startOverride w:val="1"/>
    </w:lvlOverride>
  </w:num>
  <w:num w:numId="130" w16cid:durableId="155729562">
    <w:abstractNumId w:val="12"/>
    <w:lvlOverride w:ilvl="0">
      <w:startOverride w:val="1"/>
    </w:lvlOverride>
  </w:num>
  <w:num w:numId="131" w16cid:durableId="2035811115">
    <w:abstractNumId w:val="118"/>
  </w:num>
  <w:num w:numId="132" w16cid:durableId="551774112">
    <w:abstractNumId w:val="7"/>
  </w:num>
  <w:num w:numId="133" w16cid:durableId="973488846">
    <w:abstractNumId w:val="19"/>
  </w:num>
  <w:num w:numId="134" w16cid:durableId="970136580">
    <w:abstractNumId w:val="62"/>
  </w:num>
  <w:num w:numId="135" w16cid:durableId="2130316615">
    <w:abstractNumId w:val="61"/>
  </w:num>
  <w:num w:numId="136" w16cid:durableId="1361973251">
    <w:abstractNumId w:val="12"/>
    <w:lvlOverride w:ilvl="0">
      <w:startOverride w:val="1"/>
    </w:lvlOverride>
  </w:num>
  <w:num w:numId="137" w16cid:durableId="1300300976">
    <w:abstractNumId w:val="12"/>
    <w:lvlOverride w:ilvl="0">
      <w:startOverride w:val="1"/>
    </w:lvlOverride>
  </w:num>
  <w:num w:numId="138" w16cid:durableId="1395469123">
    <w:abstractNumId w:val="12"/>
    <w:lvlOverride w:ilvl="0">
      <w:startOverride w:val="1"/>
    </w:lvlOverride>
  </w:num>
  <w:num w:numId="139" w16cid:durableId="1614169325">
    <w:abstractNumId w:val="12"/>
    <w:lvlOverride w:ilvl="0">
      <w:startOverride w:val="1"/>
    </w:lvlOverride>
  </w:num>
  <w:num w:numId="140" w16cid:durableId="940602077">
    <w:abstractNumId w:val="12"/>
    <w:lvlOverride w:ilvl="0">
      <w:startOverride w:val="1"/>
    </w:lvlOverride>
  </w:num>
  <w:num w:numId="141" w16cid:durableId="1531724616">
    <w:abstractNumId w:val="0"/>
  </w:num>
  <w:num w:numId="142" w16cid:durableId="561988556">
    <w:abstractNumId w:val="60"/>
  </w:num>
  <w:num w:numId="143" w16cid:durableId="348872710">
    <w:abstractNumId w:val="18"/>
  </w:num>
  <w:num w:numId="144" w16cid:durableId="1820924855">
    <w:abstractNumId w:val="123"/>
  </w:num>
  <w:num w:numId="145" w16cid:durableId="348146825">
    <w:abstractNumId w:val="29"/>
  </w:num>
  <w:num w:numId="146" w16cid:durableId="931545173">
    <w:abstractNumId w:val="107"/>
  </w:num>
  <w:numIdMacAtCleanup w:val="1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gutterAtTop/>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trackedChanges" w:enforcement="0"/>
  <w:defaultTabStop w:val="454"/>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TCxtDQ0NTMwMjKxMDRU0lEKTi0uzszPAykwrAUAHr7XLCwAAAA="/>
  </w:docVars>
  <w:rsids>
    <w:rsidRoot w:val="00F41DDF"/>
    <w:rsid w:val="00000094"/>
    <w:rsid w:val="00000103"/>
    <w:rsid w:val="000001B7"/>
    <w:rsid w:val="000002D3"/>
    <w:rsid w:val="000002D9"/>
    <w:rsid w:val="00000403"/>
    <w:rsid w:val="0000048F"/>
    <w:rsid w:val="0000073E"/>
    <w:rsid w:val="0000077C"/>
    <w:rsid w:val="000007E7"/>
    <w:rsid w:val="00000836"/>
    <w:rsid w:val="0000084A"/>
    <w:rsid w:val="00000A1A"/>
    <w:rsid w:val="00000B62"/>
    <w:rsid w:val="00000C46"/>
    <w:rsid w:val="00000C6B"/>
    <w:rsid w:val="00000CDB"/>
    <w:rsid w:val="00000E8E"/>
    <w:rsid w:val="00000EA8"/>
    <w:rsid w:val="00000F0E"/>
    <w:rsid w:val="00000FE9"/>
    <w:rsid w:val="00001004"/>
    <w:rsid w:val="00001268"/>
    <w:rsid w:val="000012F5"/>
    <w:rsid w:val="00001302"/>
    <w:rsid w:val="000013CC"/>
    <w:rsid w:val="00001468"/>
    <w:rsid w:val="000014F6"/>
    <w:rsid w:val="0000155C"/>
    <w:rsid w:val="00001621"/>
    <w:rsid w:val="00001682"/>
    <w:rsid w:val="000017D3"/>
    <w:rsid w:val="00001817"/>
    <w:rsid w:val="00001962"/>
    <w:rsid w:val="00001AD1"/>
    <w:rsid w:val="00001B5B"/>
    <w:rsid w:val="00001B6D"/>
    <w:rsid w:val="00001BBD"/>
    <w:rsid w:val="00001C4C"/>
    <w:rsid w:val="00001CCE"/>
    <w:rsid w:val="00001D23"/>
    <w:rsid w:val="00001D33"/>
    <w:rsid w:val="00001D54"/>
    <w:rsid w:val="00001D55"/>
    <w:rsid w:val="00001D5C"/>
    <w:rsid w:val="00001DA6"/>
    <w:rsid w:val="00001DB9"/>
    <w:rsid w:val="00001DC8"/>
    <w:rsid w:val="00001ED0"/>
    <w:rsid w:val="00001FD0"/>
    <w:rsid w:val="00002032"/>
    <w:rsid w:val="00002057"/>
    <w:rsid w:val="000022DF"/>
    <w:rsid w:val="0000254D"/>
    <w:rsid w:val="000026F0"/>
    <w:rsid w:val="00002749"/>
    <w:rsid w:val="000027A5"/>
    <w:rsid w:val="0000282E"/>
    <w:rsid w:val="0000296D"/>
    <w:rsid w:val="000029B3"/>
    <w:rsid w:val="000029F1"/>
    <w:rsid w:val="00002A18"/>
    <w:rsid w:val="00002A59"/>
    <w:rsid w:val="00002ADB"/>
    <w:rsid w:val="00002C36"/>
    <w:rsid w:val="00002CF1"/>
    <w:rsid w:val="00002D28"/>
    <w:rsid w:val="00002D83"/>
    <w:rsid w:val="00002DAF"/>
    <w:rsid w:val="00002E5B"/>
    <w:rsid w:val="00002E6B"/>
    <w:rsid w:val="00002EA1"/>
    <w:rsid w:val="00002EBF"/>
    <w:rsid w:val="00002F0E"/>
    <w:rsid w:val="00003123"/>
    <w:rsid w:val="00003145"/>
    <w:rsid w:val="00003184"/>
    <w:rsid w:val="000031A5"/>
    <w:rsid w:val="00003230"/>
    <w:rsid w:val="0000332D"/>
    <w:rsid w:val="0000334B"/>
    <w:rsid w:val="000033EF"/>
    <w:rsid w:val="00003422"/>
    <w:rsid w:val="000035F3"/>
    <w:rsid w:val="00003630"/>
    <w:rsid w:val="00003633"/>
    <w:rsid w:val="000036F1"/>
    <w:rsid w:val="00003798"/>
    <w:rsid w:val="000037B5"/>
    <w:rsid w:val="000039A6"/>
    <w:rsid w:val="00003A6C"/>
    <w:rsid w:val="00003C35"/>
    <w:rsid w:val="00003C6C"/>
    <w:rsid w:val="00003CC1"/>
    <w:rsid w:val="00003DC8"/>
    <w:rsid w:val="00003FC1"/>
    <w:rsid w:val="00004094"/>
    <w:rsid w:val="000040A0"/>
    <w:rsid w:val="000041ED"/>
    <w:rsid w:val="00004385"/>
    <w:rsid w:val="0000443B"/>
    <w:rsid w:val="0000464D"/>
    <w:rsid w:val="00004708"/>
    <w:rsid w:val="00004741"/>
    <w:rsid w:val="00004746"/>
    <w:rsid w:val="000047D2"/>
    <w:rsid w:val="00004866"/>
    <w:rsid w:val="000048D3"/>
    <w:rsid w:val="00004A90"/>
    <w:rsid w:val="00004BBC"/>
    <w:rsid w:val="00004C1F"/>
    <w:rsid w:val="00004CAD"/>
    <w:rsid w:val="00004CF6"/>
    <w:rsid w:val="00004D41"/>
    <w:rsid w:val="00004D51"/>
    <w:rsid w:val="00004D72"/>
    <w:rsid w:val="00004E79"/>
    <w:rsid w:val="00005043"/>
    <w:rsid w:val="0000512A"/>
    <w:rsid w:val="0000519D"/>
    <w:rsid w:val="00005294"/>
    <w:rsid w:val="0000529E"/>
    <w:rsid w:val="000052A5"/>
    <w:rsid w:val="0000530D"/>
    <w:rsid w:val="00005386"/>
    <w:rsid w:val="0000538A"/>
    <w:rsid w:val="0000552F"/>
    <w:rsid w:val="00005597"/>
    <w:rsid w:val="000055E6"/>
    <w:rsid w:val="000056EC"/>
    <w:rsid w:val="00005805"/>
    <w:rsid w:val="0000585A"/>
    <w:rsid w:val="00005B57"/>
    <w:rsid w:val="00005B71"/>
    <w:rsid w:val="00005BE9"/>
    <w:rsid w:val="00005C23"/>
    <w:rsid w:val="00005CB4"/>
    <w:rsid w:val="00005D4C"/>
    <w:rsid w:val="00005E75"/>
    <w:rsid w:val="00005F25"/>
    <w:rsid w:val="00006008"/>
    <w:rsid w:val="0000601E"/>
    <w:rsid w:val="00006098"/>
    <w:rsid w:val="000060A5"/>
    <w:rsid w:val="00006171"/>
    <w:rsid w:val="00006185"/>
    <w:rsid w:val="000061C7"/>
    <w:rsid w:val="0000629E"/>
    <w:rsid w:val="00006320"/>
    <w:rsid w:val="0000633B"/>
    <w:rsid w:val="0000635C"/>
    <w:rsid w:val="00006391"/>
    <w:rsid w:val="000066AA"/>
    <w:rsid w:val="00006845"/>
    <w:rsid w:val="0000685C"/>
    <w:rsid w:val="00006870"/>
    <w:rsid w:val="000069A8"/>
    <w:rsid w:val="000069C7"/>
    <w:rsid w:val="00006BF3"/>
    <w:rsid w:val="00006C1D"/>
    <w:rsid w:val="00006CC9"/>
    <w:rsid w:val="00006D41"/>
    <w:rsid w:val="00006E00"/>
    <w:rsid w:val="00006F03"/>
    <w:rsid w:val="00006F4C"/>
    <w:rsid w:val="00006FA2"/>
    <w:rsid w:val="00006FBA"/>
    <w:rsid w:val="00006FE2"/>
    <w:rsid w:val="00006FEF"/>
    <w:rsid w:val="00007036"/>
    <w:rsid w:val="00007134"/>
    <w:rsid w:val="000071B4"/>
    <w:rsid w:val="000071EE"/>
    <w:rsid w:val="0000727E"/>
    <w:rsid w:val="00007345"/>
    <w:rsid w:val="0000746F"/>
    <w:rsid w:val="00007513"/>
    <w:rsid w:val="0000751F"/>
    <w:rsid w:val="0000767C"/>
    <w:rsid w:val="000076AC"/>
    <w:rsid w:val="0000774F"/>
    <w:rsid w:val="000078C8"/>
    <w:rsid w:val="000079AC"/>
    <w:rsid w:val="00007A56"/>
    <w:rsid w:val="00007A89"/>
    <w:rsid w:val="00007B8E"/>
    <w:rsid w:val="00007B99"/>
    <w:rsid w:val="00007BA2"/>
    <w:rsid w:val="00007BD4"/>
    <w:rsid w:val="00007CD3"/>
    <w:rsid w:val="00007D09"/>
    <w:rsid w:val="00007D30"/>
    <w:rsid w:val="00007E61"/>
    <w:rsid w:val="00007F34"/>
    <w:rsid w:val="00007F40"/>
    <w:rsid w:val="00007F52"/>
    <w:rsid w:val="000100D7"/>
    <w:rsid w:val="000102A5"/>
    <w:rsid w:val="0001036F"/>
    <w:rsid w:val="00010391"/>
    <w:rsid w:val="00010425"/>
    <w:rsid w:val="0001074E"/>
    <w:rsid w:val="0001087C"/>
    <w:rsid w:val="00010977"/>
    <w:rsid w:val="000109A3"/>
    <w:rsid w:val="000109CF"/>
    <w:rsid w:val="00010BBF"/>
    <w:rsid w:val="00010BC1"/>
    <w:rsid w:val="00010CCA"/>
    <w:rsid w:val="00010D63"/>
    <w:rsid w:val="00010DA3"/>
    <w:rsid w:val="00010E27"/>
    <w:rsid w:val="00010E30"/>
    <w:rsid w:val="00010EAA"/>
    <w:rsid w:val="00010FF6"/>
    <w:rsid w:val="0001128E"/>
    <w:rsid w:val="0001129F"/>
    <w:rsid w:val="000112EB"/>
    <w:rsid w:val="00011409"/>
    <w:rsid w:val="00011480"/>
    <w:rsid w:val="000115F2"/>
    <w:rsid w:val="00011633"/>
    <w:rsid w:val="00011660"/>
    <w:rsid w:val="000116F3"/>
    <w:rsid w:val="0001172F"/>
    <w:rsid w:val="0001187E"/>
    <w:rsid w:val="000118EA"/>
    <w:rsid w:val="00011A0E"/>
    <w:rsid w:val="00011A65"/>
    <w:rsid w:val="00011C1D"/>
    <w:rsid w:val="00011C39"/>
    <w:rsid w:val="00011C3D"/>
    <w:rsid w:val="00011C6E"/>
    <w:rsid w:val="00011D0A"/>
    <w:rsid w:val="00011D43"/>
    <w:rsid w:val="00011D9E"/>
    <w:rsid w:val="00011E19"/>
    <w:rsid w:val="00011E1D"/>
    <w:rsid w:val="00011E24"/>
    <w:rsid w:val="00011EEC"/>
    <w:rsid w:val="00011F1C"/>
    <w:rsid w:val="00012185"/>
    <w:rsid w:val="000121E7"/>
    <w:rsid w:val="000122EF"/>
    <w:rsid w:val="00012308"/>
    <w:rsid w:val="00012435"/>
    <w:rsid w:val="000125D2"/>
    <w:rsid w:val="0001262D"/>
    <w:rsid w:val="0001263B"/>
    <w:rsid w:val="0001265D"/>
    <w:rsid w:val="000126FB"/>
    <w:rsid w:val="00012754"/>
    <w:rsid w:val="0001289B"/>
    <w:rsid w:val="000128EA"/>
    <w:rsid w:val="00012995"/>
    <w:rsid w:val="00012AB7"/>
    <w:rsid w:val="00012BC6"/>
    <w:rsid w:val="00012C17"/>
    <w:rsid w:val="00012EE5"/>
    <w:rsid w:val="00012EF2"/>
    <w:rsid w:val="00012F11"/>
    <w:rsid w:val="00012F1C"/>
    <w:rsid w:val="00012F5D"/>
    <w:rsid w:val="00012FB6"/>
    <w:rsid w:val="000130FC"/>
    <w:rsid w:val="000131BB"/>
    <w:rsid w:val="00013291"/>
    <w:rsid w:val="00013360"/>
    <w:rsid w:val="00013452"/>
    <w:rsid w:val="0001361F"/>
    <w:rsid w:val="0001374B"/>
    <w:rsid w:val="00013765"/>
    <w:rsid w:val="000137A9"/>
    <w:rsid w:val="000137BE"/>
    <w:rsid w:val="000137D0"/>
    <w:rsid w:val="000137E7"/>
    <w:rsid w:val="000137F5"/>
    <w:rsid w:val="000138C8"/>
    <w:rsid w:val="00013937"/>
    <w:rsid w:val="000139BE"/>
    <w:rsid w:val="00013B0D"/>
    <w:rsid w:val="00013B35"/>
    <w:rsid w:val="00013D2A"/>
    <w:rsid w:val="00013D69"/>
    <w:rsid w:val="00013DDF"/>
    <w:rsid w:val="00013E68"/>
    <w:rsid w:val="00013F04"/>
    <w:rsid w:val="0001401C"/>
    <w:rsid w:val="00014038"/>
    <w:rsid w:val="00014050"/>
    <w:rsid w:val="00014060"/>
    <w:rsid w:val="000140BB"/>
    <w:rsid w:val="0001423F"/>
    <w:rsid w:val="00014285"/>
    <w:rsid w:val="000142D1"/>
    <w:rsid w:val="00014338"/>
    <w:rsid w:val="00014359"/>
    <w:rsid w:val="0001449F"/>
    <w:rsid w:val="00014507"/>
    <w:rsid w:val="00014541"/>
    <w:rsid w:val="00014603"/>
    <w:rsid w:val="0001462C"/>
    <w:rsid w:val="00014637"/>
    <w:rsid w:val="00014641"/>
    <w:rsid w:val="00014877"/>
    <w:rsid w:val="0001489E"/>
    <w:rsid w:val="000148C1"/>
    <w:rsid w:val="000148F4"/>
    <w:rsid w:val="00014A1B"/>
    <w:rsid w:val="00014A9F"/>
    <w:rsid w:val="00014CCF"/>
    <w:rsid w:val="00014D55"/>
    <w:rsid w:val="00014DA1"/>
    <w:rsid w:val="00014DCF"/>
    <w:rsid w:val="00014F72"/>
    <w:rsid w:val="00015036"/>
    <w:rsid w:val="0001511D"/>
    <w:rsid w:val="00015176"/>
    <w:rsid w:val="0001517C"/>
    <w:rsid w:val="000151D8"/>
    <w:rsid w:val="000151E7"/>
    <w:rsid w:val="00015285"/>
    <w:rsid w:val="000152A7"/>
    <w:rsid w:val="00015364"/>
    <w:rsid w:val="00015422"/>
    <w:rsid w:val="00015458"/>
    <w:rsid w:val="00015464"/>
    <w:rsid w:val="0001563D"/>
    <w:rsid w:val="0001588C"/>
    <w:rsid w:val="000158AF"/>
    <w:rsid w:val="000158FA"/>
    <w:rsid w:val="00015B12"/>
    <w:rsid w:val="00015C69"/>
    <w:rsid w:val="00015DA2"/>
    <w:rsid w:val="00015DFE"/>
    <w:rsid w:val="00015E06"/>
    <w:rsid w:val="00015E63"/>
    <w:rsid w:val="00015F2F"/>
    <w:rsid w:val="00015F64"/>
    <w:rsid w:val="00015F79"/>
    <w:rsid w:val="00015FB8"/>
    <w:rsid w:val="00016140"/>
    <w:rsid w:val="0001614D"/>
    <w:rsid w:val="00016160"/>
    <w:rsid w:val="00016183"/>
    <w:rsid w:val="00016290"/>
    <w:rsid w:val="00016735"/>
    <w:rsid w:val="0001679D"/>
    <w:rsid w:val="000167A1"/>
    <w:rsid w:val="000167C0"/>
    <w:rsid w:val="00016818"/>
    <w:rsid w:val="00016863"/>
    <w:rsid w:val="00016875"/>
    <w:rsid w:val="00016893"/>
    <w:rsid w:val="000168D9"/>
    <w:rsid w:val="0001693D"/>
    <w:rsid w:val="000169B4"/>
    <w:rsid w:val="000169D2"/>
    <w:rsid w:val="00016A5B"/>
    <w:rsid w:val="00016AF3"/>
    <w:rsid w:val="00016BBD"/>
    <w:rsid w:val="00016CA9"/>
    <w:rsid w:val="00016E9C"/>
    <w:rsid w:val="000170B9"/>
    <w:rsid w:val="000170DF"/>
    <w:rsid w:val="000171C2"/>
    <w:rsid w:val="00017246"/>
    <w:rsid w:val="0001725C"/>
    <w:rsid w:val="00017313"/>
    <w:rsid w:val="0001738B"/>
    <w:rsid w:val="000173A1"/>
    <w:rsid w:val="000173A9"/>
    <w:rsid w:val="000173D7"/>
    <w:rsid w:val="000174B6"/>
    <w:rsid w:val="0001755A"/>
    <w:rsid w:val="00017753"/>
    <w:rsid w:val="000177A5"/>
    <w:rsid w:val="0001782D"/>
    <w:rsid w:val="00017866"/>
    <w:rsid w:val="0001789D"/>
    <w:rsid w:val="000178CC"/>
    <w:rsid w:val="000178E5"/>
    <w:rsid w:val="000178E6"/>
    <w:rsid w:val="0001799E"/>
    <w:rsid w:val="00017A0A"/>
    <w:rsid w:val="00017A20"/>
    <w:rsid w:val="00017A72"/>
    <w:rsid w:val="00017B2A"/>
    <w:rsid w:val="00017B3D"/>
    <w:rsid w:val="00017BBB"/>
    <w:rsid w:val="00017DF6"/>
    <w:rsid w:val="00017E57"/>
    <w:rsid w:val="00017E8C"/>
    <w:rsid w:val="00017ECF"/>
    <w:rsid w:val="0002007E"/>
    <w:rsid w:val="000200B1"/>
    <w:rsid w:val="000201DA"/>
    <w:rsid w:val="0002022F"/>
    <w:rsid w:val="0002028C"/>
    <w:rsid w:val="0002037B"/>
    <w:rsid w:val="000203C0"/>
    <w:rsid w:val="0002045A"/>
    <w:rsid w:val="0002047B"/>
    <w:rsid w:val="000204A6"/>
    <w:rsid w:val="000204EB"/>
    <w:rsid w:val="00020571"/>
    <w:rsid w:val="000205AA"/>
    <w:rsid w:val="00020642"/>
    <w:rsid w:val="00020664"/>
    <w:rsid w:val="00020682"/>
    <w:rsid w:val="000206D9"/>
    <w:rsid w:val="00020776"/>
    <w:rsid w:val="000207D8"/>
    <w:rsid w:val="00020956"/>
    <w:rsid w:val="00020979"/>
    <w:rsid w:val="000209B7"/>
    <w:rsid w:val="00020A02"/>
    <w:rsid w:val="00020A9A"/>
    <w:rsid w:val="00020A9E"/>
    <w:rsid w:val="00020AA1"/>
    <w:rsid w:val="00020DFD"/>
    <w:rsid w:val="00020F0A"/>
    <w:rsid w:val="00020F2A"/>
    <w:rsid w:val="00020F5D"/>
    <w:rsid w:val="000210DB"/>
    <w:rsid w:val="0002115D"/>
    <w:rsid w:val="00021274"/>
    <w:rsid w:val="000212B4"/>
    <w:rsid w:val="00021358"/>
    <w:rsid w:val="00021367"/>
    <w:rsid w:val="000213BA"/>
    <w:rsid w:val="0002149E"/>
    <w:rsid w:val="000214AB"/>
    <w:rsid w:val="00021500"/>
    <w:rsid w:val="00021501"/>
    <w:rsid w:val="0002166B"/>
    <w:rsid w:val="00021720"/>
    <w:rsid w:val="000217D2"/>
    <w:rsid w:val="000218AA"/>
    <w:rsid w:val="000218B7"/>
    <w:rsid w:val="000218D2"/>
    <w:rsid w:val="00021971"/>
    <w:rsid w:val="00021A82"/>
    <w:rsid w:val="00021C79"/>
    <w:rsid w:val="00021D73"/>
    <w:rsid w:val="00021E2C"/>
    <w:rsid w:val="00021E37"/>
    <w:rsid w:val="00021F33"/>
    <w:rsid w:val="000220F1"/>
    <w:rsid w:val="00022123"/>
    <w:rsid w:val="0002215E"/>
    <w:rsid w:val="0002217A"/>
    <w:rsid w:val="0002222C"/>
    <w:rsid w:val="00022234"/>
    <w:rsid w:val="00022269"/>
    <w:rsid w:val="00022310"/>
    <w:rsid w:val="00022462"/>
    <w:rsid w:val="0002248C"/>
    <w:rsid w:val="000224E8"/>
    <w:rsid w:val="0002250B"/>
    <w:rsid w:val="00022579"/>
    <w:rsid w:val="000225EE"/>
    <w:rsid w:val="000226D9"/>
    <w:rsid w:val="00022984"/>
    <w:rsid w:val="000229A7"/>
    <w:rsid w:val="00022A77"/>
    <w:rsid w:val="00022B6B"/>
    <w:rsid w:val="00022B8C"/>
    <w:rsid w:val="00022C58"/>
    <w:rsid w:val="00022CD0"/>
    <w:rsid w:val="00022D0B"/>
    <w:rsid w:val="00022D65"/>
    <w:rsid w:val="00022D76"/>
    <w:rsid w:val="00022F4F"/>
    <w:rsid w:val="00022FCB"/>
    <w:rsid w:val="00023020"/>
    <w:rsid w:val="00023270"/>
    <w:rsid w:val="000232DE"/>
    <w:rsid w:val="00023331"/>
    <w:rsid w:val="000234D5"/>
    <w:rsid w:val="000234D9"/>
    <w:rsid w:val="0002354D"/>
    <w:rsid w:val="00023596"/>
    <w:rsid w:val="000235AC"/>
    <w:rsid w:val="000235CA"/>
    <w:rsid w:val="00023727"/>
    <w:rsid w:val="00023799"/>
    <w:rsid w:val="00023865"/>
    <w:rsid w:val="0002386E"/>
    <w:rsid w:val="00023A09"/>
    <w:rsid w:val="00023A56"/>
    <w:rsid w:val="00023A7C"/>
    <w:rsid w:val="00023B4D"/>
    <w:rsid w:val="00023B7C"/>
    <w:rsid w:val="00023BBD"/>
    <w:rsid w:val="00023BD3"/>
    <w:rsid w:val="00023C10"/>
    <w:rsid w:val="00023C41"/>
    <w:rsid w:val="00023C45"/>
    <w:rsid w:val="00023CAA"/>
    <w:rsid w:val="00023CD1"/>
    <w:rsid w:val="00023D69"/>
    <w:rsid w:val="00023D73"/>
    <w:rsid w:val="00023DF0"/>
    <w:rsid w:val="00023ED5"/>
    <w:rsid w:val="00023F73"/>
    <w:rsid w:val="00023F92"/>
    <w:rsid w:val="00023FC3"/>
    <w:rsid w:val="00024046"/>
    <w:rsid w:val="0002409D"/>
    <w:rsid w:val="000240B1"/>
    <w:rsid w:val="0002419B"/>
    <w:rsid w:val="0002427D"/>
    <w:rsid w:val="00024330"/>
    <w:rsid w:val="000243C7"/>
    <w:rsid w:val="000243D0"/>
    <w:rsid w:val="00024472"/>
    <w:rsid w:val="0002447E"/>
    <w:rsid w:val="000244A2"/>
    <w:rsid w:val="000244AF"/>
    <w:rsid w:val="0002476F"/>
    <w:rsid w:val="00024776"/>
    <w:rsid w:val="000247BF"/>
    <w:rsid w:val="00024A20"/>
    <w:rsid w:val="00024A3C"/>
    <w:rsid w:val="00024A8F"/>
    <w:rsid w:val="00024B8F"/>
    <w:rsid w:val="00024CDB"/>
    <w:rsid w:val="00024E87"/>
    <w:rsid w:val="00024F44"/>
    <w:rsid w:val="000250DF"/>
    <w:rsid w:val="00025113"/>
    <w:rsid w:val="000251EC"/>
    <w:rsid w:val="00025282"/>
    <w:rsid w:val="000253B2"/>
    <w:rsid w:val="00025402"/>
    <w:rsid w:val="000254EA"/>
    <w:rsid w:val="000254FD"/>
    <w:rsid w:val="00025507"/>
    <w:rsid w:val="00025517"/>
    <w:rsid w:val="0002554A"/>
    <w:rsid w:val="000255FA"/>
    <w:rsid w:val="0002564B"/>
    <w:rsid w:val="00025726"/>
    <w:rsid w:val="000258A2"/>
    <w:rsid w:val="00025906"/>
    <w:rsid w:val="0002590C"/>
    <w:rsid w:val="000259BF"/>
    <w:rsid w:val="000259DA"/>
    <w:rsid w:val="00025A35"/>
    <w:rsid w:val="00025BD2"/>
    <w:rsid w:val="00025BD7"/>
    <w:rsid w:val="00025C88"/>
    <w:rsid w:val="00025C94"/>
    <w:rsid w:val="00025D11"/>
    <w:rsid w:val="00025DFC"/>
    <w:rsid w:val="00025E8C"/>
    <w:rsid w:val="00025EB1"/>
    <w:rsid w:val="00025F8D"/>
    <w:rsid w:val="00025F94"/>
    <w:rsid w:val="00025FFC"/>
    <w:rsid w:val="00026028"/>
    <w:rsid w:val="000260C5"/>
    <w:rsid w:val="000260D9"/>
    <w:rsid w:val="00026107"/>
    <w:rsid w:val="000261A5"/>
    <w:rsid w:val="00026204"/>
    <w:rsid w:val="00026231"/>
    <w:rsid w:val="000264B6"/>
    <w:rsid w:val="000264C6"/>
    <w:rsid w:val="000264E5"/>
    <w:rsid w:val="00026502"/>
    <w:rsid w:val="0002650D"/>
    <w:rsid w:val="0002658D"/>
    <w:rsid w:val="000265C5"/>
    <w:rsid w:val="000265DE"/>
    <w:rsid w:val="00026770"/>
    <w:rsid w:val="00026943"/>
    <w:rsid w:val="00026A21"/>
    <w:rsid w:val="00026A69"/>
    <w:rsid w:val="00026AC4"/>
    <w:rsid w:val="00026B9D"/>
    <w:rsid w:val="00026C6C"/>
    <w:rsid w:val="00026D24"/>
    <w:rsid w:val="00026E1F"/>
    <w:rsid w:val="00026EEF"/>
    <w:rsid w:val="00027073"/>
    <w:rsid w:val="000270B0"/>
    <w:rsid w:val="00027267"/>
    <w:rsid w:val="000272C7"/>
    <w:rsid w:val="000272F3"/>
    <w:rsid w:val="000272F7"/>
    <w:rsid w:val="00027445"/>
    <w:rsid w:val="000274AC"/>
    <w:rsid w:val="000274CF"/>
    <w:rsid w:val="000274FA"/>
    <w:rsid w:val="0002759A"/>
    <w:rsid w:val="000275C2"/>
    <w:rsid w:val="0002763E"/>
    <w:rsid w:val="00027656"/>
    <w:rsid w:val="0002770E"/>
    <w:rsid w:val="000277B3"/>
    <w:rsid w:val="00027836"/>
    <w:rsid w:val="00027887"/>
    <w:rsid w:val="0002796D"/>
    <w:rsid w:val="00027B27"/>
    <w:rsid w:val="00027B33"/>
    <w:rsid w:val="00027BD7"/>
    <w:rsid w:val="00027D85"/>
    <w:rsid w:val="00027DE5"/>
    <w:rsid w:val="00027E11"/>
    <w:rsid w:val="00027E5A"/>
    <w:rsid w:val="00027E94"/>
    <w:rsid w:val="00027E9D"/>
    <w:rsid w:val="00027EB0"/>
    <w:rsid w:val="00030001"/>
    <w:rsid w:val="0003011C"/>
    <w:rsid w:val="00030120"/>
    <w:rsid w:val="0003016C"/>
    <w:rsid w:val="000301F8"/>
    <w:rsid w:val="000303E8"/>
    <w:rsid w:val="000303F5"/>
    <w:rsid w:val="00030414"/>
    <w:rsid w:val="000305DA"/>
    <w:rsid w:val="00030B37"/>
    <w:rsid w:val="00030B46"/>
    <w:rsid w:val="00030C21"/>
    <w:rsid w:val="00030C47"/>
    <w:rsid w:val="00030C69"/>
    <w:rsid w:val="00030D4E"/>
    <w:rsid w:val="00030E78"/>
    <w:rsid w:val="00030EEF"/>
    <w:rsid w:val="00030F1C"/>
    <w:rsid w:val="00030FA3"/>
    <w:rsid w:val="00031035"/>
    <w:rsid w:val="000310D2"/>
    <w:rsid w:val="0003111F"/>
    <w:rsid w:val="0003112F"/>
    <w:rsid w:val="00031228"/>
    <w:rsid w:val="00031260"/>
    <w:rsid w:val="000312E9"/>
    <w:rsid w:val="00031336"/>
    <w:rsid w:val="000313A0"/>
    <w:rsid w:val="0003146B"/>
    <w:rsid w:val="000315F2"/>
    <w:rsid w:val="0003163F"/>
    <w:rsid w:val="000316A3"/>
    <w:rsid w:val="000317BC"/>
    <w:rsid w:val="000318B5"/>
    <w:rsid w:val="000319A8"/>
    <w:rsid w:val="00031A35"/>
    <w:rsid w:val="00031A6B"/>
    <w:rsid w:val="00031AEC"/>
    <w:rsid w:val="00031B87"/>
    <w:rsid w:val="00031BA8"/>
    <w:rsid w:val="00031C44"/>
    <w:rsid w:val="00031CA0"/>
    <w:rsid w:val="00031CFA"/>
    <w:rsid w:val="00031E91"/>
    <w:rsid w:val="00031EEC"/>
    <w:rsid w:val="0003204F"/>
    <w:rsid w:val="00032184"/>
    <w:rsid w:val="00032233"/>
    <w:rsid w:val="000322AD"/>
    <w:rsid w:val="000322C1"/>
    <w:rsid w:val="00032374"/>
    <w:rsid w:val="00032440"/>
    <w:rsid w:val="000324A1"/>
    <w:rsid w:val="0003258C"/>
    <w:rsid w:val="0003260D"/>
    <w:rsid w:val="00032615"/>
    <w:rsid w:val="0003261E"/>
    <w:rsid w:val="000326F1"/>
    <w:rsid w:val="0003274B"/>
    <w:rsid w:val="00032790"/>
    <w:rsid w:val="000327E2"/>
    <w:rsid w:val="0003291C"/>
    <w:rsid w:val="00032924"/>
    <w:rsid w:val="0003293C"/>
    <w:rsid w:val="00032971"/>
    <w:rsid w:val="0003297C"/>
    <w:rsid w:val="0003298A"/>
    <w:rsid w:val="0003299A"/>
    <w:rsid w:val="00032A8F"/>
    <w:rsid w:val="00032B14"/>
    <w:rsid w:val="00032D0B"/>
    <w:rsid w:val="00032D47"/>
    <w:rsid w:val="00032F1A"/>
    <w:rsid w:val="00033175"/>
    <w:rsid w:val="00033377"/>
    <w:rsid w:val="000335C5"/>
    <w:rsid w:val="0003362F"/>
    <w:rsid w:val="00033633"/>
    <w:rsid w:val="00033723"/>
    <w:rsid w:val="00033921"/>
    <w:rsid w:val="0003393E"/>
    <w:rsid w:val="00033973"/>
    <w:rsid w:val="00033996"/>
    <w:rsid w:val="00033A6E"/>
    <w:rsid w:val="00033BEB"/>
    <w:rsid w:val="00033C3B"/>
    <w:rsid w:val="00033C3C"/>
    <w:rsid w:val="00033C4D"/>
    <w:rsid w:val="00033C9D"/>
    <w:rsid w:val="00033DF9"/>
    <w:rsid w:val="00033ECE"/>
    <w:rsid w:val="00033EFE"/>
    <w:rsid w:val="00033F44"/>
    <w:rsid w:val="00033FB8"/>
    <w:rsid w:val="0003407E"/>
    <w:rsid w:val="0003408E"/>
    <w:rsid w:val="000340D3"/>
    <w:rsid w:val="00034146"/>
    <w:rsid w:val="0003414F"/>
    <w:rsid w:val="0003422F"/>
    <w:rsid w:val="0003447A"/>
    <w:rsid w:val="000344E1"/>
    <w:rsid w:val="00034633"/>
    <w:rsid w:val="00034699"/>
    <w:rsid w:val="00034733"/>
    <w:rsid w:val="0003486E"/>
    <w:rsid w:val="000348BF"/>
    <w:rsid w:val="00034AA1"/>
    <w:rsid w:val="00034ACF"/>
    <w:rsid w:val="00034B6C"/>
    <w:rsid w:val="00034C26"/>
    <w:rsid w:val="00034C9F"/>
    <w:rsid w:val="00034E54"/>
    <w:rsid w:val="00034EAB"/>
    <w:rsid w:val="00034F65"/>
    <w:rsid w:val="0003500C"/>
    <w:rsid w:val="0003507C"/>
    <w:rsid w:val="0003512E"/>
    <w:rsid w:val="0003517F"/>
    <w:rsid w:val="00035261"/>
    <w:rsid w:val="000352A5"/>
    <w:rsid w:val="000352C6"/>
    <w:rsid w:val="000352CE"/>
    <w:rsid w:val="0003531C"/>
    <w:rsid w:val="0003542A"/>
    <w:rsid w:val="0003548F"/>
    <w:rsid w:val="00035496"/>
    <w:rsid w:val="000354D1"/>
    <w:rsid w:val="0003556E"/>
    <w:rsid w:val="0003558C"/>
    <w:rsid w:val="000355CE"/>
    <w:rsid w:val="00035690"/>
    <w:rsid w:val="0003580D"/>
    <w:rsid w:val="00035913"/>
    <w:rsid w:val="00035922"/>
    <w:rsid w:val="00035949"/>
    <w:rsid w:val="0003596C"/>
    <w:rsid w:val="00035A76"/>
    <w:rsid w:val="00035B8C"/>
    <w:rsid w:val="00035B93"/>
    <w:rsid w:val="00035BE9"/>
    <w:rsid w:val="00035C71"/>
    <w:rsid w:val="00035CAF"/>
    <w:rsid w:val="00035D64"/>
    <w:rsid w:val="00035D9A"/>
    <w:rsid w:val="00035EB3"/>
    <w:rsid w:val="00035ED7"/>
    <w:rsid w:val="00035FC1"/>
    <w:rsid w:val="00035FF2"/>
    <w:rsid w:val="00036162"/>
    <w:rsid w:val="00036174"/>
    <w:rsid w:val="00036185"/>
    <w:rsid w:val="000361E1"/>
    <w:rsid w:val="00036265"/>
    <w:rsid w:val="0003637A"/>
    <w:rsid w:val="00036418"/>
    <w:rsid w:val="000364C4"/>
    <w:rsid w:val="000365CF"/>
    <w:rsid w:val="0003665A"/>
    <w:rsid w:val="0003669E"/>
    <w:rsid w:val="000366E9"/>
    <w:rsid w:val="00036704"/>
    <w:rsid w:val="00036824"/>
    <w:rsid w:val="000368D1"/>
    <w:rsid w:val="0003690F"/>
    <w:rsid w:val="000369A8"/>
    <w:rsid w:val="00036BEF"/>
    <w:rsid w:val="00036C3D"/>
    <w:rsid w:val="00036CAA"/>
    <w:rsid w:val="00036CBD"/>
    <w:rsid w:val="00036D5E"/>
    <w:rsid w:val="00036D67"/>
    <w:rsid w:val="00036E92"/>
    <w:rsid w:val="00036EBC"/>
    <w:rsid w:val="00036F2E"/>
    <w:rsid w:val="00036FC1"/>
    <w:rsid w:val="00036FD3"/>
    <w:rsid w:val="00037084"/>
    <w:rsid w:val="00037201"/>
    <w:rsid w:val="0003733A"/>
    <w:rsid w:val="00037491"/>
    <w:rsid w:val="000376DD"/>
    <w:rsid w:val="000377E0"/>
    <w:rsid w:val="0003780D"/>
    <w:rsid w:val="00037929"/>
    <w:rsid w:val="00037A9F"/>
    <w:rsid w:val="00037AB1"/>
    <w:rsid w:val="00037BAB"/>
    <w:rsid w:val="00037CB8"/>
    <w:rsid w:val="00037CE3"/>
    <w:rsid w:val="00037F21"/>
    <w:rsid w:val="00037F4A"/>
    <w:rsid w:val="00037F7E"/>
    <w:rsid w:val="00037FD7"/>
    <w:rsid w:val="00037FE3"/>
    <w:rsid w:val="0004002F"/>
    <w:rsid w:val="000400D8"/>
    <w:rsid w:val="000401DB"/>
    <w:rsid w:val="0004027B"/>
    <w:rsid w:val="0004028E"/>
    <w:rsid w:val="000402DD"/>
    <w:rsid w:val="000403A0"/>
    <w:rsid w:val="00040690"/>
    <w:rsid w:val="00040846"/>
    <w:rsid w:val="000408A1"/>
    <w:rsid w:val="000408AE"/>
    <w:rsid w:val="00040989"/>
    <w:rsid w:val="00040C96"/>
    <w:rsid w:val="00040DEF"/>
    <w:rsid w:val="00040E85"/>
    <w:rsid w:val="00040ECB"/>
    <w:rsid w:val="00040EE6"/>
    <w:rsid w:val="00040F84"/>
    <w:rsid w:val="00041067"/>
    <w:rsid w:val="0004117A"/>
    <w:rsid w:val="00041186"/>
    <w:rsid w:val="0004118C"/>
    <w:rsid w:val="00041332"/>
    <w:rsid w:val="0004134D"/>
    <w:rsid w:val="000413CB"/>
    <w:rsid w:val="000413F9"/>
    <w:rsid w:val="0004144D"/>
    <w:rsid w:val="00041459"/>
    <w:rsid w:val="00041503"/>
    <w:rsid w:val="00041588"/>
    <w:rsid w:val="000415D8"/>
    <w:rsid w:val="00041630"/>
    <w:rsid w:val="00041749"/>
    <w:rsid w:val="000417B2"/>
    <w:rsid w:val="00041A23"/>
    <w:rsid w:val="00041A26"/>
    <w:rsid w:val="00041B6A"/>
    <w:rsid w:val="00041B91"/>
    <w:rsid w:val="00041C2A"/>
    <w:rsid w:val="00041D0F"/>
    <w:rsid w:val="00041DC0"/>
    <w:rsid w:val="00041E34"/>
    <w:rsid w:val="00041F5D"/>
    <w:rsid w:val="00042023"/>
    <w:rsid w:val="000423C4"/>
    <w:rsid w:val="00042444"/>
    <w:rsid w:val="00042486"/>
    <w:rsid w:val="000424EF"/>
    <w:rsid w:val="00042579"/>
    <w:rsid w:val="000425A4"/>
    <w:rsid w:val="000425B4"/>
    <w:rsid w:val="00042605"/>
    <w:rsid w:val="000426B1"/>
    <w:rsid w:val="00042784"/>
    <w:rsid w:val="000427F8"/>
    <w:rsid w:val="00042A38"/>
    <w:rsid w:val="00042B58"/>
    <w:rsid w:val="00042C8F"/>
    <w:rsid w:val="00042CFD"/>
    <w:rsid w:val="00042D02"/>
    <w:rsid w:val="00042DE8"/>
    <w:rsid w:val="00042E4D"/>
    <w:rsid w:val="00042EC3"/>
    <w:rsid w:val="0004321E"/>
    <w:rsid w:val="00043298"/>
    <w:rsid w:val="000432B8"/>
    <w:rsid w:val="000432D7"/>
    <w:rsid w:val="0004337D"/>
    <w:rsid w:val="000433AE"/>
    <w:rsid w:val="000433C9"/>
    <w:rsid w:val="00043680"/>
    <w:rsid w:val="0004390A"/>
    <w:rsid w:val="00043A14"/>
    <w:rsid w:val="00043A95"/>
    <w:rsid w:val="00043B01"/>
    <w:rsid w:val="00043B06"/>
    <w:rsid w:val="00043BE4"/>
    <w:rsid w:val="00043C3F"/>
    <w:rsid w:val="00043C52"/>
    <w:rsid w:val="00043CAF"/>
    <w:rsid w:val="00043CEA"/>
    <w:rsid w:val="00043D41"/>
    <w:rsid w:val="00043D45"/>
    <w:rsid w:val="00043D4C"/>
    <w:rsid w:val="00043DED"/>
    <w:rsid w:val="00043E55"/>
    <w:rsid w:val="00043E78"/>
    <w:rsid w:val="00043EAE"/>
    <w:rsid w:val="00043FE7"/>
    <w:rsid w:val="00044115"/>
    <w:rsid w:val="0004439E"/>
    <w:rsid w:val="000443C6"/>
    <w:rsid w:val="000443D9"/>
    <w:rsid w:val="000444E5"/>
    <w:rsid w:val="000445D4"/>
    <w:rsid w:val="00044767"/>
    <w:rsid w:val="00044789"/>
    <w:rsid w:val="000448C9"/>
    <w:rsid w:val="000448D3"/>
    <w:rsid w:val="0004495B"/>
    <w:rsid w:val="00044A98"/>
    <w:rsid w:val="00044D31"/>
    <w:rsid w:val="00044E43"/>
    <w:rsid w:val="00044E70"/>
    <w:rsid w:val="00044ED4"/>
    <w:rsid w:val="00044EE0"/>
    <w:rsid w:val="00044EE6"/>
    <w:rsid w:val="00044EF5"/>
    <w:rsid w:val="0004517E"/>
    <w:rsid w:val="00045197"/>
    <w:rsid w:val="000451E2"/>
    <w:rsid w:val="00045219"/>
    <w:rsid w:val="00045245"/>
    <w:rsid w:val="00045280"/>
    <w:rsid w:val="00045283"/>
    <w:rsid w:val="0004535B"/>
    <w:rsid w:val="00045495"/>
    <w:rsid w:val="000454BB"/>
    <w:rsid w:val="0004550E"/>
    <w:rsid w:val="00045539"/>
    <w:rsid w:val="000455B0"/>
    <w:rsid w:val="000456F0"/>
    <w:rsid w:val="00045738"/>
    <w:rsid w:val="00045776"/>
    <w:rsid w:val="000457ED"/>
    <w:rsid w:val="00045835"/>
    <w:rsid w:val="00045837"/>
    <w:rsid w:val="00045952"/>
    <w:rsid w:val="000459B9"/>
    <w:rsid w:val="00045AFB"/>
    <w:rsid w:val="00045B31"/>
    <w:rsid w:val="00045BCA"/>
    <w:rsid w:val="00045BDA"/>
    <w:rsid w:val="00045BF2"/>
    <w:rsid w:val="00045C4D"/>
    <w:rsid w:val="00045CBE"/>
    <w:rsid w:val="00045D1C"/>
    <w:rsid w:val="00045D73"/>
    <w:rsid w:val="00045D8A"/>
    <w:rsid w:val="00045DA9"/>
    <w:rsid w:val="00045EFC"/>
    <w:rsid w:val="00046027"/>
    <w:rsid w:val="0004603E"/>
    <w:rsid w:val="0004606A"/>
    <w:rsid w:val="00046133"/>
    <w:rsid w:val="00046139"/>
    <w:rsid w:val="00046153"/>
    <w:rsid w:val="00046156"/>
    <w:rsid w:val="00046383"/>
    <w:rsid w:val="0004645B"/>
    <w:rsid w:val="000464D6"/>
    <w:rsid w:val="000464E6"/>
    <w:rsid w:val="0004653A"/>
    <w:rsid w:val="000465E9"/>
    <w:rsid w:val="00046614"/>
    <w:rsid w:val="00046754"/>
    <w:rsid w:val="00046799"/>
    <w:rsid w:val="000468F3"/>
    <w:rsid w:val="0004694E"/>
    <w:rsid w:val="000469B1"/>
    <w:rsid w:val="000469E9"/>
    <w:rsid w:val="00046A1D"/>
    <w:rsid w:val="00046B70"/>
    <w:rsid w:val="00046C27"/>
    <w:rsid w:val="00046C5C"/>
    <w:rsid w:val="00046CAB"/>
    <w:rsid w:val="00046CD5"/>
    <w:rsid w:val="00046DA0"/>
    <w:rsid w:val="00046DDC"/>
    <w:rsid w:val="00046E45"/>
    <w:rsid w:val="00046E71"/>
    <w:rsid w:val="00046EC1"/>
    <w:rsid w:val="00047011"/>
    <w:rsid w:val="0004709A"/>
    <w:rsid w:val="000471A1"/>
    <w:rsid w:val="00047282"/>
    <w:rsid w:val="00047475"/>
    <w:rsid w:val="000474A8"/>
    <w:rsid w:val="000474EB"/>
    <w:rsid w:val="000474F8"/>
    <w:rsid w:val="00047544"/>
    <w:rsid w:val="000475C3"/>
    <w:rsid w:val="0004768D"/>
    <w:rsid w:val="0004772C"/>
    <w:rsid w:val="0004774C"/>
    <w:rsid w:val="000477B4"/>
    <w:rsid w:val="000479A9"/>
    <w:rsid w:val="00047A83"/>
    <w:rsid w:val="00047BF2"/>
    <w:rsid w:val="00047C3B"/>
    <w:rsid w:val="00047CCD"/>
    <w:rsid w:val="00047CEE"/>
    <w:rsid w:val="00050368"/>
    <w:rsid w:val="0005047B"/>
    <w:rsid w:val="00050500"/>
    <w:rsid w:val="00050561"/>
    <w:rsid w:val="000505D5"/>
    <w:rsid w:val="00050746"/>
    <w:rsid w:val="0005074D"/>
    <w:rsid w:val="00050808"/>
    <w:rsid w:val="0005084B"/>
    <w:rsid w:val="00050B10"/>
    <w:rsid w:val="00050B9B"/>
    <w:rsid w:val="00050BAF"/>
    <w:rsid w:val="00050D10"/>
    <w:rsid w:val="00050F45"/>
    <w:rsid w:val="00050F6F"/>
    <w:rsid w:val="00050F79"/>
    <w:rsid w:val="00050FAF"/>
    <w:rsid w:val="00050FEF"/>
    <w:rsid w:val="0005109C"/>
    <w:rsid w:val="0005111A"/>
    <w:rsid w:val="0005111F"/>
    <w:rsid w:val="0005116F"/>
    <w:rsid w:val="000511A4"/>
    <w:rsid w:val="000512B1"/>
    <w:rsid w:val="000512CF"/>
    <w:rsid w:val="00051388"/>
    <w:rsid w:val="000513A4"/>
    <w:rsid w:val="000514F0"/>
    <w:rsid w:val="00051540"/>
    <w:rsid w:val="0005154F"/>
    <w:rsid w:val="00051573"/>
    <w:rsid w:val="000516A4"/>
    <w:rsid w:val="000517C3"/>
    <w:rsid w:val="000518DC"/>
    <w:rsid w:val="00051915"/>
    <w:rsid w:val="0005199D"/>
    <w:rsid w:val="000519F5"/>
    <w:rsid w:val="00051ABE"/>
    <w:rsid w:val="00051B72"/>
    <w:rsid w:val="00051C0B"/>
    <w:rsid w:val="00051D36"/>
    <w:rsid w:val="00051EE4"/>
    <w:rsid w:val="00052024"/>
    <w:rsid w:val="0005204E"/>
    <w:rsid w:val="00052124"/>
    <w:rsid w:val="00052369"/>
    <w:rsid w:val="00052376"/>
    <w:rsid w:val="000523F4"/>
    <w:rsid w:val="000525BD"/>
    <w:rsid w:val="000525DE"/>
    <w:rsid w:val="00052604"/>
    <w:rsid w:val="00052687"/>
    <w:rsid w:val="000526AA"/>
    <w:rsid w:val="000526E6"/>
    <w:rsid w:val="0005272C"/>
    <w:rsid w:val="00052746"/>
    <w:rsid w:val="00052778"/>
    <w:rsid w:val="00052780"/>
    <w:rsid w:val="00052783"/>
    <w:rsid w:val="00052796"/>
    <w:rsid w:val="0005280C"/>
    <w:rsid w:val="00052825"/>
    <w:rsid w:val="00052853"/>
    <w:rsid w:val="00052868"/>
    <w:rsid w:val="000528C0"/>
    <w:rsid w:val="000528DF"/>
    <w:rsid w:val="00052A74"/>
    <w:rsid w:val="00052A8F"/>
    <w:rsid w:val="00052B7D"/>
    <w:rsid w:val="00052C43"/>
    <w:rsid w:val="00052D8D"/>
    <w:rsid w:val="00052DE2"/>
    <w:rsid w:val="00052E8B"/>
    <w:rsid w:val="00052F58"/>
    <w:rsid w:val="00052F83"/>
    <w:rsid w:val="00052FCA"/>
    <w:rsid w:val="0005302F"/>
    <w:rsid w:val="00053043"/>
    <w:rsid w:val="00053049"/>
    <w:rsid w:val="00053091"/>
    <w:rsid w:val="00053140"/>
    <w:rsid w:val="00053187"/>
    <w:rsid w:val="000531DB"/>
    <w:rsid w:val="0005321A"/>
    <w:rsid w:val="0005321D"/>
    <w:rsid w:val="00053297"/>
    <w:rsid w:val="00053300"/>
    <w:rsid w:val="00053395"/>
    <w:rsid w:val="00053595"/>
    <w:rsid w:val="000535A4"/>
    <w:rsid w:val="00053943"/>
    <w:rsid w:val="000539E5"/>
    <w:rsid w:val="00053AA0"/>
    <w:rsid w:val="00053B9E"/>
    <w:rsid w:val="00053D98"/>
    <w:rsid w:val="00053FB6"/>
    <w:rsid w:val="00053FDC"/>
    <w:rsid w:val="00054005"/>
    <w:rsid w:val="0005402F"/>
    <w:rsid w:val="000540DA"/>
    <w:rsid w:val="0005415F"/>
    <w:rsid w:val="00054163"/>
    <w:rsid w:val="000541D2"/>
    <w:rsid w:val="000542BB"/>
    <w:rsid w:val="000542D4"/>
    <w:rsid w:val="0005430E"/>
    <w:rsid w:val="00054384"/>
    <w:rsid w:val="00054398"/>
    <w:rsid w:val="000544CC"/>
    <w:rsid w:val="00054617"/>
    <w:rsid w:val="00054682"/>
    <w:rsid w:val="000546E1"/>
    <w:rsid w:val="00054708"/>
    <w:rsid w:val="000548C6"/>
    <w:rsid w:val="000548F6"/>
    <w:rsid w:val="0005491D"/>
    <w:rsid w:val="00054929"/>
    <w:rsid w:val="00054952"/>
    <w:rsid w:val="00054990"/>
    <w:rsid w:val="000549C5"/>
    <w:rsid w:val="000549D2"/>
    <w:rsid w:val="000549F9"/>
    <w:rsid w:val="00054A2F"/>
    <w:rsid w:val="00054A85"/>
    <w:rsid w:val="00054ADD"/>
    <w:rsid w:val="00054B48"/>
    <w:rsid w:val="00054CE5"/>
    <w:rsid w:val="00054CF6"/>
    <w:rsid w:val="00054D26"/>
    <w:rsid w:val="00054D33"/>
    <w:rsid w:val="00054D35"/>
    <w:rsid w:val="00054E15"/>
    <w:rsid w:val="00054E40"/>
    <w:rsid w:val="00054E85"/>
    <w:rsid w:val="00054EF1"/>
    <w:rsid w:val="00054FBF"/>
    <w:rsid w:val="00055075"/>
    <w:rsid w:val="0005509F"/>
    <w:rsid w:val="000551CA"/>
    <w:rsid w:val="000553AA"/>
    <w:rsid w:val="000553E9"/>
    <w:rsid w:val="000554DF"/>
    <w:rsid w:val="000554FF"/>
    <w:rsid w:val="00055538"/>
    <w:rsid w:val="00055636"/>
    <w:rsid w:val="000556FF"/>
    <w:rsid w:val="00055B0E"/>
    <w:rsid w:val="00055D28"/>
    <w:rsid w:val="00055D2A"/>
    <w:rsid w:val="00055D38"/>
    <w:rsid w:val="00055DA5"/>
    <w:rsid w:val="00055E35"/>
    <w:rsid w:val="00055E73"/>
    <w:rsid w:val="00055ED8"/>
    <w:rsid w:val="00055EE7"/>
    <w:rsid w:val="00055F41"/>
    <w:rsid w:val="00055F59"/>
    <w:rsid w:val="00055FD7"/>
    <w:rsid w:val="00056008"/>
    <w:rsid w:val="000560E3"/>
    <w:rsid w:val="00056132"/>
    <w:rsid w:val="000564ED"/>
    <w:rsid w:val="00056587"/>
    <w:rsid w:val="00056626"/>
    <w:rsid w:val="000567F3"/>
    <w:rsid w:val="0005681A"/>
    <w:rsid w:val="000568AE"/>
    <w:rsid w:val="00056902"/>
    <w:rsid w:val="00056957"/>
    <w:rsid w:val="00056974"/>
    <w:rsid w:val="00056AC0"/>
    <w:rsid w:val="00056C51"/>
    <w:rsid w:val="00056C7E"/>
    <w:rsid w:val="00056D2B"/>
    <w:rsid w:val="00056D5C"/>
    <w:rsid w:val="00056DB8"/>
    <w:rsid w:val="000571B8"/>
    <w:rsid w:val="000571BE"/>
    <w:rsid w:val="000571DC"/>
    <w:rsid w:val="00057320"/>
    <w:rsid w:val="00057368"/>
    <w:rsid w:val="00057487"/>
    <w:rsid w:val="000575BB"/>
    <w:rsid w:val="0005760E"/>
    <w:rsid w:val="00057690"/>
    <w:rsid w:val="000577D6"/>
    <w:rsid w:val="0005781F"/>
    <w:rsid w:val="0005782F"/>
    <w:rsid w:val="00057851"/>
    <w:rsid w:val="00057975"/>
    <w:rsid w:val="00057A64"/>
    <w:rsid w:val="00057B34"/>
    <w:rsid w:val="00057B67"/>
    <w:rsid w:val="00057BEE"/>
    <w:rsid w:val="00057C7D"/>
    <w:rsid w:val="00057C8E"/>
    <w:rsid w:val="00057D30"/>
    <w:rsid w:val="00057F53"/>
    <w:rsid w:val="000601DB"/>
    <w:rsid w:val="00060208"/>
    <w:rsid w:val="000602E6"/>
    <w:rsid w:val="00060351"/>
    <w:rsid w:val="00060443"/>
    <w:rsid w:val="00060468"/>
    <w:rsid w:val="00060558"/>
    <w:rsid w:val="0006056B"/>
    <w:rsid w:val="000606CE"/>
    <w:rsid w:val="00060814"/>
    <w:rsid w:val="000608D8"/>
    <w:rsid w:val="00060925"/>
    <w:rsid w:val="00060927"/>
    <w:rsid w:val="00060960"/>
    <w:rsid w:val="00060985"/>
    <w:rsid w:val="000609B1"/>
    <w:rsid w:val="00060A1B"/>
    <w:rsid w:val="00060BF8"/>
    <w:rsid w:val="00060CEF"/>
    <w:rsid w:val="00060DB1"/>
    <w:rsid w:val="00060DDA"/>
    <w:rsid w:val="00060E03"/>
    <w:rsid w:val="00060E1F"/>
    <w:rsid w:val="00060E85"/>
    <w:rsid w:val="00060F15"/>
    <w:rsid w:val="00060F52"/>
    <w:rsid w:val="00060F56"/>
    <w:rsid w:val="00060F5D"/>
    <w:rsid w:val="00061124"/>
    <w:rsid w:val="0006119B"/>
    <w:rsid w:val="000612AC"/>
    <w:rsid w:val="0006131C"/>
    <w:rsid w:val="00061432"/>
    <w:rsid w:val="00061512"/>
    <w:rsid w:val="00061547"/>
    <w:rsid w:val="000615F6"/>
    <w:rsid w:val="00061600"/>
    <w:rsid w:val="00061644"/>
    <w:rsid w:val="00061645"/>
    <w:rsid w:val="000616C0"/>
    <w:rsid w:val="000616E8"/>
    <w:rsid w:val="000618C4"/>
    <w:rsid w:val="0006190E"/>
    <w:rsid w:val="00061956"/>
    <w:rsid w:val="000619AA"/>
    <w:rsid w:val="00061A47"/>
    <w:rsid w:val="00061B14"/>
    <w:rsid w:val="00061B78"/>
    <w:rsid w:val="00061C7B"/>
    <w:rsid w:val="00061CA4"/>
    <w:rsid w:val="00061CA5"/>
    <w:rsid w:val="00061D47"/>
    <w:rsid w:val="00061DE5"/>
    <w:rsid w:val="00061E22"/>
    <w:rsid w:val="00061E68"/>
    <w:rsid w:val="00061EA4"/>
    <w:rsid w:val="0006227B"/>
    <w:rsid w:val="00062301"/>
    <w:rsid w:val="00062376"/>
    <w:rsid w:val="00062398"/>
    <w:rsid w:val="0006242A"/>
    <w:rsid w:val="000624A2"/>
    <w:rsid w:val="000624DA"/>
    <w:rsid w:val="00062540"/>
    <w:rsid w:val="000626E4"/>
    <w:rsid w:val="0006275C"/>
    <w:rsid w:val="00062953"/>
    <w:rsid w:val="0006299D"/>
    <w:rsid w:val="00062A7A"/>
    <w:rsid w:val="00062A80"/>
    <w:rsid w:val="00062AC1"/>
    <w:rsid w:val="00062ADF"/>
    <w:rsid w:val="00062B0A"/>
    <w:rsid w:val="00062C1E"/>
    <w:rsid w:val="00062C7D"/>
    <w:rsid w:val="00062D7F"/>
    <w:rsid w:val="00062DAF"/>
    <w:rsid w:val="00062F7E"/>
    <w:rsid w:val="00062FB7"/>
    <w:rsid w:val="00063101"/>
    <w:rsid w:val="00063154"/>
    <w:rsid w:val="00063185"/>
    <w:rsid w:val="000631ED"/>
    <w:rsid w:val="000633F1"/>
    <w:rsid w:val="0006345E"/>
    <w:rsid w:val="000634BE"/>
    <w:rsid w:val="00063503"/>
    <w:rsid w:val="00063529"/>
    <w:rsid w:val="000635BB"/>
    <w:rsid w:val="000635EE"/>
    <w:rsid w:val="000636B8"/>
    <w:rsid w:val="000636F2"/>
    <w:rsid w:val="000636F3"/>
    <w:rsid w:val="00063917"/>
    <w:rsid w:val="00063918"/>
    <w:rsid w:val="000639B4"/>
    <w:rsid w:val="00063DD9"/>
    <w:rsid w:val="00063EBB"/>
    <w:rsid w:val="00063EE7"/>
    <w:rsid w:val="00063FA4"/>
    <w:rsid w:val="00064094"/>
    <w:rsid w:val="000640E4"/>
    <w:rsid w:val="000641B2"/>
    <w:rsid w:val="000641DF"/>
    <w:rsid w:val="00064314"/>
    <w:rsid w:val="00064399"/>
    <w:rsid w:val="000646E1"/>
    <w:rsid w:val="000648C7"/>
    <w:rsid w:val="000649DA"/>
    <w:rsid w:val="00064B68"/>
    <w:rsid w:val="00064BF9"/>
    <w:rsid w:val="00064C18"/>
    <w:rsid w:val="00064C98"/>
    <w:rsid w:val="00064DE9"/>
    <w:rsid w:val="00064EBA"/>
    <w:rsid w:val="00064EDB"/>
    <w:rsid w:val="00064FF8"/>
    <w:rsid w:val="0006502D"/>
    <w:rsid w:val="000650ED"/>
    <w:rsid w:val="000650FD"/>
    <w:rsid w:val="00065408"/>
    <w:rsid w:val="00065496"/>
    <w:rsid w:val="000654B1"/>
    <w:rsid w:val="000655B2"/>
    <w:rsid w:val="00065634"/>
    <w:rsid w:val="0006568C"/>
    <w:rsid w:val="000656DB"/>
    <w:rsid w:val="0006583A"/>
    <w:rsid w:val="000659B8"/>
    <w:rsid w:val="00065A18"/>
    <w:rsid w:val="00065E5C"/>
    <w:rsid w:val="00065F92"/>
    <w:rsid w:val="0006601C"/>
    <w:rsid w:val="00066066"/>
    <w:rsid w:val="00066133"/>
    <w:rsid w:val="000661B5"/>
    <w:rsid w:val="00066245"/>
    <w:rsid w:val="000662DF"/>
    <w:rsid w:val="000663E2"/>
    <w:rsid w:val="0006640E"/>
    <w:rsid w:val="0006655B"/>
    <w:rsid w:val="00066590"/>
    <w:rsid w:val="0006662C"/>
    <w:rsid w:val="00066777"/>
    <w:rsid w:val="000669F8"/>
    <w:rsid w:val="00066B03"/>
    <w:rsid w:val="00066C6D"/>
    <w:rsid w:val="00066CE1"/>
    <w:rsid w:val="00066DBB"/>
    <w:rsid w:val="00066E12"/>
    <w:rsid w:val="00066EE5"/>
    <w:rsid w:val="000670E6"/>
    <w:rsid w:val="0006715D"/>
    <w:rsid w:val="00067191"/>
    <w:rsid w:val="0006723B"/>
    <w:rsid w:val="00067334"/>
    <w:rsid w:val="000673D3"/>
    <w:rsid w:val="00067486"/>
    <w:rsid w:val="0006767A"/>
    <w:rsid w:val="00067817"/>
    <w:rsid w:val="00067844"/>
    <w:rsid w:val="000678EB"/>
    <w:rsid w:val="000679E8"/>
    <w:rsid w:val="00067A03"/>
    <w:rsid w:val="00067A0B"/>
    <w:rsid w:val="00067A42"/>
    <w:rsid w:val="00067A62"/>
    <w:rsid w:val="00067ABE"/>
    <w:rsid w:val="00067C1B"/>
    <w:rsid w:val="00067C30"/>
    <w:rsid w:val="00067C37"/>
    <w:rsid w:val="00067C47"/>
    <w:rsid w:val="00067D6C"/>
    <w:rsid w:val="00067D7C"/>
    <w:rsid w:val="00067E5D"/>
    <w:rsid w:val="00067E9A"/>
    <w:rsid w:val="00067EFA"/>
    <w:rsid w:val="00067EFD"/>
    <w:rsid w:val="00067F90"/>
    <w:rsid w:val="00067FA3"/>
    <w:rsid w:val="00067FB5"/>
    <w:rsid w:val="00067FEA"/>
    <w:rsid w:val="0007001F"/>
    <w:rsid w:val="000700BE"/>
    <w:rsid w:val="000701CF"/>
    <w:rsid w:val="00070216"/>
    <w:rsid w:val="000702EF"/>
    <w:rsid w:val="000703E7"/>
    <w:rsid w:val="0007040E"/>
    <w:rsid w:val="000705C0"/>
    <w:rsid w:val="000705E1"/>
    <w:rsid w:val="0007073E"/>
    <w:rsid w:val="000707C9"/>
    <w:rsid w:val="00070812"/>
    <w:rsid w:val="000708B3"/>
    <w:rsid w:val="00070961"/>
    <w:rsid w:val="000709B8"/>
    <w:rsid w:val="00070A38"/>
    <w:rsid w:val="00070AB0"/>
    <w:rsid w:val="00070BA0"/>
    <w:rsid w:val="00070CAC"/>
    <w:rsid w:val="00070CF8"/>
    <w:rsid w:val="00070D72"/>
    <w:rsid w:val="00070DB5"/>
    <w:rsid w:val="00070E6B"/>
    <w:rsid w:val="00070E78"/>
    <w:rsid w:val="00070F1E"/>
    <w:rsid w:val="00070F23"/>
    <w:rsid w:val="00070F79"/>
    <w:rsid w:val="00070FCB"/>
    <w:rsid w:val="000710EB"/>
    <w:rsid w:val="00071210"/>
    <w:rsid w:val="0007138F"/>
    <w:rsid w:val="0007142E"/>
    <w:rsid w:val="000714FC"/>
    <w:rsid w:val="00071565"/>
    <w:rsid w:val="00071575"/>
    <w:rsid w:val="000715B3"/>
    <w:rsid w:val="000715CB"/>
    <w:rsid w:val="00071615"/>
    <w:rsid w:val="00071635"/>
    <w:rsid w:val="0007166C"/>
    <w:rsid w:val="0007174D"/>
    <w:rsid w:val="00071770"/>
    <w:rsid w:val="000717C3"/>
    <w:rsid w:val="000717CB"/>
    <w:rsid w:val="000717D2"/>
    <w:rsid w:val="000717FC"/>
    <w:rsid w:val="000718EA"/>
    <w:rsid w:val="0007192F"/>
    <w:rsid w:val="00071967"/>
    <w:rsid w:val="00071992"/>
    <w:rsid w:val="000719C0"/>
    <w:rsid w:val="00071A14"/>
    <w:rsid w:val="00071C7F"/>
    <w:rsid w:val="00071CC1"/>
    <w:rsid w:val="00071FCE"/>
    <w:rsid w:val="00072038"/>
    <w:rsid w:val="00072052"/>
    <w:rsid w:val="000720B9"/>
    <w:rsid w:val="0007213E"/>
    <w:rsid w:val="000721AE"/>
    <w:rsid w:val="000721C2"/>
    <w:rsid w:val="00072202"/>
    <w:rsid w:val="00072210"/>
    <w:rsid w:val="00072339"/>
    <w:rsid w:val="00072404"/>
    <w:rsid w:val="00072481"/>
    <w:rsid w:val="00072518"/>
    <w:rsid w:val="00072576"/>
    <w:rsid w:val="000725B3"/>
    <w:rsid w:val="000725DF"/>
    <w:rsid w:val="000726AC"/>
    <w:rsid w:val="0007270A"/>
    <w:rsid w:val="00072795"/>
    <w:rsid w:val="000727C6"/>
    <w:rsid w:val="00072880"/>
    <w:rsid w:val="00072902"/>
    <w:rsid w:val="0007290D"/>
    <w:rsid w:val="00072941"/>
    <w:rsid w:val="0007297E"/>
    <w:rsid w:val="000729F9"/>
    <w:rsid w:val="00072A7B"/>
    <w:rsid w:val="00072B1E"/>
    <w:rsid w:val="00072C23"/>
    <w:rsid w:val="00072D1F"/>
    <w:rsid w:val="00072DC4"/>
    <w:rsid w:val="00072DD8"/>
    <w:rsid w:val="00072E19"/>
    <w:rsid w:val="00072E33"/>
    <w:rsid w:val="00072EC2"/>
    <w:rsid w:val="00072EED"/>
    <w:rsid w:val="00072F0B"/>
    <w:rsid w:val="00072F4F"/>
    <w:rsid w:val="00072F78"/>
    <w:rsid w:val="00072F8B"/>
    <w:rsid w:val="00072FF6"/>
    <w:rsid w:val="000730CB"/>
    <w:rsid w:val="000731A5"/>
    <w:rsid w:val="0007323F"/>
    <w:rsid w:val="000732B2"/>
    <w:rsid w:val="000732C7"/>
    <w:rsid w:val="00073334"/>
    <w:rsid w:val="00073347"/>
    <w:rsid w:val="000733FA"/>
    <w:rsid w:val="0007350A"/>
    <w:rsid w:val="00073542"/>
    <w:rsid w:val="00073576"/>
    <w:rsid w:val="00073582"/>
    <w:rsid w:val="000735A3"/>
    <w:rsid w:val="0007367B"/>
    <w:rsid w:val="000736A0"/>
    <w:rsid w:val="0007376B"/>
    <w:rsid w:val="000737B4"/>
    <w:rsid w:val="000737EE"/>
    <w:rsid w:val="00073A40"/>
    <w:rsid w:val="00073B8F"/>
    <w:rsid w:val="00073B95"/>
    <w:rsid w:val="00073C9D"/>
    <w:rsid w:val="00073CD8"/>
    <w:rsid w:val="00073D09"/>
    <w:rsid w:val="00073DD4"/>
    <w:rsid w:val="00073E62"/>
    <w:rsid w:val="000740B9"/>
    <w:rsid w:val="00074173"/>
    <w:rsid w:val="0007424B"/>
    <w:rsid w:val="0007427B"/>
    <w:rsid w:val="000742B9"/>
    <w:rsid w:val="00074302"/>
    <w:rsid w:val="00074374"/>
    <w:rsid w:val="00074462"/>
    <w:rsid w:val="00074479"/>
    <w:rsid w:val="00074499"/>
    <w:rsid w:val="00074511"/>
    <w:rsid w:val="000745D5"/>
    <w:rsid w:val="0007470F"/>
    <w:rsid w:val="000747E0"/>
    <w:rsid w:val="00074847"/>
    <w:rsid w:val="0007493D"/>
    <w:rsid w:val="000749DA"/>
    <w:rsid w:val="00074A25"/>
    <w:rsid w:val="00074A75"/>
    <w:rsid w:val="00074B64"/>
    <w:rsid w:val="00074B8A"/>
    <w:rsid w:val="00074C49"/>
    <w:rsid w:val="00074D0A"/>
    <w:rsid w:val="00074D2F"/>
    <w:rsid w:val="00074DB9"/>
    <w:rsid w:val="00074E64"/>
    <w:rsid w:val="00074E67"/>
    <w:rsid w:val="00074EB1"/>
    <w:rsid w:val="0007507A"/>
    <w:rsid w:val="00075122"/>
    <w:rsid w:val="0007518C"/>
    <w:rsid w:val="0007533D"/>
    <w:rsid w:val="0007537F"/>
    <w:rsid w:val="000753F4"/>
    <w:rsid w:val="0007543C"/>
    <w:rsid w:val="000756BB"/>
    <w:rsid w:val="00075715"/>
    <w:rsid w:val="000757C6"/>
    <w:rsid w:val="00075852"/>
    <w:rsid w:val="00075858"/>
    <w:rsid w:val="00075873"/>
    <w:rsid w:val="000758FE"/>
    <w:rsid w:val="00075948"/>
    <w:rsid w:val="0007599A"/>
    <w:rsid w:val="00075A52"/>
    <w:rsid w:val="00075D0E"/>
    <w:rsid w:val="00075D37"/>
    <w:rsid w:val="00075EBD"/>
    <w:rsid w:val="00075F09"/>
    <w:rsid w:val="0007600E"/>
    <w:rsid w:val="00076122"/>
    <w:rsid w:val="00076179"/>
    <w:rsid w:val="000761D1"/>
    <w:rsid w:val="00076203"/>
    <w:rsid w:val="000762F0"/>
    <w:rsid w:val="000763A9"/>
    <w:rsid w:val="000763B3"/>
    <w:rsid w:val="000763C9"/>
    <w:rsid w:val="0007641B"/>
    <w:rsid w:val="00076432"/>
    <w:rsid w:val="00076439"/>
    <w:rsid w:val="00076456"/>
    <w:rsid w:val="0007645B"/>
    <w:rsid w:val="000764D2"/>
    <w:rsid w:val="000765CA"/>
    <w:rsid w:val="0007663C"/>
    <w:rsid w:val="00076652"/>
    <w:rsid w:val="00076723"/>
    <w:rsid w:val="00076757"/>
    <w:rsid w:val="000767DB"/>
    <w:rsid w:val="000767E4"/>
    <w:rsid w:val="0007680B"/>
    <w:rsid w:val="00076947"/>
    <w:rsid w:val="00076966"/>
    <w:rsid w:val="00076B52"/>
    <w:rsid w:val="00076C85"/>
    <w:rsid w:val="00076CA7"/>
    <w:rsid w:val="00076D50"/>
    <w:rsid w:val="00076E68"/>
    <w:rsid w:val="00076F27"/>
    <w:rsid w:val="00077039"/>
    <w:rsid w:val="00077139"/>
    <w:rsid w:val="0007713D"/>
    <w:rsid w:val="000771C5"/>
    <w:rsid w:val="000771ED"/>
    <w:rsid w:val="00077212"/>
    <w:rsid w:val="0007731F"/>
    <w:rsid w:val="00077326"/>
    <w:rsid w:val="0007747F"/>
    <w:rsid w:val="000774FF"/>
    <w:rsid w:val="00077503"/>
    <w:rsid w:val="0007760B"/>
    <w:rsid w:val="0007770D"/>
    <w:rsid w:val="000778D8"/>
    <w:rsid w:val="00077A40"/>
    <w:rsid w:val="00077A8C"/>
    <w:rsid w:val="00077AE1"/>
    <w:rsid w:val="00077B0E"/>
    <w:rsid w:val="00077B69"/>
    <w:rsid w:val="00077C96"/>
    <w:rsid w:val="00077D00"/>
    <w:rsid w:val="00077E5F"/>
    <w:rsid w:val="00077E85"/>
    <w:rsid w:val="00077F2F"/>
    <w:rsid w:val="00080002"/>
    <w:rsid w:val="0008002B"/>
    <w:rsid w:val="00080062"/>
    <w:rsid w:val="000800E8"/>
    <w:rsid w:val="0008013F"/>
    <w:rsid w:val="0008018F"/>
    <w:rsid w:val="0008027C"/>
    <w:rsid w:val="000802FB"/>
    <w:rsid w:val="000803E7"/>
    <w:rsid w:val="000804A0"/>
    <w:rsid w:val="00080595"/>
    <w:rsid w:val="000805B5"/>
    <w:rsid w:val="000805C8"/>
    <w:rsid w:val="0008063B"/>
    <w:rsid w:val="0008064A"/>
    <w:rsid w:val="00080687"/>
    <w:rsid w:val="000806D7"/>
    <w:rsid w:val="00080740"/>
    <w:rsid w:val="000808CA"/>
    <w:rsid w:val="00080B56"/>
    <w:rsid w:val="00080B7B"/>
    <w:rsid w:val="00080BA6"/>
    <w:rsid w:val="00080BB6"/>
    <w:rsid w:val="00080E55"/>
    <w:rsid w:val="00080EC9"/>
    <w:rsid w:val="00080F45"/>
    <w:rsid w:val="0008103A"/>
    <w:rsid w:val="00081182"/>
    <w:rsid w:val="0008118E"/>
    <w:rsid w:val="000811AF"/>
    <w:rsid w:val="000813DC"/>
    <w:rsid w:val="000813F3"/>
    <w:rsid w:val="000814BF"/>
    <w:rsid w:val="000814EE"/>
    <w:rsid w:val="00081514"/>
    <w:rsid w:val="0008154C"/>
    <w:rsid w:val="0008156E"/>
    <w:rsid w:val="0008169A"/>
    <w:rsid w:val="000816B9"/>
    <w:rsid w:val="00081723"/>
    <w:rsid w:val="0008174B"/>
    <w:rsid w:val="00081786"/>
    <w:rsid w:val="000818C7"/>
    <w:rsid w:val="0008190F"/>
    <w:rsid w:val="000819B7"/>
    <w:rsid w:val="000819C1"/>
    <w:rsid w:val="00081A23"/>
    <w:rsid w:val="00081A44"/>
    <w:rsid w:val="00081C10"/>
    <w:rsid w:val="00081C45"/>
    <w:rsid w:val="00081DE9"/>
    <w:rsid w:val="00081E44"/>
    <w:rsid w:val="00081F13"/>
    <w:rsid w:val="00081FA1"/>
    <w:rsid w:val="00082136"/>
    <w:rsid w:val="000821C5"/>
    <w:rsid w:val="00082256"/>
    <w:rsid w:val="0008226C"/>
    <w:rsid w:val="00082465"/>
    <w:rsid w:val="0008248B"/>
    <w:rsid w:val="00082501"/>
    <w:rsid w:val="000825B5"/>
    <w:rsid w:val="00082650"/>
    <w:rsid w:val="0008284C"/>
    <w:rsid w:val="00082873"/>
    <w:rsid w:val="000828B3"/>
    <w:rsid w:val="00082A1D"/>
    <w:rsid w:val="00082B45"/>
    <w:rsid w:val="00082C52"/>
    <w:rsid w:val="00082CCB"/>
    <w:rsid w:val="00082CF4"/>
    <w:rsid w:val="00082D17"/>
    <w:rsid w:val="00082DE6"/>
    <w:rsid w:val="00082E70"/>
    <w:rsid w:val="00082EA1"/>
    <w:rsid w:val="00082F01"/>
    <w:rsid w:val="00082F61"/>
    <w:rsid w:val="00082F88"/>
    <w:rsid w:val="00083035"/>
    <w:rsid w:val="00083170"/>
    <w:rsid w:val="000832E9"/>
    <w:rsid w:val="000832F3"/>
    <w:rsid w:val="00083310"/>
    <w:rsid w:val="0008334B"/>
    <w:rsid w:val="00083565"/>
    <w:rsid w:val="0008359E"/>
    <w:rsid w:val="000835EE"/>
    <w:rsid w:val="000836C2"/>
    <w:rsid w:val="00083755"/>
    <w:rsid w:val="0008381E"/>
    <w:rsid w:val="000838A4"/>
    <w:rsid w:val="00083988"/>
    <w:rsid w:val="00083B4F"/>
    <w:rsid w:val="00083B9F"/>
    <w:rsid w:val="00083BD6"/>
    <w:rsid w:val="00083BE6"/>
    <w:rsid w:val="00083C7D"/>
    <w:rsid w:val="00083E07"/>
    <w:rsid w:val="00083E08"/>
    <w:rsid w:val="00083F5A"/>
    <w:rsid w:val="00083F8A"/>
    <w:rsid w:val="00083F9D"/>
    <w:rsid w:val="00084004"/>
    <w:rsid w:val="00084215"/>
    <w:rsid w:val="00084298"/>
    <w:rsid w:val="0008434A"/>
    <w:rsid w:val="000843A5"/>
    <w:rsid w:val="000843A9"/>
    <w:rsid w:val="00084485"/>
    <w:rsid w:val="000844F8"/>
    <w:rsid w:val="00084560"/>
    <w:rsid w:val="000845A1"/>
    <w:rsid w:val="000845FB"/>
    <w:rsid w:val="000846E4"/>
    <w:rsid w:val="000848BD"/>
    <w:rsid w:val="00084B5E"/>
    <w:rsid w:val="00084B6A"/>
    <w:rsid w:val="00084B6F"/>
    <w:rsid w:val="00084B8D"/>
    <w:rsid w:val="00084BE9"/>
    <w:rsid w:val="00084C0A"/>
    <w:rsid w:val="00084CB0"/>
    <w:rsid w:val="00084CCF"/>
    <w:rsid w:val="00084E46"/>
    <w:rsid w:val="00084ECD"/>
    <w:rsid w:val="00084FE0"/>
    <w:rsid w:val="00085103"/>
    <w:rsid w:val="00085157"/>
    <w:rsid w:val="000851C9"/>
    <w:rsid w:val="00085252"/>
    <w:rsid w:val="000852C0"/>
    <w:rsid w:val="00085301"/>
    <w:rsid w:val="0008535C"/>
    <w:rsid w:val="000853A5"/>
    <w:rsid w:val="000853C0"/>
    <w:rsid w:val="000853DE"/>
    <w:rsid w:val="00085421"/>
    <w:rsid w:val="00085464"/>
    <w:rsid w:val="000854AF"/>
    <w:rsid w:val="000854E4"/>
    <w:rsid w:val="000856D2"/>
    <w:rsid w:val="00085800"/>
    <w:rsid w:val="00085826"/>
    <w:rsid w:val="000858CA"/>
    <w:rsid w:val="00085970"/>
    <w:rsid w:val="00085AA7"/>
    <w:rsid w:val="00085B62"/>
    <w:rsid w:val="00085BA4"/>
    <w:rsid w:val="00085C28"/>
    <w:rsid w:val="00085CCC"/>
    <w:rsid w:val="00085CEB"/>
    <w:rsid w:val="00085DC9"/>
    <w:rsid w:val="00085F36"/>
    <w:rsid w:val="00085F52"/>
    <w:rsid w:val="00086008"/>
    <w:rsid w:val="00086042"/>
    <w:rsid w:val="00086047"/>
    <w:rsid w:val="000860E3"/>
    <w:rsid w:val="00086109"/>
    <w:rsid w:val="0008625F"/>
    <w:rsid w:val="000862C8"/>
    <w:rsid w:val="0008633C"/>
    <w:rsid w:val="000863E7"/>
    <w:rsid w:val="0008645A"/>
    <w:rsid w:val="00086583"/>
    <w:rsid w:val="000865F3"/>
    <w:rsid w:val="0008679B"/>
    <w:rsid w:val="000867D5"/>
    <w:rsid w:val="0008692A"/>
    <w:rsid w:val="00086969"/>
    <w:rsid w:val="0008699C"/>
    <w:rsid w:val="00086A4A"/>
    <w:rsid w:val="00086AC2"/>
    <w:rsid w:val="00086B1D"/>
    <w:rsid w:val="00086B8D"/>
    <w:rsid w:val="00086BE9"/>
    <w:rsid w:val="00086D12"/>
    <w:rsid w:val="00086DE0"/>
    <w:rsid w:val="00086E5C"/>
    <w:rsid w:val="00086F68"/>
    <w:rsid w:val="00087091"/>
    <w:rsid w:val="00087129"/>
    <w:rsid w:val="0008718B"/>
    <w:rsid w:val="0008741B"/>
    <w:rsid w:val="00087428"/>
    <w:rsid w:val="000874C8"/>
    <w:rsid w:val="00087547"/>
    <w:rsid w:val="00087552"/>
    <w:rsid w:val="000876AE"/>
    <w:rsid w:val="000876B5"/>
    <w:rsid w:val="000876E6"/>
    <w:rsid w:val="000877A4"/>
    <w:rsid w:val="000877A9"/>
    <w:rsid w:val="00087840"/>
    <w:rsid w:val="000878FC"/>
    <w:rsid w:val="00087998"/>
    <w:rsid w:val="000879C9"/>
    <w:rsid w:val="00087B5D"/>
    <w:rsid w:val="00087FED"/>
    <w:rsid w:val="0009002A"/>
    <w:rsid w:val="00090043"/>
    <w:rsid w:val="000900CF"/>
    <w:rsid w:val="00090112"/>
    <w:rsid w:val="0009017B"/>
    <w:rsid w:val="000901B5"/>
    <w:rsid w:val="000901C0"/>
    <w:rsid w:val="000901FD"/>
    <w:rsid w:val="00090201"/>
    <w:rsid w:val="00090209"/>
    <w:rsid w:val="00090243"/>
    <w:rsid w:val="00090258"/>
    <w:rsid w:val="00090329"/>
    <w:rsid w:val="00090413"/>
    <w:rsid w:val="00090438"/>
    <w:rsid w:val="00090455"/>
    <w:rsid w:val="000904C7"/>
    <w:rsid w:val="000904D4"/>
    <w:rsid w:val="0009055A"/>
    <w:rsid w:val="000905BC"/>
    <w:rsid w:val="000905F7"/>
    <w:rsid w:val="00090624"/>
    <w:rsid w:val="0009062A"/>
    <w:rsid w:val="00090664"/>
    <w:rsid w:val="0009072A"/>
    <w:rsid w:val="00090769"/>
    <w:rsid w:val="000907D4"/>
    <w:rsid w:val="000907DD"/>
    <w:rsid w:val="0009085F"/>
    <w:rsid w:val="00090919"/>
    <w:rsid w:val="0009091B"/>
    <w:rsid w:val="0009099B"/>
    <w:rsid w:val="00090A52"/>
    <w:rsid w:val="00090A56"/>
    <w:rsid w:val="00090A78"/>
    <w:rsid w:val="00090A9F"/>
    <w:rsid w:val="00090AF6"/>
    <w:rsid w:val="00090B07"/>
    <w:rsid w:val="00090B17"/>
    <w:rsid w:val="00090D03"/>
    <w:rsid w:val="00090D44"/>
    <w:rsid w:val="00090E29"/>
    <w:rsid w:val="00090F1A"/>
    <w:rsid w:val="00090F25"/>
    <w:rsid w:val="00090F73"/>
    <w:rsid w:val="00091167"/>
    <w:rsid w:val="00091171"/>
    <w:rsid w:val="000911A3"/>
    <w:rsid w:val="000911E6"/>
    <w:rsid w:val="000911F3"/>
    <w:rsid w:val="000913E9"/>
    <w:rsid w:val="000915F4"/>
    <w:rsid w:val="0009162D"/>
    <w:rsid w:val="00091673"/>
    <w:rsid w:val="000917C6"/>
    <w:rsid w:val="000918B6"/>
    <w:rsid w:val="000918BE"/>
    <w:rsid w:val="00091931"/>
    <w:rsid w:val="00091941"/>
    <w:rsid w:val="0009197E"/>
    <w:rsid w:val="00091A4E"/>
    <w:rsid w:val="00091A67"/>
    <w:rsid w:val="00091A6A"/>
    <w:rsid w:val="00091A93"/>
    <w:rsid w:val="00091AD6"/>
    <w:rsid w:val="00091AD9"/>
    <w:rsid w:val="00091CA9"/>
    <w:rsid w:val="00091D59"/>
    <w:rsid w:val="00091DE3"/>
    <w:rsid w:val="00091DF6"/>
    <w:rsid w:val="00091E69"/>
    <w:rsid w:val="00091EBF"/>
    <w:rsid w:val="00091F81"/>
    <w:rsid w:val="000920F3"/>
    <w:rsid w:val="0009213D"/>
    <w:rsid w:val="000921FD"/>
    <w:rsid w:val="0009235D"/>
    <w:rsid w:val="000923BB"/>
    <w:rsid w:val="00092462"/>
    <w:rsid w:val="000925A6"/>
    <w:rsid w:val="000925BE"/>
    <w:rsid w:val="000925E9"/>
    <w:rsid w:val="00092614"/>
    <w:rsid w:val="0009261B"/>
    <w:rsid w:val="00092662"/>
    <w:rsid w:val="000926DB"/>
    <w:rsid w:val="000927A1"/>
    <w:rsid w:val="0009284F"/>
    <w:rsid w:val="00092875"/>
    <w:rsid w:val="000928EA"/>
    <w:rsid w:val="00092913"/>
    <w:rsid w:val="0009291B"/>
    <w:rsid w:val="0009295F"/>
    <w:rsid w:val="00092B2C"/>
    <w:rsid w:val="00092CB5"/>
    <w:rsid w:val="00092CC7"/>
    <w:rsid w:val="00092CD0"/>
    <w:rsid w:val="00092F08"/>
    <w:rsid w:val="0009302E"/>
    <w:rsid w:val="00093103"/>
    <w:rsid w:val="00093144"/>
    <w:rsid w:val="000933A4"/>
    <w:rsid w:val="0009344F"/>
    <w:rsid w:val="000934B3"/>
    <w:rsid w:val="000934B6"/>
    <w:rsid w:val="000934C1"/>
    <w:rsid w:val="000934C7"/>
    <w:rsid w:val="000935A2"/>
    <w:rsid w:val="0009365A"/>
    <w:rsid w:val="0009376B"/>
    <w:rsid w:val="00093779"/>
    <w:rsid w:val="00093894"/>
    <w:rsid w:val="000939F8"/>
    <w:rsid w:val="00093A14"/>
    <w:rsid w:val="00093A9E"/>
    <w:rsid w:val="00093AAD"/>
    <w:rsid w:val="00093AB6"/>
    <w:rsid w:val="00093AEA"/>
    <w:rsid w:val="00093B01"/>
    <w:rsid w:val="00093B2C"/>
    <w:rsid w:val="00093B9E"/>
    <w:rsid w:val="00093C0D"/>
    <w:rsid w:val="00093D93"/>
    <w:rsid w:val="00093E09"/>
    <w:rsid w:val="00093E16"/>
    <w:rsid w:val="00093F4F"/>
    <w:rsid w:val="00093FD6"/>
    <w:rsid w:val="00093FF1"/>
    <w:rsid w:val="00094068"/>
    <w:rsid w:val="000940AA"/>
    <w:rsid w:val="000940F1"/>
    <w:rsid w:val="000941A7"/>
    <w:rsid w:val="000941D3"/>
    <w:rsid w:val="000942DA"/>
    <w:rsid w:val="0009434C"/>
    <w:rsid w:val="0009438B"/>
    <w:rsid w:val="00094443"/>
    <w:rsid w:val="0009448A"/>
    <w:rsid w:val="000944E1"/>
    <w:rsid w:val="00094551"/>
    <w:rsid w:val="00094574"/>
    <w:rsid w:val="0009458E"/>
    <w:rsid w:val="000948CB"/>
    <w:rsid w:val="000949EC"/>
    <w:rsid w:val="00094A1B"/>
    <w:rsid w:val="00094A61"/>
    <w:rsid w:val="00094AB0"/>
    <w:rsid w:val="00094AB8"/>
    <w:rsid w:val="00094CBB"/>
    <w:rsid w:val="0009532B"/>
    <w:rsid w:val="000953AB"/>
    <w:rsid w:val="000953FA"/>
    <w:rsid w:val="00095411"/>
    <w:rsid w:val="00095420"/>
    <w:rsid w:val="00095426"/>
    <w:rsid w:val="00095459"/>
    <w:rsid w:val="00095564"/>
    <w:rsid w:val="000955DD"/>
    <w:rsid w:val="000955EF"/>
    <w:rsid w:val="00095620"/>
    <w:rsid w:val="000956CD"/>
    <w:rsid w:val="000958D0"/>
    <w:rsid w:val="00095998"/>
    <w:rsid w:val="00095A2D"/>
    <w:rsid w:val="00095ABB"/>
    <w:rsid w:val="00095ABF"/>
    <w:rsid w:val="00095BD0"/>
    <w:rsid w:val="00095BDF"/>
    <w:rsid w:val="00095C6A"/>
    <w:rsid w:val="00095C79"/>
    <w:rsid w:val="00095D34"/>
    <w:rsid w:val="00095DC1"/>
    <w:rsid w:val="00095F83"/>
    <w:rsid w:val="00095F8F"/>
    <w:rsid w:val="00095FC9"/>
    <w:rsid w:val="00095FF3"/>
    <w:rsid w:val="0009604E"/>
    <w:rsid w:val="0009610B"/>
    <w:rsid w:val="00096166"/>
    <w:rsid w:val="00096171"/>
    <w:rsid w:val="000961C9"/>
    <w:rsid w:val="000961CF"/>
    <w:rsid w:val="00096245"/>
    <w:rsid w:val="0009625E"/>
    <w:rsid w:val="000962AD"/>
    <w:rsid w:val="00096309"/>
    <w:rsid w:val="0009631B"/>
    <w:rsid w:val="0009636E"/>
    <w:rsid w:val="00096377"/>
    <w:rsid w:val="000963CE"/>
    <w:rsid w:val="000963DC"/>
    <w:rsid w:val="00096463"/>
    <w:rsid w:val="0009646E"/>
    <w:rsid w:val="000964A2"/>
    <w:rsid w:val="000964AE"/>
    <w:rsid w:val="0009650E"/>
    <w:rsid w:val="0009650F"/>
    <w:rsid w:val="0009655C"/>
    <w:rsid w:val="00096562"/>
    <w:rsid w:val="00096712"/>
    <w:rsid w:val="00096770"/>
    <w:rsid w:val="00096782"/>
    <w:rsid w:val="000969EC"/>
    <w:rsid w:val="00096A14"/>
    <w:rsid w:val="00096B6E"/>
    <w:rsid w:val="00096C1A"/>
    <w:rsid w:val="00096C5A"/>
    <w:rsid w:val="00096C60"/>
    <w:rsid w:val="00096EDF"/>
    <w:rsid w:val="00096F2B"/>
    <w:rsid w:val="00096F36"/>
    <w:rsid w:val="00096F4A"/>
    <w:rsid w:val="00096FF4"/>
    <w:rsid w:val="00097098"/>
    <w:rsid w:val="00097107"/>
    <w:rsid w:val="0009713A"/>
    <w:rsid w:val="00097260"/>
    <w:rsid w:val="00097299"/>
    <w:rsid w:val="00097375"/>
    <w:rsid w:val="00097376"/>
    <w:rsid w:val="000973C5"/>
    <w:rsid w:val="000973EF"/>
    <w:rsid w:val="00097484"/>
    <w:rsid w:val="000974E5"/>
    <w:rsid w:val="000974FF"/>
    <w:rsid w:val="000975EE"/>
    <w:rsid w:val="00097724"/>
    <w:rsid w:val="000977BA"/>
    <w:rsid w:val="000977DD"/>
    <w:rsid w:val="00097A50"/>
    <w:rsid w:val="00097B8D"/>
    <w:rsid w:val="00097C4C"/>
    <w:rsid w:val="00097C72"/>
    <w:rsid w:val="00097DE7"/>
    <w:rsid w:val="00097E36"/>
    <w:rsid w:val="00097E39"/>
    <w:rsid w:val="00097EC7"/>
    <w:rsid w:val="00097F7A"/>
    <w:rsid w:val="00097FC2"/>
    <w:rsid w:val="000A00F7"/>
    <w:rsid w:val="000A01F9"/>
    <w:rsid w:val="000A032E"/>
    <w:rsid w:val="000A0335"/>
    <w:rsid w:val="000A035D"/>
    <w:rsid w:val="000A045B"/>
    <w:rsid w:val="000A0498"/>
    <w:rsid w:val="000A05A8"/>
    <w:rsid w:val="000A0674"/>
    <w:rsid w:val="000A090D"/>
    <w:rsid w:val="000A098D"/>
    <w:rsid w:val="000A0A3B"/>
    <w:rsid w:val="000A0A92"/>
    <w:rsid w:val="000A0AAE"/>
    <w:rsid w:val="000A0AC5"/>
    <w:rsid w:val="000A0B4A"/>
    <w:rsid w:val="000A0DD8"/>
    <w:rsid w:val="000A0DE3"/>
    <w:rsid w:val="000A0F27"/>
    <w:rsid w:val="000A0F45"/>
    <w:rsid w:val="000A0F6A"/>
    <w:rsid w:val="000A0FDC"/>
    <w:rsid w:val="000A101E"/>
    <w:rsid w:val="000A1062"/>
    <w:rsid w:val="000A1078"/>
    <w:rsid w:val="000A10DE"/>
    <w:rsid w:val="000A11A8"/>
    <w:rsid w:val="000A1428"/>
    <w:rsid w:val="000A1460"/>
    <w:rsid w:val="000A15E7"/>
    <w:rsid w:val="000A15F0"/>
    <w:rsid w:val="000A1660"/>
    <w:rsid w:val="000A167D"/>
    <w:rsid w:val="000A1724"/>
    <w:rsid w:val="000A1747"/>
    <w:rsid w:val="000A1760"/>
    <w:rsid w:val="000A17C3"/>
    <w:rsid w:val="000A1857"/>
    <w:rsid w:val="000A1874"/>
    <w:rsid w:val="000A195D"/>
    <w:rsid w:val="000A1A09"/>
    <w:rsid w:val="000A1A35"/>
    <w:rsid w:val="000A1A80"/>
    <w:rsid w:val="000A1AB8"/>
    <w:rsid w:val="000A1AE9"/>
    <w:rsid w:val="000A1C68"/>
    <w:rsid w:val="000A1CB9"/>
    <w:rsid w:val="000A1CF0"/>
    <w:rsid w:val="000A1CFB"/>
    <w:rsid w:val="000A1D51"/>
    <w:rsid w:val="000A1DA9"/>
    <w:rsid w:val="000A1E03"/>
    <w:rsid w:val="000A1E44"/>
    <w:rsid w:val="000A1E63"/>
    <w:rsid w:val="000A2013"/>
    <w:rsid w:val="000A2066"/>
    <w:rsid w:val="000A20D7"/>
    <w:rsid w:val="000A2176"/>
    <w:rsid w:val="000A23F1"/>
    <w:rsid w:val="000A244B"/>
    <w:rsid w:val="000A2456"/>
    <w:rsid w:val="000A2470"/>
    <w:rsid w:val="000A2496"/>
    <w:rsid w:val="000A2535"/>
    <w:rsid w:val="000A2636"/>
    <w:rsid w:val="000A2671"/>
    <w:rsid w:val="000A27A9"/>
    <w:rsid w:val="000A27E1"/>
    <w:rsid w:val="000A29C3"/>
    <w:rsid w:val="000A2A07"/>
    <w:rsid w:val="000A2A7A"/>
    <w:rsid w:val="000A2B9A"/>
    <w:rsid w:val="000A2C13"/>
    <w:rsid w:val="000A2EC3"/>
    <w:rsid w:val="000A2F00"/>
    <w:rsid w:val="000A30C1"/>
    <w:rsid w:val="000A30FB"/>
    <w:rsid w:val="000A315D"/>
    <w:rsid w:val="000A31F2"/>
    <w:rsid w:val="000A3291"/>
    <w:rsid w:val="000A32F3"/>
    <w:rsid w:val="000A334E"/>
    <w:rsid w:val="000A3420"/>
    <w:rsid w:val="000A3427"/>
    <w:rsid w:val="000A34C0"/>
    <w:rsid w:val="000A34F5"/>
    <w:rsid w:val="000A352C"/>
    <w:rsid w:val="000A3530"/>
    <w:rsid w:val="000A355E"/>
    <w:rsid w:val="000A3590"/>
    <w:rsid w:val="000A35BB"/>
    <w:rsid w:val="000A35C9"/>
    <w:rsid w:val="000A3675"/>
    <w:rsid w:val="000A367B"/>
    <w:rsid w:val="000A385A"/>
    <w:rsid w:val="000A3A15"/>
    <w:rsid w:val="000A3AB0"/>
    <w:rsid w:val="000A3AE2"/>
    <w:rsid w:val="000A3AEA"/>
    <w:rsid w:val="000A3CA6"/>
    <w:rsid w:val="000A3CAD"/>
    <w:rsid w:val="000A3DF6"/>
    <w:rsid w:val="000A3E16"/>
    <w:rsid w:val="000A402E"/>
    <w:rsid w:val="000A406C"/>
    <w:rsid w:val="000A4097"/>
    <w:rsid w:val="000A40C9"/>
    <w:rsid w:val="000A4156"/>
    <w:rsid w:val="000A415E"/>
    <w:rsid w:val="000A41B5"/>
    <w:rsid w:val="000A41D3"/>
    <w:rsid w:val="000A424B"/>
    <w:rsid w:val="000A427A"/>
    <w:rsid w:val="000A427E"/>
    <w:rsid w:val="000A4281"/>
    <w:rsid w:val="000A42F5"/>
    <w:rsid w:val="000A43D2"/>
    <w:rsid w:val="000A44A8"/>
    <w:rsid w:val="000A45BC"/>
    <w:rsid w:val="000A46BC"/>
    <w:rsid w:val="000A4723"/>
    <w:rsid w:val="000A4821"/>
    <w:rsid w:val="000A483A"/>
    <w:rsid w:val="000A494F"/>
    <w:rsid w:val="000A4A19"/>
    <w:rsid w:val="000A4BA2"/>
    <w:rsid w:val="000A4BC4"/>
    <w:rsid w:val="000A4C8E"/>
    <w:rsid w:val="000A4D45"/>
    <w:rsid w:val="000A4DAA"/>
    <w:rsid w:val="000A5057"/>
    <w:rsid w:val="000A505B"/>
    <w:rsid w:val="000A50CB"/>
    <w:rsid w:val="000A50D8"/>
    <w:rsid w:val="000A52BA"/>
    <w:rsid w:val="000A53A8"/>
    <w:rsid w:val="000A53B3"/>
    <w:rsid w:val="000A53CE"/>
    <w:rsid w:val="000A542D"/>
    <w:rsid w:val="000A576B"/>
    <w:rsid w:val="000A57C8"/>
    <w:rsid w:val="000A5826"/>
    <w:rsid w:val="000A5866"/>
    <w:rsid w:val="000A58B6"/>
    <w:rsid w:val="000A5A24"/>
    <w:rsid w:val="000A5B53"/>
    <w:rsid w:val="000A5C54"/>
    <w:rsid w:val="000A5C99"/>
    <w:rsid w:val="000A5CF8"/>
    <w:rsid w:val="000A5DB3"/>
    <w:rsid w:val="000A5DF3"/>
    <w:rsid w:val="000A5E1C"/>
    <w:rsid w:val="000A5E9E"/>
    <w:rsid w:val="000A5F23"/>
    <w:rsid w:val="000A6035"/>
    <w:rsid w:val="000A60FD"/>
    <w:rsid w:val="000A610B"/>
    <w:rsid w:val="000A615D"/>
    <w:rsid w:val="000A61A4"/>
    <w:rsid w:val="000A61B0"/>
    <w:rsid w:val="000A61D0"/>
    <w:rsid w:val="000A621F"/>
    <w:rsid w:val="000A63E4"/>
    <w:rsid w:val="000A650C"/>
    <w:rsid w:val="000A660A"/>
    <w:rsid w:val="000A670F"/>
    <w:rsid w:val="000A67E5"/>
    <w:rsid w:val="000A6873"/>
    <w:rsid w:val="000A68B7"/>
    <w:rsid w:val="000A698A"/>
    <w:rsid w:val="000A69BC"/>
    <w:rsid w:val="000A69F2"/>
    <w:rsid w:val="000A6A54"/>
    <w:rsid w:val="000A6B23"/>
    <w:rsid w:val="000A6BA3"/>
    <w:rsid w:val="000A6CD8"/>
    <w:rsid w:val="000A6D04"/>
    <w:rsid w:val="000A6D5F"/>
    <w:rsid w:val="000A6E0F"/>
    <w:rsid w:val="000A6E18"/>
    <w:rsid w:val="000A6EE0"/>
    <w:rsid w:val="000A6F02"/>
    <w:rsid w:val="000A7035"/>
    <w:rsid w:val="000A7113"/>
    <w:rsid w:val="000A7165"/>
    <w:rsid w:val="000A71C9"/>
    <w:rsid w:val="000A732B"/>
    <w:rsid w:val="000A7357"/>
    <w:rsid w:val="000A73DD"/>
    <w:rsid w:val="000A7408"/>
    <w:rsid w:val="000A742A"/>
    <w:rsid w:val="000A7448"/>
    <w:rsid w:val="000A7616"/>
    <w:rsid w:val="000A76D5"/>
    <w:rsid w:val="000A77A3"/>
    <w:rsid w:val="000A77C1"/>
    <w:rsid w:val="000A79EC"/>
    <w:rsid w:val="000A7B7B"/>
    <w:rsid w:val="000A7CA5"/>
    <w:rsid w:val="000A7D20"/>
    <w:rsid w:val="000A7D52"/>
    <w:rsid w:val="000A7DF6"/>
    <w:rsid w:val="000A7F81"/>
    <w:rsid w:val="000B00D6"/>
    <w:rsid w:val="000B01FB"/>
    <w:rsid w:val="000B027D"/>
    <w:rsid w:val="000B0375"/>
    <w:rsid w:val="000B0444"/>
    <w:rsid w:val="000B0459"/>
    <w:rsid w:val="000B048D"/>
    <w:rsid w:val="000B04C6"/>
    <w:rsid w:val="000B05BB"/>
    <w:rsid w:val="000B063A"/>
    <w:rsid w:val="000B098B"/>
    <w:rsid w:val="000B09BF"/>
    <w:rsid w:val="000B0ABE"/>
    <w:rsid w:val="000B0C13"/>
    <w:rsid w:val="000B0C31"/>
    <w:rsid w:val="000B0D25"/>
    <w:rsid w:val="000B107B"/>
    <w:rsid w:val="000B108D"/>
    <w:rsid w:val="000B10CE"/>
    <w:rsid w:val="000B10EE"/>
    <w:rsid w:val="000B119E"/>
    <w:rsid w:val="000B11A0"/>
    <w:rsid w:val="000B1346"/>
    <w:rsid w:val="000B139B"/>
    <w:rsid w:val="000B13ED"/>
    <w:rsid w:val="000B1425"/>
    <w:rsid w:val="000B148F"/>
    <w:rsid w:val="000B1490"/>
    <w:rsid w:val="000B14C7"/>
    <w:rsid w:val="000B14E8"/>
    <w:rsid w:val="000B1518"/>
    <w:rsid w:val="000B1627"/>
    <w:rsid w:val="000B177F"/>
    <w:rsid w:val="000B181D"/>
    <w:rsid w:val="000B186F"/>
    <w:rsid w:val="000B1881"/>
    <w:rsid w:val="000B18B2"/>
    <w:rsid w:val="000B19D1"/>
    <w:rsid w:val="000B1A58"/>
    <w:rsid w:val="000B1AA8"/>
    <w:rsid w:val="000B1B2A"/>
    <w:rsid w:val="000B1B47"/>
    <w:rsid w:val="000B1B77"/>
    <w:rsid w:val="000B1B7D"/>
    <w:rsid w:val="000B1C0A"/>
    <w:rsid w:val="000B1C48"/>
    <w:rsid w:val="000B1CCE"/>
    <w:rsid w:val="000B1CD9"/>
    <w:rsid w:val="000B1DB6"/>
    <w:rsid w:val="000B1F73"/>
    <w:rsid w:val="000B1FD2"/>
    <w:rsid w:val="000B1FDA"/>
    <w:rsid w:val="000B2270"/>
    <w:rsid w:val="000B22F1"/>
    <w:rsid w:val="000B231D"/>
    <w:rsid w:val="000B24B9"/>
    <w:rsid w:val="000B25D1"/>
    <w:rsid w:val="000B264E"/>
    <w:rsid w:val="000B26C4"/>
    <w:rsid w:val="000B2743"/>
    <w:rsid w:val="000B2771"/>
    <w:rsid w:val="000B2800"/>
    <w:rsid w:val="000B28C5"/>
    <w:rsid w:val="000B290E"/>
    <w:rsid w:val="000B2AD2"/>
    <w:rsid w:val="000B2B1B"/>
    <w:rsid w:val="000B2C44"/>
    <w:rsid w:val="000B2D1D"/>
    <w:rsid w:val="000B2E67"/>
    <w:rsid w:val="000B2F86"/>
    <w:rsid w:val="000B3007"/>
    <w:rsid w:val="000B307D"/>
    <w:rsid w:val="000B3093"/>
    <w:rsid w:val="000B30DA"/>
    <w:rsid w:val="000B3177"/>
    <w:rsid w:val="000B31D3"/>
    <w:rsid w:val="000B33AE"/>
    <w:rsid w:val="000B33E2"/>
    <w:rsid w:val="000B3430"/>
    <w:rsid w:val="000B3592"/>
    <w:rsid w:val="000B35C8"/>
    <w:rsid w:val="000B37B8"/>
    <w:rsid w:val="000B39F7"/>
    <w:rsid w:val="000B3AE1"/>
    <w:rsid w:val="000B3B00"/>
    <w:rsid w:val="000B3BA0"/>
    <w:rsid w:val="000B3C65"/>
    <w:rsid w:val="000B3CBD"/>
    <w:rsid w:val="000B3D46"/>
    <w:rsid w:val="000B3DBA"/>
    <w:rsid w:val="000B3DC9"/>
    <w:rsid w:val="000B3EC7"/>
    <w:rsid w:val="000B3F69"/>
    <w:rsid w:val="000B3FA3"/>
    <w:rsid w:val="000B40B2"/>
    <w:rsid w:val="000B417A"/>
    <w:rsid w:val="000B4390"/>
    <w:rsid w:val="000B43D0"/>
    <w:rsid w:val="000B43D1"/>
    <w:rsid w:val="000B43F2"/>
    <w:rsid w:val="000B456E"/>
    <w:rsid w:val="000B45CF"/>
    <w:rsid w:val="000B46EC"/>
    <w:rsid w:val="000B474E"/>
    <w:rsid w:val="000B4860"/>
    <w:rsid w:val="000B48B2"/>
    <w:rsid w:val="000B48E4"/>
    <w:rsid w:val="000B4922"/>
    <w:rsid w:val="000B493B"/>
    <w:rsid w:val="000B4986"/>
    <w:rsid w:val="000B4AEF"/>
    <w:rsid w:val="000B4B66"/>
    <w:rsid w:val="000B4B9D"/>
    <w:rsid w:val="000B4BC5"/>
    <w:rsid w:val="000B4D15"/>
    <w:rsid w:val="000B4D4B"/>
    <w:rsid w:val="000B4E33"/>
    <w:rsid w:val="000B4E73"/>
    <w:rsid w:val="000B4EB3"/>
    <w:rsid w:val="000B5053"/>
    <w:rsid w:val="000B50B0"/>
    <w:rsid w:val="000B5158"/>
    <w:rsid w:val="000B51D0"/>
    <w:rsid w:val="000B5209"/>
    <w:rsid w:val="000B5301"/>
    <w:rsid w:val="000B53A1"/>
    <w:rsid w:val="000B544D"/>
    <w:rsid w:val="000B5548"/>
    <w:rsid w:val="000B55BC"/>
    <w:rsid w:val="000B5625"/>
    <w:rsid w:val="000B5651"/>
    <w:rsid w:val="000B5652"/>
    <w:rsid w:val="000B56BC"/>
    <w:rsid w:val="000B580A"/>
    <w:rsid w:val="000B592E"/>
    <w:rsid w:val="000B5ADC"/>
    <w:rsid w:val="000B5AFF"/>
    <w:rsid w:val="000B5B58"/>
    <w:rsid w:val="000B5BA3"/>
    <w:rsid w:val="000B5BED"/>
    <w:rsid w:val="000B5D58"/>
    <w:rsid w:val="000B5DF9"/>
    <w:rsid w:val="000B5E35"/>
    <w:rsid w:val="000B5EA7"/>
    <w:rsid w:val="000B615F"/>
    <w:rsid w:val="000B6479"/>
    <w:rsid w:val="000B64A5"/>
    <w:rsid w:val="000B64EB"/>
    <w:rsid w:val="000B6575"/>
    <w:rsid w:val="000B65C3"/>
    <w:rsid w:val="000B6681"/>
    <w:rsid w:val="000B6725"/>
    <w:rsid w:val="000B6787"/>
    <w:rsid w:val="000B67AC"/>
    <w:rsid w:val="000B696E"/>
    <w:rsid w:val="000B696F"/>
    <w:rsid w:val="000B69A5"/>
    <w:rsid w:val="000B6A90"/>
    <w:rsid w:val="000B6AA7"/>
    <w:rsid w:val="000B6BCF"/>
    <w:rsid w:val="000B6C35"/>
    <w:rsid w:val="000B6D2F"/>
    <w:rsid w:val="000B6D7D"/>
    <w:rsid w:val="000B6DB0"/>
    <w:rsid w:val="000B6DE7"/>
    <w:rsid w:val="000B6E29"/>
    <w:rsid w:val="000B6EBD"/>
    <w:rsid w:val="000B6EC2"/>
    <w:rsid w:val="000B6FBA"/>
    <w:rsid w:val="000B7132"/>
    <w:rsid w:val="000B7279"/>
    <w:rsid w:val="000B72C4"/>
    <w:rsid w:val="000B72CA"/>
    <w:rsid w:val="000B72ED"/>
    <w:rsid w:val="000B73A6"/>
    <w:rsid w:val="000B768D"/>
    <w:rsid w:val="000B7866"/>
    <w:rsid w:val="000B7901"/>
    <w:rsid w:val="000B793B"/>
    <w:rsid w:val="000B7A72"/>
    <w:rsid w:val="000B7B17"/>
    <w:rsid w:val="000B7B40"/>
    <w:rsid w:val="000B7CE4"/>
    <w:rsid w:val="000B7D5A"/>
    <w:rsid w:val="000B7D86"/>
    <w:rsid w:val="000B7D8E"/>
    <w:rsid w:val="000B7DAC"/>
    <w:rsid w:val="000B7E47"/>
    <w:rsid w:val="000B7E4B"/>
    <w:rsid w:val="000B7E61"/>
    <w:rsid w:val="000C00DD"/>
    <w:rsid w:val="000C00FE"/>
    <w:rsid w:val="000C0129"/>
    <w:rsid w:val="000C0153"/>
    <w:rsid w:val="000C0239"/>
    <w:rsid w:val="000C0254"/>
    <w:rsid w:val="000C02A8"/>
    <w:rsid w:val="000C030F"/>
    <w:rsid w:val="000C0331"/>
    <w:rsid w:val="000C0439"/>
    <w:rsid w:val="000C04AF"/>
    <w:rsid w:val="000C04C3"/>
    <w:rsid w:val="000C053E"/>
    <w:rsid w:val="000C05A4"/>
    <w:rsid w:val="000C05E3"/>
    <w:rsid w:val="000C05E6"/>
    <w:rsid w:val="000C06E0"/>
    <w:rsid w:val="000C06E3"/>
    <w:rsid w:val="000C06FB"/>
    <w:rsid w:val="000C0764"/>
    <w:rsid w:val="000C08C4"/>
    <w:rsid w:val="000C097D"/>
    <w:rsid w:val="000C098B"/>
    <w:rsid w:val="000C0B78"/>
    <w:rsid w:val="000C0CA9"/>
    <w:rsid w:val="000C0CAC"/>
    <w:rsid w:val="000C0D2E"/>
    <w:rsid w:val="000C0D3C"/>
    <w:rsid w:val="000C0DA8"/>
    <w:rsid w:val="000C0DBA"/>
    <w:rsid w:val="000C0DBC"/>
    <w:rsid w:val="000C0E3D"/>
    <w:rsid w:val="000C0F09"/>
    <w:rsid w:val="000C0F0D"/>
    <w:rsid w:val="000C1086"/>
    <w:rsid w:val="000C10B1"/>
    <w:rsid w:val="000C111D"/>
    <w:rsid w:val="000C12E3"/>
    <w:rsid w:val="000C1358"/>
    <w:rsid w:val="000C1395"/>
    <w:rsid w:val="000C140A"/>
    <w:rsid w:val="000C1462"/>
    <w:rsid w:val="000C1463"/>
    <w:rsid w:val="000C14F1"/>
    <w:rsid w:val="000C153D"/>
    <w:rsid w:val="000C156B"/>
    <w:rsid w:val="000C15F9"/>
    <w:rsid w:val="000C1653"/>
    <w:rsid w:val="000C16C0"/>
    <w:rsid w:val="000C16FF"/>
    <w:rsid w:val="000C17EF"/>
    <w:rsid w:val="000C182B"/>
    <w:rsid w:val="000C1918"/>
    <w:rsid w:val="000C1930"/>
    <w:rsid w:val="000C1947"/>
    <w:rsid w:val="000C19AE"/>
    <w:rsid w:val="000C19F4"/>
    <w:rsid w:val="000C1AAF"/>
    <w:rsid w:val="000C1C40"/>
    <w:rsid w:val="000C1D2D"/>
    <w:rsid w:val="000C1E31"/>
    <w:rsid w:val="000C1FA8"/>
    <w:rsid w:val="000C2126"/>
    <w:rsid w:val="000C21A6"/>
    <w:rsid w:val="000C2457"/>
    <w:rsid w:val="000C254A"/>
    <w:rsid w:val="000C258D"/>
    <w:rsid w:val="000C2598"/>
    <w:rsid w:val="000C264A"/>
    <w:rsid w:val="000C2670"/>
    <w:rsid w:val="000C26E7"/>
    <w:rsid w:val="000C27B6"/>
    <w:rsid w:val="000C27F0"/>
    <w:rsid w:val="000C2816"/>
    <w:rsid w:val="000C28A2"/>
    <w:rsid w:val="000C28C0"/>
    <w:rsid w:val="000C2CB7"/>
    <w:rsid w:val="000C2D4C"/>
    <w:rsid w:val="000C2D6D"/>
    <w:rsid w:val="000C2D88"/>
    <w:rsid w:val="000C2DA8"/>
    <w:rsid w:val="000C2E6A"/>
    <w:rsid w:val="000C2E85"/>
    <w:rsid w:val="000C2EDB"/>
    <w:rsid w:val="000C2F34"/>
    <w:rsid w:val="000C3084"/>
    <w:rsid w:val="000C32FF"/>
    <w:rsid w:val="000C3359"/>
    <w:rsid w:val="000C3367"/>
    <w:rsid w:val="000C3442"/>
    <w:rsid w:val="000C3467"/>
    <w:rsid w:val="000C3500"/>
    <w:rsid w:val="000C3514"/>
    <w:rsid w:val="000C35FA"/>
    <w:rsid w:val="000C3629"/>
    <w:rsid w:val="000C3680"/>
    <w:rsid w:val="000C3831"/>
    <w:rsid w:val="000C3A6F"/>
    <w:rsid w:val="000C3B83"/>
    <w:rsid w:val="000C3CA1"/>
    <w:rsid w:val="000C3CE1"/>
    <w:rsid w:val="000C3D38"/>
    <w:rsid w:val="000C3E0A"/>
    <w:rsid w:val="000C3FFB"/>
    <w:rsid w:val="000C41D4"/>
    <w:rsid w:val="000C423B"/>
    <w:rsid w:val="000C43B6"/>
    <w:rsid w:val="000C4562"/>
    <w:rsid w:val="000C457F"/>
    <w:rsid w:val="000C4584"/>
    <w:rsid w:val="000C466B"/>
    <w:rsid w:val="000C46D6"/>
    <w:rsid w:val="000C47DF"/>
    <w:rsid w:val="000C4854"/>
    <w:rsid w:val="000C49A0"/>
    <w:rsid w:val="000C4A00"/>
    <w:rsid w:val="000C4A51"/>
    <w:rsid w:val="000C4AEB"/>
    <w:rsid w:val="000C4C55"/>
    <w:rsid w:val="000C4D06"/>
    <w:rsid w:val="000C4D42"/>
    <w:rsid w:val="000C4D7F"/>
    <w:rsid w:val="000C4DF2"/>
    <w:rsid w:val="000C4F0D"/>
    <w:rsid w:val="000C5159"/>
    <w:rsid w:val="000C51B3"/>
    <w:rsid w:val="000C51B5"/>
    <w:rsid w:val="000C5203"/>
    <w:rsid w:val="000C522F"/>
    <w:rsid w:val="000C526F"/>
    <w:rsid w:val="000C531C"/>
    <w:rsid w:val="000C5355"/>
    <w:rsid w:val="000C5395"/>
    <w:rsid w:val="000C542E"/>
    <w:rsid w:val="000C54E7"/>
    <w:rsid w:val="000C5548"/>
    <w:rsid w:val="000C55E2"/>
    <w:rsid w:val="000C5623"/>
    <w:rsid w:val="000C5641"/>
    <w:rsid w:val="000C573C"/>
    <w:rsid w:val="000C576B"/>
    <w:rsid w:val="000C5886"/>
    <w:rsid w:val="000C5961"/>
    <w:rsid w:val="000C5B03"/>
    <w:rsid w:val="000C5C4C"/>
    <w:rsid w:val="000C5CA5"/>
    <w:rsid w:val="000C5DFF"/>
    <w:rsid w:val="000C5F0F"/>
    <w:rsid w:val="000C5F7C"/>
    <w:rsid w:val="000C5FC4"/>
    <w:rsid w:val="000C5FE7"/>
    <w:rsid w:val="000C601D"/>
    <w:rsid w:val="000C60B1"/>
    <w:rsid w:val="000C6118"/>
    <w:rsid w:val="000C618D"/>
    <w:rsid w:val="000C63D5"/>
    <w:rsid w:val="000C649C"/>
    <w:rsid w:val="000C6608"/>
    <w:rsid w:val="000C661A"/>
    <w:rsid w:val="000C6635"/>
    <w:rsid w:val="000C66A7"/>
    <w:rsid w:val="000C66C7"/>
    <w:rsid w:val="000C66EB"/>
    <w:rsid w:val="000C675F"/>
    <w:rsid w:val="000C67BD"/>
    <w:rsid w:val="000C6864"/>
    <w:rsid w:val="000C68CF"/>
    <w:rsid w:val="000C6A1C"/>
    <w:rsid w:val="000C6C05"/>
    <w:rsid w:val="000C6C90"/>
    <w:rsid w:val="000C6D95"/>
    <w:rsid w:val="000C6D9B"/>
    <w:rsid w:val="000C6D9F"/>
    <w:rsid w:val="000C6DEA"/>
    <w:rsid w:val="000C6E8E"/>
    <w:rsid w:val="000C6F10"/>
    <w:rsid w:val="000C6F2F"/>
    <w:rsid w:val="000C6F90"/>
    <w:rsid w:val="000C6FF8"/>
    <w:rsid w:val="000C71C2"/>
    <w:rsid w:val="000C7368"/>
    <w:rsid w:val="000C73A6"/>
    <w:rsid w:val="000C7493"/>
    <w:rsid w:val="000C75B7"/>
    <w:rsid w:val="000C75ED"/>
    <w:rsid w:val="000C764C"/>
    <w:rsid w:val="000C776F"/>
    <w:rsid w:val="000C7B8C"/>
    <w:rsid w:val="000C7E25"/>
    <w:rsid w:val="000C7E6B"/>
    <w:rsid w:val="000C7EB0"/>
    <w:rsid w:val="000D0003"/>
    <w:rsid w:val="000D0009"/>
    <w:rsid w:val="000D013C"/>
    <w:rsid w:val="000D02FA"/>
    <w:rsid w:val="000D039D"/>
    <w:rsid w:val="000D060A"/>
    <w:rsid w:val="000D068E"/>
    <w:rsid w:val="000D0883"/>
    <w:rsid w:val="000D08E9"/>
    <w:rsid w:val="000D09AB"/>
    <w:rsid w:val="000D09B3"/>
    <w:rsid w:val="000D09BB"/>
    <w:rsid w:val="000D09D0"/>
    <w:rsid w:val="000D0A6B"/>
    <w:rsid w:val="000D0B44"/>
    <w:rsid w:val="000D0B54"/>
    <w:rsid w:val="000D0CF7"/>
    <w:rsid w:val="000D0D17"/>
    <w:rsid w:val="000D0DF8"/>
    <w:rsid w:val="000D0E05"/>
    <w:rsid w:val="000D0E6B"/>
    <w:rsid w:val="000D0EFA"/>
    <w:rsid w:val="000D0F43"/>
    <w:rsid w:val="000D0F66"/>
    <w:rsid w:val="000D1001"/>
    <w:rsid w:val="000D100E"/>
    <w:rsid w:val="000D1047"/>
    <w:rsid w:val="000D1090"/>
    <w:rsid w:val="000D10F1"/>
    <w:rsid w:val="000D1125"/>
    <w:rsid w:val="000D112F"/>
    <w:rsid w:val="000D1165"/>
    <w:rsid w:val="000D1258"/>
    <w:rsid w:val="000D1289"/>
    <w:rsid w:val="000D12AB"/>
    <w:rsid w:val="000D1348"/>
    <w:rsid w:val="000D14AE"/>
    <w:rsid w:val="000D1518"/>
    <w:rsid w:val="000D161E"/>
    <w:rsid w:val="000D1625"/>
    <w:rsid w:val="000D17B4"/>
    <w:rsid w:val="000D180F"/>
    <w:rsid w:val="000D18B9"/>
    <w:rsid w:val="000D194A"/>
    <w:rsid w:val="000D1ABE"/>
    <w:rsid w:val="000D1B10"/>
    <w:rsid w:val="000D1B19"/>
    <w:rsid w:val="000D1B36"/>
    <w:rsid w:val="000D1C75"/>
    <w:rsid w:val="000D1CED"/>
    <w:rsid w:val="000D1D65"/>
    <w:rsid w:val="000D1DBA"/>
    <w:rsid w:val="000D1DD1"/>
    <w:rsid w:val="000D1E7B"/>
    <w:rsid w:val="000D1E99"/>
    <w:rsid w:val="000D1F1C"/>
    <w:rsid w:val="000D1F7B"/>
    <w:rsid w:val="000D1F8D"/>
    <w:rsid w:val="000D208D"/>
    <w:rsid w:val="000D21A3"/>
    <w:rsid w:val="000D2252"/>
    <w:rsid w:val="000D232B"/>
    <w:rsid w:val="000D240F"/>
    <w:rsid w:val="000D2489"/>
    <w:rsid w:val="000D263F"/>
    <w:rsid w:val="000D2698"/>
    <w:rsid w:val="000D2713"/>
    <w:rsid w:val="000D27F4"/>
    <w:rsid w:val="000D28F3"/>
    <w:rsid w:val="000D2953"/>
    <w:rsid w:val="000D2A5F"/>
    <w:rsid w:val="000D2A87"/>
    <w:rsid w:val="000D2B4E"/>
    <w:rsid w:val="000D2BFF"/>
    <w:rsid w:val="000D2C6B"/>
    <w:rsid w:val="000D2C83"/>
    <w:rsid w:val="000D2CE4"/>
    <w:rsid w:val="000D2D04"/>
    <w:rsid w:val="000D2D42"/>
    <w:rsid w:val="000D2DC3"/>
    <w:rsid w:val="000D2DDA"/>
    <w:rsid w:val="000D2EAD"/>
    <w:rsid w:val="000D2F18"/>
    <w:rsid w:val="000D301D"/>
    <w:rsid w:val="000D3053"/>
    <w:rsid w:val="000D30DE"/>
    <w:rsid w:val="000D319E"/>
    <w:rsid w:val="000D31E2"/>
    <w:rsid w:val="000D334C"/>
    <w:rsid w:val="000D348A"/>
    <w:rsid w:val="000D356D"/>
    <w:rsid w:val="000D3601"/>
    <w:rsid w:val="000D3688"/>
    <w:rsid w:val="000D36A6"/>
    <w:rsid w:val="000D36B5"/>
    <w:rsid w:val="000D3742"/>
    <w:rsid w:val="000D3762"/>
    <w:rsid w:val="000D37A0"/>
    <w:rsid w:val="000D38A8"/>
    <w:rsid w:val="000D3975"/>
    <w:rsid w:val="000D39C2"/>
    <w:rsid w:val="000D3A6C"/>
    <w:rsid w:val="000D3A6D"/>
    <w:rsid w:val="000D3BA3"/>
    <w:rsid w:val="000D3C8C"/>
    <w:rsid w:val="000D3D15"/>
    <w:rsid w:val="000D3E16"/>
    <w:rsid w:val="000D3E7C"/>
    <w:rsid w:val="000D3F05"/>
    <w:rsid w:val="000D3FB1"/>
    <w:rsid w:val="000D4020"/>
    <w:rsid w:val="000D4056"/>
    <w:rsid w:val="000D40B7"/>
    <w:rsid w:val="000D421C"/>
    <w:rsid w:val="000D4248"/>
    <w:rsid w:val="000D429F"/>
    <w:rsid w:val="000D43FA"/>
    <w:rsid w:val="000D44E4"/>
    <w:rsid w:val="000D4503"/>
    <w:rsid w:val="000D4547"/>
    <w:rsid w:val="000D4650"/>
    <w:rsid w:val="000D466D"/>
    <w:rsid w:val="000D46B9"/>
    <w:rsid w:val="000D46C0"/>
    <w:rsid w:val="000D476D"/>
    <w:rsid w:val="000D4835"/>
    <w:rsid w:val="000D4909"/>
    <w:rsid w:val="000D49EA"/>
    <w:rsid w:val="000D4A21"/>
    <w:rsid w:val="000D4B69"/>
    <w:rsid w:val="000D4B83"/>
    <w:rsid w:val="000D4BC9"/>
    <w:rsid w:val="000D4C21"/>
    <w:rsid w:val="000D4D5F"/>
    <w:rsid w:val="000D4D88"/>
    <w:rsid w:val="000D4DFF"/>
    <w:rsid w:val="000D4E4F"/>
    <w:rsid w:val="000D5007"/>
    <w:rsid w:val="000D5110"/>
    <w:rsid w:val="000D51FD"/>
    <w:rsid w:val="000D5214"/>
    <w:rsid w:val="000D5259"/>
    <w:rsid w:val="000D5282"/>
    <w:rsid w:val="000D5358"/>
    <w:rsid w:val="000D556E"/>
    <w:rsid w:val="000D56FE"/>
    <w:rsid w:val="000D5794"/>
    <w:rsid w:val="000D57BB"/>
    <w:rsid w:val="000D5853"/>
    <w:rsid w:val="000D592F"/>
    <w:rsid w:val="000D5A8E"/>
    <w:rsid w:val="000D5AE9"/>
    <w:rsid w:val="000D5AFD"/>
    <w:rsid w:val="000D5B03"/>
    <w:rsid w:val="000D5B13"/>
    <w:rsid w:val="000D5D73"/>
    <w:rsid w:val="000D5DFB"/>
    <w:rsid w:val="000D5E94"/>
    <w:rsid w:val="000D5EEF"/>
    <w:rsid w:val="000D6159"/>
    <w:rsid w:val="000D65C5"/>
    <w:rsid w:val="000D66C0"/>
    <w:rsid w:val="000D6786"/>
    <w:rsid w:val="000D67C6"/>
    <w:rsid w:val="000D6832"/>
    <w:rsid w:val="000D6C6A"/>
    <w:rsid w:val="000D6C8A"/>
    <w:rsid w:val="000D6CCB"/>
    <w:rsid w:val="000D6E6E"/>
    <w:rsid w:val="000D6E8F"/>
    <w:rsid w:val="000D6EFF"/>
    <w:rsid w:val="000D701C"/>
    <w:rsid w:val="000D7089"/>
    <w:rsid w:val="000D70CF"/>
    <w:rsid w:val="000D7101"/>
    <w:rsid w:val="000D71DD"/>
    <w:rsid w:val="000D7205"/>
    <w:rsid w:val="000D7315"/>
    <w:rsid w:val="000D7324"/>
    <w:rsid w:val="000D733F"/>
    <w:rsid w:val="000D7341"/>
    <w:rsid w:val="000D7363"/>
    <w:rsid w:val="000D7513"/>
    <w:rsid w:val="000D7583"/>
    <w:rsid w:val="000D760C"/>
    <w:rsid w:val="000D7741"/>
    <w:rsid w:val="000D775A"/>
    <w:rsid w:val="000D7776"/>
    <w:rsid w:val="000D7843"/>
    <w:rsid w:val="000D784B"/>
    <w:rsid w:val="000D7892"/>
    <w:rsid w:val="000D7A8B"/>
    <w:rsid w:val="000D7AAE"/>
    <w:rsid w:val="000D7AC2"/>
    <w:rsid w:val="000D7BC0"/>
    <w:rsid w:val="000D7DF8"/>
    <w:rsid w:val="000D7E0D"/>
    <w:rsid w:val="000D7E1E"/>
    <w:rsid w:val="000E01C3"/>
    <w:rsid w:val="000E02BC"/>
    <w:rsid w:val="000E0460"/>
    <w:rsid w:val="000E04B1"/>
    <w:rsid w:val="000E051E"/>
    <w:rsid w:val="000E0611"/>
    <w:rsid w:val="000E0645"/>
    <w:rsid w:val="000E07E4"/>
    <w:rsid w:val="000E0890"/>
    <w:rsid w:val="000E08AE"/>
    <w:rsid w:val="000E08BE"/>
    <w:rsid w:val="000E091E"/>
    <w:rsid w:val="000E09A7"/>
    <w:rsid w:val="000E0A2A"/>
    <w:rsid w:val="000E0A84"/>
    <w:rsid w:val="000E0C67"/>
    <w:rsid w:val="000E0CB2"/>
    <w:rsid w:val="000E0DB7"/>
    <w:rsid w:val="000E0E32"/>
    <w:rsid w:val="000E0EB5"/>
    <w:rsid w:val="000E0F1B"/>
    <w:rsid w:val="000E0F44"/>
    <w:rsid w:val="000E105D"/>
    <w:rsid w:val="000E10CD"/>
    <w:rsid w:val="000E1115"/>
    <w:rsid w:val="000E111C"/>
    <w:rsid w:val="000E128D"/>
    <w:rsid w:val="000E133E"/>
    <w:rsid w:val="000E1358"/>
    <w:rsid w:val="000E135D"/>
    <w:rsid w:val="000E145F"/>
    <w:rsid w:val="000E14E6"/>
    <w:rsid w:val="000E15D1"/>
    <w:rsid w:val="000E15FD"/>
    <w:rsid w:val="000E177B"/>
    <w:rsid w:val="000E1791"/>
    <w:rsid w:val="000E17A3"/>
    <w:rsid w:val="000E1AF6"/>
    <w:rsid w:val="000E1AFC"/>
    <w:rsid w:val="000E1BAA"/>
    <w:rsid w:val="000E1C53"/>
    <w:rsid w:val="000E1C65"/>
    <w:rsid w:val="000E1CC8"/>
    <w:rsid w:val="000E1CE1"/>
    <w:rsid w:val="000E1E19"/>
    <w:rsid w:val="000E1E6A"/>
    <w:rsid w:val="000E1E73"/>
    <w:rsid w:val="000E1EDC"/>
    <w:rsid w:val="000E1EFF"/>
    <w:rsid w:val="000E1F0C"/>
    <w:rsid w:val="000E1FCC"/>
    <w:rsid w:val="000E2014"/>
    <w:rsid w:val="000E203C"/>
    <w:rsid w:val="000E211E"/>
    <w:rsid w:val="000E21A5"/>
    <w:rsid w:val="000E22B0"/>
    <w:rsid w:val="000E22B7"/>
    <w:rsid w:val="000E22DA"/>
    <w:rsid w:val="000E22F8"/>
    <w:rsid w:val="000E2345"/>
    <w:rsid w:val="000E24AF"/>
    <w:rsid w:val="000E2543"/>
    <w:rsid w:val="000E263E"/>
    <w:rsid w:val="000E2811"/>
    <w:rsid w:val="000E285A"/>
    <w:rsid w:val="000E28B9"/>
    <w:rsid w:val="000E2959"/>
    <w:rsid w:val="000E2A40"/>
    <w:rsid w:val="000E2A55"/>
    <w:rsid w:val="000E2BF3"/>
    <w:rsid w:val="000E2CC1"/>
    <w:rsid w:val="000E2D2E"/>
    <w:rsid w:val="000E2FDF"/>
    <w:rsid w:val="000E307E"/>
    <w:rsid w:val="000E308E"/>
    <w:rsid w:val="000E3160"/>
    <w:rsid w:val="000E3190"/>
    <w:rsid w:val="000E3214"/>
    <w:rsid w:val="000E3238"/>
    <w:rsid w:val="000E3244"/>
    <w:rsid w:val="000E324B"/>
    <w:rsid w:val="000E3250"/>
    <w:rsid w:val="000E3291"/>
    <w:rsid w:val="000E329A"/>
    <w:rsid w:val="000E3303"/>
    <w:rsid w:val="000E3439"/>
    <w:rsid w:val="000E3474"/>
    <w:rsid w:val="000E34C4"/>
    <w:rsid w:val="000E3570"/>
    <w:rsid w:val="000E3571"/>
    <w:rsid w:val="000E35DD"/>
    <w:rsid w:val="000E361E"/>
    <w:rsid w:val="000E363A"/>
    <w:rsid w:val="000E3645"/>
    <w:rsid w:val="000E36A9"/>
    <w:rsid w:val="000E36DC"/>
    <w:rsid w:val="000E36FC"/>
    <w:rsid w:val="000E376E"/>
    <w:rsid w:val="000E37CB"/>
    <w:rsid w:val="000E3864"/>
    <w:rsid w:val="000E3866"/>
    <w:rsid w:val="000E38C7"/>
    <w:rsid w:val="000E38E0"/>
    <w:rsid w:val="000E3972"/>
    <w:rsid w:val="000E39F6"/>
    <w:rsid w:val="000E3A34"/>
    <w:rsid w:val="000E3AB5"/>
    <w:rsid w:val="000E3B18"/>
    <w:rsid w:val="000E3BB0"/>
    <w:rsid w:val="000E3C77"/>
    <w:rsid w:val="000E3D44"/>
    <w:rsid w:val="000E3DC8"/>
    <w:rsid w:val="000E3DE1"/>
    <w:rsid w:val="000E3EBF"/>
    <w:rsid w:val="000E3ECE"/>
    <w:rsid w:val="000E4077"/>
    <w:rsid w:val="000E411A"/>
    <w:rsid w:val="000E412C"/>
    <w:rsid w:val="000E4137"/>
    <w:rsid w:val="000E4147"/>
    <w:rsid w:val="000E414D"/>
    <w:rsid w:val="000E4265"/>
    <w:rsid w:val="000E427E"/>
    <w:rsid w:val="000E434A"/>
    <w:rsid w:val="000E43B3"/>
    <w:rsid w:val="000E4444"/>
    <w:rsid w:val="000E4470"/>
    <w:rsid w:val="000E4493"/>
    <w:rsid w:val="000E456D"/>
    <w:rsid w:val="000E4596"/>
    <w:rsid w:val="000E473A"/>
    <w:rsid w:val="000E4748"/>
    <w:rsid w:val="000E476A"/>
    <w:rsid w:val="000E491A"/>
    <w:rsid w:val="000E496D"/>
    <w:rsid w:val="000E49CF"/>
    <w:rsid w:val="000E4AF2"/>
    <w:rsid w:val="000E4B60"/>
    <w:rsid w:val="000E4B6B"/>
    <w:rsid w:val="000E4B6F"/>
    <w:rsid w:val="000E4BB9"/>
    <w:rsid w:val="000E4BE1"/>
    <w:rsid w:val="000E4BF8"/>
    <w:rsid w:val="000E4C90"/>
    <w:rsid w:val="000E4CB5"/>
    <w:rsid w:val="000E4D45"/>
    <w:rsid w:val="000E4DBE"/>
    <w:rsid w:val="000E4EBD"/>
    <w:rsid w:val="000E4F7B"/>
    <w:rsid w:val="000E502F"/>
    <w:rsid w:val="000E515C"/>
    <w:rsid w:val="000E5192"/>
    <w:rsid w:val="000E5246"/>
    <w:rsid w:val="000E5256"/>
    <w:rsid w:val="000E5312"/>
    <w:rsid w:val="000E531A"/>
    <w:rsid w:val="000E532D"/>
    <w:rsid w:val="000E5330"/>
    <w:rsid w:val="000E535D"/>
    <w:rsid w:val="000E5377"/>
    <w:rsid w:val="000E53A7"/>
    <w:rsid w:val="000E5416"/>
    <w:rsid w:val="000E5497"/>
    <w:rsid w:val="000E54A1"/>
    <w:rsid w:val="000E54E8"/>
    <w:rsid w:val="000E54EE"/>
    <w:rsid w:val="000E5561"/>
    <w:rsid w:val="000E55DB"/>
    <w:rsid w:val="000E561F"/>
    <w:rsid w:val="000E56DB"/>
    <w:rsid w:val="000E5702"/>
    <w:rsid w:val="000E594E"/>
    <w:rsid w:val="000E5967"/>
    <w:rsid w:val="000E5974"/>
    <w:rsid w:val="000E59B1"/>
    <w:rsid w:val="000E59DE"/>
    <w:rsid w:val="000E5B31"/>
    <w:rsid w:val="000E5B7A"/>
    <w:rsid w:val="000E5C89"/>
    <w:rsid w:val="000E5D19"/>
    <w:rsid w:val="000E5D9A"/>
    <w:rsid w:val="000E5D9F"/>
    <w:rsid w:val="000E5E1F"/>
    <w:rsid w:val="000E5EF6"/>
    <w:rsid w:val="000E5F9B"/>
    <w:rsid w:val="000E6057"/>
    <w:rsid w:val="000E61CA"/>
    <w:rsid w:val="000E6229"/>
    <w:rsid w:val="000E63D6"/>
    <w:rsid w:val="000E64BE"/>
    <w:rsid w:val="000E662B"/>
    <w:rsid w:val="000E66A4"/>
    <w:rsid w:val="000E681C"/>
    <w:rsid w:val="000E69F3"/>
    <w:rsid w:val="000E6A69"/>
    <w:rsid w:val="000E6B42"/>
    <w:rsid w:val="000E6B55"/>
    <w:rsid w:val="000E6C7E"/>
    <w:rsid w:val="000E6EA5"/>
    <w:rsid w:val="000E6EF9"/>
    <w:rsid w:val="000E70DF"/>
    <w:rsid w:val="000E71C0"/>
    <w:rsid w:val="000E71FC"/>
    <w:rsid w:val="000E723C"/>
    <w:rsid w:val="000E732D"/>
    <w:rsid w:val="000E7432"/>
    <w:rsid w:val="000E7446"/>
    <w:rsid w:val="000E748D"/>
    <w:rsid w:val="000E74D5"/>
    <w:rsid w:val="000E7541"/>
    <w:rsid w:val="000E7574"/>
    <w:rsid w:val="000E7575"/>
    <w:rsid w:val="000E75E9"/>
    <w:rsid w:val="000E76CA"/>
    <w:rsid w:val="000E773C"/>
    <w:rsid w:val="000E7786"/>
    <w:rsid w:val="000E784B"/>
    <w:rsid w:val="000E79A0"/>
    <w:rsid w:val="000E7A99"/>
    <w:rsid w:val="000E7CA2"/>
    <w:rsid w:val="000E7D02"/>
    <w:rsid w:val="000E7D30"/>
    <w:rsid w:val="000E7D44"/>
    <w:rsid w:val="000E7D76"/>
    <w:rsid w:val="000E7F62"/>
    <w:rsid w:val="000E7F7F"/>
    <w:rsid w:val="000F0034"/>
    <w:rsid w:val="000F00B5"/>
    <w:rsid w:val="000F0106"/>
    <w:rsid w:val="000F014C"/>
    <w:rsid w:val="000F0226"/>
    <w:rsid w:val="000F0267"/>
    <w:rsid w:val="000F02B3"/>
    <w:rsid w:val="000F0396"/>
    <w:rsid w:val="000F0397"/>
    <w:rsid w:val="000F03D7"/>
    <w:rsid w:val="000F05C1"/>
    <w:rsid w:val="000F05E4"/>
    <w:rsid w:val="000F0637"/>
    <w:rsid w:val="000F0697"/>
    <w:rsid w:val="000F06E4"/>
    <w:rsid w:val="000F0702"/>
    <w:rsid w:val="000F075F"/>
    <w:rsid w:val="000F08BA"/>
    <w:rsid w:val="000F0976"/>
    <w:rsid w:val="000F09E0"/>
    <w:rsid w:val="000F0A12"/>
    <w:rsid w:val="000F0A85"/>
    <w:rsid w:val="000F0AFF"/>
    <w:rsid w:val="000F0B35"/>
    <w:rsid w:val="000F0B6F"/>
    <w:rsid w:val="000F0B7A"/>
    <w:rsid w:val="000F0D45"/>
    <w:rsid w:val="000F0DFD"/>
    <w:rsid w:val="000F0E64"/>
    <w:rsid w:val="000F0EEC"/>
    <w:rsid w:val="000F1273"/>
    <w:rsid w:val="000F1651"/>
    <w:rsid w:val="000F16B2"/>
    <w:rsid w:val="000F16EE"/>
    <w:rsid w:val="000F18D4"/>
    <w:rsid w:val="000F19F7"/>
    <w:rsid w:val="000F1AFF"/>
    <w:rsid w:val="000F1B3A"/>
    <w:rsid w:val="000F1D11"/>
    <w:rsid w:val="000F1D92"/>
    <w:rsid w:val="000F1D98"/>
    <w:rsid w:val="000F1F58"/>
    <w:rsid w:val="000F1F7D"/>
    <w:rsid w:val="000F20D6"/>
    <w:rsid w:val="000F2200"/>
    <w:rsid w:val="000F2263"/>
    <w:rsid w:val="000F22D3"/>
    <w:rsid w:val="000F237E"/>
    <w:rsid w:val="000F24A7"/>
    <w:rsid w:val="000F2534"/>
    <w:rsid w:val="000F260A"/>
    <w:rsid w:val="000F2722"/>
    <w:rsid w:val="000F287D"/>
    <w:rsid w:val="000F2984"/>
    <w:rsid w:val="000F29FF"/>
    <w:rsid w:val="000F2A2B"/>
    <w:rsid w:val="000F2A84"/>
    <w:rsid w:val="000F2AD2"/>
    <w:rsid w:val="000F2AFE"/>
    <w:rsid w:val="000F2B63"/>
    <w:rsid w:val="000F2C29"/>
    <w:rsid w:val="000F2CCC"/>
    <w:rsid w:val="000F2D47"/>
    <w:rsid w:val="000F2D98"/>
    <w:rsid w:val="000F2DCD"/>
    <w:rsid w:val="000F2EE2"/>
    <w:rsid w:val="000F2EE3"/>
    <w:rsid w:val="000F2FD7"/>
    <w:rsid w:val="000F31EE"/>
    <w:rsid w:val="000F32BD"/>
    <w:rsid w:val="000F33AB"/>
    <w:rsid w:val="000F34E7"/>
    <w:rsid w:val="000F34F8"/>
    <w:rsid w:val="000F356D"/>
    <w:rsid w:val="000F35AB"/>
    <w:rsid w:val="000F3676"/>
    <w:rsid w:val="000F377E"/>
    <w:rsid w:val="000F379C"/>
    <w:rsid w:val="000F3959"/>
    <w:rsid w:val="000F39AD"/>
    <w:rsid w:val="000F3A9A"/>
    <w:rsid w:val="000F3B9D"/>
    <w:rsid w:val="000F3BE7"/>
    <w:rsid w:val="000F3C57"/>
    <w:rsid w:val="000F3E8E"/>
    <w:rsid w:val="000F3F26"/>
    <w:rsid w:val="000F3FB9"/>
    <w:rsid w:val="000F3FE5"/>
    <w:rsid w:val="000F4094"/>
    <w:rsid w:val="000F40C3"/>
    <w:rsid w:val="000F41C5"/>
    <w:rsid w:val="000F4272"/>
    <w:rsid w:val="000F4356"/>
    <w:rsid w:val="000F437A"/>
    <w:rsid w:val="000F437B"/>
    <w:rsid w:val="000F43B8"/>
    <w:rsid w:val="000F44E5"/>
    <w:rsid w:val="000F453B"/>
    <w:rsid w:val="000F458B"/>
    <w:rsid w:val="000F45D0"/>
    <w:rsid w:val="000F46F8"/>
    <w:rsid w:val="000F4700"/>
    <w:rsid w:val="000F4749"/>
    <w:rsid w:val="000F48BB"/>
    <w:rsid w:val="000F4A31"/>
    <w:rsid w:val="000F4B60"/>
    <w:rsid w:val="000F4B84"/>
    <w:rsid w:val="000F4BF9"/>
    <w:rsid w:val="000F4C51"/>
    <w:rsid w:val="000F4C7D"/>
    <w:rsid w:val="000F4CDB"/>
    <w:rsid w:val="000F4E36"/>
    <w:rsid w:val="000F4ECB"/>
    <w:rsid w:val="000F4EFA"/>
    <w:rsid w:val="000F4F53"/>
    <w:rsid w:val="000F4FEC"/>
    <w:rsid w:val="000F5112"/>
    <w:rsid w:val="000F51F8"/>
    <w:rsid w:val="000F5255"/>
    <w:rsid w:val="000F52DE"/>
    <w:rsid w:val="000F54BD"/>
    <w:rsid w:val="000F5530"/>
    <w:rsid w:val="000F55DB"/>
    <w:rsid w:val="000F58B7"/>
    <w:rsid w:val="000F58B8"/>
    <w:rsid w:val="000F59AC"/>
    <w:rsid w:val="000F5B68"/>
    <w:rsid w:val="000F5D4F"/>
    <w:rsid w:val="000F5DA7"/>
    <w:rsid w:val="000F5DC9"/>
    <w:rsid w:val="000F5E27"/>
    <w:rsid w:val="000F5FC0"/>
    <w:rsid w:val="000F603A"/>
    <w:rsid w:val="000F6169"/>
    <w:rsid w:val="000F61D7"/>
    <w:rsid w:val="000F62B2"/>
    <w:rsid w:val="000F62DB"/>
    <w:rsid w:val="000F6311"/>
    <w:rsid w:val="000F64A5"/>
    <w:rsid w:val="000F657A"/>
    <w:rsid w:val="000F65A4"/>
    <w:rsid w:val="000F6690"/>
    <w:rsid w:val="000F6763"/>
    <w:rsid w:val="000F691E"/>
    <w:rsid w:val="000F6939"/>
    <w:rsid w:val="000F69B4"/>
    <w:rsid w:val="000F69E9"/>
    <w:rsid w:val="000F69FD"/>
    <w:rsid w:val="000F6A62"/>
    <w:rsid w:val="000F6B62"/>
    <w:rsid w:val="000F6B83"/>
    <w:rsid w:val="000F6BD4"/>
    <w:rsid w:val="000F6C52"/>
    <w:rsid w:val="000F6D05"/>
    <w:rsid w:val="000F6ED2"/>
    <w:rsid w:val="000F6FA3"/>
    <w:rsid w:val="000F7119"/>
    <w:rsid w:val="000F7163"/>
    <w:rsid w:val="000F71E4"/>
    <w:rsid w:val="000F7261"/>
    <w:rsid w:val="000F7374"/>
    <w:rsid w:val="000F7388"/>
    <w:rsid w:val="000F7404"/>
    <w:rsid w:val="000F74B8"/>
    <w:rsid w:val="000F74DC"/>
    <w:rsid w:val="000F753B"/>
    <w:rsid w:val="000F75D9"/>
    <w:rsid w:val="000F75F5"/>
    <w:rsid w:val="000F7695"/>
    <w:rsid w:val="000F7814"/>
    <w:rsid w:val="000F781F"/>
    <w:rsid w:val="000F7A4B"/>
    <w:rsid w:val="000F7AB3"/>
    <w:rsid w:val="000F7B78"/>
    <w:rsid w:val="000F7B9E"/>
    <w:rsid w:val="000F7C1C"/>
    <w:rsid w:val="000F7CAB"/>
    <w:rsid w:val="000F7CC5"/>
    <w:rsid w:val="000F7D5C"/>
    <w:rsid w:val="000F7D7A"/>
    <w:rsid w:val="000F7DF9"/>
    <w:rsid w:val="000F7ED7"/>
    <w:rsid w:val="000F7F98"/>
    <w:rsid w:val="000F7FA1"/>
    <w:rsid w:val="001000DE"/>
    <w:rsid w:val="001001BB"/>
    <w:rsid w:val="0010026A"/>
    <w:rsid w:val="001002E0"/>
    <w:rsid w:val="0010036B"/>
    <w:rsid w:val="00100379"/>
    <w:rsid w:val="001003BC"/>
    <w:rsid w:val="0010050B"/>
    <w:rsid w:val="00100576"/>
    <w:rsid w:val="001005F2"/>
    <w:rsid w:val="001006D6"/>
    <w:rsid w:val="00100733"/>
    <w:rsid w:val="00100819"/>
    <w:rsid w:val="0010084E"/>
    <w:rsid w:val="00100898"/>
    <w:rsid w:val="00100938"/>
    <w:rsid w:val="00100944"/>
    <w:rsid w:val="00100970"/>
    <w:rsid w:val="00100A1D"/>
    <w:rsid w:val="00100A43"/>
    <w:rsid w:val="00100ADC"/>
    <w:rsid w:val="00100AFF"/>
    <w:rsid w:val="00100B20"/>
    <w:rsid w:val="00100B7F"/>
    <w:rsid w:val="00100BA2"/>
    <w:rsid w:val="00100BD2"/>
    <w:rsid w:val="00100C25"/>
    <w:rsid w:val="00100C6F"/>
    <w:rsid w:val="00100CB4"/>
    <w:rsid w:val="00100DC4"/>
    <w:rsid w:val="00100E15"/>
    <w:rsid w:val="00100EB8"/>
    <w:rsid w:val="00100FE0"/>
    <w:rsid w:val="00101094"/>
    <w:rsid w:val="001011B7"/>
    <w:rsid w:val="001011E7"/>
    <w:rsid w:val="00101226"/>
    <w:rsid w:val="00101266"/>
    <w:rsid w:val="001012AB"/>
    <w:rsid w:val="00101465"/>
    <w:rsid w:val="00101548"/>
    <w:rsid w:val="00101558"/>
    <w:rsid w:val="00101566"/>
    <w:rsid w:val="001015D0"/>
    <w:rsid w:val="0010166D"/>
    <w:rsid w:val="00101698"/>
    <w:rsid w:val="00101850"/>
    <w:rsid w:val="00101884"/>
    <w:rsid w:val="00101908"/>
    <w:rsid w:val="00101987"/>
    <w:rsid w:val="00101A83"/>
    <w:rsid w:val="00101B03"/>
    <w:rsid w:val="00101B30"/>
    <w:rsid w:val="00101B94"/>
    <w:rsid w:val="00101DCE"/>
    <w:rsid w:val="00101DE1"/>
    <w:rsid w:val="00101F4A"/>
    <w:rsid w:val="00101F4F"/>
    <w:rsid w:val="00101F8D"/>
    <w:rsid w:val="00102142"/>
    <w:rsid w:val="00102144"/>
    <w:rsid w:val="00102393"/>
    <w:rsid w:val="001023C8"/>
    <w:rsid w:val="00102443"/>
    <w:rsid w:val="0010252C"/>
    <w:rsid w:val="00102543"/>
    <w:rsid w:val="00102595"/>
    <w:rsid w:val="001026E1"/>
    <w:rsid w:val="00102793"/>
    <w:rsid w:val="001027DE"/>
    <w:rsid w:val="00102875"/>
    <w:rsid w:val="001028F8"/>
    <w:rsid w:val="00102A61"/>
    <w:rsid w:val="00102A7A"/>
    <w:rsid w:val="00102A8E"/>
    <w:rsid w:val="00102B47"/>
    <w:rsid w:val="00102C39"/>
    <w:rsid w:val="00102C6A"/>
    <w:rsid w:val="00102C83"/>
    <w:rsid w:val="00102CF6"/>
    <w:rsid w:val="00102DCE"/>
    <w:rsid w:val="00102E94"/>
    <w:rsid w:val="00102EB8"/>
    <w:rsid w:val="00102F13"/>
    <w:rsid w:val="00102F20"/>
    <w:rsid w:val="00102FC5"/>
    <w:rsid w:val="00103147"/>
    <w:rsid w:val="00103171"/>
    <w:rsid w:val="00103172"/>
    <w:rsid w:val="00103180"/>
    <w:rsid w:val="001031D3"/>
    <w:rsid w:val="001031FC"/>
    <w:rsid w:val="00103486"/>
    <w:rsid w:val="00103545"/>
    <w:rsid w:val="001036E1"/>
    <w:rsid w:val="0010378F"/>
    <w:rsid w:val="00103811"/>
    <w:rsid w:val="00103870"/>
    <w:rsid w:val="001039F2"/>
    <w:rsid w:val="00103B6B"/>
    <w:rsid w:val="00103C67"/>
    <w:rsid w:val="00103C6E"/>
    <w:rsid w:val="00103D46"/>
    <w:rsid w:val="00103D56"/>
    <w:rsid w:val="00103E2A"/>
    <w:rsid w:val="00103EDD"/>
    <w:rsid w:val="00103F55"/>
    <w:rsid w:val="00104017"/>
    <w:rsid w:val="0010405A"/>
    <w:rsid w:val="001040A1"/>
    <w:rsid w:val="0010417D"/>
    <w:rsid w:val="001041C5"/>
    <w:rsid w:val="001042D2"/>
    <w:rsid w:val="00104322"/>
    <w:rsid w:val="00104354"/>
    <w:rsid w:val="0010436E"/>
    <w:rsid w:val="00104500"/>
    <w:rsid w:val="00104610"/>
    <w:rsid w:val="0010465D"/>
    <w:rsid w:val="0010486B"/>
    <w:rsid w:val="001048B0"/>
    <w:rsid w:val="001048D1"/>
    <w:rsid w:val="0010496F"/>
    <w:rsid w:val="001049D1"/>
    <w:rsid w:val="001049EB"/>
    <w:rsid w:val="00104AEC"/>
    <w:rsid w:val="00104B3B"/>
    <w:rsid w:val="00104B73"/>
    <w:rsid w:val="00104BD7"/>
    <w:rsid w:val="00104CBA"/>
    <w:rsid w:val="00104D28"/>
    <w:rsid w:val="00104DCB"/>
    <w:rsid w:val="00104E92"/>
    <w:rsid w:val="00104F02"/>
    <w:rsid w:val="0010504C"/>
    <w:rsid w:val="0010522E"/>
    <w:rsid w:val="0010525D"/>
    <w:rsid w:val="001052C8"/>
    <w:rsid w:val="001052F9"/>
    <w:rsid w:val="0010537C"/>
    <w:rsid w:val="0010541C"/>
    <w:rsid w:val="0010549A"/>
    <w:rsid w:val="001054F6"/>
    <w:rsid w:val="0010554A"/>
    <w:rsid w:val="001055C0"/>
    <w:rsid w:val="001055CB"/>
    <w:rsid w:val="00105A5F"/>
    <w:rsid w:val="00105B29"/>
    <w:rsid w:val="00105B95"/>
    <w:rsid w:val="00105C32"/>
    <w:rsid w:val="00105CC6"/>
    <w:rsid w:val="00105D2E"/>
    <w:rsid w:val="00105D52"/>
    <w:rsid w:val="00105E57"/>
    <w:rsid w:val="001060BB"/>
    <w:rsid w:val="00106108"/>
    <w:rsid w:val="00106174"/>
    <w:rsid w:val="00106198"/>
    <w:rsid w:val="001061EA"/>
    <w:rsid w:val="00106218"/>
    <w:rsid w:val="0010631D"/>
    <w:rsid w:val="0010634C"/>
    <w:rsid w:val="00106491"/>
    <w:rsid w:val="0010656B"/>
    <w:rsid w:val="0010661E"/>
    <w:rsid w:val="001066CB"/>
    <w:rsid w:val="00106773"/>
    <w:rsid w:val="001067C4"/>
    <w:rsid w:val="001067FA"/>
    <w:rsid w:val="0010683D"/>
    <w:rsid w:val="0010684B"/>
    <w:rsid w:val="00106855"/>
    <w:rsid w:val="001068E1"/>
    <w:rsid w:val="00106A66"/>
    <w:rsid w:val="00106A9C"/>
    <w:rsid w:val="00106B49"/>
    <w:rsid w:val="00106BED"/>
    <w:rsid w:val="00106C07"/>
    <w:rsid w:val="00106CDC"/>
    <w:rsid w:val="00106D6F"/>
    <w:rsid w:val="00106DB5"/>
    <w:rsid w:val="00106E31"/>
    <w:rsid w:val="00106E37"/>
    <w:rsid w:val="00106FD6"/>
    <w:rsid w:val="0010707C"/>
    <w:rsid w:val="00107080"/>
    <w:rsid w:val="001070CC"/>
    <w:rsid w:val="0010718B"/>
    <w:rsid w:val="0010720D"/>
    <w:rsid w:val="001072C8"/>
    <w:rsid w:val="001072EE"/>
    <w:rsid w:val="0010733E"/>
    <w:rsid w:val="0010737E"/>
    <w:rsid w:val="001073DB"/>
    <w:rsid w:val="00107497"/>
    <w:rsid w:val="00107595"/>
    <w:rsid w:val="001075C9"/>
    <w:rsid w:val="00107688"/>
    <w:rsid w:val="0010775A"/>
    <w:rsid w:val="00107775"/>
    <w:rsid w:val="001077F2"/>
    <w:rsid w:val="0010785E"/>
    <w:rsid w:val="001078C0"/>
    <w:rsid w:val="0010790C"/>
    <w:rsid w:val="00107AA1"/>
    <w:rsid w:val="00107AD4"/>
    <w:rsid w:val="00107C5A"/>
    <w:rsid w:val="00107C79"/>
    <w:rsid w:val="00107CFD"/>
    <w:rsid w:val="00107D49"/>
    <w:rsid w:val="00107DAF"/>
    <w:rsid w:val="00107FD8"/>
    <w:rsid w:val="00110015"/>
    <w:rsid w:val="00110189"/>
    <w:rsid w:val="001101BB"/>
    <w:rsid w:val="0011021A"/>
    <w:rsid w:val="0011029B"/>
    <w:rsid w:val="001102D9"/>
    <w:rsid w:val="001103F7"/>
    <w:rsid w:val="00110484"/>
    <w:rsid w:val="00110528"/>
    <w:rsid w:val="001105B8"/>
    <w:rsid w:val="00110652"/>
    <w:rsid w:val="00110754"/>
    <w:rsid w:val="001107A7"/>
    <w:rsid w:val="00110843"/>
    <w:rsid w:val="0011096E"/>
    <w:rsid w:val="0011096F"/>
    <w:rsid w:val="00110A04"/>
    <w:rsid w:val="00110AFD"/>
    <w:rsid w:val="00110C03"/>
    <w:rsid w:val="00110C86"/>
    <w:rsid w:val="00110CB9"/>
    <w:rsid w:val="00110CBD"/>
    <w:rsid w:val="00110D05"/>
    <w:rsid w:val="00110E35"/>
    <w:rsid w:val="00110E4B"/>
    <w:rsid w:val="00111081"/>
    <w:rsid w:val="001111D4"/>
    <w:rsid w:val="001112C1"/>
    <w:rsid w:val="001113E6"/>
    <w:rsid w:val="0011159F"/>
    <w:rsid w:val="001115A5"/>
    <w:rsid w:val="0011171A"/>
    <w:rsid w:val="001117C6"/>
    <w:rsid w:val="001117C7"/>
    <w:rsid w:val="001117E6"/>
    <w:rsid w:val="0011184B"/>
    <w:rsid w:val="0011187B"/>
    <w:rsid w:val="0011189A"/>
    <w:rsid w:val="001118F2"/>
    <w:rsid w:val="001118FC"/>
    <w:rsid w:val="00111909"/>
    <w:rsid w:val="001119E8"/>
    <w:rsid w:val="001119FD"/>
    <w:rsid w:val="00111A24"/>
    <w:rsid w:val="00111C1B"/>
    <w:rsid w:val="00111C27"/>
    <w:rsid w:val="00111C91"/>
    <w:rsid w:val="00111CBC"/>
    <w:rsid w:val="00111F62"/>
    <w:rsid w:val="00111F9C"/>
    <w:rsid w:val="00112132"/>
    <w:rsid w:val="00112147"/>
    <w:rsid w:val="001123DA"/>
    <w:rsid w:val="0011246C"/>
    <w:rsid w:val="0011251F"/>
    <w:rsid w:val="001125B1"/>
    <w:rsid w:val="00112615"/>
    <w:rsid w:val="0011266C"/>
    <w:rsid w:val="001128CF"/>
    <w:rsid w:val="00112917"/>
    <w:rsid w:val="001129F1"/>
    <w:rsid w:val="00112B15"/>
    <w:rsid w:val="00112BDB"/>
    <w:rsid w:val="00112BE7"/>
    <w:rsid w:val="00112C65"/>
    <w:rsid w:val="00112C91"/>
    <w:rsid w:val="00112D20"/>
    <w:rsid w:val="00112F6D"/>
    <w:rsid w:val="00112FA0"/>
    <w:rsid w:val="00112FC4"/>
    <w:rsid w:val="0011319D"/>
    <w:rsid w:val="0011331D"/>
    <w:rsid w:val="001133CB"/>
    <w:rsid w:val="00113496"/>
    <w:rsid w:val="00113575"/>
    <w:rsid w:val="0011364C"/>
    <w:rsid w:val="00113667"/>
    <w:rsid w:val="001136B2"/>
    <w:rsid w:val="001137DF"/>
    <w:rsid w:val="001138D8"/>
    <w:rsid w:val="001139CF"/>
    <w:rsid w:val="001139EF"/>
    <w:rsid w:val="00113C02"/>
    <w:rsid w:val="00113CF5"/>
    <w:rsid w:val="00113ED3"/>
    <w:rsid w:val="001140AC"/>
    <w:rsid w:val="001140EE"/>
    <w:rsid w:val="0011417D"/>
    <w:rsid w:val="001141A1"/>
    <w:rsid w:val="00114349"/>
    <w:rsid w:val="0011447D"/>
    <w:rsid w:val="001145BA"/>
    <w:rsid w:val="0011467E"/>
    <w:rsid w:val="001146C9"/>
    <w:rsid w:val="0011474C"/>
    <w:rsid w:val="0011494F"/>
    <w:rsid w:val="001149E2"/>
    <w:rsid w:val="00114B0E"/>
    <w:rsid w:val="00114CFF"/>
    <w:rsid w:val="00114D2E"/>
    <w:rsid w:val="00114D53"/>
    <w:rsid w:val="00114DCE"/>
    <w:rsid w:val="00114E75"/>
    <w:rsid w:val="00114E84"/>
    <w:rsid w:val="00114EA6"/>
    <w:rsid w:val="00114EE3"/>
    <w:rsid w:val="00114EF9"/>
    <w:rsid w:val="0011501F"/>
    <w:rsid w:val="00115092"/>
    <w:rsid w:val="0011520A"/>
    <w:rsid w:val="001152F8"/>
    <w:rsid w:val="00115345"/>
    <w:rsid w:val="00115401"/>
    <w:rsid w:val="0011541B"/>
    <w:rsid w:val="0011541E"/>
    <w:rsid w:val="00115438"/>
    <w:rsid w:val="001154EC"/>
    <w:rsid w:val="001155A2"/>
    <w:rsid w:val="00115602"/>
    <w:rsid w:val="001156F2"/>
    <w:rsid w:val="0011575D"/>
    <w:rsid w:val="001157A9"/>
    <w:rsid w:val="001158D5"/>
    <w:rsid w:val="001158F6"/>
    <w:rsid w:val="00115B22"/>
    <w:rsid w:val="00115B87"/>
    <w:rsid w:val="00115E35"/>
    <w:rsid w:val="00115EBE"/>
    <w:rsid w:val="00115ECB"/>
    <w:rsid w:val="0011607E"/>
    <w:rsid w:val="00116081"/>
    <w:rsid w:val="0011608C"/>
    <w:rsid w:val="00116123"/>
    <w:rsid w:val="00116277"/>
    <w:rsid w:val="0011639C"/>
    <w:rsid w:val="001163F6"/>
    <w:rsid w:val="001164B7"/>
    <w:rsid w:val="001164ED"/>
    <w:rsid w:val="0011654C"/>
    <w:rsid w:val="001165AD"/>
    <w:rsid w:val="00116719"/>
    <w:rsid w:val="00116767"/>
    <w:rsid w:val="00116781"/>
    <w:rsid w:val="0011681E"/>
    <w:rsid w:val="00116A32"/>
    <w:rsid w:val="00116C1C"/>
    <w:rsid w:val="00116C3F"/>
    <w:rsid w:val="00116C86"/>
    <w:rsid w:val="00116C9E"/>
    <w:rsid w:val="00116CB2"/>
    <w:rsid w:val="00116CD0"/>
    <w:rsid w:val="00116D61"/>
    <w:rsid w:val="00116D72"/>
    <w:rsid w:val="00116EA4"/>
    <w:rsid w:val="00116EBD"/>
    <w:rsid w:val="00117041"/>
    <w:rsid w:val="001170A6"/>
    <w:rsid w:val="00117134"/>
    <w:rsid w:val="0011718D"/>
    <w:rsid w:val="001171D9"/>
    <w:rsid w:val="00117256"/>
    <w:rsid w:val="001173B3"/>
    <w:rsid w:val="00117492"/>
    <w:rsid w:val="0011761D"/>
    <w:rsid w:val="001176A4"/>
    <w:rsid w:val="0011775F"/>
    <w:rsid w:val="0011777F"/>
    <w:rsid w:val="001179FF"/>
    <w:rsid w:val="00117BEA"/>
    <w:rsid w:val="00117C2E"/>
    <w:rsid w:val="00117C5B"/>
    <w:rsid w:val="00117CDF"/>
    <w:rsid w:val="00117D2A"/>
    <w:rsid w:val="00117DD2"/>
    <w:rsid w:val="00117E57"/>
    <w:rsid w:val="00117E62"/>
    <w:rsid w:val="00117E7B"/>
    <w:rsid w:val="00117EA1"/>
    <w:rsid w:val="00120027"/>
    <w:rsid w:val="001202AF"/>
    <w:rsid w:val="001204BF"/>
    <w:rsid w:val="0012058D"/>
    <w:rsid w:val="00120685"/>
    <w:rsid w:val="001207D0"/>
    <w:rsid w:val="001207DB"/>
    <w:rsid w:val="001207FA"/>
    <w:rsid w:val="001209E9"/>
    <w:rsid w:val="00120AAC"/>
    <w:rsid w:val="00120AB9"/>
    <w:rsid w:val="00120AE9"/>
    <w:rsid w:val="00120B10"/>
    <w:rsid w:val="00120BD9"/>
    <w:rsid w:val="00120C59"/>
    <w:rsid w:val="00120CAB"/>
    <w:rsid w:val="00120D28"/>
    <w:rsid w:val="00120D7A"/>
    <w:rsid w:val="00120E02"/>
    <w:rsid w:val="00120E4C"/>
    <w:rsid w:val="00120E74"/>
    <w:rsid w:val="00120EA7"/>
    <w:rsid w:val="00120EFF"/>
    <w:rsid w:val="00121066"/>
    <w:rsid w:val="0012106C"/>
    <w:rsid w:val="0012109C"/>
    <w:rsid w:val="0012115E"/>
    <w:rsid w:val="0012116B"/>
    <w:rsid w:val="001211A7"/>
    <w:rsid w:val="001211E0"/>
    <w:rsid w:val="00121238"/>
    <w:rsid w:val="0012124A"/>
    <w:rsid w:val="0012129D"/>
    <w:rsid w:val="001212CA"/>
    <w:rsid w:val="001213D1"/>
    <w:rsid w:val="00121400"/>
    <w:rsid w:val="00121522"/>
    <w:rsid w:val="001215AF"/>
    <w:rsid w:val="00121727"/>
    <w:rsid w:val="00121768"/>
    <w:rsid w:val="0012183B"/>
    <w:rsid w:val="00121888"/>
    <w:rsid w:val="001218B6"/>
    <w:rsid w:val="00121911"/>
    <w:rsid w:val="001219E0"/>
    <w:rsid w:val="00121AB5"/>
    <w:rsid w:val="00121B0D"/>
    <w:rsid w:val="00121E46"/>
    <w:rsid w:val="00121EE2"/>
    <w:rsid w:val="00121F4A"/>
    <w:rsid w:val="00121F98"/>
    <w:rsid w:val="0012206A"/>
    <w:rsid w:val="0012212C"/>
    <w:rsid w:val="0012216C"/>
    <w:rsid w:val="00122190"/>
    <w:rsid w:val="001221AB"/>
    <w:rsid w:val="001221EE"/>
    <w:rsid w:val="001222F2"/>
    <w:rsid w:val="00122339"/>
    <w:rsid w:val="00122362"/>
    <w:rsid w:val="001223D9"/>
    <w:rsid w:val="001223E0"/>
    <w:rsid w:val="001223FE"/>
    <w:rsid w:val="001226FE"/>
    <w:rsid w:val="00122743"/>
    <w:rsid w:val="00122A20"/>
    <w:rsid w:val="00122A67"/>
    <w:rsid w:val="00122B47"/>
    <w:rsid w:val="00122C62"/>
    <w:rsid w:val="00122CB5"/>
    <w:rsid w:val="00122D54"/>
    <w:rsid w:val="00122D6C"/>
    <w:rsid w:val="00122DEE"/>
    <w:rsid w:val="00122F68"/>
    <w:rsid w:val="0012302A"/>
    <w:rsid w:val="0012305C"/>
    <w:rsid w:val="00123396"/>
    <w:rsid w:val="001233BB"/>
    <w:rsid w:val="0012340E"/>
    <w:rsid w:val="00123490"/>
    <w:rsid w:val="001234C4"/>
    <w:rsid w:val="0012356A"/>
    <w:rsid w:val="001235E0"/>
    <w:rsid w:val="00123667"/>
    <w:rsid w:val="00123A74"/>
    <w:rsid w:val="00123AA8"/>
    <w:rsid w:val="00123B0D"/>
    <w:rsid w:val="00123C92"/>
    <w:rsid w:val="00123DBE"/>
    <w:rsid w:val="00123EAA"/>
    <w:rsid w:val="00123EC8"/>
    <w:rsid w:val="00123ED5"/>
    <w:rsid w:val="00123EF6"/>
    <w:rsid w:val="00123F22"/>
    <w:rsid w:val="00123F55"/>
    <w:rsid w:val="00123F5C"/>
    <w:rsid w:val="00123FED"/>
    <w:rsid w:val="0012405C"/>
    <w:rsid w:val="001241F5"/>
    <w:rsid w:val="00124233"/>
    <w:rsid w:val="00124376"/>
    <w:rsid w:val="001243ED"/>
    <w:rsid w:val="00124403"/>
    <w:rsid w:val="00124613"/>
    <w:rsid w:val="00124727"/>
    <w:rsid w:val="00124758"/>
    <w:rsid w:val="001247AF"/>
    <w:rsid w:val="00124806"/>
    <w:rsid w:val="0012483D"/>
    <w:rsid w:val="00124840"/>
    <w:rsid w:val="00124882"/>
    <w:rsid w:val="001249DD"/>
    <w:rsid w:val="00124C8A"/>
    <w:rsid w:val="00124CF7"/>
    <w:rsid w:val="00124E71"/>
    <w:rsid w:val="00124E82"/>
    <w:rsid w:val="00124FB3"/>
    <w:rsid w:val="0012506D"/>
    <w:rsid w:val="0012509C"/>
    <w:rsid w:val="00125406"/>
    <w:rsid w:val="0012563D"/>
    <w:rsid w:val="00125755"/>
    <w:rsid w:val="001257C0"/>
    <w:rsid w:val="001257D8"/>
    <w:rsid w:val="00125867"/>
    <w:rsid w:val="001258FA"/>
    <w:rsid w:val="001258FE"/>
    <w:rsid w:val="00125923"/>
    <w:rsid w:val="0012596E"/>
    <w:rsid w:val="00125A3F"/>
    <w:rsid w:val="00125B4C"/>
    <w:rsid w:val="00125B90"/>
    <w:rsid w:val="00125B96"/>
    <w:rsid w:val="00125D24"/>
    <w:rsid w:val="00125DA6"/>
    <w:rsid w:val="00125E4B"/>
    <w:rsid w:val="00125E5A"/>
    <w:rsid w:val="00125ED1"/>
    <w:rsid w:val="00125F07"/>
    <w:rsid w:val="001260F2"/>
    <w:rsid w:val="00126148"/>
    <w:rsid w:val="001261F8"/>
    <w:rsid w:val="0012626E"/>
    <w:rsid w:val="00126346"/>
    <w:rsid w:val="001263F3"/>
    <w:rsid w:val="0012642A"/>
    <w:rsid w:val="00126458"/>
    <w:rsid w:val="0012649E"/>
    <w:rsid w:val="001266A7"/>
    <w:rsid w:val="00126762"/>
    <w:rsid w:val="00126901"/>
    <w:rsid w:val="00126932"/>
    <w:rsid w:val="0012697D"/>
    <w:rsid w:val="00126AF0"/>
    <w:rsid w:val="00126BE3"/>
    <w:rsid w:val="00126CCB"/>
    <w:rsid w:val="00126D62"/>
    <w:rsid w:val="00126D92"/>
    <w:rsid w:val="00126DAC"/>
    <w:rsid w:val="00126E7C"/>
    <w:rsid w:val="00126E7E"/>
    <w:rsid w:val="00126F25"/>
    <w:rsid w:val="001270D9"/>
    <w:rsid w:val="001270FF"/>
    <w:rsid w:val="00127125"/>
    <w:rsid w:val="0012717A"/>
    <w:rsid w:val="001272B5"/>
    <w:rsid w:val="00127308"/>
    <w:rsid w:val="001274AD"/>
    <w:rsid w:val="0012752C"/>
    <w:rsid w:val="001275BA"/>
    <w:rsid w:val="001276C5"/>
    <w:rsid w:val="0012775E"/>
    <w:rsid w:val="00127983"/>
    <w:rsid w:val="00127B30"/>
    <w:rsid w:val="00127CA7"/>
    <w:rsid w:val="00127D02"/>
    <w:rsid w:val="00127D54"/>
    <w:rsid w:val="00127D76"/>
    <w:rsid w:val="00127F45"/>
    <w:rsid w:val="00127FB9"/>
    <w:rsid w:val="00130007"/>
    <w:rsid w:val="001301B8"/>
    <w:rsid w:val="00130257"/>
    <w:rsid w:val="00130276"/>
    <w:rsid w:val="001302D3"/>
    <w:rsid w:val="001305CE"/>
    <w:rsid w:val="001305F0"/>
    <w:rsid w:val="00130685"/>
    <w:rsid w:val="001307B8"/>
    <w:rsid w:val="0013081F"/>
    <w:rsid w:val="0013092F"/>
    <w:rsid w:val="00130953"/>
    <w:rsid w:val="00130A10"/>
    <w:rsid w:val="00130A60"/>
    <w:rsid w:val="00130AD7"/>
    <w:rsid w:val="00130B4B"/>
    <w:rsid w:val="00130CCA"/>
    <w:rsid w:val="00130FB5"/>
    <w:rsid w:val="00130FF5"/>
    <w:rsid w:val="00131200"/>
    <w:rsid w:val="0013129E"/>
    <w:rsid w:val="001312C0"/>
    <w:rsid w:val="001314A6"/>
    <w:rsid w:val="00131540"/>
    <w:rsid w:val="00131583"/>
    <w:rsid w:val="00131649"/>
    <w:rsid w:val="00131710"/>
    <w:rsid w:val="00131732"/>
    <w:rsid w:val="00131750"/>
    <w:rsid w:val="00131762"/>
    <w:rsid w:val="001317C1"/>
    <w:rsid w:val="001317F8"/>
    <w:rsid w:val="00131833"/>
    <w:rsid w:val="00131973"/>
    <w:rsid w:val="00131AE4"/>
    <w:rsid w:val="00131B81"/>
    <w:rsid w:val="00131D43"/>
    <w:rsid w:val="00131D57"/>
    <w:rsid w:val="00131E24"/>
    <w:rsid w:val="001320BD"/>
    <w:rsid w:val="0013212E"/>
    <w:rsid w:val="001321A0"/>
    <w:rsid w:val="001322BB"/>
    <w:rsid w:val="00132361"/>
    <w:rsid w:val="001323C3"/>
    <w:rsid w:val="00132414"/>
    <w:rsid w:val="001324A1"/>
    <w:rsid w:val="001327C9"/>
    <w:rsid w:val="001328B4"/>
    <w:rsid w:val="00132908"/>
    <w:rsid w:val="00132953"/>
    <w:rsid w:val="001329EC"/>
    <w:rsid w:val="00132B02"/>
    <w:rsid w:val="00132B1D"/>
    <w:rsid w:val="00132B60"/>
    <w:rsid w:val="00132B9C"/>
    <w:rsid w:val="00132C93"/>
    <w:rsid w:val="00132C95"/>
    <w:rsid w:val="00132CC8"/>
    <w:rsid w:val="00132D6E"/>
    <w:rsid w:val="00132D78"/>
    <w:rsid w:val="00132DB8"/>
    <w:rsid w:val="00132E03"/>
    <w:rsid w:val="00132EFA"/>
    <w:rsid w:val="00133148"/>
    <w:rsid w:val="0013318A"/>
    <w:rsid w:val="001331BD"/>
    <w:rsid w:val="001331C6"/>
    <w:rsid w:val="001331DD"/>
    <w:rsid w:val="00133200"/>
    <w:rsid w:val="001332B7"/>
    <w:rsid w:val="0013335D"/>
    <w:rsid w:val="0013337F"/>
    <w:rsid w:val="00133407"/>
    <w:rsid w:val="00133445"/>
    <w:rsid w:val="0013348B"/>
    <w:rsid w:val="00133622"/>
    <w:rsid w:val="001336BF"/>
    <w:rsid w:val="00133716"/>
    <w:rsid w:val="00133759"/>
    <w:rsid w:val="0013387A"/>
    <w:rsid w:val="00133925"/>
    <w:rsid w:val="0013394C"/>
    <w:rsid w:val="001339C2"/>
    <w:rsid w:val="001339F2"/>
    <w:rsid w:val="00133A2D"/>
    <w:rsid w:val="00133BC0"/>
    <w:rsid w:val="00133BF5"/>
    <w:rsid w:val="00133CA9"/>
    <w:rsid w:val="00133D1C"/>
    <w:rsid w:val="00133D3A"/>
    <w:rsid w:val="00133E33"/>
    <w:rsid w:val="00133E47"/>
    <w:rsid w:val="0013400E"/>
    <w:rsid w:val="001340CC"/>
    <w:rsid w:val="001340D0"/>
    <w:rsid w:val="001340FA"/>
    <w:rsid w:val="00134112"/>
    <w:rsid w:val="0013417C"/>
    <w:rsid w:val="00134188"/>
    <w:rsid w:val="0013441D"/>
    <w:rsid w:val="00134456"/>
    <w:rsid w:val="00134551"/>
    <w:rsid w:val="0013456C"/>
    <w:rsid w:val="001345E8"/>
    <w:rsid w:val="001346AD"/>
    <w:rsid w:val="001346B3"/>
    <w:rsid w:val="0013474A"/>
    <w:rsid w:val="00134761"/>
    <w:rsid w:val="001347A2"/>
    <w:rsid w:val="00134831"/>
    <w:rsid w:val="00134857"/>
    <w:rsid w:val="00134A7B"/>
    <w:rsid w:val="00134B4F"/>
    <w:rsid w:val="00134C8D"/>
    <w:rsid w:val="00134D15"/>
    <w:rsid w:val="00134F0C"/>
    <w:rsid w:val="00134FA0"/>
    <w:rsid w:val="00134FE0"/>
    <w:rsid w:val="00134FEE"/>
    <w:rsid w:val="00134FFB"/>
    <w:rsid w:val="0013516D"/>
    <w:rsid w:val="00135298"/>
    <w:rsid w:val="00135301"/>
    <w:rsid w:val="0013539B"/>
    <w:rsid w:val="00135449"/>
    <w:rsid w:val="00135482"/>
    <w:rsid w:val="00135644"/>
    <w:rsid w:val="00135659"/>
    <w:rsid w:val="00135689"/>
    <w:rsid w:val="00135834"/>
    <w:rsid w:val="00135849"/>
    <w:rsid w:val="001359A1"/>
    <w:rsid w:val="00135A3F"/>
    <w:rsid w:val="00135A41"/>
    <w:rsid w:val="00135A51"/>
    <w:rsid w:val="00135B26"/>
    <w:rsid w:val="00135B76"/>
    <w:rsid w:val="00135BBF"/>
    <w:rsid w:val="00135D1C"/>
    <w:rsid w:val="00135E33"/>
    <w:rsid w:val="00135ECF"/>
    <w:rsid w:val="00135F53"/>
    <w:rsid w:val="00135FF7"/>
    <w:rsid w:val="00136154"/>
    <w:rsid w:val="0013639E"/>
    <w:rsid w:val="001363AF"/>
    <w:rsid w:val="0013647C"/>
    <w:rsid w:val="00136489"/>
    <w:rsid w:val="001364D0"/>
    <w:rsid w:val="001365F1"/>
    <w:rsid w:val="0013663E"/>
    <w:rsid w:val="001366A2"/>
    <w:rsid w:val="00136812"/>
    <w:rsid w:val="0013685F"/>
    <w:rsid w:val="001368E5"/>
    <w:rsid w:val="001368FD"/>
    <w:rsid w:val="00136AB3"/>
    <w:rsid w:val="00136B59"/>
    <w:rsid w:val="00136B66"/>
    <w:rsid w:val="00136CB5"/>
    <w:rsid w:val="00136D20"/>
    <w:rsid w:val="00136E40"/>
    <w:rsid w:val="00136E6C"/>
    <w:rsid w:val="00136ECD"/>
    <w:rsid w:val="00136F09"/>
    <w:rsid w:val="00136F0F"/>
    <w:rsid w:val="00136F1D"/>
    <w:rsid w:val="00136FDA"/>
    <w:rsid w:val="00137054"/>
    <w:rsid w:val="00137316"/>
    <w:rsid w:val="001374E3"/>
    <w:rsid w:val="001375B5"/>
    <w:rsid w:val="001376B9"/>
    <w:rsid w:val="001376D3"/>
    <w:rsid w:val="00137800"/>
    <w:rsid w:val="0013781E"/>
    <w:rsid w:val="001378A8"/>
    <w:rsid w:val="001378C7"/>
    <w:rsid w:val="001378D5"/>
    <w:rsid w:val="001378D9"/>
    <w:rsid w:val="001379E9"/>
    <w:rsid w:val="00137A35"/>
    <w:rsid w:val="00137A97"/>
    <w:rsid w:val="00137BFF"/>
    <w:rsid w:val="00137E13"/>
    <w:rsid w:val="00137E1C"/>
    <w:rsid w:val="00137E34"/>
    <w:rsid w:val="00137EA5"/>
    <w:rsid w:val="00137EC2"/>
    <w:rsid w:val="00137ED2"/>
    <w:rsid w:val="00137EEC"/>
    <w:rsid w:val="00137EEF"/>
    <w:rsid w:val="00137F33"/>
    <w:rsid w:val="00137F5F"/>
    <w:rsid w:val="00137FD3"/>
    <w:rsid w:val="00140163"/>
    <w:rsid w:val="001401D2"/>
    <w:rsid w:val="001401DD"/>
    <w:rsid w:val="001402F5"/>
    <w:rsid w:val="00140359"/>
    <w:rsid w:val="00140516"/>
    <w:rsid w:val="00140526"/>
    <w:rsid w:val="001406C0"/>
    <w:rsid w:val="0014075A"/>
    <w:rsid w:val="00140799"/>
    <w:rsid w:val="001407C1"/>
    <w:rsid w:val="001407CC"/>
    <w:rsid w:val="00140848"/>
    <w:rsid w:val="00140878"/>
    <w:rsid w:val="001408FE"/>
    <w:rsid w:val="0014097E"/>
    <w:rsid w:val="00140A18"/>
    <w:rsid w:val="00140A9D"/>
    <w:rsid w:val="00140B79"/>
    <w:rsid w:val="00140C11"/>
    <w:rsid w:val="00140C5C"/>
    <w:rsid w:val="00140C5E"/>
    <w:rsid w:val="00140C65"/>
    <w:rsid w:val="00140C7B"/>
    <w:rsid w:val="00140CA2"/>
    <w:rsid w:val="00140E19"/>
    <w:rsid w:val="00140E88"/>
    <w:rsid w:val="00140E89"/>
    <w:rsid w:val="00140ECC"/>
    <w:rsid w:val="00140F38"/>
    <w:rsid w:val="00140FDF"/>
    <w:rsid w:val="0014100C"/>
    <w:rsid w:val="0014102E"/>
    <w:rsid w:val="001412C1"/>
    <w:rsid w:val="001412DB"/>
    <w:rsid w:val="00141463"/>
    <w:rsid w:val="00141532"/>
    <w:rsid w:val="00141560"/>
    <w:rsid w:val="001415EE"/>
    <w:rsid w:val="001416B0"/>
    <w:rsid w:val="00141706"/>
    <w:rsid w:val="00141773"/>
    <w:rsid w:val="001417CA"/>
    <w:rsid w:val="0014193C"/>
    <w:rsid w:val="00141949"/>
    <w:rsid w:val="00141987"/>
    <w:rsid w:val="00141A13"/>
    <w:rsid w:val="00141A14"/>
    <w:rsid w:val="00141B78"/>
    <w:rsid w:val="00141C71"/>
    <w:rsid w:val="00141CA6"/>
    <w:rsid w:val="00141D9D"/>
    <w:rsid w:val="00141DDC"/>
    <w:rsid w:val="00141DE8"/>
    <w:rsid w:val="00141E07"/>
    <w:rsid w:val="00141E12"/>
    <w:rsid w:val="00141E22"/>
    <w:rsid w:val="00141E99"/>
    <w:rsid w:val="00141EC6"/>
    <w:rsid w:val="00141FBC"/>
    <w:rsid w:val="00141FEB"/>
    <w:rsid w:val="001420CC"/>
    <w:rsid w:val="001420F2"/>
    <w:rsid w:val="00142120"/>
    <w:rsid w:val="00142180"/>
    <w:rsid w:val="00142192"/>
    <w:rsid w:val="00142242"/>
    <w:rsid w:val="00142245"/>
    <w:rsid w:val="00142307"/>
    <w:rsid w:val="0014236A"/>
    <w:rsid w:val="001423DC"/>
    <w:rsid w:val="0014242D"/>
    <w:rsid w:val="00142777"/>
    <w:rsid w:val="00142786"/>
    <w:rsid w:val="0014287E"/>
    <w:rsid w:val="00142915"/>
    <w:rsid w:val="001429F1"/>
    <w:rsid w:val="00142A03"/>
    <w:rsid w:val="00142B53"/>
    <w:rsid w:val="00142C28"/>
    <w:rsid w:val="00142C2A"/>
    <w:rsid w:val="00142CAB"/>
    <w:rsid w:val="00142CAD"/>
    <w:rsid w:val="00142D80"/>
    <w:rsid w:val="00142DD6"/>
    <w:rsid w:val="00142EB8"/>
    <w:rsid w:val="00142F7A"/>
    <w:rsid w:val="00142FA2"/>
    <w:rsid w:val="00142FB4"/>
    <w:rsid w:val="00142FF3"/>
    <w:rsid w:val="00143094"/>
    <w:rsid w:val="0014323C"/>
    <w:rsid w:val="0014329E"/>
    <w:rsid w:val="001432C7"/>
    <w:rsid w:val="00143335"/>
    <w:rsid w:val="0014347F"/>
    <w:rsid w:val="001434B8"/>
    <w:rsid w:val="001434E1"/>
    <w:rsid w:val="0014352E"/>
    <w:rsid w:val="00143562"/>
    <w:rsid w:val="001435AB"/>
    <w:rsid w:val="0014364E"/>
    <w:rsid w:val="00143703"/>
    <w:rsid w:val="0014374A"/>
    <w:rsid w:val="0014376A"/>
    <w:rsid w:val="0014384D"/>
    <w:rsid w:val="00143851"/>
    <w:rsid w:val="00143903"/>
    <w:rsid w:val="00143996"/>
    <w:rsid w:val="001439A3"/>
    <w:rsid w:val="001439B1"/>
    <w:rsid w:val="001439B5"/>
    <w:rsid w:val="00143A2C"/>
    <w:rsid w:val="00143AB1"/>
    <w:rsid w:val="00143B97"/>
    <w:rsid w:val="00143C48"/>
    <w:rsid w:val="00143CF7"/>
    <w:rsid w:val="00143F14"/>
    <w:rsid w:val="00143F53"/>
    <w:rsid w:val="00144042"/>
    <w:rsid w:val="001440F6"/>
    <w:rsid w:val="001442C5"/>
    <w:rsid w:val="0014435D"/>
    <w:rsid w:val="00144487"/>
    <w:rsid w:val="001444CF"/>
    <w:rsid w:val="0014467F"/>
    <w:rsid w:val="00144808"/>
    <w:rsid w:val="0014488D"/>
    <w:rsid w:val="00144908"/>
    <w:rsid w:val="00144AEF"/>
    <w:rsid w:val="00144B68"/>
    <w:rsid w:val="00144B7A"/>
    <w:rsid w:val="00144C7F"/>
    <w:rsid w:val="00144D47"/>
    <w:rsid w:val="00144E85"/>
    <w:rsid w:val="00144E97"/>
    <w:rsid w:val="00144EE2"/>
    <w:rsid w:val="00144F38"/>
    <w:rsid w:val="00144FF3"/>
    <w:rsid w:val="00145015"/>
    <w:rsid w:val="001450CE"/>
    <w:rsid w:val="00145102"/>
    <w:rsid w:val="0014514C"/>
    <w:rsid w:val="001451E4"/>
    <w:rsid w:val="001453E3"/>
    <w:rsid w:val="001453F1"/>
    <w:rsid w:val="0014542B"/>
    <w:rsid w:val="001454D5"/>
    <w:rsid w:val="001454D9"/>
    <w:rsid w:val="00145686"/>
    <w:rsid w:val="001456CE"/>
    <w:rsid w:val="001456D4"/>
    <w:rsid w:val="00145730"/>
    <w:rsid w:val="0014586B"/>
    <w:rsid w:val="00145907"/>
    <w:rsid w:val="0014590E"/>
    <w:rsid w:val="00145A12"/>
    <w:rsid w:val="00145AF1"/>
    <w:rsid w:val="00145D04"/>
    <w:rsid w:val="00145D1E"/>
    <w:rsid w:val="00145D4F"/>
    <w:rsid w:val="00145D66"/>
    <w:rsid w:val="00145DB6"/>
    <w:rsid w:val="00145DD9"/>
    <w:rsid w:val="00145DE9"/>
    <w:rsid w:val="00145E3A"/>
    <w:rsid w:val="00145E9C"/>
    <w:rsid w:val="00145ED3"/>
    <w:rsid w:val="00145F61"/>
    <w:rsid w:val="00146005"/>
    <w:rsid w:val="00146180"/>
    <w:rsid w:val="0014628A"/>
    <w:rsid w:val="0014634E"/>
    <w:rsid w:val="00146417"/>
    <w:rsid w:val="00146512"/>
    <w:rsid w:val="0014651B"/>
    <w:rsid w:val="0014656C"/>
    <w:rsid w:val="0014663C"/>
    <w:rsid w:val="00146726"/>
    <w:rsid w:val="0014682F"/>
    <w:rsid w:val="00146911"/>
    <w:rsid w:val="00146984"/>
    <w:rsid w:val="00146BB7"/>
    <w:rsid w:val="00146C8C"/>
    <w:rsid w:val="00146CEE"/>
    <w:rsid w:val="00146D67"/>
    <w:rsid w:val="00146F8A"/>
    <w:rsid w:val="00146FEF"/>
    <w:rsid w:val="00147009"/>
    <w:rsid w:val="00147069"/>
    <w:rsid w:val="001470CF"/>
    <w:rsid w:val="001472B5"/>
    <w:rsid w:val="0014732B"/>
    <w:rsid w:val="00147351"/>
    <w:rsid w:val="0014738C"/>
    <w:rsid w:val="001473C8"/>
    <w:rsid w:val="00147617"/>
    <w:rsid w:val="00147640"/>
    <w:rsid w:val="00147775"/>
    <w:rsid w:val="001478E9"/>
    <w:rsid w:val="001479AE"/>
    <w:rsid w:val="001479DE"/>
    <w:rsid w:val="00147AD1"/>
    <w:rsid w:val="00147AFF"/>
    <w:rsid w:val="00147B72"/>
    <w:rsid w:val="00147BBF"/>
    <w:rsid w:val="00147BE7"/>
    <w:rsid w:val="00147E75"/>
    <w:rsid w:val="00147F0F"/>
    <w:rsid w:val="00147FE6"/>
    <w:rsid w:val="00150057"/>
    <w:rsid w:val="001501A8"/>
    <w:rsid w:val="00150340"/>
    <w:rsid w:val="00150347"/>
    <w:rsid w:val="0015038F"/>
    <w:rsid w:val="00150548"/>
    <w:rsid w:val="00150587"/>
    <w:rsid w:val="001505F9"/>
    <w:rsid w:val="00150642"/>
    <w:rsid w:val="00150685"/>
    <w:rsid w:val="001506DD"/>
    <w:rsid w:val="00150763"/>
    <w:rsid w:val="0015077F"/>
    <w:rsid w:val="00150885"/>
    <w:rsid w:val="001509E7"/>
    <w:rsid w:val="00150A3E"/>
    <w:rsid w:val="00150B5C"/>
    <w:rsid w:val="00150B5E"/>
    <w:rsid w:val="00150B84"/>
    <w:rsid w:val="00150C4B"/>
    <w:rsid w:val="00150DC8"/>
    <w:rsid w:val="00150F45"/>
    <w:rsid w:val="001510C9"/>
    <w:rsid w:val="00151503"/>
    <w:rsid w:val="001515ED"/>
    <w:rsid w:val="001516A9"/>
    <w:rsid w:val="001516DB"/>
    <w:rsid w:val="00151816"/>
    <w:rsid w:val="00151975"/>
    <w:rsid w:val="001519DD"/>
    <w:rsid w:val="001519E9"/>
    <w:rsid w:val="001519F1"/>
    <w:rsid w:val="00151BF5"/>
    <w:rsid w:val="00151D4F"/>
    <w:rsid w:val="00151DDC"/>
    <w:rsid w:val="00151F76"/>
    <w:rsid w:val="0015208D"/>
    <w:rsid w:val="0015216C"/>
    <w:rsid w:val="0015220F"/>
    <w:rsid w:val="0015226F"/>
    <w:rsid w:val="0015229D"/>
    <w:rsid w:val="00152312"/>
    <w:rsid w:val="00152417"/>
    <w:rsid w:val="00152450"/>
    <w:rsid w:val="00152484"/>
    <w:rsid w:val="00152498"/>
    <w:rsid w:val="001524DF"/>
    <w:rsid w:val="0015256C"/>
    <w:rsid w:val="001525CD"/>
    <w:rsid w:val="0015268E"/>
    <w:rsid w:val="001527F9"/>
    <w:rsid w:val="0015297B"/>
    <w:rsid w:val="001529B9"/>
    <w:rsid w:val="00152A63"/>
    <w:rsid w:val="00152B43"/>
    <w:rsid w:val="00152C8B"/>
    <w:rsid w:val="00152EDA"/>
    <w:rsid w:val="00152EFC"/>
    <w:rsid w:val="00152F06"/>
    <w:rsid w:val="00152F6D"/>
    <w:rsid w:val="00152F77"/>
    <w:rsid w:val="00152FDE"/>
    <w:rsid w:val="00152FE2"/>
    <w:rsid w:val="00153045"/>
    <w:rsid w:val="001530F8"/>
    <w:rsid w:val="001531DF"/>
    <w:rsid w:val="0015321B"/>
    <w:rsid w:val="00153236"/>
    <w:rsid w:val="00153412"/>
    <w:rsid w:val="00153544"/>
    <w:rsid w:val="00153640"/>
    <w:rsid w:val="0015373B"/>
    <w:rsid w:val="001537B8"/>
    <w:rsid w:val="00153865"/>
    <w:rsid w:val="0015386D"/>
    <w:rsid w:val="0015398F"/>
    <w:rsid w:val="001539A0"/>
    <w:rsid w:val="00153A12"/>
    <w:rsid w:val="00153B4B"/>
    <w:rsid w:val="00153B6B"/>
    <w:rsid w:val="00153BB4"/>
    <w:rsid w:val="00153E9F"/>
    <w:rsid w:val="00153EE3"/>
    <w:rsid w:val="00153FFD"/>
    <w:rsid w:val="001540F4"/>
    <w:rsid w:val="00154106"/>
    <w:rsid w:val="00154111"/>
    <w:rsid w:val="00154119"/>
    <w:rsid w:val="001542EB"/>
    <w:rsid w:val="0015443F"/>
    <w:rsid w:val="001544FD"/>
    <w:rsid w:val="0015463B"/>
    <w:rsid w:val="0015476D"/>
    <w:rsid w:val="001547D9"/>
    <w:rsid w:val="00154883"/>
    <w:rsid w:val="00154884"/>
    <w:rsid w:val="00154936"/>
    <w:rsid w:val="001549DE"/>
    <w:rsid w:val="00154CD8"/>
    <w:rsid w:val="00154CE9"/>
    <w:rsid w:val="00154CF4"/>
    <w:rsid w:val="00154D1B"/>
    <w:rsid w:val="00154D25"/>
    <w:rsid w:val="00154D5E"/>
    <w:rsid w:val="00154DCA"/>
    <w:rsid w:val="00154DF1"/>
    <w:rsid w:val="00154E5B"/>
    <w:rsid w:val="00154EBE"/>
    <w:rsid w:val="00154ECD"/>
    <w:rsid w:val="00154F92"/>
    <w:rsid w:val="001550CB"/>
    <w:rsid w:val="001550E5"/>
    <w:rsid w:val="001551A7"/>
    <w:rsid w:val="0015520A"/>
    <w:rsid w:val="00155215"/>
    <w:rsid w:val="0015528F"/>
    <w:rsid w:val="001552AD"/>
    <w:rsid w:val="001552E9"/>
    <w:rsid w:val="00155353"/>
    <w:rsid w:val="0015538E"/>
    <w:rsid w:val="00155553"/>
    <w:rsid w:val="001555AF"/>
    <w:rsid w:val="0015576F"/>
    <w:rsid w:val="001557AF"/>
    <w:rsid w:val="001557B7"/>
    <w:rsid w:val="001557D5"/>
    <w:rsid w:val="00155A9E"/>
    <w:rsid w:val="00155B22"/>
    <w:rsid w:val="00155D2A"/>
    <w:rsid w:val="00155F2F"/>
    <w:rsid w:val="00155F75"/>
    <w:rsid w:val="00155F9E"/>
    <w:rsid w:val="0015602B"/>
    <w:rsid w:val="00156176"/>
    <w:rsid w:val="0015628F"/>
    <w:rsid w:val="001562A9"/>
    <w:rsid w:val="001562EB"/>
    <w:rsid w:val="00156303"/>
    <w:rsid w:val="00156403"/>
    <w:rsid w:val="00156531"/>
    <w:rsid w:val="001566A2"/>
    <w:rsid w:val="0015672A"/>
    <w:rsid w:val="0015672C"/>
    <w:rsid w:val="00156770"/>
    <w:rsid w:val="00156889"/>
    <w:rsid w:val="0015691C"/>
    <w:rsid w:val="00156A4C"/>
    <w:rsid w:val="00156AD9"/>
    <w:rsid w:val="00156B5A"/>
    <w:rsid w:val="00156BF9"/>
    <w:rsid w:val="00156C7F"/>
    <w:rsid w:val="00156CB6"/>
    <w:rsid w:val="00156D05"/>
    <w:rsid w:val="00156E37"/>
    <w:rsid w:val="00156E45"/>
    <w:rsid w:val="00156E7D"/>
    <w:rsid w:val="00156EA6"/>
    <w:rsid w:val="00156FEE"/>
    <w:rsid w:val="0015709C"/>
    <w:rsid w:val="001571E4"/>
    <w:rsid w:val="001571FB"/>
    <w:rsid w:val="0015721A"/>
    <w:rsid w:val="00157226"/>
    <w:rsid w:val="0015726D"/>
    <w:rsid w:val="0015730B"/>
    <w:rsid w:val="00157388"/>
    <w:rsid w:val="00157432"/>
    <w:rsid w:val="0015747E"/>
    <w:rsid w:val="001574A6"/>
    <w:rsid w:val="001576A9"/>
    <w:rsid w:val="001576D2"/>
    <w:rsid w:val="0015777E"/>
    <w:rsid w:val="001577A3"/>
    <w:rsid w:val="001577A6"/>
    <w:rsid w:val="001577B7"/>
    <w:rsid w:val="001577E3"/>
    <w:rsid w:val="00157867"/>
    <w:rsid w:val="00157891"/>
    <w:rsid w:val="00157A29"/>
    <w:rsid w:val="00157AB2"/>
    <w:rsid w:val="00157BC4"/>
    <w:rsid w:val="00157C20"/>
    <w:rsid w:val="00157D05"/>
    <w:rsid w:val="00157D82"/>
    <w:rsid w:val="00157E5C"/>
    <w:rsid w:val="00157E74"/>
    <w:rsid w:val="00157EC8"/>
    <w:rsid w:val="00157ED2"/>
    <w:rsid w:val="00157F2B"/>
    <w:rsid w:val="00157FFC"/>
    <w:rsid w:val="00157FFD"/>
    <w:rsid w:val="0016007C"/>
    <w:rsid w:val="001600E2"/>
    <w:rsid w:val="001601C1"/>
    <w:rsid w:val="001601D9"/>
    <w:rsid w:val="001601F2"/>
    <w:rsid w:val="00160214"/>
    <w:rsid w:val="00160293"/>
    <w:rsid w:val="001604C5"/>
    <w:rsid w:val="001604CA"/>
    <w:rsid w:val="001605AF"/>
    <w:rsid w:val="0016068C"/>
    <w:rsid w:val="001606AE"/>
    <w:rsid w:val="001607A3"/>
    <w:rsid w:val="001608BD"/>
    <w:rsid w:val="0016091E"/>
    <w:rsid w:val="00160929"/>
    <w:rsid w:val="00160A01"/>
    <w:rsid w:val="00160AE4"/>
    <w:rsid w:val="00160BA3"/>
    <w:rsid w:val="00160D9E"/>
    <w:rsid w:val="00160ECC"/>
    <w:rsid w:val="00160F27"/>
    <w:rsid w:val="00160F4C"/>
    <w:rsid w:val="00160F79"/>
    <w:rsid w:val="00160FAC"/>
    <w:rsid w:val="00160FE5"/>
    <w:rsid w:val="00161028"/>
    <w:rsid w:val="00161077"/>
    <w:rsid w:val="001610F0"/>
    <w:rsid w:val="001611A0"/>
    <w:rsid w:val="00161393"/>
    <w:rsid w:val="00161454"/>
    <w:rsid w:val="00161610"/>
    <w:rsid w:val="00161637"/>
    <w:rsid w:val="00161750"/>
    <w:rsid w:val="0016181B"/>
    <w:rsid w:val="00161877"/>
    <w:rsid w:val="0016197D"/>
    <w:rsid w:val="00161A45"/>
    <w:rsid w:val="00161A4E"/>
    <w:rsid w:val="00161B0B"/>
    <w:rsid w:val="00161B57"/>
    <w:rsid w:val="00161B69"/>
    <w:rsid w:val="00161D1E"/>
    <w:rsid w:val="00161DC5"/>
    <w:rsid w:val="00161F68"/>
    <w:rsid w:val="00161FD4"/>
    <w:rsid w:val="00161FFB"/>
    <w:rsid w:val="001621BD"/>
    <w:rsid w:val="00162345"/>
    <w:rsid w:val="00162393"/>
    <w:rsid w:val="001623E2"/>
    <w:rsid w:val="001624BA"/>
    <w:rsid w:val="001624BF"/>
    <w:rsid w:val="001624E6"/>
    <w:rsid w:val="00162621"/>
    <w:rsid w:val="0016265A"/>
    <w:rsid w:val="00162708"/>
    <w:rsid w:val="001628D1"/>
    <w:rsid w:val="00162914"/>
    <w:rsid w:val="0016291A"/>
    <w:rsid w:val="00162B04"/>
    <w:rsid w:val="00162C58"/>
    <w:rsid w:val="00162CCB"/>
    <w:rsid w:val="00162D53"/>
    <w:rsid w:val="00162E47"/>
    <w:rsid w:val="001630E4"/>
    <w:rsid w:val="001630FA"/>
    <w:rsid w:val="00163141"/>
    <w:rsid w:val="0016314F"/>
    <w:rsid w:val="001632BB"/>
    <w:rsid w:val="001632C5"/>
    <w:rsid w:val="001633D9"/>
    <w:rsid w:val="001633E3"/>
    <w:rsid w:val="0016341E"/>
    <w:rsid w:val="001634DF"/>
    <w:rsid w:val="001634E5"/>
    <w:rsid w:val="001634FD"/>
    <w:rsid w:val="0016351A"/>
    <w:rsid w:val="0016365A"/>
    <w:rsid w:val="00163741"/>
    <w:rsid w:val="00163752"/>
    <w:rsid w:val="001638D7"/>
    <w:rsid w:val="00163969"/>
    <w:rsid w:val="001639E4"/>
    <w:rsid w:val="00163ACF"/>
    <w:rsid w:val="00163B6B"/>
    <w:rsid w:val="00163CB9"/>
    <w:rsid w:val="00163D62"/>
    <w:rsid w:val="00163DB7"/>
    <w:rsid w:val="00163E2C"/>
    <w:rsid w:val="00163E82"/>
    <w:rsid w:val="00163FD1"/>
    <w:rsid w:val="0016418B"/>
    <w:rsid w:val="001644A7"/>
    <w:rsid w:val="001644EB"/>
    <w:rsid w:val="0016458B"/>
    <w:rsid w:val="00164609"/>
    <w:rsid w:val="001646C3"/>
    <w:rsid w:val="00164782"/>
    <w:rsid w:val="0016488F"/>
    <w:rsid w:val="001648F5"/>
    <w:rsid w:val="00164B57"/>
    <w:rsid w:val="00164BB4"/>
    <w:rsid w:val="00164BBB"/>
    <w:rsid w:val="00164C8E"/>
    <w:rsid w:val="00164C94"/>
    <w:rsid w:val="00164E43"/>
    <w:rsid w:val="00164EB3"/>
    <w:rsid w:val="00164ED4"/>
    <w:rsid w:val="00164EE2"/>
    <w:rsid w:val="00164EE8"/>
    <w:rsid w:val="0016509E"/>
    <w:rsid w:val="0016514D"/>
    <w:rsid w:val="00165234"/>
    <w:rsid w:val="001652A4"/>
    <w:rsid w:val="001652AC"/>
    <w:rsid w:val="001652DB"/>
    <w:rsid w:val="00165329"/>
    <w:rsid w:val="00165391"/>
    <w:rsid w:val="0016539C"/>
    <w:rsid w:val="0016559C"/>
    <w:rsid w:val="0016565C"/>
    <w:rsid w:val="001656B7"/>
    <w:rsid w:val="001657A3"/>
    <w:rsid w:val="001657A5"/>
    <w:rsid w:val="001657CF"/>
    <w:rsid w:val="001657E9"/>
    <w:rsid w:val="001657F8"/>
    <w:rsid w:val="00165815"/>
    <w:rsid w:val="0016598C"/>
    <w:rsid w:val="00165A46"/>
    <w:rsid w:val="00165A8C"/>
    <w:rsid w:val="00165ABC"/>
    <w:rsid w:val="00165B2E"/>
    <w:rsid w:val="00165B58"/>
    <w:rsid w:val="00165B8A"/>
    <w:rsid w:val="00165C99"/>
    <w:rsid w:val="00165CD8"/>
    <w:rsid w:val="00165D22"/>
    <w:rsid w:val="00165D49"/>
    <w:rsid w:val="00165D51"/>
    <w:rsid w:val="00165DBA"/>
    <w:rsid w:val="0016610D"/>
    <w:rsid w:val="00166115"/>
    <w:rsid w:val="001661D8"/>
    <w:rsid w:val="00166215"/>
    <w:rsid w:val="0016625E"/>
    <w:rsid w:val="001662AF"/>
    <w:rsid w:val="001662DA"/>
    <w:rsid w:val="001662E0"/>
    <w:rsid w:val="00166311"/>
    <w:rsid w:val="0016633D"/>
    <w:rsid w:val="00166613"/>
    <w:rsid w:val="0016662D"/>
    <w:rsid w:val="001666FC"/>
    <w:rsid w:val="00166842"/>
    <w:rsid w:val="001669D5"/>
    <w:rsid w:val="00166B07"/>
    <w:rsid w:val="00166BD3"/>
    <w:rsid w:val="00166BD5"/>
    <w:rsid w:val="00166C2B"/>
    <w:rsid w:val="00166D7A"/>
    <w:rsid w:val="00166E3A"/>
    <w:rsid w:val="00166EA1"/>
    <w:rsid w:val="00166ECB"/>
    <w:rsid w:val="00166F24"/>
    <w:rsid w:val="00166F67"/>
    <w:rsid w:val="00167009"/>
    <w:rsid w:val="0016706D"/>
    <w:rsid w:val="00167194"/>
    <w:rsid w:val="00167365"/>
    <w:rsid w:val="00167409"/>
    <w:rsid w:val="0016744F"/>
    <w:rsid w:val="001674F1"/>
    <w:rsid w:val="001675DB"/>
    <w:rsid w:val="0016768B"/>
    <w:rsid w:val="00167702"/>
    <w:rsid w:val="0016772A"/>
    <w:rsid w:val="00167796"/>
    <w:rsid w:val="00167823"/>
    <w:rsid w:val="0016790B"/>
    <w:rsid w:val="00167916"/>
    <w:rsid w:val="00167989"/>
    <w:rsid w:val="00167A06"/>
    <w:rsid w:val="00167A8F"/>
    <w:rsid w:val="00167AAB"/>
    <w:rsid w:val="00167B0A"/>
    <w:rsid w:val="00167BD2"/>
    <w:rsid w:val="00167D3E"/>
    <w:rsid w:val="00167D70"/>
    <w:rsid w:val="00167DC8"/>
    <w:rsid w:val="00167DCF"/>
    <w:rsid w:val="00167E36"/>
    <w:rsid w:val="00167F34"/>
    <w:rsid w:val="00170101"/>
    <w:rsid w:val="00170315"/>
    <w:rsid w:val="0017040F"/>
    <w:rsid w:val="00170442"/>
    <w:rsid w:val="001704AE"/>
    <w:rsid w:val="00170577"/>
    <w:rsid w:val="001705A6"/>
    <w:rsid w:val="001705C3"/>
    <w:rsid w:val="001705E6"/>
    <w:rsid w:val="00170629"/>
    <w:rsid w:val="00170663"/>
    <w:rsid w:val="001706A6"/>
    <w:rsid w:val="00170756"/>
    <w:rsid w:val="0017077A"/>
    <w:rsid w:val="001707AF"/>
    <w:rsid w:val="00170825"/>
    <w:rsid w:val="00170909"/>
    <w:rsid w:val="00170A9B"/>
    <w:rsid w:val="00170B01"/>
    <w:rsid w:val="00170B45"/>
    <w:rsid w:val="00170BC9"/>
    <w:rsid w:val="00170C72"/>
    <w:rsid w:val="00170C88"/>
    <w:rsid w:val="00170C9B"/>
    <w:rsid w:val="00170CD5"/>
    <w:rsid w:val="00170D56"/>
    <w:rsid w:val="00170DB1"/>
    <w:rsid w:val="00170DCF"/>
    <w:rsid w:val="00170DE5"/>
    <w:rsid w:val="00170DEE"/>
    <w:rsid w:val="00170EA5"/>
    <w:rsid w:val="00170EB4"/>
    <w:rsid w:val="00170EDE"/>
    <w:rsid w:val="00170F2C"/>
    <w:rsid w:val="00170FAD"/>
    <w:rsid w:val="00171039"/>
    <w:rsid w:val="0017125B"/>
    <w:rsid w:val="001713E3"/>
    <w:rsid w:val="00171566"/>
    <w:rsid w:val="0017161A"/>
    <w:rsid w:val="001716E8"/>
    <w:rsid w:val="0017170D"/>
    <w:rsid w:val="00171847"/>
    <w:rsid w:val="001719D8"/>
    <w:rsid w:val="00171A18"/>
    <w:rsid w:val="00171A5D"/>
    <w:rsid w:val="00171B34"/>
    <w:rsid w:val="00171B97"/>
    <w:rsid w:val="00171BE9"/>
    <w:rsid w:val="00171C78"/>
    <w:rsid w:val="00171D83"/>
    <w:rsid w:val="00171E61"/>
    <w:rsid w:val="00171EA1"/>
    <w:rsid w:val="00171EBF"/>
    <w:rsid w:val="00171FCD"/>
    <w:rsid w:val="0017212E"/>
    <w:rsid w:val="00172231"/>
    <w:rsid w:val="0017225F"/>
    <w:rsid w:val="00172501"/>
    <w:rsid w:val="0017251E"/>
    <w:rsid w:val="00172660"/>
    <w:rsid w:val="001726E2"/>
    <w:rsid w:val="00172756"/>
    <w:rsid w:val="001728CE"/>
    <w:rsid w:val="00172916"/>
    <w:rsid w:val="001729DD"/>
    <w:rsid w:val="00172AAF"/>
    <w:rsid w:val="00172ACE"/>
    <w:rsid w:val="00172AE4"/>
    <w:rsid w:val="00172B50"/>
    <w:rsid w:val="00172CD5"/>
    <w:rsid w:val="00172CD8"/>
    <w:rsid w:val="00172DB8"/>
    <w:rsid w:val="00172FA1"/>
    <w:rsid w:val="00173015"/>
    <w:rsid w:val="00173054"/>
    <w:rsid w:val="001731AF"/>
    <w:rsid w:val="001731C2"/>
    <w:rsid w:val="0017325C"/>
    <w:rsid w:val="00173441"/>
    <w:rsid w:val="001734D1"/>
    <w:rsid w:val="0017360C"/>
    <w:rsid w:val="0017371C"/>
    <w:rsid w:val="0017385B"/>
    <w:rsid w:val="00173973"/>
    <w:rsid w:val="00173A72"/>
    <w:rsid w:val="00173A92"/>
    <w:rsid w:val="00173AA9"/>
    <w:rsid w:val="00173AEB"/>
    <w:rsid w:val="00173B08"/>
    <w:rsid w:val="00173B28"/>
    <w:rsid w:val="00173BA3"/>
    <w:rsid w:val="00173C31"/>
    <w:rsid w:val="00173CD8"/>
    <w:rsid w:val="00173D67"/>
    <w:rsid w:val="00173E7F"/>
    <w:rsid w:val="00173F69"/>
    <w:rsid w:val="00173F9B"/>
    <w:rsid w:val="00173FE6"/>
    <w:rsid w:val="001743F9"/>
    <w:rsid w:val="00174620"/>
    <w:rsid w:val="00174765"/>
    <w:rsid w:val="001747A5"/>
    <w:rsid w:val="0017488E"/>
    <w:rsid w:val="0017490A"/>
    <w:rsid w:val="0017495B"/>
    <w:rsid w:val="001749B9"/>
    <w:rsid w:val="00174A37"/>
    <w:rsid w:val="00174A85"/>
    <w:rsid w:val="00174AE7"/>
    <w:rsid w:val="00174B28"/>
    <w:rsid w:val="00174C1A"/>
    <w:rsid w:val="00174C35"/>
    <w:rsid w:val="00174DB8"/>
    <w:rsid w:val="00174E37"/>
    <w:rsid w:val="00175073"/>
    <w:rsid w:val="0017509B"/>
    <w:rsid w:val="00175208"/>
    <w:rsid w:val="00175230"/>
    <w:rsid w:val="001752CE"/>
    <w:rsid w:val="001753EB"/>
    <w:rsid w:val="00175486"/>
    <w:rsid w:val="001755F0"/>
    <w:rsid w:val="00175612"/>
    <w:rsid w:val="00175731"/>
    <w:rsid w:val="0017577E"/>
    <w:rsid w:val="001757C0"/>
    <w:rsid w:val="0017596A"/>
    <w:rsid w:val="00175A82"/>
    <w:rsid w:val="00175A9F"/>
    <w:rsid w:val="00175AF0"/>
    <w:rsid w:val="00175BAE"/>
    <w:rsid w:val="00175BD6"/>
    <w:rsid w:val="00175C92"/>
    <w:rsid w:val="00175CF0"/>
    <w:rsid w:val="00175D37"/>
    <w:rsid w:val="00175F27"/>
    <w:rsid w:val="00176070"/>
    <w:rsid w:val="001761A5"/>
    <w:rsid w:val="001761C3"/>
    <w:rsid w:val="001761EE"/>
    <w:rsid w:val="0017625D"/>
    <w:rsid w:val="00176262"/>
    <w:rsid w:val="001763F5"/>
    <w:rsid w:val="00176456"/>
    <w:rsid w:val="00176475"/>
    <w:rsid w:val="00176600"/>
    <w:rsid w:val="00176614"/>
    <w:rsid w:val="00176632"/>
    <w:rsid w:val="00176695"/>
    <w:rsid w:val="00176723"/>
    <w:rsid w:val="00176761"/>
    <w:rsid w:val="00176926"/>
    <w:rsid w:val="0017693D"/>
    <w:rsid w:val="00176A33"/>
    <w:rsid w:val="00176AB3"/>
    <w:rsid w:val="00176B7B"/>
    <w:rsid w:val="00176C5B"/>
    <w:rsid w:val="00176C63"/>
    <w:rsid w:val="00176C8E"/>
    <w:rsid w:val="00176CA4"/>
    <w:rsid w:val="00176DBC"/>
    <w:rsid w:val="00176E7F"/>
    <w:rsid w:val="00176EA0"/>
    <w:rsid w:val="00176F74"/>
    <w:rsid w:val="00176FB2"/>
    <w:rsid w:val="0017702E"/>
    <w:rsid w:val="00177145"/>
    <w:rsid w:val="00177276"/>
    <w:rsid w:val="0017729A"/>
    <w:rsid w:val="00177343"/>
    <w:rsid w:val="001773C6"/>
    <w:rsid w:val="0017752C"/>
    <w:rsid w:val="00177600"/>
    <w:rsid w:val="001776A8"/>
    <w:rsid w:val="001776DC"/>
    <w:rsid w:val="001777CA"/>
    <w:rsid w:val="001777D1"/>
    <w:rsid w:val="001777E7"/>
    <w:rsid w:val="001778E0"/>
    <w:rsid w:val="00177924"/>
    <w:rsid w:val="00177950"/>
    <w:rsid w:val="00177A7A"/>
    <w:rsid w:val="00177B1A"/>
    <w:rsid w:val="00177B42"/>
    <w:rsid w:val="00177BC8"/>
    <w:rsid w:val="00177BE1"/>
    <w:rsid w:val="00177C1C"/>
    <w:rsid w:val="00177CBA"/>
    <w:rsid w:val="00177D01"/>
    <w:rsid w:val="00177F37"/>
    <w:rsid w:val="00177F8F"/>
    <w:rsid w:val="00177FCB"/>
    <w:rsid w:val="0018010A"/>
    <w:rsid w:val="00180158"/>
    <w:rsid w:val="0018016F"/>
    <w:rsid w:val="001802A4"/>
    <w:rsid w:val="001802F8"/>
    <w:rsid w:val="0018039F"/>
    <w:rsid w:val="001803B1"/>
    <w:rsid w:val="001804C3"/>
    <w:rsid w:val="001804DB"/>
    <w:rsid w:val="0018050E"/>
    <w:rsid w:val="001806E6"/>
    <w:rsid w:val="00180727"/>
    <w:rsid w:val="00180933"/>
    <w:rsid w:val="00180CBC"/>
    <w:rsid w:val="00180CBD"/>
    <w:rsid w:val="00180CBE"/>
    <w:rsid w:val="00180CC0"/>
    <w:rsid w:val="00180D27"/>
    <w:rsid w:val="00180D82"/>
    <w:rsid w:val="00180F3F"/>
    <w:rsid w:val="00181124"/>
    <w:rsid w:val="0018115D"/>
    <w:rsid w:val="00181237"/>
    <w:rsid w:val="00181289"/>
    <w:rsid w:val="00181299"/>
    <w:rsid w:val="0018138A"/>
    <w:rsid w:val="00181553"/>
    <w:rsid w:val="0018172F"/>
    <w:rsid w:val="00181737"/>
    <w:rsid w:val="0018178F"/>
    <w:rsid w:val="00181859"/>
    <w:rsid w:val="00181913"/>
    <w:rsid w:val="001819D4"/>
    <w:rsid w:val="00181AA2"/>
    <w:rsid w:val="00181AAF"/>
    <w:rsid w:val="00181AB6"/>
    <w:rsid w:val="00181B5F"/>
    <w:rsid w:val="00181B65"/>
    <w:rsid w:val="00181B90"/>
    <w:rsid w:val="00181BF7"/>
    <w:rsid w:val="00181CF8"/>
    <w:rsid w:val="00181D0D"/>
    <w:rsid w:val="00182017"/>
    <w:rsid w:val="001821BD"/>
    <w:rsid w:val="0018226C"/>
    <w:rsid w:val="001822A8"/>
    <w:rsid w:val="001822D6"/>
    <w:rsid w:val="00182425"/>
    <w:rsid w:val="001824C3"/>
    <w:rsid w:val="0018258A"/>
    <w:rsid w:val="0018261B"/>
    <w:rsid w:val="0018269D"/>
    <w:rsid w:val="00182766"/>
    <w:rsid w:val="00182970"/>
    <w:rsid w:val="0018299A"/>
    <w:rsid w:val="001829C5"/>
    <w:rsid w:val="00182AB2"/>
    <w:rsid w:val="00182AC9"/>
    <w:rsid w:val="00182AFA"/>
    <w:rsid w:val="00182C71"/>
    <w:rsid w:val="00182C8C"/>
    <w:rsid w:val="00182D3E"/>
    <w:rsid w:val="00182D7B"/>
    <w:rsid w:val="00182E38"/>
    <w:rsid w:val="00182E65"/>
    <w:rsid w:val="00182EA7"/>
    <w:rsid w:val="00183003"/>
    <w:rsid w:val="0018311B"/>
    <w:rsid w:val="00183227"/>
    <w:rsid w:val="00183239"/>
    <w:rsid w:val="00183323"/>
    <w:rsid w:val="00183389"/>
    <w:rsid w:val="0018346C"/>
    <w:rsid w:val="00183634"/>
    <w:rsid w:val="00183748"/>
    <w:rsid w:val="001838A6"/>
    <w:rsid w:val="0018392C"/>
    <w:rsid w:val="00183960"/>
    <w:rsid w:val="001839E1"/>
    <w:rsid w:val="00183A10"/>
    <w:rsid w:val="00183A1B"/>
    <w:rsid w:val="00183B76"/>
    <w:rsid w:val="00183C29"/>
    <w:rsid w:val="00183C79"/>
    <w:rsid w:val="00184052"/>
    <w:rsid w:val="0018425A"/>
    <w:rsid w:val="00184293"/>
    <w:rsid w:val="001842D9"/>
    <w:rsid w:val="0018442F"/>
    <w:rsid w:val="00184459"/>
    <w:rsid w:val="0018447E"/>
    <w:rsid w:val="001844B7"/>
    <w:rsid w:val="001844C3"/>
    <w:rsid w:val="001844C6"/>
    <w:rsid w:val="001844D6"/>
    <w:rsid w:val="0018453E"/>
    <w:rsid w:val="00184552"/>
    <w:rsid w:val="0018455C"/>
    <w:rsid w:val="00184615"/>
    <w:rsid w:val="00184672"/>
    <w:rsid w:val="00184787"/>
    <w:rsid w:val="001848EC"/>
    <w:rsid w:val="00184A1D"/>
    <w:rsid w:val="00184A7C"/>
    <w:rsid w:val="00184AD3"/>
    <w:rsid w:val="00184C70"/>
    <w:rsid w:val="00184D67"/>
    <w:rsid w:val="00184D86"/>
    <w:rsid w:val="00184D8B"/>
    <w:rsid w:val="00184E33"/>
    <w:rsid w:val="00184F34"/>
    <w:rsid w:val="00184F9A"/>
    <w:rsid w:val="00185084"/>
    <w:rsid w:val="001850D9"/>
    <w:rsid w:val="0018518D"/>
    <w:rsid w:val="0018522C"/>
    <w:rsid w:val="00185255"/>
    <w:rsid w:val="00185289"/>
    <w:rsid w:val="001853CC"/>
    <w:rsid w:val="00185405"/>
    <w:rsid w:val="00185749"/>
    <w:rsid w:val="0018581C"/>
    <w:rsid w:val="001859B4"/>
    <w:rsid w:val="001859BA"/>
    <w:rsid w:val="001859CA"/>
    <w:rsid w:val="00185A24"/>
    <w:rsid w:val="00185A53"/>
    <w:rsid w:val="00185A8D"/>
    <w:rsid w:val="00185D00"/>
    <w:rsid w:val="00185D04"/>
    <w:rsid w:val="00185F62"/>
    <w:rsid w:val="00185FB0"/>
    <w:rsid w:val="00186026"/>
    <w:rsid w:val="0018608F"/>
    <w:rsid w:val="001860A1"/>
    <w:rsid w:val="001861D2"/>
    <w:rsid w:val="0018620C"/>
    <w:rsid w:val="00186244"/>
    <w:rsid w:val="001862BD"/>
    <w:rsid w:val="00186399"/>
    <w:rsid w:val="00186435"/>
    <w:rsid w:val="0018648A"/>
    <w:rsid w:val="00186501"/>
    <w:rsid w:val="0018652A"/>
    <w:rsid w:val="001867BE"/>
    <w:rsid w:val="001867BF"/>
    <w:rsid w:val="00186800"/>
    <w:rsid w:val="00186837"/>
    <w:rsid w:val="001868C3"/>
    <w:rsid w:val="0018697A"/>
    <w:rsid w:val="00186A7E"/>
    <w:rsid w:val="00186B94"/>
    <w:rsid w:val="00186C1F"/>
    <w:rsid w:val="00186C48"/>
    <w:rsid w:val="00186CF1"/>
    <w:rsid w:val="00186D2D"/>
    <w:rsid w:val="00186D6D"/>
    <w:rsid w:val="00186D72"/>
    <w:rsid w:val="00186DAC"/>
    <w:rsid w:val="00186EB3"/>
    <w:rsid w:val="00186F7E"/>
    <w:rsid w:val="001870B6"/>
    <w:rsid w:val="0018725A"/>
    <w:rsid w:val="001873F0"/>
    <w:rsid w:val="00187451"/>
    <w:rsid w:val="00187491"/>
    <w:rsid w:val="00187520"/>
    <w:rsid w:val="001875D5"/>
    <w:rsid w:val="0018788D"/>
    <w:rsid w:val="00187AB6"/>
    <w:rsid w:val="00187AD7"/>
    <w:rsid w:val="00187B12"/>
    <w:rsid w:val="00187B7E"/>
    <w:rsid w:val="00187BA6"/>
    <w:rsid w:val="00187C19"/>
    <w:rsid w:val="00187D23"/>
    <w:rsid w:val="00187DC8"/>
    <w:rsid w:val="00187E73"/>
    <w:rsid w:val="00187FFE"/>
    <w:rsid w:val="001900EF"/>
    <w:rsid w:val="00190172"/>
    <w:rsid w:val="00190193"/>
    <w:rsid w:val="00190197"/>
    <w:rsid w:val="001901C9"/>
    <w:rsid w:val="001901DC"/>
    <w:rsid w:val="00190264"/>
    <w:rsid w:val="0019029E"/>
    <w:rsid w:val="00190374"/>
    <w:rsid w:val="001904B4"/>
    <w:rsid w:val="0019054D"/>
    <w:rsid w:val="00190653"/>
    <w:rsid w:val="00190726"/>
    <w:rsid w:val="0019079A"/>
    <w:rsid w:val="00190850"/>
    <w:rsid w:val="00190852"/>
    <w:rsid w:val="00190856"/>
    <w:rsid w:val="00190882"/>
    <w:rsid w:val="00190907"/>
    <w:rsid w:val="0019092F"/>
    <w:rsid w:val="001909F7"/>
    <w:rsid w:val="00190A1C"/>
    <w:rsid w:val="00190A66"/>
    <w:rsid w:val="00190B04"/>
    <w:rsid w:val="00190C64"/>
    <w:rsid w:val="00190DA7"/>
    <w:rsid w:val="00190E14"/>
    <w:rsid w:val="00190E35"/>
    <w:rsid w:val="00190E6E"/>
    <w:rsid w:val="00190FAD"/>
    <w:rsid w:val="001910B6"/>
    <w:rsid w:val="001910D6"/>
    <w:rsid w:val="00191194"/>
    <w:rsid w:val="00191376"/>
    <w:rsid w:val="0019157D"/>
    <w:rsid w:val="00191611"/>
    <w:rsid w:val="00191708"/>
    <w:rsid w:val="00191714"/>
    <w:rsid w:val="0019171B"/>
    <w:rsid w:val="001919DA"/>
    <w:rsid w:val="00191B22"/>
    <w:rsid w:val="00191BEF"/>
    <w:rsid w:val="00191C66"/>
    <w:rsid w:val="00191EF4"/>
    <w:rsid w:val="00191FB2"/>
    <w:rsid w:val="001921A8"/>
    <w:rsid w:val="0019227E"/>
    <w:rsid w:val="0019234F"/>
    <w:rsid w:val="0019237B"/>
    <w:rsid w:val="001923DC"/>
    <w:rsid w:val="001923E3"/>
    <w:rsid w:val="001924FF"/>
    <w:rsid w:val="00192557"/>
    <w:rsid w:val="00192586"/>
    <w:rsid w:val="0019267A"/>
    <w:rsid w:val="00192699"/>
    <w:rsid w:val="001926AD"/>
    <w:rsid w:val="00192A81"/>
    <w:rsid w:val="00192AAC"/>
    <w:rsid w:val="00192ADE"/>
    <w:rsid w:val="00192AE6"/>
    <w:rsid w:val="00192B53"/>
    <w:rsid w:val="00192C3B"/>
    <w:rsid w:val="00192C7F"/>
    <w:rsid w:val="00192C9A"/>
    <w:rsid w:val="00192CD7"/>
    <w:rsid w:val="00192D67"/>
    <w:rsid w:val="00192E0D"/>
    <w:rsid w:val="00192F8A"/>
    <w:rsid w:val="00192FA7"/>
    <w:rsid w:val="00193050"/>
    <w:rsid w:val="00193160"/>
    <w:rsid w:val="001931C9"/>
    <w:rsid w:val="001931F3"/>
    <w:rsid w:val="00193352"/>
    <w:rsid w:val="00193384"/>
    <w:rsid w:val="001933D1"/>
    <w:rsid w:val="001934EE"/>
    <w:rsid w:val="00193614"/>
    <w:rsid w:val="001937E3"/>
    <w:rsid w:val="001938F9"/>
    <w:rsid w:val="0019396C"/>
    <w:rsid w:val="00193B9B"/>
    <w:rsid w:val="00193C34"/>
    <w:rsid w:val="00193C96"/>
    <w:rsid w:val="00193CBB"/>
    <w:rsid w:val="00193D9F"/>
    <w:rsid w:val="00193E99"/>
    <w:rsid w:val="00193F8C"/>
    <w:rsid w:val="00193FBE"/>
    <w:rsid w:val="00194093"/>
    <w:rsid w:val="00194178"/>
    <w:rsid w:val="001941F8"/>
    <w:rsid w:val="00194268"/>
    <w:rsid w:val="0019426A"/>
    <w:rsid w:val="00194365"/>
    <w:rsid w:val="0019438C"/>
    <w:rsid w:val="001944C8"/>
    <w:rsid w:val="00194593"/>
    <w:rsid w:val="00194597"/>
    <w:rsid w:val="0019469A"/>
    <w:rsid w:val="0019478D"/>
    <w:rsid w:val="00194826"/>
    <w:rsid w:val="0019487E"/>
    <w:rsid w:val="001948A2"/>
    <w:rsid w:val="001948B4"/>
    <w:rsid w:val="00194967"/>
    <w:rsid w:val="00194AC0"/>
    <w:rsid w:val="00194AD3"/>
    <w:rsid w:val="00194BEB"/>
    <w:rsid w:val="00194C1A"/>
    <w:rsid w:val="00194C3F"/>
    <w:rsid w:val="00194D5D"/>
    <w:rsid w:val="00194DC2"/>
    <w:rsid w:val="00194E67"/>
    <w:rsid w:val="00195018"/>
    <w:rsid w:val="00195069"/>
    <w:rsid w:val="0019517F"/>
    <w:rsid w:val="001951AD"/>
    <w:rsid w:val="0019520A"/>
    <w:rsid w:val="00195250"/>
    <w:rsid w:val="0019527C"/>
    <w:rsid w:val="001952F5"/>
    <w:rsid w:val="00195420"/>
    <w:rsid w:val="00195452"/>
    <w:rsid w:val="0019548A"/>
    <w:rsid w:val="001956A1"/>
    <w:rsid w:val="0019574A"/>
    <w:rsid w:val="001958AF"/>
    <w:rsid w:val="00195934"/>
    <w:rsid w:val="0019596F"/>
    <w:rsid w:val="00195970"/>
    <w:rsid w:val="00195AB0"/>
    <w:rsid w:val="00195BA3"/>
    <w:rsid w:val="00195BDA"/>
    <w:rsid w:val="00195C09"/>
    <w:rsid w:val="00195C98"/>
    <w:rsid w:val="00195D13"/>
    <w:rsid w:val="00195D78"/>
    <w:rsid w:val="00195DD6"/>
    <w:rsid w:val="00195EDB"/>
    <w:rsid w:val="00195FA6"/>
    <w:rsid w:val="00195FBA"/>
    <w:rsid w:val="001960FE"/>
    <w:rsid w:val="00196111"/>
    <w:rsid w:val="00196171"/>
    <w:rsid w:val="001961BE"/>
    <w:rsid w:val="001962F8"/>
    <w:rsid w:val="001963B7"/>
    <w:rsid w:val="0019641F"/>
    <w:rsid w:val="00196516"/>
    <w:rsid w:val="00196576"/>
    <w:rsid w:val="001965DA"/>
    <w:rsid w:val="001966B4"/>
    <w:rsid w:val="0019675C"/>
    <w:rsid w:val="001967C6"/>
    <w:rsid w:val="00196875"/>
    <w:rsid w:val="00196884"/>
    <w:rsid w:val="0019693F"/>
    <w:rsid w:val="00196957"/>
    <w:rsid w:val="00196972"/>
    <w:rsid w:val="00196A48"/>
    <w:rsid w:val="00196AC6"/>
    <w:rsid w:val="00196D13"/>
    <w:rsid w:val="00196D22"/>
    <w:rsid w:val="00196F39"/>
    <w:rsid w:val="00196F83"/>
    <w:rsid w:val="00197021"/>
    <w:rsid w:val="00197071"/>
    <w:rsid w:val="00197282"/>
    <w:rsid w:val="001972B3"/>
    <w:rsid w:val="001972C4"/>
    <w:rsid w:val="0019733D"/>
    <w:rsid w:val="001973C5"/>
    <w:rsid w:val="0019741F"/>
    <w:rsid w:val="00197458"/>
    <w:rsid w:val="001975BF"/>
    <w:rsid w:val="001975FC"/>
    <w:rsid w:val="00197600"/>
    <w:rsid w:val="00197652"/>
    <w:rsid w:val="00197672"/>
    <w:rsid w:val="00197695"/>
    <w:rsid w:val="00197883"/>
    <w:rsid w:val="001978D0"/>
    <w:rsid w:val="00197A08"/>
    <w:rsid w:val="00197B16"/>
    <w:rsid w:val="00197BFB"/>
    <w:rsid w:val="00197C0E"/>
    <w:rsid w:val="00197C28"/>
    <w:rsid w:val="00197CAF"/>
    <w:rsid w:val="00197E46"/>
    <w:rsid w:val="001A012C"/>
    <w:rsid w:val="001A0237"/>
    <w:rsid w:val="001A02C8"/>
    <w:rsid w:val="001A0313"/>
    <w:rsid w:val="001A0322"/>
    <w:rsid w:val="001A0417"/>
    <w:rsid w:val="001A050E"/>
    <w:rsid w:val="001A053E"/>
    <w:rsid w:val="001A060F"/>
    <w:rsid w:val="001A067A"/>
    <w:rsid w:val="001A07D1"/>
    <w:rsid w:val="001A0873"/>
    <w:rsid w:val="001A08A7"/>
    <w:rsid w:val="001A08BF"/>
    <w:rsid w:val="001A08C9"/>
    <w:rsid w:val="001A08CC"/>
    <w:rsid w:val="001A08FD"/>
    <w:rsid w:val="001A093F"/>
    <w:rsid w:val="001A0C28"/>
    <w:rsid w:val="001A0CA1"/>
    <w:rsid w:val="001A0DCA"/>
    <w:rsid w:val="001A0E2B"/>
    <w:rsid w:val="001A0E9C"/>
    <w:rsid w:val="001A0EF3"/>
    <w:rsid w:val="001A0EF9"/>
    <w:rsid w:val="001A0F00"/>
    <w:rsid w:val="001A0F07"/>
    <w:rsid w:val="001A10FD"/>
    <w:rsid w:val="001A112F"/>
    <w:rsid w:val="001A114F"/>
    <w:rsid w:val="001A11A6"/>
    <w:rsid w:val="001A12C7"/>
    <w:rsid w:val="001A1364"/>
    <w:rsid w:val="001A1496"/>
    <w:rsid w:val="001A14B9"/>
    <w:rsid w:val="001A1659"/>
    <w:rsid w:val="001A1715"/>
    <w:rsid w:val="001A178E"/>
    <w:rsid w:val="001A1805"/>
    <w:rsid w:val="001A180F"/>
    <w:rsid w:val="001A1835"/>
    <w:rsid w:val="001A1930"/>
    <w:rsid w:val="001A1979"/>
    <w:rsid w:val="001A1B23"/>
    <w:rsid w:val="001A1B9F"/>
    <w:rsid w:val="001A1D56"/>
    <w:rsid w:val="001A1E8E"/>
    <w:rsid w:val="001A1EDB"/>
    <w:rsid w:val="001A1F5F"/>
    <w:rsid w:val="001A1F97"/>
    <w:rsid w:val="001A1FA4"/>
    <w:rsid w:val="001A200F"/>
    <w:rsid w:val="001A217B"/>
    <w:rsid w:val="001A2181"/>
    <w:rsid w:val="001A219E"/>
    <w:rsid w:val="001A219F"/>
    <w:rsid w:val="001A2236"/>
    <w:rsid w:val="001A2267"/>
    <w:rsid w:val="001A22A2"/>
    <w:rsid w:val="001A235A"/>
    <w:rsid w:val="001A2393"/>
    <w:rsid w:val="001A2438"/>
    <w:rsid w:val="001A2510"/>
    <w:rsid w:val="001A25B7"/>
    <w:rsid w:val="001A260D"/>
    <w:rsid w:val="001A26A1"/>
    <w:rsid w:val="001A27F5"/>
    <w:rsid w:val="001A28A8"/>
    <w:rsid w:val="001A28E1"/>
    <w:rsid w:val="001A28F3"/>
    <w:rsid w:val="001A2A4E"/>
    <w:rsid w:val="001A2B32"/>
    <w:rsid w:val="001A2BEE"/>
    <w:rsid w:val="001A2C2E"/>
    <w:rsid w:val="001A2C62"/>
    <w:rsid w:val="001A2CFB"/>
    <w:rsid w:val="001A2E3E"/>
    <w:rsid w:val="001A2F4A"/>
    <w:rsid w:val="001A302E"/>
    <w:rsid w:val="001A3103"/>
    <w:rsid w:val="001A31E7"/>
    <w:rsid w:val="001A320E"/>
    <w:rsid w:val="001A3230"/>
    <w:rsid w:val="001A32CC"/>
    <w:rsid w:val="001A338F"/>
    <w:rsid w:val="001A33D9"/>
    <w:rsid w:val="001A34DE"/>
    <w:rsid w:val="001A3513"/>
    <w:rsid w:val="001A35B8"/>
    <w:rsid w:val="001A3778"/>
    <w:rsid w:val="001A37C9"/>
    <w:rsid w:val="001A3846"/>
    <w:rsid w:val="001A3880"/>
    <w:rsid w:val="001A39B5"/>
    <w:rsid w:val="001A39FA"/>
    <w:rsid w:val="001A3A27"/>
    <w:rsid w:val="001A3ABF"/>
    <w:rsid w:val="001A3B47"/>
    <w:rsid w:val="001A3BC3"/>
    <w:rsid w:val="001A3D64"/>
    <w:rsid w:val="001A3D88"/>
    <w:rsid w:val="001A3E75"/>
    <w:rsid w:val="001A3EF9"/>
    <w:rsid w:val="001A402A"/>
    <w:rsid w:val="001A4051"/>
    <w:rsid w:val="001A432F"/>
    <w:rsid w:val="001A4335"/>
    <w:rsid w:val="001A4349"/>
    <w:rsid w:val="001A4375"/>
    <w:rsid w:val="001A4381"/>
    <w:rsid w:val="001A443C"/>
    <w:rsid w:val="001A44ED"/>
    <w:rsid w:val="001A462B"/>
    <w:rsid w:val="001A47E2"/>
    <w:rsid w:val="001A4886"/>
    <w:rsid w:val="001A48AE"/>
    <w:rsid w:val="001A48D6"/>
    <w:rsid w:val="001A48E4"/>
    <w:rsid w:val="001A4923"/>
    <w:rsid w:val="001A49D6"/>
    <w:rsid w:val="001A4A8A"/>
    <w:rsid w:val="001A4C30"/>
    <w:rsid w:val="001A4C9B"/>
    <w:rsid w:val="001A4DF6"/>
    <w:rsid w:val="001A4E26"/>
    <w:rsid w:val="001A4EC8"/>
    <w:rsid w:val="001A4EF7"/>
    <w:rsid w:val="001A5020"/>
    <w:rsid w:val="001A5275"/>
    <w:rsid w:val="001A5354"/>
    <w:rsid w:val="001A5360"/>
    <w:rsid w:val="001A538D"/>
    <w:rsid w:val="001A53D6"/>
    <w:rsid w:val="001A5405"/>
    <w:rsid w:val="001A540F"/>
    <w:rsid w:val="001A56FB"/>
    <w:rsid w:val="001A57FC"/>
    <w:rsid w:val="001A5892"/>
    <w:rsid w:val="001A5973"/>
    <w:rsid w:val="001A5A05"/>
    <w:rsid w:val="001A5AEC"/>
    <w:rsid w:val="001A5B15"/>
    <w:rsid w:val="001A5C12"/>
    <w:rsid w:val="001A5C35"/>
    <w:rsid w:val="001A5C66"/>
    <w:rsid w:val="001A5CC1"/>
    <w:rsid w:val="001A5E6D"/>
    <w:rsid w:val="001A6042"/>
    <w:rsid w:val="001A615E"/>
    <w:rsid w:val="001A63DB"/>
    <w:rsid w:val="001A64DF"/>
    <w:rsid w:val="001A6638"/>
    <w:rsid w:val="001A6681"/>
    <w:rsid w:val="001A6790"/>
    <w:rsid w:val="001A67F7"/>
    <w:rsid w:val="001A6822"/>
    <w:rsid w:val="001A6860"/>
    <w:rsid w:val="001A69F1"/>
    <w:rsid w:val="001A6A60"/>
    <w:rsid w:val="001A6C07"/>
    <w:rsid w:val="001A6C40"/>
    <w:rsid w:val="001A6C49"/>
    <w:rsid w:val="001A6D16"/>
    <w:rsid w:val="001A6D4D"/>
    <w:rsid w:val="001A6DE4"/>
    <w:rsid w:val="001A6FA2"/>
    <w:rsid w:val="001A6FB9"/>
    <w:rsid w:val="001A6FEF"/>
    <w:rsid w:val="001A7029"/>
    <w:rsid w:val="001A70A9"/>
    <w:rsid w:val="001A71BB"/>
    <w:rsid w:val="001A73AF"/>
    <w:rsid w:val="001A73FC"/>
    <w:rsid w:val="001A7441"/>
    <w:rsid w:val="001A75D7"/>
    <w:rsid w:val="001A75F4"/>
    <w:rsid w:val="001A76EB"/>
    <w:rsid w:val="001A7929"/>
    <w:rsid w:val="001A7A87"/>
    <w:rsid w:val="001A7B6A"/>
    <w:rsid w:val="001A7C06"/>
    <w:rsid w:val="001A7CCE"/>
    <w:rsid w:val="001A7CF7"/>
    <w:rsid w:val="001A7EA8"/>
    <w:rsid w:val="001B0074"/>
    <w:rsid w:val="001B00A5"/>
    <w:rsid w:val="001B00B3"/>
    <w:rsid w:val="001B0186"/>
    <w:rsid w:val="001B02AF"/>
    <w:rsid w:val="001B032C"/>
    <w:rsid w:val="001B032E"/>
    <w:rsid w:val="001B0382"/>
    <w:rsid w:val="001B03BB"/>
    <w:rsid w:val="001B03D2"/>
    <w:rsid w:val="001B0437"/>
    <w:rsid w:val="001B04AE"/>
    <w:rsid w:val="001B059D"/>
    <w:rsid w:val="001B05CC"/>
    <w:rsid w:val="001B062C"/>
    <w:rsid w:val="001B075E"/>
    <w:rsid w:val="001B0870"/>
    <w:rsid w:val="001B0A05"/>
    <w:rsid w:val="001B0C42"/>
    <w:rsid w:val="001B0CDC"/>
    <w:rsid w:val="001B0D8D"/>
    <w:rsid w:val="001B0E02"/>
    <w:rsid w:val="001B0E1A"/>
    <w:rsid w:val="001B0FDE"/>
    <w:rsid w:val="001B103B"/>
    <w:rsid w:val="001B1042"/>
    <w:rsid w:val="001B121C"/>
    <w:rsid w:val="001B122B"/>
    <w:rsid w:val="001B12F1"/>
    <w:rsid w:val="001B135B"/>
    <w:rsid w:val="001B13A3"/>
    <w:rsid w:val="001B1410"/>
    <w:rsid w:val="001B144F"/>
    <w:rsid w:val="001B1460"/>
    <w:rsid w:val="001B148D"/>
    <w:rsid w:val="001B15B7"/>
    <w:rsid w:val="001B1662"/>
    <w:rsid w:val="001B16C1"/>
    <w:rsid w:val="001B172E"/>
    <w:rsid w:val="001B17C7"/>
    <w:rsid w:val="001B17E8"/>
    <w:rsid w:val="001B17E9"/>
    <w:rsid w:val="001B1837"/>
    <w:rsid w:val="001B186A"/>
    <w:rsid w:val="001B19C2"/>
    <w:rsid w:val="001B1A25"/>
    <w:rsid w:val="001B1ABC"/>
    <w:rsid w:val="001B1BCD"/>
    <w:rsid w:val="001B1D60"/>
    <w:rsid w:val="001B1DAF"/>
    <w:rsid w:val="001B1F07"/>
    <w:rsid w:val="001B1F7C"/>
    <w:rsid w:val="001B1F8D"/>
    <w:rsid w:val="001B1FEE"/>
    <w:rsid w:val="001B20C7"/>
    <w:rsid w:val="001B2250"/>
    <w:rsid w:val="001B2256"/>
    <w:rsid w:val="001B2408"/>
    <w:rsid w:val="001B2410"/>
    <w:rsid w:val="001B242E"/>
    <w:rsid w:val="001B24AF"/>
    <w:rsid w:val="001B2604"/>
    <w:rsid w:val="001B26AA"/>
    <w:rsid w:val="001B273D"/>
    <w:rsid w:val="001B2A08"/>
    <w:rsid w:val="001B2A9E"/>
    <w:rsid w:val="001B2ABA"/>
    <w:rsid w:val="001B2C3F"/>
    <w:rsid w:val="001B2C6A"/>
    <w:rsid w:val="001B2D09"/>
    <w:rsid w:val="001B2D57"/>
    <w:rsid w:val="001B2DE7"/>
    <w:rsid w:val="001B2DF7"/>
    <w:rsid w:val="001B2F0E"/>
    <w:rsid w:val="001B2F16"/>
    <w:rsid w:val="001B2F28"/>
    <w:rsid w:val="001B3017"/>
    <w:rsid w:val="001B30D3"/>
    <w:rsid w:val="001B31BB"/>
    <w:rsid w:val="001B3217"/>
    <w:rsid w:val="001B3279"/>
    <w:rsid w:val="001B3291"/>
    <w:rsid w:val="001B333A"/>
    <w:rsid w:val="001B33C4"/>
    <w:rsid w:val="001B33C5"/>
    <w:rsid w:val="001B33D7"/>
    <w:rsid w:val="001B3431"/>
    <w:rsid w:val="001B3599"/>
    <w:rsid w:val="001B372D"/>
    <w:rsid w:val="001B3731"/>
    <w:rsid w:val="001B3964"/>
    <w:rsid w:val="001B3B12"/>
    <w:rsid w:val="001B3B55"/>
    <w:rsid w:val="001B3BB6"/>
    <w:rsid w:val="001B3BCD"/>
    <w:rsid w:val="001B3D16"/>
    <w:rsid w:val="001B3DAD"/>
    <w:rsid w:val="001B3E22"/>
    <w:rsid w:val="001B3E56"/>
    <w:rsid w:val="001B3EE9"/>
    <w:rsid w:val="001B4160"/>
    <w:rsid w:val="001B42DA"/>
    <w:rsid w:val="001B42E0"/>
    <w:rsid w:val="001B42FA"/>
    <w:rsid w:val="001B43AE"/>
    <w:rsid w:val="001B43AF"/>
    <w:rsid w:val="001B4463"/>
    <w:rsid w:val="001B44A0"/>
    <w:rsid w:val="001B44A9"/>
    <w:rsid w:val="001B45B5"/>
    <w:rsid w:val="001B46C4"/>
    <w:rsid w:val="001B471B"/>
    <w:rsid w:val="001B4790"/>
    <w:rsid w:val="001B48E5"/>
    <w:rsid w:val="001B49EC"/>
    <w:rsid w:val="001B4A42"/>
    <w:rsid w:val="001B4AEF"/>
    <w:rsid w:val="001B4B00"/>
    <w:rsid w:val="001B4B0F"/>
    <w:rsid w:val="001B4B44"/>
    <w:rsid w:val="001B4B88"/>
    <w:rsid w:val="001B4BB8"/>
    <w:rsid w:val="001B4BEF"/>
    <w:rsid w:val="001B4C62"/>
    <w:rsid w:val="001B4C68"/>
    <w:rsid w:val="001B4D27"/>
    <w:rsid w:val="001B4F10"/>
    <w:rsid w:val="001B4F7D"/>
    <w:rsid w:val="001B4FEB"/>
    <w:rsid w:val="001B5095"/>
    <w:rsid w:val="001B51BA"/>
    <w:rsid w:val="001B5216"/>
    <w:rsid w:val="001B5370"/>
    <w:rsid w:val="001B53E0"/>
    <w:rsid w:val="001B542E"/>
    <w:rsid w:val="001B5456"/>
    <w:rsid w:val="001B550B"/>
    <w:rsid w:val="001B5636"/>
    <w:rsid w:val="001B56BA"/>
    <w:rsid w:val="001B5724"/>
    <w:rsid w:val="001B577C"/>
    <w:rsid w:val="001B579A"/>
    <w:rsid w:val="001B593B"/>
    <w:rsid w:val="001B59EC"/>
    <w:rsid w:val="001B5A05"/>
    <w:rsid w:val="001B5A56"/>
    <w:rsid w:val="001B5BD6"/>
    <w:rsid w:val="001B5CD0"/>
    <w:rsid w:val="001B5DFF"/>
    <w:rsid w:val="001B6029"/>
    <w:rsid w:val="001B6058"/>
    <w:rsid w:val="001B6078"/>
    <w:rsid w:val="001B60CF"/>
    <w:rsid w:val="001B61ED"/>
    <w:rsid w:val="001B6205"/>
    <w:rsid w:val="001B62EB"/>
    <w:rsid w:val="001B6329"/>
    <w:rsid w:val="001B632C"/>
    <w:rsid w:val="001B6352"/>
    <w:rsid w:val="001B6470"/>
    <w:rsid w:val="001B64E0"/>
    <w:rsid w:val="001B659C"/>
    <w:rsid w:val="001B65CC"/>
    <w:rsid w:val="001B65D1"/>
    <w:rsid w:val="001B672D"/>
    <w:rsid w:val="001B676F"/>
    <w:rsid w:val="001B685A"/>
    <w:rsid w:val="001B6872"/>
    <w:rsid w:val="001B6893"/>
    <w:rsid w:val="001B68AD"/>
    <w:rsid w:val="001B68B5"/>
    <w:rsid w:val="001B6911"/>
    <w:rsid w:val="001B69AC"/>
    <w:rsid w:val="001B6A15"/>
    <w:rsid w:val="001B6A22"/>
    <w:rsid w:val="001B6A7A"/>
    <w:rsid w:val="001B6BD3"/>
    <w:rsid w:val="001B6C1E"/>
    <w:rsid w:val="001B6D8C"/>
    <w:rsid w:val="001B6DD9"/>
    <w:rsid w:val="001B6DDC"/>
    <w:rsid w:val="001B6F41"/>
    <w:rsid w:val="001B6F68"/>
    <w:rsid w:val="001B716E"/>
    <w:rsid w:val="001B716F"/>
    <w:rsid w:val="001B7317"/>
    <w:rsid w:val="001B732C"/>
    <w:rsid w:val="001B7431"/>
    <w:rsid w:val="001B75CF"/>
    <w:rsid w:val="001B7655"/>
    <w:rsid w:val="001B766C"/>
    <w:rsid w:val="001B7789"/>
    <w:rsid w:val="001B77B1"/>
    <w:rsid w:val="001B785A"/>
    <w:rsid w:val="001B7899"/>
    <w:rsid w:val="001B78A9"/>
    <w:rsid w:val="001B7987"/>
    <w:rsid w:val="001B7A5E"/>
    <w:rsid w:val="001B7AC8"/>
    <w:rsid w:val="001B7B1F"/>
    <w:rsid w:val="001B7B83"/>
    <w:rsid w:val="001B7C20"/>
    <w:rsid w:val="001B7C71"/>
    <w:rsid w:val="001B7CFF"/>
    <w:rsid w:val="001B7E15"/>
    <w:rsid w:val="001B7EFF"/>
    <w:rsid w:val="001B7F65"/>
    <w:rsid w:val="001B7FD4"/>
    <w:rsid w:val="001C0045"/>
    <w:rsid w:val="001C0055"/>
    <w:rsid w:val="001C02C3"/>
    <w:rsid w:val="001C0525"/>
    <w:rsid w:val="001C0543"/>
    <w:rsid w:val="001C0566"/>
    <w:rsid w:val="001C061E"/>
    <w:rsid w:val="001C06B9"/>
    <w:rsid w:val="001C086D"/>
    <w:rsid w:val="001C0988"/>
    <w:rsid w:val="001C09A7"/>
    <w:rsid w:val="001C0A84"/>
    <w:rsid w:val="001C0B29"/>
    <w:rsid w:val="001C0B2F"/>
    <w:rsid w:val="001C0BB0"/>
    <w:rsid w:val="001C0C0D"/>
    <w:rsid w:val="001C0CCB"/>
    <w:rsid w:val="001C0CD7"/>
    <w:rsid w:val="001C0CDB"/>
    <w:rsid w:val="001C0CF1"/>
    <w:rsid w:val="001C0DCB"/>
    <w:rsid w:val="001C0EDC"/>
    <w:rsid w:val="001C1106"/>
    <w:rsid w:val="001C1171"/>
    <w:rsid w:val="001C11CC"/>
    <w:rsid w:val="001C12C0"/>
    <w:rsid w:val="001C13CE"/>
    <w:rsid w:val="001C1418"/>
    <w:rsid w:val="001C1461"/>
    <w:rsid w:val="001C147B"/>
    <w:rsid w:val="001C161C"/>
    <w:rsid w:val="001C1635"/>
    <w:rsid w:val="001C16F5"/>
    <w:rsid w:val="001C175F"/>
    <w:rsid w:val="001C1786"/>
    <w:rsid w:val="001C1789"/>
    <w:rsid w:val="001C189B"/>
    <w:rsid w:val="001C18A6"/>
    <w:rsid w:val="001C18A9"/>
    <w:rsid w:val="001C18F2"/>
    <w:rsid w:val="001C1B4A"/>
    <w:rsid w:val="001C1B4F"/>
    <w:rsid w:val="001C1C51"/>
    <w:rsid w:val="001C1C69"/>
    <w:rsid w:val="001C1CD3"/>
    <w:rsid w:val="001C1D8F"/>
    <w:rsid w:val="001C1DC5"/>
    <w:rsid w:val="001C1E5C"/>
    <w:rsid w:val="001C1F64"/>
    <w:rsid w:val="001C1FAE"/>
    <w:rsid w:val="001C2084"/>
    <w:rsid w:val="001C20DA"/>
    <w:rsid w:val="001C2105"/>
    <w:rsid w:val="001C23B5"/>
    <w:rsid w:val="001C244C"/>
    <w:rsid w:val="001C2458"/>
    <w:rsid w:val="001C2531"/>
    <w:rsid w:val="001C2546"/>
    <w:rsid w:val="001C25BC"/>
    <w:rsid w:val="001C2645"/>
    <w:rsid w:val="001C26F3"/>
    <w:rsid w:val="001C2785"/>
    <w:rsid w:val="001C2848"/>
    <w:rsid w:val="001C2865"/>
    <w:rsid w:val="001C2895"/>
    <w:rsid w:val="001C2922"/>
    <w:rsid w:val="001C296F"/>
    <w:rsid w:val="001C2AD0"/>
    <w:rsid w:val="001C2AE9"/>
    <w:rsid w:val="001C2AEC"/>
    <w:rsid w:val="001C2B21"/>
    <w:rsid w:val="001C2B71"/>
    <w:rsid w:val="001C2B7C"/>
    <w:rsid w:val="001C2CCC"/>
    <w:rsid w:val="001C2E4E"/>
    <w:rsid w:val="001C2E7F"/>
    <w:rsid w:val="001C2F0A"/>
    <w:rsid w:val="001C2F62"/>
    <w:rsid w:val="001C2F78"/>
    <w:rsid w:val="001C2F7A"/>
    <w:rsid w:val="001C3075"/>
    <w:rsid w:val="001C3147"/>
    <w:rsid w:val="001C3158"/>
    <w:rsid w:val="001C3164"/>
    <w:rsid w:val="001C3369"/>
    <w:rsid w:val="001C3485"/>
    <w:rsid w:val="001C3490"/>
    <w:rsid w:val="001C3554"/>
    <w:rsid w:val="001C355C"/>
    <w:rsid w:val="001C3603"/>
    <w:rsid w:val="001C361C"/>
    <w:rsid w:val="001C3634"/>
    <w:rsid w:val="001C3662"/>
    <w:rsid w:val="001C36AC"/>
    <w:rsid w:val="001C38C4"/>
    <w:rsid w:val="001C3950"/>
    <w:rsid w:val="001C399B"/>
    <w:rsid w:val="001C39BE"/>
    <w:rsid w:val="001C3A06"/>
    <w:rsid w:val="001C3A65"/>
    <w:rsid w:val="001C3B03"/>
    <w:rsid w:val="001C3B77"/>
    <w:rsid w:val="001C3BBC"/>
    <w:rsid w:val="001C3C00"/>
    <w:rsid w:val="001C3C14"/>
    <w:rsid w:val="001C3C71"/>
    <w:rsid w:val="001C3CE3"/>
    <w:rsid w:val="001C3D2A"/>
    <w:rsid w:val="001C3DCB"/>
    <w:rsid w:val="001C3F02"/>
    <w:rsid w:val="001C4059"/>
    <w:rsid w:val="001C41A3"/>
    <w:rsid w:val="001C4350"/>
    <w:rsid w:val="001C443D"/>
    <w:rsid w:val="001C4443"/>
    <w:rsid w:val="001C4475"/>
    <w:rsid w:val="001C452B"/>
    <w:rsid w:val="001C45A3"/>
    <w:rsid w:val="001C45B3"/>
    <w:rsid w:val="001C462E"/>
    <w:rsid w:val="001C46BC"/>
    <w:rsid w:val="001C46CB"/>
    <w:rsid w:val="001C46F6"/>
    <w:rsid w:val="001C470D"/>
    <w:rsid w:val="001C4785"/>
    <w:rsid w:val="001C48CE"/>
    <w:rsid w:val="001C4924"/>
    <w:rsid w:val="001C4940"/>
    <w:rsid w:val="001C495C"/>
    <w:rsid w:val="001C4AF1"/>
    <w:rsid w:val="001C4B1E"/>
    <w:rsid w:val="001C4B39"/>
    <w:rsid w:val="001C4BAC"/>
    <w:rsid w:val="001C4C1E"/>
    <w:rsid w:val="001C4CE3"/>
    <w:rsid w:val="001C4F32"/>
    <w:rsid w:val="001C4F6C"/>
    <w:rsid w:val="001C500F"/>
    <w:rsid w:val="001C5034"/>
    <w:rsid w:val="001C511E"/>
    <w:rsid w:val="001C5169"/>
    <w:rsid w:val="001C516F"/>
    <w:rsid w:val="001C519D"/>
    <w:rsid w:val="001C51C6"/>
    <w:rsid w:val="001C51E2"/>
    <w:rsid w:val="001C5234"/>
    <w:rsid w:val="001C52AE"/>
    <w:rsid w:val="001C5334"/>
    <w:rsid w:val="001C53E4"/>
    <w:rsid w:val="001C541A"/>
    <w:rsid w:val="001C54B6"/>
    <w:rsid w:val="001C557E"/>
    <w:rsid w:val="001C5587"/>
    <w:rsid w:val="001C56E3"/>
    <w:rsid w:val="001C5706"/>
    <w:rsid w:val="001C585E"/>
    <w:rsid w:val="001C5887"/>
    <w:rsid w:val="001C5A2C"/>
    <w:rsid w:val="001C5AA3"/>
    <w:rsid w:val="001C5ADA"/>
    <w:rsid w:val="001C5BC5"/>
    <w:rsid w:val="001C5BF2"/>
    <w:rsid w:val="001C5C50"/>
    <w:rsid w:val="001C5D36"/>
    <w:rsid w:val="001C5D61"/>
    <w:rsid w:val="001C5E25"/>
    <w:rsid w:val="001C5F1F"/>
    <w:rsid w:val="001C6084"/>
    <w:rsid w:val="001C62E9"/>
    <w:rsid w:val="001C6531"/>
    <w:rsid w:val="001C65EE"/>
    <w:rsid w:val="001C6831"/>
    <w:rsid w:val="001C6933"/>
    <w:rsid w:val="001C6A07"/>
    <w:rsid w:val="001C6AA1"/>
    <w:rsid w:val="001C6B78"/>
    <w:rsid w:val="001C6C3E"/>
    <w:rsid w:val="001C6D75"/>
    <w:rsid w:val="001C6DA6"/>
    <w:rsid w:val="001C6EC5"/>
    <w:rsid w:val="001C6F0C"/>
    <w:rsid w:val="001C6F9C"/>
    <w:rsid w:val="001C6FB2"/>
    <w:rsid w:val="001C71CD"/>
    <w:rsid w:val="001C725B"/>
    <w:rsid w:val="001C73DC"/>
    <w:rsid w:val="001C73E6"/>
    <w:rsid w:val="001C73E9"/>
    <w:rsid w:val="001C7453"/>
    <w:rsid w:val="001C74E3"/>
    <w:rsid w:val="001C750B"/>
    <w:rsid w:val="001C75A7"/>
    <w:rsid w:val="001C75FB"/>
    <w:rsid w:val="001C7696"/>
    <w:rsid w:val="001C778F"/>
    <w:rsid w:val="001C779A"/>
    <w:rsid w:val="001C77FB"/>
    <w:rsid w:val="001C7A91"/>
    <w:rsid w:val="001C7A93"/>
    <w:rsid w:val="001C7ADF"/>
    <w:rsid w:val="001C7AE2"/>
    <w:rsid w:val="001C7B26"/>
    <w:rsid w:val="001C7B4B"/>
    <w:rsid w:val="001C7BF6"/>
    <w:rsid w:val="001C7CA7"/>
    <w:rsid w:val="001C7F01"/>
    <w:rsid w:val="001D00F7"/>
    <w:rsid w:val="001D013B"/>
    <w:rsid w:val="001D0217"/>
    <w:rsid w:val="001D0426"/>
    <w:rsid w:val="001D04CA"/>
    <w:rsid w:val="001D04D6"/>
    <w:rsid w:val="001D0508"/>
    <w:rsid w:val="001D0669"/>
    <w:rsid w:val="001D06C3"/>
    <w:rsid w:val="001D06D8"/>
    <w:rsid w:val="001D0721"/>
    <w:rsid w:val="001D07AB"/>
    <w:rsid w:val="001D07C7"/>
    <w:rsid w:val="001D07F3"/>
    <w:rsid w:val="001D0847"/>
    <w:rsid w:val="001D08E6"/>
    <w:rsid w:val="001D0912"/>
    <w:rsid w:val="001D09E8"/>
    <w:rsid w:val="001D0A46"/>
    <w:rsid w:val="001D0A5E"/>
    <w:rsid w:val="001D0C07"/>
    <w:rsid w:val="001D0C2B"/>
    <w:rsid w:val="001D0C9A"/>
    <w:rsid w:val="001D0CBF"/>
    <w:rsid w:val="001D0D1E"/>
    <w:rsid w:val="001D0D20"/>
    <w:rsid w:val="001D0E67"/>
    <w:rsid w:val="001D0E82"/>
    <w:rsid w:val="001D103E"/>
    <w:rsid w:val="001D10B7"/>
    <w:rsid w:val="001D10ED"/>
    <w:rsid w:val="001D1123"/>
    <w:rsid w:val="001D1268"/>
    <w:rsid w:val="001D1269"/>
    <w:rsid w:val="001D1270"/>
    <w:rsid w:val="001D1297"/>
    <w:rsid w:val="001D12C8"/>
    <w:rsid w:val="001D12CD"/>
    <w:rsid w:val="001D1395"/>
    <w:rsid w:val="001D13A7"/>
    <w:rsid w:val="001D1406"/>
    <w:rsid w:val="001D145B"/>
    <w:rsid w:val="001D1537"/>
    <w:rsid w:val="001D154C"/>
    <w:rsid w:val="001D156C"/>
    <w:rsid w:val="001D159A"/>
    <w:rsid w:val="001D15DD"/>
    <w:rsid w:val="001D1616"/>
    <w:rsid w:val="001D168F"/>
    <w:rsid w:val="001D194B"/>
    <w:rsid w:val="001D1A91"/>
    <w:rsid w:val="001D1AA4"/>
    <w:rsid w:val="001D1B11"/>
    <w:rsid w:val="001D1B77"/>
    <w:rsid w:val="001D1BA6"/>
    <w:rsid w:val="001D1BFB"/>
    <w:rsid w:val="001D1C85"/>
    <w:rsid w:val="001D1CE1"/>
    <w:rsid w:val="001D1E03"/>
    <w:rsid w:val="001D1E38"/>
    <w:rsid w:val="001D1F71"/>
    <w:rsid w:val="001D1FCB"/>
    <w:rsid w:val="001D1FFE"/>
    <w:rsid w:val="001D2030"/>
    <w:rsid w:val="001D2058"/>
    <w:rsid w:val="001D212F"/>
    <w:rsid w:val="001D21DC"/>
    <w:rsid w:val="001D2299"/>
    <w:rsid w:val="001D22F6"/>
    <w:rsid w:val="001D2470"/>
    <w:rsid w:val="001D248C"/>
    <w:rsid w:val="001D2581"/>
    <w:rsid w:val="001D2603"/>
    <w:rsid w:val="001D2626"/>
    <w:rsid w:val="001D282C"/>
    <w:rsid w:val="001D2AF2"/>
    <w:rsid w:val="001D2B94"/>
    <w:rsid w:val="001D2BDB"/>
    <w:rsid w:val="001D2D73"/>
    <w:rsid w:val="001D2D89"/>
    <w:rsid w:val="001D2E97"/>
    <w:rsid w:val="001D2FC7"/>
    <w:rsid w:val="001D2FF3"/>
    <w:rsid w:val="001D3018"/>
    <w:rsid w:val="001D3197"/>
    <w:rsid w:val="001D31A9"/>
    <w:rsid w:val="001D320F"/>
    <w:rsid w:val="001D32B4"/>
    <w:rsid w:val="001D32D5"/>
    <w:rsid w:val="001D330D"/>
    <w:rsid w:val="001D3429"/>
    <w:rsid w:val="001D35D2"/>
    <w:rsid w:val="001D38B2"/>
    <w:rsid w:val="001D39E9"/>
    <w:rsid w:val="001D3A6C"/>
    <w:rsid w:val="001D3AE0"/>
    <w:rsid w:val="001D3B57"/>
    <w:rsid w:val="001D3BBE"/>
    <w:rsid w:val="001D3C11"/>
    <w:rsid w:val="001D3C27"/>
    <w:rsid w:val="001D3CD1"/>
    <w:rsid w:val="001D3DB3"/>
    <w:rsid w:val="001D3DBD"/>
    <w:rsid w:val="001D3DE2"/>
    <w:rsid w:val="001D3E78"/>
    <w:rsid w:val="001D3F1B"/>
    <w:rsid w:val="001D3F1E"/>
    <w:rsid w:val="001D3FA9"/>
    <w:rsid w:val="001D3FC7"/>
    <w:rsid w:val="001D3FD2"/>
    <w:rsid w:val="001D4090"/>
    <w:rsid w:val="001D413F"/>
    <w:rsid w:val="001D4197"/>
    <w:rsid w:val="001D41C9"/>
    <w:rsid w:val="001D41E9"/>
    <w:rsid w:val="001D4259"/>
    <w:rsid w:val="001D434E"/>
    <w:rsid w:val="001D4361"/>
    <w:rsid w:val="001D437C"/>
    <w:rsid w:val="001D43D3"/>
    <w:rsid w:val="001D4441"/>
    <w:rsid w:val="001D4452"/>
    <w:rsid w:val="001D4463"/>
    <w:rsid w:val="001D45E2"/>
    <w:rsid w:val="001D45F6"/>
    <w:rsid w:val="001D46B1"/>
    <w:rsid w:val="001D46D9"/>
    <w:rsid w:val="001D46DA"/>
    <w:rsid w:val="001D4705"/>
    <w:rsid w:val="001D481C"/>
    <w:rsid w:val="001D491E"/>
    <w:rsid w:val="001D4A1E"/>
    <w:rsid w:val="001D4C41"/>
    <w:rsid w:val="001D4CCD"/>
    <w:rsid w:val="001D4D0B"/>
    <w:rsid w:val="001D4D1C"/>
    <w:rsid w:val="001D4E95"/>
    <w:rsid w:val="001D4F8F"/>
    <w:rsid w:val="001D4FD0"/>
    <w:rsid w:val="001D4FF8"/>
    <w:rsid w:val="001D50FB"/>
    <w:rsid w:val="001D518E"/>
    <w:rsid w:val="001D5212"/>
    <w:rsid w:val="001D52A5"/>
    <w:rsid w:val="001D52AE"/>
    <w:rsid w:val="001D52DF"/>
    <w:rsid w:val="001D5438"/>
    <w:rsid w:val="001D55B6"/>
    <w:rsid w:val="001D5641"/>
    <w:rsid w:val="001D566A"/>
    <w:rsid w:val="001D5691"/>
    <w:rsid w:val="001D56DE"/>
    <w:rsid w:val="001D57A0"/>
    <w:rsid w:val="001D5890"/>
    <w:rsid w:val="001D58A1"/>
    <w:rsid w:val="001D58D3"/>
    <w:rsid w:val="001D5924"/>
    <w:rsid w:val="001D597F"/>
    <w:rsid w:val="001D5A97"/>
    <w:rsid w:val="001D5ABA"/>
    <w:rsid w:val="001D5B97"/>
    <w:rsid w:val="001D5C18"/>
    <w:rsid w:val="001D5C9D"/>
    <w:rsid w:val="001D5CB3"/>
    <w:rsid w:val="001D5ED9"/>
    <w:rsid w:val="001D5EEB"/>
    <w:rsid w:val="001D5F64"/>
    <w:rsid w:val="001D6035"/>
    <w:rsid w:val="001D6037"/>
    <w:rsid w:val="001D61C7"/>
    <w:rsid w:val="001D629C"/>
    <w:rsid w:val="001D62F1"/>
    <w:rsid w:val="001D6399"/>
    <w:rsid w:val="001D6412"/>
    <w:rsid w:val="001D64BB"/>
    <w:rsid w:val="001D6511"/>
    <w:rsid w:val="001D654D"/>
    <w:rsid w:val="001D659C"/>
    <w:rsid w:val="001D65EE"/>
    <w:rsid w:val="001D66E1"/>
    <w:rsid w:val="001D6881"/>
    <w:rsid w:val="001D68BE"/>
    <w:rsid w:val="001D68BF"/>
    <w:rsid w:val="001D6979"/>
    <w:rsid w:val="001D69B9"/>
    <w:rsid w:val="001D69F9"/>
    <w:rsid w:val="001D6A14"/>
    <w:rsid w:val="001D6A16"/>
    <w:rsid w:val="001D6BE2"/>
    <w:rsid w:val="001D6C03"/>
    <w:rsid w:val="001D6C2F"/>
    <w:rsid w:val="001D6C9A"/>
    <w:rsid w:val="001D6E07"/>
    <w:rsid w:val="001D6FED"/>
    <w:rsid w:val="001D7147"/>
    <w:rsid w:val="001D71D8"/>
    <w:rsid w:val="001D7259"/>
    <w:rsid w:val="001D7266"/>
    <w:rsid w:val="001D740E"/>
    <w:rsid w:val="001D7555"/>
    <w:rsid w:val="001D75B3"/>
    <w:rsid w:val="001D76F6"/>
    <w:rsid w:val="001D789D"/>
    <w:rsid w:val="001D798D"/>
    <w:rsid w:val="001D7A76"/>
    <w:rsid w:val="001D7A7D"/>
    <w:rsid w:val="001D7BA4"/>
    <w:rsid w:val="001D7C11"/>
    <w:rsid w:val="001D7C29"/>
    <w:rsid w:val="001D7C2E"/>
    <w:rsid w:val="001D7C77"/>
    <w:rsid w:val="001D7CAF"/>
    <w:rsid w:val="001D7D4F"/>
    <w:rsid w:val="001D7D9D"/>
    <w:rsid w:val="001D7DB6"/>
    <w:rsid w:val="001D7EFA"/>
    <w:rsid w:val="001D7F1A"/>
    <w:rsid w:val="001D7F6D"/>
    <w:rsid w:val="001D7F91"/>
    <w:rsid w:val="001E0005"/>
    <w:rsid w:val="001E020E"/>
    <w:rsid w:val="001E025D"/>
    <w:rsid w:val="001E03FE"/>
    <w:rsid w:val="001E0487"/>
    <w:rsid w:val="001E049A"/>
    <w:rsid w:val="001E04C5"/>
    <w:rsid w:val="001E0669"/>
    <w:rsid w:val="001E069A"/>
    <w:rsid w:val="001E07EC"/>
    <w:rsid w:val="001E08D0"/>
    <w:rsid w:val="001E0A5C"/>
    <w:rsid w:val="001E0BF1"/>
    <w:rsid w:val="001E0C97"/>
    <w:rsid w:val="001E0CEE"/>
    <w:rsid w:val="001E0ED4"/>
    <w:rsid w:val="001E0F1A"/>
    <w:rsid w:val="001E0F2E"/>
    <w:rsid w:val="001E0FEE"/>
    <w:rsid w:val="001E1227"/>
    <w:rsid w:val="001E143D"/>
    <w:rsid w:val="001E144A"/>
    <w:rsid w:val="001E1554"/>
    <w:rsid w:val="001E159A"/>
    <w:rsid w:val="001E1600"/>
    <w:rsid w:val="001E16C5"/>
    <w:rsid w:val="001E17E9"/>
    <w:rsid w:val="001E1835"/>
    <w:rsid w:val="001E184C"/>
    <w:rsid w:val="001E18F9"/>
    <w:rsid w:val="001E193F"/>
    <w:rsid w:val="001E1961"/>
    <w:rsid w:val="001E198D"/>
    <w:rsid w:val="001E1994"/>
    <w:rsid w:val="001E1AB7"/>
    <w:rsid w:val="001E1B9E"/>
    <w:rsid w:val="001E1CC9"/>
    <w:rsid w:val="001E1EBC"/>
    <w:rsid w:val="001E1F06"/>
    <w:rsid w:val="001E1F7A"/>
    <w:rsid w:val="001E209A"/>
    <w:rsid w:val="001E2117"/>
    <w:rsid w:val="001E2127"/>
    <w:rsid w:val="001E2133"/>
    <w:rsid w:val="001E2187"/>
    <w:rsid w:val="001E21C1"/>
    <w:rsid w:val="001E225A"/>
    <w:rsid w:val="001E2366"/>
    <w:rsid w:val="001E23A4"/>
    <w:rsid w:val="001E23B3"/>
    <w:rsid w:val="001E259E"/>
    <w:rsid w:val="001E25D2"/>
    <w:rsid w:val="001E25E3"/>
    <w:rsid w:val="001E2612"/>
    <w:rsid w:val="001E261A"/>
    <w:rsid w:val="001E2647"/>
    <w:rsid w:val="001E2701"/>
    <w:rsid w:val="001E274E"/>
    <w:rsid w:val="001E27AA"/>
    <w:rsid w:val="001E2864"/>
    <w:rsid w:val="001E2A28"/>
    <w:rsid w:val="001E2B92"/>
    <w:rsid w:val="001E2C51"/>
    <w:rsid w:val="001E2C99"/>
    <w:rsid w:val="001E2D13"/>
    <w:rsid w:val="001E2E4F"/>
    <w:rsid w:val="001E2EC2"/>
    <w:rsid w:val="001E2F34"/>
    <w:rsid w:val="001E3060"/>
    <w:rsid w:val="001E3331"/>
    <w:rsid w:val="001E33AC"/>
    <w:rsid w:val="001E340B"/>
    <w:rsid w:val="001E3444"/>
    <w:rsid w:val="001E34BB"/>
    <w:rsid w:val="001E350A"/>
    <w:rsid w:val="001E3518"/>
    <w:rsid w:val="001E35B4"/>
    <w:rsid w:val="001E35D6"/>
    <w:rsid w:val="001E360F"/>
    <w:rsid w:val="001E364E"/>
    <w:rsid w:val="001E366E"/>
    <w:rsid w:val="001E36E4"/>
    <w:rsid w:val="001E3743"/>
    <w:rsid w:val="001E376A"/>
    <w:rsid w:val="001E3797"/>
    <w:rsid w:val="001E3A24"/>
    <w:rsid w:val="001E3A3B"/>
    <w:rsid w:val="001E3B11"/>
    <w:rsid w:val="001E3BAD"/>
    <w:rsid w:val="001E3C32"/>
    <w:rsid w:val="001E3C37"/>
    <w:rsid w:val="001E3CB5"/>
    <w:rsid w:val="001E3D15"/>
    <w:rsid w:val="001E3D3B"/>
    <w:rsid w:val="001E3D76"/>
    <w:rsid w:val="001E3DF1"/>
    <w:rsid w:val="001E3EB6"/>
    <w:rsid w:val="001E40E9"/>
    <w:rsid w:val="001E4107"/>
    <w:rsid w:val="001E423F"/>
    <w:rsid w:val="001E42AE"/>
    <w:rsid w:val="001E4494"/>
    <w:rsid w:val="001E44CB"/>
    <w:rsid w:val="001E4505"/>
    <w:rsid w:val="001E4555"/>
    <w:rsid w:val="001E45F2"/>
    <w:rsid w:val="001E46CB"/>
    <w:rsid w:val="001E473B"/>
    <w:rsid w:val="001E475F"/>
    <w:rsid w:val="001E4768"/>
    <w:rsid w:val="001E47CA"/>
    <w:rsid w:val="001E48B4"/>
    <w:rsid w:val="001E4B83"/>
    <w:rsid w:val="001E4C44"/>
    <w:rsid w:val="001E4D53"/>
    <w:rsid w:val="001E4EB7"/>
    <w:rsid w:val="001E506D"/>
    <w:rsid w:val="001E50D3"/>
    <w:rsid w:val="001E51B7"/>
    <w:rsid w:val="001E5260"/>
    <w:rsid w:val="001E5266"/>
    <w:rsid w:val="001E5304"/>
    <w:rsid w:val="001E53A1"/>
    <w:rsid w:val="001E5400"/>
    <w:rsid w:val="001E5473"/>
    <w:rsid w:val="001E5543"/>
    <w:rsid w:val="001E564E"/>
    <w:rsid w:val="001E586E"/>
    <w:rsid w:val="001E5886"/>
    <w:rsid w:val="001E593D"/>
    <w:rsid w:val="001E594F"/>
    <w:rsid w:val="001E5A66"/>
    <w:rsid w:val="001E5C5C"/>
    <w:rsid w:val="001E5D26"/>
    <w:rsid w:val="001E5D4C"/>
    <w:rsid w:val="001E5DB6"/>
    <w:rsid w:val="001E5F39"/>
    <w:rsid w:val="001E5FBB"/>
    <w:rsid w:val="001E6031"/>
    <w:rsid w:val="001E6115"/>
    <w:rsid w:val="001E611D"/>
    <w:rsid w:val="001E62A9"/>
    <w:rsid w:val="001E62D4"/>
    <w:rsid w:val="001E6347"/>
    <w:rsid w:val="001E63BB"/>
    <w:rsid w:val="001E63DA"/>
    <w:rsid w:val="001E6542"/>
    <w:rsid w:val="001E65AD"/>
    <w:rsid w:val="001E66A1"/>
    <w:rsid w:val="001E6877"/>
    <w:rsid w:val="001E69AC"/>
    <w:rsid w:val="001E6AC2"/>
    <w:rsid w:val="001E6C6B"/>
    <w:rsid w:val="001E6CBE"/>
    <w:rsid w:val="001E6D87"/>
    <w:rsid w:val="001E6E46"/>
    <w:rsid w:val="001E6E57"/>
    <w:rsid w:val="001E6F96"/>
    <w:rsid w:val="001E70D8"/>
    <w:rsid w:val="001E7165"/>
    <w:rsid w:val="001E7173"/>
    <w:rsid w:val="001E71E8"/>
    <w:rsid w:val="001E7236"/>
    <w:rsid w:val="001E725F"/>
    <w:rsid w:val="001E7350"/>
    <w:rsid w:val="001E74C9"/>
    <w:rsid w:val="001E754B"/>
    <w:rsid w:val="001E7742"/>
    <w:rsid w:val="001E7870"/>
    <w:rsid w:val="001E78F0"/>
    <w:rsid w:val="001E792D"/>
    <w:rsid w:val="001E7A1F"/>
    <w:rsid w:val="001E7A20"/>
    <w:rsid w:val="001E7A72"/>
    <w:rsid w:val="001E7B04"/>
    <w:rsid w:val="001E7B41"/>
    <w:rsid w:val="001E7C2C"/>
    <w:rsid w:val="001E7C3D"/>
    <w:rsid w:val="001E7C6B"/>
    <w:rsid w:val="001E7D87"/>
    <w:rsid w:val="001E7DAA"/>
    <w:rsid w:val="001E7E81"/>
    <w:rsid w:val="001E7EC1"/>
    <w:rsid w:val="001E7F8C"/>
    <w:rsid w:val="001E7F9E"/>
    <w:rsid w:val="001E7FE2"/>
    <w:rsid w:val="001F0016"/>
    <w:rsid w:val="001F0020"/>
    <w:rsid w:val="001F017C"/>
    <w:rsid w:val="001F01AB"/>
    <w:rsid w:val="001F020B"/>
    <w:rsid w:val="001F027E"/>
    <w:rsid w:val="001F033D"/>
    <w:rsid w:val="001F0399"/>
    <w:rsid w:val="001F044C"/>
    <w:rsid w:val="001F04D7"/>
    <w:rsid w:val="001F0509"/>
    <w:rsid w:val="001F052A"/>
    <w:rsid w:val="001F0555"/>
    <w:rsid w:val="001F0612"/>
    <w:rsid w:val="001F0637"/>
    <w:rsid w:val="001F06C1"/>
    <w:rsid w:val="001F06C3"/>
    <w:rsid w:val="001F0716"/>
    <w:rsid w:val="001F072A"/>
    <w:rsid w:val="001F0766"/>
    <w:rsid w:val="001F085B"/>
    <w:rsid w:val="001F096B"/>
    <w:rsid w:val="001F0972"/>
    <w:rsid w:val="001F0974"/>
    <w:rsid w:val="001F09B2"/>
    <w:rsid w:val="001F0A56"/>
    <w:rsid w:val="001F0ABB"/>
    <w:rsid w:val="001F0ACF"/>
    <w:rsid w:val="001F0B15"/>
    <w:rsid w:val="001F0B22"/>
    <w:rsid w:val="001F0C32"/>
    <w:rsid w:val="001F0C68"/>
    <w:rsid w:val="001F0C79"/>
    <w:rsid w:val="001F0CFB"/>
    <w:rsid w:val="001F0CFF"/>
    <w:rsid w:val="001F0D24"/>
    <w:rsid w:val="001F0DA0"/>
    <w:rsid w:val="001F0EF4"/>
    <w:rsid w:val="001F0F6F"/>
    <w:rsid w:val="001F0FBF"/>
    <w:rsid w:val="001F0FE9"/>
    <w:rsid w:val="001F1092"/>
    <w:rsid w:val="001F10E6"/>
    <w:rsid w:val="001F10F0"/>
    <w:rsid w:val="001F1148"/>
    <w:rsid w:val="001F122D"/>
    <w:rsid w:val="001F12FC"/>
    <w:rsid w:val="001F13B3"/>
    <w:rsid w:val="001F1422"/>
    <w:rsid w:val="001F1455"/>
    <w:rsid w:val="001F1474"/>
    <w:rsid w:val="001F1484"/>
    <w:rsid w:val="001F1551"/>
    <w:rsid w:val="001F1733"/>
    <w:rsid w:val="001F17BC"/>
    <w:rsid w:val="001F17D7"/>
    <w:rsid w:val="001F18DA"/>
    <w:rsid w:val="001F18FD"/>
    <w:rsid w:val="001F1A9B"/>
    <w:rsid w:val="001F1AC9"/>
    <w:rsid w:val="001F1AF2"/>
    <w:rsid w:val="001F1B49"/>
    <w:rsid w:val="001F1B76"/>
    <w:rsid w:val="001F1D96"/>
    <w:rsid w:val="001F1DF7"/>
    <w:rsid w:val="001F1DFA"/>
    <w:rsid w:val="001F1EB6"/>
    <w:rsid w:val="001F1EFD"/>
    <w:rsid w:val="001F204F"/>
    <w:rsid w:val="001F2101"/>
    <w:rsid w:val="001F218F"/>
    <w:rsid w:val="001F21FB"/>
    <w:rsid w:val="001F2242"/>
    <w:rsid w:val="001F2247"/>
    <w:rsid w:val="001F22F5"/>
    <w:rsid w:val="001F23ED"/>
    <w:rsid w:val="001F2466"/>
    <w:rsid w:val="001F2473"/>
    <w:rsid w:val="001F251C"/>
    <w:rsid w:val="001F2543"/>
    <w:rsid w:val="001F25ED"/>
    <w:rsid w:val="001F2618"/>
    <w:rsid w:val="001F26BF"/>
    <w:rsid w:val="001F278B"/>
    <w:rsid w:val="001F27D5"/>
    <w:rsid w:val="001F284F"/>
    <w:rsid w:val="001F285E"/>
    <w:rsid w:val="001F2930"/>
    <w:rsid w:val="001F2AA4"/>
    <w:rsid w:val="001F2B10"/>
    <w:rsid w:val="001F2B73"/>
    <w:rsid w:val="001F2BA4"/>
    <w:rsid w:val="001F2C1C"/>
    <w:rsid w:val="001F2C36"/>
    <w:rsid w:val="001F2C55"/>
    <w:rsid w:val="001F2DAB"/>
    <w:rsid w:val="001F2DEE"/>
    <w:rsid w:val="001F2E25"/>
    <w:rsid w:val="001F34E7"/>
    <w:rsid w:val="001F3517"/>
    <w:rsid w:val="001F36AF"/>
    <w:rsid w:val="001F3706"/>
    <w:rsid w:val="001F37D8"/>
    <w:rsid w:val="001F39A6"/>
    <w:rsid w:val="001F39DB"/>
    <w:rsid w:val="001F3A25"/>
    <w:rsid w:val="001F3B6B"/>
    <w:rsid w:val="001F3BE0"/>
    <w:rsid w:val="001F3CD0"/>
    <w:rsid w:val="001F3DA7"/>
    <w:rsid w:val="001F3EBA"/>
    <w:rsid w:val="001F3ECE"/>
    <w:rsid w:val="001F3FA3"/>
    <w:rsid w:val="001F4044"/>
    <w:rsid w:val="001F404A"/>
    <w:rsid w:val="001F4054"/>
    <w:rsid w:val="001F40CD"/>
    <w:rsid w:val="001F413B"/>
    <w:rsid w:val="001F42CC"/>
    <w:rsid w:val="001F43B6"/>
    <w:rsid w:val="001F4465"/>
    <w:rsid w:val="001F4519"/>
    <w:rsid w:val="001F454B"/>
    <w:rsid w:val="001F455A"/>
    <w:rsid w:val="001F4580"/>
    <w:rsid w:val="001F460C"/>
    <w:rsid w:val="001F467A"/>
    <w:rsid w:val="001F46B3"/>
    <w:rsid w:val="001F47D1"/>
    <w:rsid w:val="001F4830"/>
    <w:rsid w:val="001F485F"/>
    <w:rsid w:val="001F486D"/>
    <w:rsid w:val="001F48CC"/>
    <w:rsid w:val="001F4901"/>
    <w:rsid w:val="001F49D2"/>
    <w:rsid w:val="001F4A28"/>
    <w:rsid w:val="001F4A86"/>
    <w:rsid w:val="001F4B7D"/>
    <w:rsid w:val="001F4BB4"/>
    <w:rsid w:val="001F4E13"/>
    <w:rsid w:val="001F4EDC"/>
    <w:rsid w:val="001F51E9"/>
    <w:rsid w:val="001F5263"/>
    <w:rsid w:val="001F531B"/>
    <w:rsid w:val="001F5336"/>
    <w:rsid w:val="001F53FB"/>
    <w:rsid w:val="001F5433"/>
    <w:rsid w:val="001F550D"/>
    <w:rsid w:val="001F56A1"/>
    <w:rsid w:val="001F572F"/>
    <w:rsid w:val="001F5753"/>
    <w:rsid w:val="001F5793"/>
    <w:rsid w:val="001F57A2"/>
    <w:rsid w:val="001F5802"/>
    <w:rsid w:val="001F5A00"/>
    <w:rsid w:val="001F5A5B"/>
    <w:rsid w:val="001F5B73"/>
    <w:rsid w:val="001F5C8F"/>
    <w:rsid w:val="001F5CD4"/>
    <w:rsid w:val="001F5D23"/>
    <w:rsid w:val="001F5DC3"/>
    <w:rsid w:val="001F5DD2"/>
    <w:rsid w:val="001F5EAB"/>
    <w:rsid w:val="001F5F00"/>
    <w:rsid w:val="001F5F83"/>
    <w:rsid w:val="001F5F8C"/>
    <w:rsid w:val="001F5FBB"/>
    <w:rsid w:val="001F602F"/>
    <w:rsid w:val="001F6064"/>
    <w:rsid w:val="001F6229"/>
    <w:rsid w:val="001F6302"/>
    <w:rsid w:val="001F6309"/>
    <w:rsid w:val="001F63CE"/>
    <w:rsid w:val="001F63D9"/>
    <w:rsid w:val="001F64A6"/>
    <w:rsid w:val="001F64C2"/>
    <w:rsid w:val="001F64F3"/>
    <w:rsid w:val="001F6525"/>
    <w:rsid w:val="001F65BA"/>
    <w:rsid w:val="001F6766"/>
    <w:rsid w:val="001F683A"/>
    <w:rsid w:val="001F6908"/>
    <w:rsid w:val="001F6973"/>
    <w:rsid w:val="001F698B"/>
    <w:rsid w:val="001F698C"/>
    <w:rsid w:val="001F6A9B"/>
    <w:rsid w:val="001F6BC7"/>
    <w:rsid w:val="001F6BF1"/>
    <w:rsid w:val="001F6D48"/>
    <w:rsid w:val="001F6D4F"/>
    <w:rsid w:val="001F6F71"/>
    <w:rsid w:val="001F7116"/>
    <w:rsid w:val="001F7122"/>
    <w:rsid w:val="001F71B9"/>
    <w:rsid w:val="001F73FE"/>
    <w:rsid w:val="001F77C6"/>
    <w:rsid w:val="001F78B0"/>
    <w:rsid w:val="001F7915"/>
    <w:rsid w:val="001F791A"/>
    <w:rsid w:val="001F7930"/>
    <w:rsid w:val="001F7A01"/>
    <w:rsid w:val="001F7B58"/>
    <w:rsid w:val="001F7BF7"/>
    <w:rsid w:val="001F7C05"/>
    <w:rsid w:val="001F7D56"/>
    <w:rsid w:val="001F7EF7"/>
    <w:rsid w:val="001F7F37"/>
    <w:rsid w:val="001F7FBA"/>
    <w:rsid w:val="001F7FBC"/>
    <w:rsid w:val="002000CC"/>
    <w:rsid w:val="00200108"/>
    <w:rsid w:val="0020012A"/>
    <w:rsid w:val="002002FD"/>
    <w:rsid w:val="0020032D"/>
    <w:rsid w:val="002003DC"/>
    <w:rsid w:val="00200476"/>
    <w:rsid w:val="002004BC"/>
    <w:rsid w:val="00200559"/>
    <w:rsid w:val="002005EB"/>
    <w:rsid w:val="0020075E"/>
    <w:rsid w:val="0020076B"/>
    <w:rsid w:val="0020083E"/>
    <w:rsid w:val="002009EA"/>
    <w:rsid w:val="00200A26"/>
    <w:rsid w:val="00200A62"/>
    <w:rsid w:val="00200ADA"/>
    <w:rsid w:val="00200B0E"/>
    <w:rsid w:val="00200B12"/>
    <w:rsid w:val="00200B16"/>
    <w:rsid w:val="00200BB7"/>
    <w:rsid w:val="00200BC1"/>
    <w:rsid w:val="00200C59"/>
    <w:rsid w:val="00200C60"/>
    <w:rsid w:val="00200D59"/>
    <w:rsid w:val="00200E97"/>
    <w:rsid w:val="00200ECD"/>
    <w:rsid w:val="00200EFE"/>
    <w:rsid w:val="00200F27"/>
    <w:rsid w:val="00200F6B"/>
    <w:rsid w:val="00201025"/>
    <w:rsid w:val="00201069"/>
    <w:rsid w:val="002010FE"/>
    <w:rsid w:val="00201264"/>
    <w:rsid w:val="0020127D"/>
    <w:rsid w:val="00201411"/>
    <w:rsid w:val="0020147E"/>
    <w:rsid w:val="0020147F"/>
    <w:rsid w:val="002015A8"/>
    <w:rsid w:val="002015E7"/>
    <w:rsid w:val="00201693"/>
    <w:rsid w:val="00201708"/>
    <w:rsid w:val="002017F4"/>
    <w:rsid w:val="00201A51"/>
    <w:rsid w:val="00201A70"/>
    <w:rsid w:val="00201B38"/>
    <w:rsid w:val="00201B43"/>
    <w:rsid w:val="00201C98"/>
    <w:rsid w:val="00201CB2"/>
    <w:rsid w:val="00201CF7"/>
    <w:rsid w:val="00201DD7"/>
    <w:rsid w:val="00201E24"/>
    <w:rsid w:val="00201F0C"/>
    <w:rsid w:val="00201F8F"/>
    <w:rsid w:val="00201FBE"/>
    <w:rsid w:val="0020203F"/>
    <w:rsid w:val="002020FD"/>
    <w:rsid w:val="00202175"/>
    <w:rsid w:val="00202278"/>
    <w:rsid w:val="0020227E"/>
    <w:rsid w:val="002022B4"/>
    <w:rsid w:val="002023A2"/>
    <w:rsid w:val="002023D2"/>
    <w:rsid w:val="002025F9"/>
    <w:rsid w:val="0020272B"/>
    <w:rsid w:val="0020275B"/>
    <w:rsid w:val="00202803"/>
    <w:rsid w:val="0020291C"/>
    <w:rsid w:val="00202AA0"/>
    <w:rsid w:val="00202AE1"/>
    <w:rsid w:val="00202B33"/>
    <w:rsid w:val="00202BEA"/>
    <w:rsid w:val="00202CBE"/>
    <w:rsid w:val="00202DD5"/>
    <w:rsid w:val="00202DE3"/>
    <w:rsid w:val="00202E14"/>
    <w:rsid w:val="00202E71"/>
    <w:rsid w:val="00202FB1"/>
    <w:rsid w:val="002030D2"/>
    <w:rsid w:val="00203137"/>
    <w:rsid w:val="0020326F"/>
    <w:rsid w:val="002032A5"/>
    <w:rsid w:val="002033A0"/>
    <w:rsid w:val="002033FC"/>
    <w:rsid w:val="00203513"/>
    <w:rsid w:val="00203517"/>
    <w:rsid w:val="0020358C"/>
    <w:rsid w:val="002036BB"/>
    <w:rsid w:val="00203713"/>
    <w:rsid w:val="0020371B"/>
    <w:rsid w:val="00203844"/>
    <w:rsid w:val="00203868"/>
    <w:rsid w:val="002038D8"/>
    <w:rsid w:val="0020390E"/>
    <w:rsid w:val="00203956"/>
    <w:rsid w:val="002039FC"/>
    <w:rsid w:val="00203A87"/>
    <w:rsid w:val="00203BF8"/>
    <w:rsid w:val="00203CA3"/>
    <w:rsid w:val="00203CAB"/>
    <w:rsid w:val="00203CAC"/>
    <w:rsid w:val="00203CB1"/>
    <w:rsid w:val="00203EC0"/>
    <w:rsid w:val="002040CD"/>
    <w:rsid w:val="002040DD"/>
    <w:rsid w:val="00204186"/>
    <w:rsid w:val="002042BD"/>
    <w:rsid w:val="0020435E"/>
    <w:rsid w:val="002043EA"/>
    <w:rsid w:val="002043ED"/>
    <w:rsid w:val="002045A4"/>
    <w:rsid w:val="00204645"/>
    <w:rsid w:val="00204739"/>
    <w:rsid w:val="002047D2"/>
    <w:rsid w:val="00204830"/>
    <w:rsid w:val="002048C7"/>
    <w:rsid w:val="002048CA"/>
    <w:rsid w:val="00204AF9"/>
    <w:rsid w:val="00204B1B"/>
    <w:rsid w:val="00204B8D"/>
    <w:rsid w:val="00204BAB"/>
    <w:rsid w:val="00204BFE"/>
    <w:rsid w:val="00204CEB"/>
    <w:rsid w:val="00204D6A"/>
    <w:rsid w:val="00204E03"/>
    <w:rsid w:val="00204EE5"/>
    <w:rsid w:val="00204F37"/>
    <w:rsid w:val="002050D2"/>
    <w:rsid w:val="00205180"/>
    <w:rsid w:val="002052D4"/>
    <w:rsid w:val="002054A1"/>
    <w:rsid w:val="00205575"/>
    <w:rsid w:val="00205744"/>
    <w:rsid w:val="002057E4"/>
    <w:rsid w:val="00205800"/>
    <w:rsid w:val="00205842"/>
    <w:rsid w:val="00205954"/>
    <w:rsid w:val="0020597B"/>
    <w:rsid w:val="00205BB8"/>
    <w:rsid w:val="00205BE2"/>
    <w:rsid w:val="00205C6F"/>
    <w:rsid w:val="00205CA2"/>
    <w:rsid w:val="00205CD3"/>
    <w:rsid w:val="00205D1F"/>
    <w:rsid w:val="00205DA1"/>
    <w:rsid w:val="00205DFA"/>
    <w:rsid w:val="00205E35"/>
    <w:rsid w:val="00205E57"/>
    <w:rsid w:val="00205FBA"/>
    <w:rsid w:val="0020600E"/>
    <w:rsid w:val="0020609C"/>
    <w:rsid w:val="00206166"/>
    <w:rsid w:val="002061DE"/>
    <w:rsid w:val="0020620C"/>
    <w:rsid w:val="00206220"/>
    <w:rsid w:val="00206232"/>
    <w:rsid w:val="0020624A"/>
    <w:rsid w:val="0020642C"/>
    <w:rsid w:val="002064D5"/>
    <w:rsid w:val="00206606"/>
    <w:rsid w:val="0020666D"/>
    <w:rsid w:val="002066DC"/>
    <w:rsid w:val="002067C4"/>
    <w:rsid w:val="002067F5"/>
    <w:rsid w:val="00206861"/>
    <w:rsid w:val="002068C2"/>
    <w:rsid w:val="002068E1"/>
    <w:rsid w:val="00206904"/>
    <w:rsid w:val="002069E2"/>
    <w:rsid w:val="00206A05"/>
    <w:rsid w:val="00206A12"/>
    <w:rsid w:val="00206C73"/>
    <w:rsid w:val="00206E2D"/>
    <w:rsid w:val="00206E65"/>
    <w:rsid w:val="00206FBB"/>
    <w:rsid w:val="00207099"/>
    <w:rsid w:val="002070CB"/>
    <w:rsid w:val="0020718C"/>
    <w:rsid w:val="00207233"/>
    <w:rsid w:val="00207264"/>
    <w:rsid w:val="002072C3"/>
    <w:rsid w:val="00207341"/>
    <w:rsid w:val="0020743F"/>
    <w:rsid w:val="002075C4"/>
    <w:rsid w:val="00207758"/>
    <w:rsid w:val="002077A7"/>
    <w:rsid w:val="00207814"/>
    <w:rsid w:val="00207869"/>
    <w:rsid w:val="002078BF"/>
    <w:rsid w:val="0020794A"/>
    <w:rsid w:val="00207A36"/>
    <w:rsid w:val="00207A4E"/>
    <w:rsid w:val="00207A78"/>
    <w:rsid w:val="00207AA9"/>
    <w:rsid w:val="00207AD5"/>
    <w:rsid w:val="00207BF5"/>
    <w:rsid w:val="00207D13"/>
    <w:rsid w:val="00207D1E"/>
    <w:rsid w:val="00207DA7"/>
    <w:rsid w:val="00207DBD"/>
    <w:rsid w:val="00207F9C"/>
    <w:rsid w:val="00207FCB"/>
    <w:rsid w:val="002100A0"/>
    <w:rsid w:val="0021012E"/>
    <w:rsid w:val="002101A8"/>
    <w:rsid w:val="0021022E"/>
    <w:rsid w:val="00210316"/>
    <w:rsid w:val="002103C3"/>
    <w:rsid w:val="0021052B"/>
    <w:rsid w:val="0021062F"/>
    <w:rsid w:val="002106DE"/>
    <w:rsid w:val="0021076C"/>
    <w:rsid w:val="002109D9"/>
    <w:rsid w:val="00210A65"/>
    <w:rsid w:val="00210B3D"/>
    <w:rsid w:val="00210C4C"/>
    <w:rsid w:val="00210EA8"/>
    <w:rsid w:val="00210F2D"/>
    <w:rsid w:val="00211070"/>
    <w:rsid w:val="002113B2"/>
    <w:rsid w:val="00211451"/>
    <w:rsid w:val="0021146F"/>
    <w:rsid w:val="00211501"/>
    <w:rsid w:val="002115C1"/>
    <w:rsid w:val="002116A8"/>
    <w:rsid w:val="002116C9"/>
    <w:rsid w:val="00211793"/>
    <w:rsid w:val="002119B7"/>
    <w:rsid w:val="00211A85"/>
    <w:rsid w:val="00211B18"/>
    <w:rsid w:val="00211B9F"/>
    <w:rsid w:val="00211C02"/>
    <w:rsid w:val="00211D74"/>
    <w:rsid w:val="00211DD4"/>
    <w:rsid w:val="00211E5F"/>
    <w:rsid w:val="002121D8"/>
    <w:rsid w:val="0021220B"/>
    <w:rsid w:val="00212228"/>
    <w:rsid w:val="002122DB"/>
    <w:rsid w:val="0021231F"/>
    <w:rsid w:val="0021236B"/>
    <w:rsid w:val="002124A6"/>
    <w:rsid w:val="00212571"/>
    <w:rsid w:val="0021258E"/>
    <w:rsid w:val="00212656"/>
    <w:rsid w:val="00212758"/>
    <w:rsid w:val="0021275B"/>
    <w:rsid w:val="00212761"/>
    <w:rsid w:val="002127CE"/>
    <w:rsid w:val="00212842"/>
    <w:rsid w:val="002128C3"/>
    <w:rsid w:val="00212913"/>
    <w:rsid w:val="002129C1"/>
    <w:rsid w:val="00212A5A"/>
    <w:rsid w:val="00212B1E"/>
    <w:rsid w:val="00212CFA"/>
    <w:rsid w:val="00212CFF"/>
    <w:rsid w:val="00212D85"/>
    <w:rsid w:val="00212E20"/>
    <w:rsid w:val="00212E76"/>
    <w:rsid w:val="00212F22"/>
    <w:rsid w:val="00212FA1"/>
    <w:rsid w:val="00213052"/>
    <w:rsid w:val="0021314F"/>
    <w:rsid w:val="002131C7"/>
    <w:rsid w:val="00213242"/>
    <w:rsid w:val="00213292"/>
    <w:rsid w:val="0021329C"/>
    <w:rsid w:val="002132E2"/>
    <w:rsid w:val="0021335D"/>
    <w:rsid w:val="00213484"/>
    <w:rsid w:val="00213485"/>
    <w:rsid w:val="002134F1"/>
    <w:rsid w:val="0021357A"/>
    <w:rsid w:val="0021358D"/>
    <w:rsid w:val="002135C0"/>
    <w:rsid w:val="002135E4"/>
    <w:rsid w:val="002136CD"/>
    <w:rsid w:val="002137D8"/>
    <w:rsid w:val="00213845"/>
    <w:rsid w:val="002138BA"/>
    <w:rsid w:val="002138F8"/>
    <w:rsid w:val="0021390A"/>
    <w:rsid w:val="0021394A"/>
    <w:rsid w:val="002139C2"/>
    <w:rsid w:val="002139E1"/>
    <w:rsid w:val="00213A5D"/>
    <w:rsid w:val="00213C04"/>
    <w:rsid w:val="00213D2D"/>
    <w:rsid w:val="00213D9F"/>
    <w:rsid w:val="00213DD3"/>
    <w:rsid w:val="00213E6C"/>
    <w:rsid w:val="00213E9F"/>
    <w:rsid w:val="0021402B"/>
    <w:rsid w:val="002140DB"/>
    <w:rsid w:val="00214113"/>
    <w:rsid w:val="00214158"/>
    <w:rsid w:val="002141B5"/>
    <w:rsid w:val="002142A9"/>
    <w:rsid w:val="002143EA"/>
    <w:rsid w:val="002144CE"/>
    <w:rsid w:val="0021458E"/>
    <w:rsid w:val="00214597"/>
    <w:rsid w:val="002145AB"/>
    <w:rsid w:val="002145B2"/>
    <w:rsid w:val="00214816"/>
    <w:rsid w:val="0021483E"/>
    <w:rsid w:val="00214858"/>
    <w:rsid w:val="0021485F"/>
    <w:rsid w:val="00214886"/>
    <w:rsid w:val="002149CA"/>
    <w:rsid w:val="00214AD2"/>
    <w:rsid w:val="00214D2F"/>
    <w:rsid w:val="00214D30"/>
    <w:rsid w:val="00214E35"/>
    <w:rsid w:val="00214EE6"/>
    <w:rsid w:val="00214F6A"/>
    <w:rsid w:val="00215095"/>
    <w:rsid w:val="00215155"/>
    <w:rsid w:val="00215178"/>
    <w:rsid w:val="0021522E"/>
    <w:rsid w:val="0021522F"/>
    <w:rsid w:val="0021525D"/>
    <w:rsid w:val="002152CC"/>
    <w:rsid w:val="00215361"/>
    <w:rsid w:val="00215472"/>
    <w:rsid w:val="002155AF"/>
    <w:rsid w:val="00215801"/>
    <w:rsid w:val="00215971"/>
    <w:rsid w:val="00215AD5"/>
    <w:rsid w:val="00215ADD"/>
    <w:rsid w:val="00215AE9"/>
    <w:rsid w:val="00215B20"/>
    <w:rsid w:val="00215B2D"/>
    <w:rsid w:val="00215B73"/>
    <w:rsid w:val="00215C70"/>
    <w:rsid w:val="00215CA9"/>
    <w:rsid w:val="00215CB1"/>
    <w:rsid w:val="00215CDD"/>
    <w:rsid w:val="00215D00"/>
    <w:rsid w:val="00215EFD"/>
    <w:rsid w:val="00215F0B"/>
    <w:rsid w:val="00215FAC"/>
    <w:rsid w:val="00215FD3"/>
    <w:rsid w:val="00216017"/>
    <w:rsid w:val="00216053"/>
    <w:rsid w:val="002160AE"/>
    <w:rsid w:val="00216189"/>
    <w:rsid w:val="002163DA"/>
    <w:rsid w:val="002163E3"/>
    <w:rsid w:val="002163E7"/>
    <w:rsid w:val="002163F4"/>
    <w:rsid w:val="00216477"/>
    <w:rsid w:val="002164C9"/>
    <w:rsid w:val="002165D0"/>
    <w:rsid w:val="00216635"/>
    <w:rsid w:val="00216687"/>
    <w:rsid w:val="002166F5"/>
    <w:rsid w:val="00216797"/>
    <w:rsid w:val="0021681E"/>
    <w:rsid w:val="0021689A"/>
    <w:rsid w:val="00216902"/>
    <w:rsid w:val="00216950"/>
    <w:rsid w:val="00216AC7"/>
    <w:rsid w:val="00216B1B"/>
    <w:rsid w:val="00216B57"/>
    <w:rsid w:val="00216B74"/>
    <w:rsid w:val="00216B76"/>
    <w:rsid w:val="00216B80"/>
    <w:rsid w:val="00216C09"/>
    <w:rsid w:val="00216C7A"/>
    <w:rsid w:val="00216CD5"/>
    <w:rsid w:val="00216CDF"/>
    <w:rsid w:val="00216E1A"/>
    <w:rsid w:val="00216E23"/>
    <w:rsid w:val="00216E4B"/>
    <w:rsid w:val="00216F57"/>
    <w:rsid w:val="00216FCB"/>
    <w:rsid w:val="00217049"/>
    <w:rsid w:val="002171B2"/>
    <w:rsid w:val="00217229"/>
    <w:rsid w:val="0021722C"/>
    <w:rsid w:val="00217277"/>
    <w:rsid w:val="00217288"/>
    <w:rsid w:val="00217520"/>
    <w:rsid w:val="00217524"/>
    <w:rsid w:val="00217567"/>
    <w:rsid w:val="002175C8"/>
    <w:rsid w:val="002175FB"/>
    <w:rsid w:val="002176E6"/>
    <w:rsid w:val="00217721"/>
    <w:rsid w:val="00217743"/>
    <w:rsid w:val="0021784E"/>
    <w:rsid w:val="00217874"/>
    <w:rsid w:val="002178ED"/>
    <w:rsid w:val="00217912"/>
    <w:rsid w:val="002179C8"/>
    <w:rsid w:val="00217A7D"/>
    <w:rsid w:val="00217ACC"/>
    <w:rsid w:val="00217BA6"/>
    <w:rsid w:val="00217C27"/>
    <w:rsid w:val="00217C9A"/>
    <w:rsid w:val="00217CB3"/>
    <w:rsid w:val="00217DD3"/>
    <w:rsid w:val="00217F32"/>
    <w:rsid w:val="00217F3F"/>
    <w:rsid w:val="00217F85"/>
    <w:rsid w:val="0022009C"/>
    <w:rsid w:val="0022010A"/>
    <w:rsid w:val="00220202"/>
    <w:rsid w:val="0022029E"/>
    <w:rsid w:val="002202F2"/>
    <w:rsid w:val="0022045F"/>
    <w:rsid w:val="00220536"/>
    <w:rsid w:val="002205D1"/>
    <w:rsid w:val="0022061B"/>
    <w:rsid w:val="0022063B"/>
    <w:rsid w:val="0022064B"/>
    <w:rsid w:val="002206B2"/>
    <w:rsid w:val="00220773"/>
    <w:rsid w:val="0022078B"/>
    <w:rsid w:val="002207D9"/>
    <w:rsid w:val="002207DC"/>
    <w:rsid w:val="00220964"/>
    <w:rsid w:val="00220A1E"/>
    <w:rsid w:val="00220A60"/>
    <w:rsid w:val="00220A6F"/>
    <w:rsid w:val="00220A86"/>
    <w:rsid w:val="00220AC3"/>
    <w:rsid w:val="00220AC8"/>
    <w:rsid w:val="00220B3B"/>
    <w:rsid w:val="00220BDA"/>
    <w:rsid w:val="00220D8F"/>
    <w:rsid w:val="00220D90"/>
    <w:rsid w:val="00220DD8"/>
    <w:rsid w:val="00220E81"/>
    <w:rsid w:val="00220FB3"/>
    <w:rsid w:val="00220FE0"/>
    <w:rsid w:val="00221004"/>
    <w:rsid w:val="0022115C"/>
    <w:rsid w:val="00221186"/>
    <w:rsid w:val="0022119E"/>
    <w:rsid w:val="002211C9"/>
    <w:rsid w:val="0022121D"/>
    <w:rsid w:val="0022126D"/>
    <w:rsid w:val="002212B5"/>
    <w:rsid w:val="00221382"/>
    <w:rsid w:val="0022145C"/>
    <w:rsid w:val="002214C7"/>
    <w:rsid w:val="00221670"/>
    <w:rsid w:val="00221699"/>
    <w:rsid w:val="00221773"/>
    <w:rsid w:val="0022178B"/>
    <w:rsid w:val="00221892"/>
    <w:rsid w:val="002218A7"/>
    <w:rsid w:val="00221CDB"/>
    <w:rsid w:val="00221D57"/>
    <w:rsid w:val="00221E8E"/>
    <w:rsid w:val="00221EC6"/>
    <w:rsid w:val="00221FAD"/>
    <w:rsid w:val="00222040"/>
    <w:rsid w:val="00222070"/>
    <w:rsid w:val="00222089"/>
    <w:rsid w:val="002220D3"/>
    <w:rsid w:val="00222233"/>
    <w:rsid w:val="002222ED"/>
    <w:rsid w:val="002222FB"/>
    <w:rsid w:val="00222311"/>
    <w:rsid w:val="002223EF"/>
    <w:rsid w:val="002224E1"/>
    <w:rsid w:val="0022272B"/>
    <w:rsid w:val="002227F3"/>
    <w:rsid w:val="0022280B"/>
    <w:rsid w:val="00222813"/>
    <w:rsid w:val="002228D7"/>
    <w:rsid w:val="00222B69"/>
    <w:rsid w:val="00222E03"/>
    <w:rsid w:val="00222E57"/>
    <w:rsid w:val="00222EB0"/>
    <w:rsid w:val="00222F75"/>
    <w:rsid w:val="00222FD4"/>
    <w:rsid w:val="00223030"/>
    <w:rsid w:val="002230BB"/>
    <w:rsid w:val="00223101"/>
    <w:rsid w:val="002231D4"/>
    <w:rsid w:val="0022325F"/>
    <w:rsid w:val="002232C3"/>
    <w:rsid w:val="0022342E"/>
    <w:rsid w:val="002235A0"/>
    <w:rsid w:val="002235A1"/>
    <w:rsid w:val="0022369F"/>
    <w:rsid w:val="002236C3"/>
    <w:rsid w:val="002236ED"/>
    <w:rsid w:val="00223744"/>
    <w:rsid w:val="0022379A"/>
    <w:rsid w:val="00223807"/>
    <w:rsid w:val="00223871"/>
    <w:rsid w:val="00223888"/>
    <w:rsid w:val="002238D1"/>
    <w:rsid w:val="0022391E"/>
    <w:rsid w:val="00223965"/>
    <w:rsid w:val="00223993"/>
    <w:rsid w:val="00223A4E"/>
    <w:rsid w:val="00223B0A"/>
    <w:rsid w:val="00223BA2"/>
    <w:rsid w:val="00223BE9"/>
    <w:rsid w:val="00223C1E"/>
    <w:rsid w:val="00223DF7"/>
    <w:rsid w:val="00223E16"/>
    <w:rsid w:val="00223E85"/>
    <w:rsid w:val="00223EF8"/>
    <w:rsid w:val="00223F01"/>
    <w:rsid w:val="002241CB"/>
    <w:rsid w:val="0022429F"/>
    <w:rsid w:val="002242EA"/>
    <w:rsid w:val="00224318"/>
    <w:rsid w:val="00224614"/>
    <w:rsid w:val="0022468E"/>
    <w:rsid w:val="002246E4"/>
    <w:rsid w:val="002247E2"/>
    <w:rsid w:val="0022480A"/>
    <w:rsid w:val="0022484C"/>
    <w:rsid w:val="00224977"/>
    <w:rsid w:val="002249CF"/>
    <w:rsid w:val="00224B0A"/>
    <w:rsid w:val="00224B2B"/>
    <w:rsid w:val="00224C94"/>
    <w:rsid w:val="00224D00"/>
    <w:rsid w:val="00224D7D"/>
    <w:rsid w:val="00224EBD"/>
    <w:rsid w:val="00224FC0"/>
    <w:rsid w:val="00225053"/>
    <w:rsid w:val="002250A7"/>
    <w:rsid w:val="00225190"/>
    <w:rsid w:val="00225198"/>
    <w:rsid w:val="002251E9"/>
    <w:rsid w:val="00225235"/>
    <w:rsid w:val="00225373"/>
    <w:rsid w:val="002253B2"/>
    <w:rsid w:val="00225440"/>
    <w:rsid w:val="0022552E"/>
    <w:rsid w:val="0022556E"/>
    <w:rsid w:val="002256B1"/>
    <w:rsid w:val="002256ED"/>
    <w:rsid w:val="00225794"/>
    <w:rsid w:val="002257A1"/>
    <w:rsid w:val="0022581D"/>
    <w:rsid w:val="00225952"/>
    <w:rsid w:val="0022599C"/>
    <w:rsid w:val="00225A35"/>
    <w:rsid w:val="00225A82"/>
    <w:rsid w:val="00225C7E"/>
    <w:rsid w:val="00225CB2"/>
    <w:rsid w:val="00225CDB"/>
    <w:rsid w:val="00225DDB"/>
    <w:rsid w:val="00225FF6"/>
    <w:rsid w:val="0022603E"/>
    <w:rsid w:val="00226057"/>
    <w:rsid w:val="002260AF"/>
    <w:rsid w:val="00226166"/>
    <w:rsid w:val="00226179"/>
    <w:rsid w:val="002261E3"/>
    <w:rsid w:val="00226332"/>
    <w:rsid w:val="00226351"/>
    <w:rsid w:val="0022641E"/>
    <w:rsid w:val="00226492"/>
    <w:rsid w:val="002267B4"/>
    <w:rsid w:val="00226A51"/>
    <w:rsid w:val="00226CE3"/>
    <w:rsid w:val="00226D1C"/>
    <w:rsid w:val="00226D46"/>
    <w:rsid w:val="00226E43"/>
    <w:rsid w:val="00226F00"/>
    <w:rsid w:val="00226F4E"/>
    <w:rsid w:val="00226FDE"/>
    <w:rsid w:val="00226FF0"/>
    <w:rsid w:val="00227097"/>
    <w:rsid w:val="002270AA"/>
    <w:rsid w:val="002270D4"/>
    <w:rsid w:val="002271A2"/>
    <w:rsid w:val="00227223"/>
    <w:rsid w:val="00227281"/>
    <w:rsid w:val="002272AA"/>
    <w:rsid w:val="002273EF"/>
    <w:rsid w:val="00227466"/>
    <w:rsid w:val="0022748A"/>
    <w:rsid w:val="00227586"/>
    <w:rsid w:val="0022761C"/>
    <w:rsid w:val="002278B0"/>
    <w:rsid w:val="002279AB"/>
    <w:rsid w:val="00227A10"/>
    <w:rsid w:val="00227ADB"/>
    <w:rsid w:val="00227C71"/>
    <w:rsid w:val="00227D69"/>
    <w:rsid w:val="00227D75"/>
    <w:rsid w:val="00227DA5"/>
    <w:rsid w:val="00227E4C"/>
    <w:rsid w:val="00227EAC"/>
    <w:rsid w:val="00227F0D"/>
    <w:rsid w:val="00227F50"/>
    <w:rsid w:val="00227F83"/>
    <w:rsid w:val="00227FAE"/>
    <w:rsid w:val="0023000A"/>
    <w:rsid w:val="00230117"/>
    <w:rsid w:val="002301FE"/>
    <w:rsid w:val="00230439"/>
    <w:rsid w:val="0023053B"/>
    <w:rsid w:val="002305B7"/>
    <w:rsid w:val="002305F6"/>
    <w:rsid w:val="00230603"/>
    <w:rsid w:val="0023077B"/>
    <w:rsid w:val="0023079B"/>
    <w:rsid w:val="002307E9"/>
    <w:rsid w:val="00230808"/>
    <w:rsid w:val="00230900"/>
    <w:rsid w:val="00230928"/>
    <w:rsid w:val="00230934"/>
    <w:rsid w:val="00230A1E"/>
    <w:rsid w:val="00230A5A"/>
    <w:rsid w:val="00230AB7"/>
    <w:rsid w:val="00230C9B"/>
    <w:rsid w:val="00230CC6"/>
    <w:rsid w:val="00230E26"/>
    <w:rsid w:val="00230EB3"/>
    <w:rsid w:val="00230F40"/>
    <w:rsid w:val="0023123A"/>
    <w:rsid w:val="00231258"/>
    <w:rsid w:val="00231265"/>
    <w:rsid w:val="0023129A"/>
    <w:rsid w:val="002312D1"/>
    <w:rsid w:val="0023130F"/>
    <w:rsid w:val="0023132A"/>
    <w:rsid w:val="00231332"/>
    <w:rsid w:val="002315B8"/>
    <w:rsid w:val="0023178A"/>
    <w:rsid w:val="002317F6"/>
    <w:rsid w:val="00231844"/>
    <w:rsid w:val="0023197E"/>
    <w:rsid w:val="00231A1C"/>
    <w:rsid w:val="00231B96"/>
    <w:rsid w:val="00231C0B"/>
    <w:rsid w:val="00231C51"/>
    <w:rsid w:val="00231CAD"/>
    <w:rsid w:val="00231D60"/>
    <w:rsid w:val="00231D8D"/>
    <w:rsid w:val="00231DA8"/>
    <w:rsid w:val="00231DCF"/>
    <w:rsid w:val="00231E41"/>
    <w:rsid w:val="00231EA5"/>
    <w:rsid w:val="00231F39"/>
    <w:rsid w:val="00231F8E"/>
    <w:rsid w:val="00232134"/>
    <w:rsid w:val="002322CE"/>
    <w:rsid w:val="002322D7"/>
    <w:rsid w:val="002324A5"/>
    <w:rsid w:val="00232688"/>
    <w:rsid w:val="002326B1"/>
    <w:rsid w:val="00232716"/>
    <w:rsid w:val="002329AF"/>
    <w:rsid w:val="00232AE2"/>
    <w:rsid w:val="00232B0B"/>
    <w:rsid w:val="00232BA3"/>
    <w:rsid w:val="00232BD1"/>
    <w:rsid w:val="00232CEC"/>
    <w:rsid w:val="00232D9D"/>
    <w:rsid w:val="00232DB1"/>
    <w:rsid w:val="00232E77"/>
    <w:rsid w:val="00232FAF"/>
    <w:rsid w:val="00232FBB"/>
    <w:rsid w:val="00232FF5"/>
    <w:rsid w:val="00233051"/>
    <w:rsid w:val="002330CA"/>
    <w:rsid w:val="002330EB"/>
    <w:rsid w:val="00233136"/>
    <w:rsid w:val="00233141"/>
    <w:rsid w:val="0023314A"/>
    <w:rsid w:val="0023332C"/>
    <w:rsid w:val="0023343D"/>
    <w:rsid w:val="002334CD"/>
    <w:rsid w:val="002334D2"/>
    <w:rsid w:val="002335CE"/>
    <w:rsid w:val="002335F8"/>
    <w:rsid w:val="002336E4"/>
    <w:rsid w:val="0023375A"/>
    <w:rsid w:val="0023378C"/>
    <w:rsid w:val="00233793"/>
    <w:rsid w:val="002337C5"/>
    <w:rsid w:val="002337F9"/>
    <w:rsid w:val="00233849"/>
    <w:rsid w:val="00233850"/>
    <w:rsid w:val="00233A70"/>
    <w:rsid w:val="00233ADC"/>
    <w:rsid w:val="00233B09"/>
    <w:rsid w:val="00233C05"/>
    <w:rsid w:val="00233D7F"/>
    <w:rsid w:val="00233F69"/>
    <w:rsid w:val="0023402A"/>
    <w:rsid w:val="00234038"/>
    <w:rsid w:val="0023414A"/>
    <w:rsid w:val="002341B9"/>
    <w:rsid w:val="00234218"/>
    <w:rsid w:val="002342AE"/>
    <w:rsid w:val="002342E3"/>
    <w:rsid w:val="002343A9"/>
    <w:rsid w:val="00234438"/>
    <w:rsid w:val="00234473"/>
    <w:rsid w:val="0023447B"/>
    <w:rsid w:val="00234591"/>
    <w:rsid w:val="002345B3"/>
    <w:rsid w:val="00234726"/>
    <w:rsid w:val="002347D3"/>
    <w:rsid w:val="00234812"/>
    <w:rsid w:val="002348F9"/>
    <w:rsid w:val="00234962"/>
    <w:rsid w:val="00234991"/>
    <w:rsid w:val="002349B5"/>
    <w:rsid w:val="00234A6C"/>
    <w:rsid w:val="00234C23"/>
    <w:rsid w:val="00234C5B"/>
    <w:rsid w:val="00234CBB"/>
    <w:rsid w:val="00235062"/>
    <w:rsid w:val="002350AE"/>
    <w:rsid w:val="002350E4"/>
    <w:rsid w:val="0023526E"/>
    <w:rsid w:val="002352B7"/>
    <w:rsid w:val="002352D2"/>
    <w:rsid w:val="0023553B"/>
    <w:rsid w:val="00235558"/>
    <w:rsid w:val="00235575"/>
    <w:rsid w:val="002357C2"/>
    <w:rsid w:val="002358FD"/>
    <w:rsid w:val="00235A6A"/>
    <w:rsid w:val="00235AB2"/>
    <w:rsid w:val="00235AB7"/>
    <w:rsid w:val="00235B55"/>
    <w:rsid w:val="00235BB6"/>
    <w:rsid w:val="00235BE1"/>
    <w:rsid w:val="00235C61"/>
    <w:rsid w:val="00235CA3"/>
    <w:rsid w:val="00235CB5"/>
    <w:rsid w:val="00235DE4"/>
    <w:rsid w:val="00235E02"/>
    <w:rsid w:val="00235EFC"/>
    <w:rsid w:val="00235FCE"/>
    <w:rsid w:val="00236038"/>
    <w:rsid w:val="002360F4"/>
    <w:rsid w:val="00236180"/>
    <w:rsid w:val="002361AD"/>
    <w:rsid w:val="002361CE"/>
    <w:rsid w:val="00236209"/>
    <w:rsid w:val="00236281"/>
    <w:rsid w:val="002362A7"/>
    <w:rsid w:val="00236402"/>
    <w:rsid w:val="0023642C"/>
    <w:rsid w:val="002366CD"/>
    <w:rsid w:val="002368FC"/>
    <w:rsid w:val="00236903"/>
    <w:rsid w:val="00236932"/>
    <w:rsid w:val="0023693C"/>
    <w:rsid w:val="0023696A"/>
    <w:rsid w:val="002369DD"/>
    <w:rsid w:val="00236A31"/>
    <w:rsid w:val="00236A75"/>
    <w:rsid w:val="00236A9B"/>
    <w:rsid w:val="00236AB9"/>
    <w:rsid w:val="00236B36"/>
    <w:rsid w:val="00236B8E"/>
    <w:rsid w:val="00236C2B"/>
    <w:rsid w:val="00236CF9"/>
    <w:rsid w:val="00236DB0"/>
    <w:rsid w:val="00236EA4"/>
    <w:rsid w:val="0023702B"/>
    <w:rsid w:val="00237036"/>
    <w:rsid w:val="00237257"/>
    <w:rsid w:val="002372B9"/>
    <w:rsid w:val="0023736F"/>
    <w:rsid w:val="0023738E"/>
    <w:rsid w:val="002373A5"/>
    <w:rsid w:val="00237400"/>
    <w:rsid w:val="00237461"/>
    <w:rsid w:val="002374B1"/>
    <w:rsid w:val="002374DA"/>
    <w:rsid w:val="00237539"/>
    <w:rsid w:val="0023759F"/>
    <w:rsid w:val="00237682"/>
    <w:rsid w:val="002376C8"/>
    <w:rsid w:val="002376D1"/>
    <w:rsid w:val="002377A8"/>
    <w:rsid w:val="002379AB"/>
    <w:rsid w:val="00237B70"/>
    <w:rsid w:val="00237B98"/>
    <w:rsid w:val="00237C21"/>
    <w:rsid w:val="00237C37"/>
    <w:rsid w:val="00237CEF"/>
    <w:rsid w:val="00237D52"/>
    <w:rsid w:val="00237DFB"/>
    <w:rsid w:val="00237E06"/>
    <w:rsid w:val="00237FBF"/>
    <w:rsid w:val="00240178"/>
    <w:rsid w:val="00240258"/>
    <w:rsid w:val="00240373"/>
    <w:rsid w:val="0024039F"/>
    <w:rsid w:val="00240429"/>
    <w:rsid w:val="002404A6"/>
    <w:rsid w:val="00240560"/>
    <w:rsid w:val="00240697"/>
    <w:rsid w:val="002407C6"/>
    <w:rsid w:val="002407C7"/>
    <w:rsid w:val="0024082D"/>
    <w:rsid w:val="00240860"/>
    <w:rsid w:val="002408DB"/>
    <w:rsid w:val="00240A3E"/>
    <w:rsid w:val="00240B50"/>
    <w:rsid w:val="00240B92"/>
    <w:rsid w:val="00240DE6"/>
    <w:rsid w:val="00240E8F"/>
    <w:rsid w:val="00240F40"/>
    <w:rsid w:val="00240FD4"/>
    <w:rsid w:val="00241162"/>
    <w:rsid w:val="00241198"/>
    <w:rsid w:val="00241286"/>
    <w:rsid w:val="0024133A"/>
    <w:rsid w:val="0024139D"/>
    <w:rsid w:val="002413DA"/>
    <w:rsid w:val="0024144E"/>
    <w:rsid w:val="0024146A"/>
    <w:rsid w:val="002414DF"/>
    <w:rsid w:val="0024169A"/>
    <w:rsid w:val="002416C9"/>
    <w:rsid w:val="00241730"/>
    <w:rsid w:val="0024178D"/>
    <w:rsid w:val="00241954"/>
    <w:rsid w:val="0024195C"/>
    <w:rsid w:val="00241A1A"/>
    <w:rsid w:val="00241A6D"/>
    <w:rsid w:val="00241AF4"/>
    <w:rsid w:val="00241BAF"/>
    <w:rsid w:val="00241BE0"/>
    <w:rsid w:val="00241C1C"/>
    <w:rsid w:val="00241CAF"/>
    <w:rsid w:val="00241E0A"/>
    <w:rsid w:val="00241E6B"/>
    <w:rsid w:val="00241F84"/>
    <w:rsid w:val="00242024"/>
    <w:rsid w:val="0024204F"/>
    <w:rsid w:val="002420B7"/>
    <w:rsid w:val="002421BF"/>
    <w:rsid w:val="0024222E"/>
    <w:rsid w:val="00242267"/>
    <w:rsid w:val="002422C2"/>
    <w:rsid w:val="00242334"/>
    <w:rsid w:val="00242463"/>
    <w:rsid w:val="0024253D"/>
    <w:rsid w:val="002425BC"/>
    <w:rsid w:val="002425C4"/>
    <w:rsid w:val="0024263D"/>
    <w:rsid w:val="00242654"/>
    <w:rsid w:val="002426F9"/>
    <w:rsid w:val="00242714"/>
    <w:rsid w:val="00242792"/>
    <w:rsid w:val="00242815"/>
    <w:rsid w:val="00242861"/>
    <w:rsid w:val="002428AF"/>
    <w:rsid w:val="002428E9"/>
    <w:rsid w:val="002428EA"/>
    <w:rsid w:val="002429CA"/>
    <w:rsid w:val="00242A84"/>
    <w:rsid w:val="00242AC7"/>
    <w:rsid w:val="00242BD1"/>
    <w:rsid w:val="00242BF8"/>
    <w:rsid w:val="00242C95"/>
    <w:rsid w:val="00242CB3"/>
    <w:rsid w:val="00242D5D"/>
    <w:rsid w:val="00242D8B"/>
    <w:rsid w:val="00242DB3"/>
    <w:rsid w:val="00242EA6"/>
    <w:rsid w:val="00242EB8"/>
    <w:rsid w:val="00242EE1"/>
    <w:rsid w:val="00242F27"/>
    <w:rsid w:val="0024310F"/>
    <w:rsid w:val="0024312E"/>
    <w:rsid w:val="00243149"/>
    <w:rsid w:val="002431FF"/>
    <w:rsid w:val="00243369"/>
    <w:rsid w:val="002433E1"/>
    <w:rsid w:val="002437F1"/>
    <w:rsid w:val="002437FA"/>
    <w:rsid w:val="00243891"/>
    <w:rsid w:val="0024397E"/>
    <w:rsid w:val="00243A04"/>
    <w:rsid w:val="00243AF0"/>
    <w:rsid w:val="00243C41"/>
    <w:rsid w:val="00243C52"/>
    <w:rsid w:val="00243C5C"/>
    <w:rsid w:val="00243C74"/>
    <w:rsid w:val="00243C89"/>
    <w:rsid w:val="00243D7A"/>
    <w:rsid w:val="00243DCB"/>
    <w:rsid w:val="00243E1B"/>
    <w:rsid w:val="00243EC5"/>
    <w:rsid w:val="00243F7C"/>
    <w:rsid w:val="00243FB4"/>
    <w:rsid w:val="00244041"/>
    <w:rsid w:val="00244072"/>
    <w:rsid w:val="002440EC"/>
    <w:rsid w:val="00244175"/>
    <w:rsid w:val="002441BB"/>
    <w:rsid w:val="002441DE"/>
    <w:rsid w:val="00244208"/>
    <w:rsid w:val="0024421E"/>
    <w:rsid w:val="00244338"/>
    <w:rsid w:val="0024436A"/>
    <w:rsid w:val="002444A9"/>
    <w:rsid w:val="00244531"/>
    <w:rsid w:val="0024459B"/>
    <w:rsid w:val="0024464D"/>
    <w:rsid w:val="0024467F"/>
    <w:rsid w:val="00244769"/>
    <w:rsid w:val="0024479A"/>
    <w:rsid w:val="00244839"/>
    <w:rsid w:val="00244896"/>
    <w:rsid w:val="002449EE"/>
    <w:rsid w:val="00244A16"/>
    <w:rsid w:val="00244A6B"/>
    <w:rsid w:val="00244C20"/>
    <w:rsid w:val="00244C64"/>
    <w:rsid w:val="00244D95"/>
    <w:rsid w:val="00244DE6"/>
    <w:rsid w:val="00244DE7"/>
    <w:rsid w:val="00244E71"/>
    <w:rsid w:val="00244FD3"/>
    <w:rsid w:val="00244FEA"/>
    <w:rsid w:val="00244FF4"/>
    <w:rsid w:val="00245212"/>
    <w:rsid w:val="0024523B"/>
    <w:rsid w:val="00245243"/>
    <w:rsid w:val="0024528E"/>
    <w:rsid w:val="002452A2"/>
    <w:rsid w:val="002453BB"/>
    <w:rsid w:val="002453C4"/>
    <w:rsid w:val="00245420"/>
    <w:rsid w:val="002454CB"/>
    <w:rsid w:val="00245535"/>
    <w:rsid w:val="0024553F"/>
    <w:rsid w:val="00245623"/>
    <w:rsid w:val="00245627"/>
    <w:rsid w:val="0024562A"/>
    <w:rsid w:val="00245863"/>
    <w:rsid w:val="0024591C"/>
    <w:rsid w:val="00245954"/>
    <w:rsid w:val="00245987"/>
    <w:rsid w:val="00245995"/>
    <w:rsid w:val="00245AB9"/>
    <w:rsid w:val="00245B15"/>
    <w:rsid w:val="00245BE2"/>
    <w:rsid w:val="00245C4A"/>
    <w:rsid w:val="00245E80"/>
    <w:rsid w:val="00245E94"/>
    <w:rsid w:val="00245F5B"/>
    <w:rsid w:val="00245F8D"/>
    <w:rsid w:val="00245FDE"/>
    <w:rsid w:val="00246050"/>
    <w:rsid w:val="00246057"/>
    <w:rsid w:val="00246061"/>
    <w:rsid w:val="002461E6"/>
    <w:rsid w:val="002461EB"/>
    <w:rsid w:val="0024632B"/>
    <w:rsid w:val="002463CF"/>
    <w:rsid w:val="00246418"/>
    <w:rsid w:val="002464BA"/>
    <w:rsid w:val="00246576"/>
    <w:rsid w:val="00246780"/>
    <w:rsid w:val="002467F3"/>
    <w:rsid w:val="0024680B"/>
    <w:rsid w:val="00246860"/>
    <w:rsid w:val="002468D6"/>
    <w:rsid w:val="00246AAF"/>
    <w:rsid w:val="00246BE2"/>
    <w:rsid w:val="00246BF1"/>
    <w:rsid w:val="00246C48"/>
    <w:rsid w:val="00246CBD"/>
    <w:rsid w:val="00246CE2"/>
    <w:rsid w:val="00246EEB"/>
    <w:rsid w:val="00247059"/>
    <w:rsid w:val="002470D0"/>
    <w:rsid w:val="00247190"/>
    <w:rsid w:val="002471EC"/>
    <w:rsid w:val="0024728E"/>
    <w:rsid w:val="0024735D"/>
    <w:rsid w:val="0024764A"/>
    <w:rsid w:val="002478E6"/>
    <w:rsid w:val="00247923"/>
    <w:rsid w:val="00247938"/>
    <w:rsid w:val="00247948"/>
    <w:rsid w:val="002479BF"/>
    <w:rsid w:val="00247A23"/>
    <w:rsid w:val="00247A94"/>
    <w:rsid w:val="00247AE6"/>
    <w:rsid w:val="00247AF2"/>
    <w:rsid w:val="00247C2E"/>
    <w:rsid w:val="00247CE1"/>
    <w:rsid w:val="00247D8F"/>
    <w:rsid w:val="00247E3E"/>
    <w:rsid w:val="00247E40"/>
    <w:rsid w:val="00247E6B"/>
    <w:rsid w:val="00247FA1"/>
    <w:rsid w:val="002500FF"/>
    <w:rsid w:val="00250417"/>
    <w:rsid w:val="00250418"/>
    <w:rsid w:val="002504BF"/>
    <w:rsid w:val="002505D5"/>
    <w:rsid w:val="00250613"/>
    <w:rsid w:val="00250648"/>
    <w:rsid w:val="0025064D"/>
    <w:rsid w:val="00250695"/>
    <w:rsid w:val="0025075D"/>
    <w:rsid w:val="002509CB"/>
    <w:rsid w:val="00250A6E"/>
    <w:rsid w:val="00250A80"/>
    <w:rsid w:val="00250A92"/>
    <w:rsid w:val="00250B0B"/>
    <w:rsid w:val="00250BE7"/>
    <w:rsid w:val="00250DB8"/>
    <w:rsid w:val="00250E6F"/>
    <w:rsid w:val="00250F21"/>
    <w:rsid w:val="00251085"/>
    <w:rsid w:val="002511EB"/>
    <w:rsid w:val="002512A5"/>
    <w:rsid w:val="002512EC"/>
    <w:rsid w:val="00251379"/>
    <w:rsid w:val="0025137D"/>
    <w:rsid w:val="00251389"/>
    <w:rsid w:val="002513DE"/>
    <w:rsid w:val="00251424"/>
    <w:rsid w:val="00251714"/>
    <w:rsid w:val="00251728"/>
    <w:rsid w:val="0025173D"/>
    <w:rsid w:val="00251772"/>
    <w:rsid w:val="00251A71"/>
    <w:rsid w:val="00251B12"/>
    <w:rsid w:val="00251BAC"/>
    <w:rsid w:val="00251BCF"/>
    <w:rsid w:val="00251C1F"/>
    <w:rsid w:val="00251D0B"/>
    <w:rsid w:val="00251D13"/>
    <w:rsid w:val="00251DD3"/>
    <w:rsid w:val="00251F91"/>
    <w:rsid w:val="00251FE0"/>
    <w:rsid w:val="00252213"/>
    <w:rsid w:val="002522AC"/>
    <w:rsid w:val="00252386"/>
    <w:rsid w:val="00252411"/>
    <w:rsid w:val="00252550"/>
    <w:rsid w:val="0025257C"/>
    <w:rsid w:val="002525A6"/>
    <w:rsid w:val="0025272A"/>
    <w:rsid w:val="00252894"/>
    <w:rsid w:val="00252970"/>
    <w:rsid w:val="002529A8"/>
    <w:rsid w:val="002529E4"/>
    <w:rsid w:val="00252A28"/>
    <w:rsid w:val="00252A34"/>
    <w:rsid w:val="00252A56"/>
    <w:rsid w:val="00252B32"/>
    <w:rsid w:val="00252B59"/>
    <w:rsid w:val="00252B64"/>
    <w:rsid w:val="00252BCA"/>
    <w:rsid w:val="00252C60"/>
    <w:rsid w:val="00252C75"/>
    <w:rsid w:val="00252CE6"/>
    <w:rsid w:val="00252DA4"/>
    <w:rsid w:val="00252E56"/>
    <w:rsid w:val="00252E70"/>
    <w:rsid w:val="00252EC2"/>
    <w:rsid w:val="00252F72"/>
    <w:rsid w:val="00252FB9"/>
    <w:rsid w:val="002530F7"/>
    <w:rsid w:val="0025313B"/>
    <w:rsid w:val="00253196"/>
    <w:rsid w:val="002531E5"/>
    <w:rsid w:val="00253281"/>
    <w:rsid w:val="002532C0"/>
    <w:rsid w:val="0025332B"/>
    <w:rsid w:val="0025335E"/>
    <w:rsid w:val="00253377"/>
    <w:rsid w:val="00253693"/>
    <w:rsid w:val="0025374E"/>
    <w:rsid w:val="0025386C"/>
    <w:rsid w:val="00253882"/>
    <w:rsid w:val="002538DC"/>
    <w:rsid w:val="002539AA"/>
    <w:rsid w:val="00253A38"/>
    <w:rsid w:val="00253AEC"/>
    <w:rsid w:val="00253BA2"/>
    <w:rsid w:val="00253C30"/>
    <w:rsid w:val="00253CD6"/>
    <w:rsid w:val="00253CD8"/>
    <w:rsid w:val="00253ED1"/>
    <w:rsid w:val="00253EFF"/>
    <w:rsid w:val="00254102"/>
    <w:rsid w:val="00254183"/>
    <w:rsid w:val="0025423C"/>
    <w:rsid w:val="002543EB"/>
    <w:rsid w:val="0025449B"/>
    <w:rsid w:val="002544A0"/>
    <w:rsid w:val="00254531"/>
    <w:rsid w:val="002545ED"/>
    <w:rsid w:val="002546A5"/>
    <w:rsid w:val="002546D0"/>
    <w:rsid w:val="00254722"/>
    <w:rsid w:val="002547D2"/>
    <w:rsid w:val="002547F6"/>
    <w:rsid w:val="002547FD"/>
    <w:rsid w:val="0025493C"/>
    <w:rsid w:val="002549FD"/>
    <w:rsid w:val="002549FE"/>
    <w:rsid w:val="00254A6B"/>
    <w:rsid w:val="00254B5B"/>
    <w:rsid w:val="00254BBA"/>
    <w:rsid w:val="00254C33"/>
    <w:rsid w:val="00254C46"/>
    <w:rsid w:val="00254FA5"/>
    <w:rsid w:val="00254FD2"/>
    <w:rsid w:val="00254FEF"/>
    <w:rsid w:val="00255037"/>
    <w:rsid w:val="0025509B"/>
    <w:rsid w:val="002550C6"/>
    <w:rsid w:val="002550E0"/>
    <w:rsid w:val="002551F0"/>
    <w:rsid w:val="0025523B"/>
    <w:rsid w:val="00255343"/>
    <w:rsid w:val="00255382"/>
    <w:rsid w:val="00255455"/>
    <w:rsid w:val="0025556C"/>
    <w:rsid w:val="0025566F"/>
    <w:rsid w:val="002557CC"/>
    <w:rsid w:val="0025581A"/>
    <w:rsid w:val="0025586A"/>
    <w:rsid w:val="00255912"/>
    <w:rsid w:val="00255991"/>
    <w:rsid w:val="00255A0A"/>
    <w:rsid w:val="00255A6F"/>
    <w:rsid w:val="00255B65"/>
    <w:rsid w:val="00255BB9"/>
    <w:rsid w:val="00255CF1"/>
    <w:rsid w:val="00255D0D"/>
    <w:rsid w:val="00255DD5"/>
    <w:rsid w:val="00255DE1"/>
    <w:rsid w:val="00255DE3"/>
    <w:rsid w:val="00255DE8"/>
    <w:rsid w:val="00255EEA"/>
    <w:rsid w:val="00255F15"/>
    <w:rsid w:val="00256080"/>
    <w:rsid w:val="002561F7"/>
    <w:rsid w:val="0025622F"/>
    <w:rsid w:val="00256320"/>
    <w:rsid w:val="0025636D"/>
    <w:rsid w:val="0025636E"/>
    <w:rsid w:val="0025637E"/>
    <w:rsid w:val="0025641D"/>
    <w:rsid w:val="00256494"/>
    <w:rsid w:val="002564F6"/>
    <w:rsid w:val="0025650F"/>
    <w:rsid w:val="00256534"/>
    <w:rsid w:val="00256793"/>
    <w:rsid w:val="002568BE"/>
    <w:rsid w:val="002568CD"/>
    <w:rsid w:val="00256A97"/>
    <w:rsid w:val="00256C11"/>
    <w:rsid w:val="00256C56"/>
    <w:rsid w:val="00256CAE"/>
    <w:rsid w:val="00256CD8"/>
    <w:rsid w:val="00256E22"/>
    <w:rsid w:val="00257174"/>
    <w:rsid w:val="002571A1"/>
    <w:rsid w:val="002571FE"/>
    <w:rsid w:val="002572CC"/>
    <w:rsid w:val="002573BC"/>
    <w:rsid w:val="002573DF"/>
    <w:rsid w:val="002573E6"/>
    <w:rsid w:val="0025740D"/>
    <w:rsid w:val="0025744D"/>
    <w:rsid w:val="00257470"/>
    <w:rsid w:val="00257534"/>
    <w:rsid w:val="0025759D"/>
    <w:rsid w:val="002575E4"/>
    <w:rsid w:val="002576D2"/>
    <w:rsid w:val="002576E4"/>
    <w:rsid w:val="00257713"/>
    <w:rsid w:val="002577C7"/>
    <w:rsid w:val="002577E3"/>
    <w:rsid w:val="0025795D"/>
    <w:rsid w:val="00257A05"/>
    <w:rsid w:val="00257A98"/>
    <w:rsid w:val="00257B09"/>
    <w:rsid w:val="00257B65"/>
    <w:rsid w:val="00257BEF"/>
    <w:rsid w:val="00257BFD"/>
    <w:rsid w:val="00257C71"/>
    <w:rsid w:val="00257DB6"/>
    <w:rsid w:val="00257DF3"/>
    <w:rsid w:val="00257F8D"/>
    <w:rsid w:val="00257FD5"/>
    <w:rsid w:val="00257FED"/>
    <w:rsid w:val="00260010"/>
    <w:rsid w:val="0026008E"/>
    <w:rsid w:val="002600A4"/>
    <w:rsid w:val="002600BB"/>
    <w:rsid w:val="002600E6"/>
    <w:rsid w:val="002601D9"/>
    <w:rsid w:val="00260257"/>
    <w:rsid w:val="002602EF"/>
    <w:rsid w:val="002603B5"/>
    <w:rsid w:val="0026054E"/>
    <w:rsid w:val="00260983"/>
    <w:rsid w:val="00260A75"/>
    <w:rsid w:val="00260ABA"/>
    <w:rsid w:val="00260B05"/>
    <w:rsid w:val="00260B2D"/>
    <w:rsid w:val="00260B6C"/>
    <w:rsid w:val="00260C25"/>
    <w:rsid w:val="00260D05"/>
    <w:rsid w:val="00260E11"/>
    <w:rsid w:val="00260FE8"/>
    <w:rsid w:val="00260FEC"/>
    <w:rsid w:val="002610B8"/>
    <w:rsid w:val="002610DB"/>
    <w:rsid w:val="002611B0"/>
    <w:rsid w:val="00261283"/>
    <w:rsid w:val="002612C6"/>
    <w:rsid w:val="00261402"/>
    <w:rsid w:val="00261611"/>
    <w:rsid w:val="0026163B"/>
    <w:rsid w:val="00261699"/>
    <w:rsid w:val="0026172C"/>
    <w:rsid w:val="00261768"/>
    <w:rsid w:val="00261832"/>
    <w:rsid w:val="0026183F"/>
    <w:rsid w:val="0026185E"/>
    <w:rsid w:val="00261863"/>
    <w:rsid w:val="0026186A"/>
    <w:rsid w:val="00261876"/>
    <w:rsid w:val="002618BF"/>
    <w:rsid w:val="0026195D"/>
    <w:rsid w:val="00261A99"/>
    <w:rsid w:val="00261AE3"/>
    <w:rsid w:val="00261BE9"/>
    <w:rsid w:val="00261CB9"/>
    <w:rsid w:val="00261CF8"/>
    <w:rsid w:val="00261D31"/>
    <w:rsid w:val="00261D71"/>
    <w:rsid w:val="00261DD0"/>
    <w:rsid w:val="00261E5C"/>
    <w:rsid w:val="00261E67"/>
    <w:rsid w:val="00261E92"/>
    <w:rsid w:val="00261F83"/>
    <w:rsid w:val="00261FB5"/>
    <w:rsid w:val="00262065"/>
    <w:rsid w:val="002620A7"/>
    <w:rsid w:val="002620DA"/>
    <w:rsid w:val="00262157"/>
    <w:rsid w:val="002621F8"/>
    <w:rsid w:val="002623DB"/>
    <w:rsid w:val="002623E1"/>
    <w:rsid w:val="0026246E"/>
    <w:rsid w:val="00262474"/>
    <w:rsid w:val="0026280C"/>
    <w:rsid w:val="0026288F"/>
    <w:rsid w:val="002628CC"/>
    <w:rsid w:val="00262A2D"/>
    <w:rsid w:val="00262A58"/>
    <w:rsid w:val="00262ACF"/>
    <w:rsid w:val="00262ADA"/>
    <w:rsid w:val="00262AE0"/>
    <w:rsid w:val="00262B1B"/>
    <w:rsid w:val="00262B2D"/>
    <w:rsid w:val="00262B8E"/>
    <w:rsid w:val="00262BBC"/>
    <w:rsid w:val="00262C86"/>
    <w:rsid w:val="00262EB5"/>
    <w:rsid w:val="00262F28"/>
    <w:rsid w:val="00262FA6"/>
    <w:rsid w:val="00262FFC"/>
    <w:rsid w:val="002630A3"/>
    <w:rsid w:val="002630D8"/>
    <w:rsid w:val="0026310B"/>
    <w:rsid w:val="002631DA"/>
    <w:rsid w:val="002632D5"/>
    <w:rsid w:val="00263314"/>
    <w:rsid w:val="00263319"/>
    <w:rsid w:val="00263463"/>
    <w:rsid w:val="0026356F"/>
    <w:rsid w:val="002635C7"/>
    <w:rsid w:val="00263640"/>
    <w:rsid w:val="00263698"/>
    <w:rsid w:val="0026370A"/>
    <w:rsid w:val="00263730"/>
    <w:rsid w:val="00263798"/>
    <w:rsid w:val="00263815"/>
    <w:rsid w:val="00263850"/>
    <w:rsid w:val="00263A1B"/>
    <w:rsid w:val="00263A82"/>
    <w:rsid w:val="00263B73"/>
    <w:rsid w:val="00263BC2"/>
    <w:rsid w:val="00263D1A"/>
    <w:rsid w:val="00263DCA"/>
    <w:rsid w:val="00263ED4"/>
    <w:rsid w:val="00263EDC"/>
    <w:rsid w:val="00263F3D"/>
    <w:rsid w:val="00263F6C"/>
    <w:rsid w:val="00264161"/>
    <w:rsid w:val="00264182"/>
    <w:rsid w:val="002641E8"/>
    <w:rsid w:val="00264229"/>
    <w:rsid w:val="00264243"/>
    <w:rsid w:val="002642CF"/>
    <w:rsid w:val="002642EB"/>
    <w:rsid w:val="002642F0"/>
    <w:rsid w:val="0026437F"/>
    <w:rsid w:val="002643AD"/>
    <w:rsid w:val="00264411"/>
    <w:rsid w:val="00264449"/>
    <w:rsid w:val="002644E8"/>
    <w:rsid w:val="002644F3"/>
    <w:rsid w:val="0026456A"/>
    <w:rsid w:val="00264741"/>
    <w:rsid w:val="00264774"/>
    <w:rsid w:val="002647D0"/>
    <w:rsid w:val="00264899"/>
    <w:rsid w:val="0026491C"/>
    <w:rsid w:val="00264AC8"/>
    <w:rsid w:val="00264B00"/>
    <w:rsid w:val="00264C31"/>
    <w:rsid w:val="00264C70"/>
    <w:rsid w:val="00264DA4"/>
    <w:rsid w:val="00264E07"/>
    <w:rsid w:val="00264E97"/>
    <w:rsid w:val="00264ED9"/>
    <w:rsid w:val="00264EE5"/>
    <w:rsid w:val="00265051"/>
    <w:rsid w:val="002650CF"/>
    <w:rsid w:val="0026512C"/>
    <w:rsid w:val="0026522C"/>
    <w:rsid w:val="002652CE"/>
    <w:rsid w:val="00265307"/>
    <w:rsid w:val="00265344"/>
    <w:rsid w:val="002653DC"/>
    <w:rsid w:val="00265412"/>
    <w:rsid w:val="002654F8"/>
    <w:rsid w:val="00265587"/>
    <w:rsid w:val="002656F5"/>
    <w:rsid w:val="0026575C"/>
    <w:rsid w:val="00265977"/>
    <w:rsid w:val="00265A2B"/>
    <w:rsid w:val="00265ABF"/>
    <w:rsid w:val="00265B5E"/>
    <w:rsid w:val="00265B84"/>
    <w:rsid w:val="00265B92"/>
    <w:rsid w:val="00265C57"/>
    <w:rsid w:val="00265D3B"/>
    <w:rsid w:val="00265D82"/>
    <w:rsid w:val="00265E8F"/>
    <w:rsid w:val="00265F7F"/>
    <w:rsid w:val="00266017"/>
    <w:rsid w:val="00266075"/>
    <w:rsid w:val="002662AF"/>
    <w:rsid w:val="002663AC"/>
    <w:rsid w:val="00266429"/>
    <w:rsid w:val="00266448"/>
    <w:rsid w:val="002664F5"/>
    <w:rsid w:val="00266515"/>
    <w:rsid w:val="00266540"/>
    <w:rsid w:val="00266546"/>
    <w:rsid w:val="002665AB"/>
    <w:rsid w:val="002665C1"/>
    <w:rsid w:val="00266723"/>
    <w:rsid w:val="00266802"/>
    <w:rsid w:val="00266898"/>
    <w:rsid w:val="002668B3"/>
    <w:rsid w:val="002669C6"/>
    <w:rsid w:val="00266A08"/>
    <w:rsid w:val="00266A4E"/>
    <w:rsid w:val="00266AE0"/>
    <w:rsid w:val="00266BA7"/>
    <w:rsid w:val="00266BD3"/>
    <w:rsid w:val="00266CD8"/>
    <w:rsid w:val="00266D0D"/>
    <w:rsid w:val="00266D91"/>
    <w:rsid w:val="00266E21"/>
    <w:rsid w:val="00266FA3"/>
    <w:rsid w:val="002670D8"/>
    <w:rsid w:val="00267131"/>
    <w:rsid w:val="0026731C"/>
    <w:rsid w:val="002673BA"/>
    <w:rsid w:val="00267459"/>
    <w:rsid w:val="00267492"/>
    <w:rsid w:val="002674D9"/>
    <w:rsid w:val="0026754B"/>
    <w:rsid w:val="002676D9"/>
    <w:rsid w:val="00267708"/>
    <w:rsid w:val="002677AE"/>
    <w:rsid w:val="002677D6"/>
    <w:rsid w:val="0026788A"/>
    <w:rsid w:val="002678F8"/>
    <w:rsid w:val="00267968"/>
    <w:rsid w:val="00267ADF"/>
    <w:rsid w:val="00267C14"/>
    <w:rsid w:val="00267CDE"/>
    <w:rsid w:val="00267D73"/>
    <w:rsid w:val="00267E27"/>
    <w:rsid w:val="00267F75"/>
    <w:rsid w:val="00270005"/>
    <w:rsid w:val="002701FF"/>
    <w:rsid w:val="00270292"/>
    <w:rsid w:val="00270295"/>
    <w:rsid w:val="002702BC"/>
    <w:rsid w:val="002704B6"/>
    <w:rsid w:val="00270592"/>
    <w:rsid w:val="002706EC"/>
    <w:rsid w:val="00270797"/>
    <w:rsid w:val="0027089E"/>
    <w:rsid w:val="002708AB"/>
    <w:rsid w:val="00270A14"/>
    <w:rsid w:val="00270A8C"/>
    <w:rsid w:val="00270AC1"/>
    <w:rsid w:val="00270D3F"/>
    <w:rsid w:val="00270E2C"/>
    <w:rsid w:val="00270F15"/>
    <w:rsid w:val="002710A1"/>
    <w:rsid w:val="0027112B"/>
    <w:rsid w:val="00271181"/>
    <w:rsid w:val="00271204"/>
    <w:rsid w:val="00271226"/>
    <w:rsid w:val="00271233"/>
    <w:rsid w:val="0027126F"/>
    <w:rsid w:val="002712D1"/>
    <w:rsid w:val="00271361"/>
    <w:rsid w:val="00271405"/>
    <w:rsid w:val="00271441"/>
    <w:rsid w:val="002714CE"/>
    <w:rsid w:val="00271593"/>
    <w:rsid w:val="002716BB"/>
    <w:rsid w:val="002716D8"/>
    <w:rsid w:val="00271720"/>
    <w:rsid w:val="00271730"/>
    <w:rsid w:val="002718C3"/>
    <w:rsid w:val="002718E4"/>
    <w:rsid w:val="00271A03"/>
    <w:rsid w:val="00271BF7"/>
    <w:rsid w:val="00271C2B"/>
    <w:rsid w:val="00271E21"/>
    <w:rsid w:val="00271EAC"/>
    <w:rsid w:val="00271ED9"/>
    <w:rsid w:val="0027224B"/>
    <w:rsid w:val="00272265"/>
    <w:rsid w:val="0027233C"/>
    <w:rsid w:val="002723A5"/>
    <w:rsid w:val="002723FE"/>
    <w:rsid w:val="0027245C"/>
    <w:rsid w:val="002724B9"/>
    <w:rsid w:val="002725A2"/>
    <w:rsid w:val="00272618"/>
    <w:rsid w:val="00272673"/>
    <w:rsid w:val="00272837"/>
    <w:rsid w:val="00272936"/>
    <w:rsid w:val="002729AE"/>
    <w:rsid w:val="00272A56"/>
    <w:rsid w:val="00272A8C"/>
    <w:rsid w:val="00272B5D"/>
    <w:rsid w:val="00272BE4"/>
    <w:rsid w:val="00272C04"/>
    <w:rsid w:val="00272C19"/>
    <w:rsid w:val="00272D25"/>
    <w:rsid w:val="00272E55"/>
    <w:rsid w:val="00272E7C"/>
    <w:rsid w:val="00272E92"/>
    <w:rsid w:val="00272ED7"/>
    <w:rsid w:val="00272F72"/>
    <w:rsid w:val="002730E1"/>
    <w:rsid w:val="00273197"/>
    <w:rsid w:val="002732E5"/>
    <w:rsid w:val="00273426"/>
    <w:rsid w:val="00273469"/>
    <w:rsid w:val="002735A1"/>
    <w:rsid w:val="002735C1"/>
    <w:rsid w:val="00273611"/>
    <w:rsid w:val="00273709"/>
    <w:rsid w:val="0027381B"/>
    <w:rsid w:val="00273A26"/>
    <w:rsid w:val="00273B2E"/>
    <w:rsid w:val="00273C00"/>
    <w:rsid w:val="00273CB5"/>
    <w:rsid w:val="00273D74"/>
    <w:rsid w:val="00273E44"/>
    <w:rsid w:val="00273EB1"/>
    <w:rsid w:val="00273F19"/>
    <w:rsid w:val="00273F5E"/>
    <w:rsid w:val="00273FF1"/>
    <w:rsid w:val="0027407E"/>
    <w:rsid w:val="00274087"/>
    <w:rsid w:val="00274141"/>
    <w:rsid w:val="00274193"/>
    <w:rsid w:val="002741C7"/>
    <w:rsid w:val="0027434E"/>
    <w:rsid w:val="002743C4"/>
    <w:rsid w:val="00274464"/>
    <w:rsid w:val="0027453B"/>
    <w:rsid w:val="00274596"/>
    <w:rsid w:val="0027462F"/>
    <w:rsid w:val="0027465D"/>
    <w:rsid w:val="0027477C"/>
    <w:rsid w:val="0027482A"/>
    <w:rsid w:val="002748AD"/>
    <w:rsid w:val="002748EE"/>
    <w:rsid w:val="002749D7"/>
    <w:rsid w:val="00274AA9"/>
    <w:rsid w:val="00274B52"/>
    <w:rsid w:val="00274C85"/>
    <w:rsid w:val="00274E31"/>
    <w:rsid w:val="00274E8F"/>
    <w:rsid w:val="00274FCD"/>
    <w:rsid w:val="0027500B"/>
    <w:rsid w:val="002750B1"/>
    <w:rsid w:val="00275186"/>
    <w:rsid w:val="002751FD"/>
    <w:rsid w:val="00275201"/>
    <w:rsid w:val="00275282"/>
    <w:rsid w:val="002752EE"/>
    <w:rsid w:val="002753E2"/>
    <w:rsid w:val="002753FD"/>
    <w:rsid w:val="0027548B"/>
    <w:rsid w:val="002754FE"/>
    <w:rsid w:val="00275530"/>
    <w:rsid w:val="00275578"/>
    <w:rsid w:val="00275591"/>
    <w:rsid w:val="0027559F"/>
    <w:rsid w:val="002758A7"/>
    <w:rsid w:val="002758D9"/>
    <w:rsid w:val="00275908"/>
    <w:rsid w:val="00275909"/>
    <w:rsid w:val="00275913"/>
    <w:rsid w:val="0027594B"/>
    <w:rsid w:val="00275A1D"/>
    <w:rsid w:val="00275AAA"/>
    <w:rsid w:val="00275BAC"/>
    <w:rsid w:val="00275C67"/>
    <w:rsid w:val="00275E71"/>
    <w:rsid w:val="00275EB5"/>
    <w:rsid w:val="00275EB6"/>
    <w:rsid w:val="00275F03"/>
    <w:rsid w:val="0027605F"/>
    <w:rsid w:val="002760C0"/>
    <w:rsid w:val="002760D8"/>
    <w:rsid w:val="0027610E"/>
    <w:rsid w:val="002762A6"/>
    <w:rsid w:val="002762BF"/>
    <w:rsid w:val="00276446"/>
    <w:rsid w:val="00276452"/>
    <w:rsid w:val="002765FD"/>
    <w:rsid w:val="00276629"/>
    <w:rsid w:val="00276646"/>
    <w:rsid w:val="002767B6"/>
    <w:rsid w:val="0027685F"/>
    <w:rsid w:val="00276915"/>
    <w:rsid w:val="002769C0"/>
    <w:rsid w:val="00276CA2"/>
    <w:rsid w:val="00276CCE"/>
    <w:rsid w:val="00276D24"/>
    <w:rsid w:val="00276DBA"/>
    <w:rsid w:val="00276DED"/>
    <w:rsid w:val="00276E9D"/>
    <w:rsid w:val="00276FE3"/>
    <w:rsid w:val="00277007"/>
    <w:rsid w:val="00277022"/>
    <w:rsid w:val="00277144"/>
    <w:rsid w:val="00277168"/>
    <w:rsid w:val="002772D7"/>
    <w:rsid w:val="0027732F"/>
    <w:rsid w:val="0027733C"/>
    <w:rsid w:val="002774F2"/>
    <w:rsid w:val="00277574"/>
    <w:rsid w:val="00277597"/>
    <w:rsid w:val="00277747"/>
    <w:rsid w:val="00277781"/>
    <w:rsid w:val="00277823"/>
    <w:rsid w:val="00277868"/>
    <w:rsid w:val="00277870"/>
    <w:rsid w:val="00277957"/>
    <w:rsid w:val="002779BF"/>
    <w:rsid w:val="00277B0C"/>
    <w:rsid w:val="00277B1B"/>
    <w:rsid w:val="00277B52"/>
    <w:rsid w:val="00277C1B"/>
    <w:rsid w:val="00277EC0"/>
    <w:rsid w:val="00277F12"/>
    <w:rsid w:val="00277F1D"/>
    <w:rsid w:val="00280035"/>
    <w:rsid w:val="00280050"/>
    <w:rsid w:val="002800B6"/>
    <w:rsid w:val="002800E8"/>
    <w:rsid w:val="002801C4"/>
    <w:rsid w:val="00280320"/>
    <w:rsid w:val="0028036C"/>
    <w:rsid w:val="002803EF"/>
    <w:rsid w:val="0028060B"/>
    <w:rsid w:val="002806C3"/>
    <w:rsid w:val="0028070E"/>
    <w:rsid w:val="00280896"/>
    <w:rsid w:val="002808DA"/>
    <w:rsid w:val="0028095B"/>
    <w:rsid w:val="00280B47"/>
    <w:rsid w:val="00280DF0"/>
    <w:rsid w:val="00280E15"/>
    <w:rsid w:val="00280E66"/>
    <w:rsid w:val="00280E9E"/>
    <w:rsid w:val="00280EF4"/>
    <w:rsid w:val="00280F05"/>
    <w:rsid w:val="00280F2F"/>
    <w:rsid w:val="00281008"/>
    <w:rsid w:val="0028104A"/>
    <w:rsid w:val="00281080"/>
    <w:rsid w:val="00281105"/>
    <w:rsid w:val="00281153"/>
    <w:rsid w:val="00281161"/>
    <w:rsid w:val="002811E0"/>
    <w:rsid w:val="00281484"/>
    <w:rsid w:val="0028153F"/>
    <w:rsid w:val="00281571"/>
    <w:rsid w:val="00281590"/>
    <w:rsid w:val="00281592"/>
    <w:rsid w:val="002815E5"/>
    <w:rsid w:val="002815F4"/>
    <w:rsid w:val="00281617"/>
    <w:rsid w:val="002816BF"/>
    <w:rsid w:val="00281A2F"/>
    <w:rsid w:val="00281B6A"/>
    <w:rsid w:val="00281CC3"/>
    <w:rsid w:val="00281CCE"/>
    <w:rsid w:val="00281D30"/>
    <w:rsid w:val="00281D4D"/>
    <w:rsid w:val="00281D96"/>
    <w:rsid w:val="00281E59"/>
    <w:rsid w:val="00281F26"/>
    <w:rsid w:val="002820CA"/>
    <w:rsid w:val="0028211D"/>
    <w:rsid w:val="00282131"/>
    <w:rsid w:val="00282226"/>
    <w:rsid w:val="002822C8"/>
    <w:rsid w:val="00282328"/>
    <w:rsid w:val="00282495"/>
    <w:rsid w:val="002825D1"/>
    <w:rsid w:val="0028261A"/>
    <w:rsid w:val="00282632"/>
    <w:rsid w:val="002826E6"/>
    <w:rsid w:val="0028272C"/>
    <w:rsid w:val="002827C2"/>
    <w:rsid w:val="002828D5"/>
    <w:rsid w:val="002828D8"/>
    <w:rsid w:val="002828F0"/>
    <w:rsid w:val="00282931"/>
    <w:rsid w:val="00282947"/>
    <w:rsid w:val="002829CF"/>
    <w:rsid w:val="002829F6"/>
    <w:rsid w:val="00282A8B"/>
    <w:rsid w:val="00282A96"/>
    <w:rsid w:val="00282AFD"/>
    <w:rsid w:val="00282B5A"/>
    <w:rsid w:val="00282C40"/>
    <w:rsid w:val="00282C65"/>
    <w:rsid w:val="00282C8D"/>
    <w:rsid w:val="00282D15"/>
    <w:rsid w:val="00282E2D"/>
    <w:rsid w:val="00282EB2"/>
    <w:rsid w:val="00282F8B"/>
    <w:rsid w:val="0028304E"/>
    <w:rsid w:val="002830A8"/>
    <w:rsid w:val="0028314C"/>
    <w:rsid w:val="00283176"/>
    <w:rsid w:val="00283411"/>
    <w:rsid w:val="00283504"/>
    <w:rsid w:val="00283542"/>
    <w:rsid w:val="00283665"/>
    <w:rsid w:val="00283685"/>
    <w:rsid w:val="00283699"/>
    <w:rsid w:val="002836E1"/>
    <w:rsid w:val="00283777"/>
    <w:rsid w:val="00283790"/>
    <w:rsid w:val="00283A0B"/>
    <w:rsid w:val="00283A54"/>
    <w:rsid w:val="00283A7A"/>
    <w:rsid w:val="00283B3C"/>
    <w:rsid w:val="00283C20"/>
    <w:rsid w:val="00283C5F"/>
    <w:rsid w:val="00283D4C"/>
    <w:rsid w:val="00283D5E"/>
    <w:rsid w:val="00283DE8"/>
    <w:rsid w:val="00283E32"/>
    <w:rsid w:val="00283F98"/>
    <w:rsid w:val="00283FF4"/>
    <w:rsid w:val="00284032"/>
    <w:rsid w:val="00284170"/>
    <w:rsid w:val="002843A4"/>
    <w:rsid w:val="002844BE"/>
    <w:rsid w:val="002844DC"/>
    <w:rsid w:val="002845A5"/>
    <w:rsid w:val="00284698"/>
    <w:rsid w:val="002846A1"/>
    <w:rsid w:val="00284710"/>
    <w:rsid w:val="0028472D"/>
    <w:rsid w:val="00284762"/>
    <w:rsid w:val="00284882"/>
    <w:rsid w:val="00284897"/>
    <w:rsid w:val="002848A2"/>
    <w:rsid w:val="00284947"/>
    <w:rsid w:val="002849F3"/>
    <w:rsid w:val="00284A6B"/>
    <w:rsid w:val="00284A79"/>
    <w:rsid w:val="00284AAA"/>
    <w:rsid w:val="00284AFC"/>
    <w:rsid w:val="00284B36"/>
    <w:rsid w:val="00284ECE"/>
    <w:rsid w:val="00284F85"/>
    <w:rsid w:val="00284F93"/>
    <w:rsid w:val="00284FDD"/>
    <w:rsid w:val="00284FFD"/>
    <w:rsid w:val="0028505C"/>
    <w:rsid w:val="002851E0"/>
    <w:rsid w:val="002852D2"/>
    <w:rsid w:val="002853D3"/>
    <w:rsid w:val="002854B3"/>
    <w:rsid w:val="002854EA"/>
    <w:rsid w:val="002855B7"/>
    <w:rsid w:val="002855BF"/>
    <w:rsid w:val="0028561A"/>
    <w:rsid w:val="00285693"/>
    <w:rsid w:val="002856AB"/>
    <w:rsid w:val="002857D5"/>
    <w:rsid w:val="002858D6"/>
    <w:rsid w:val="002858DD"/>
    <w:rsid w:val="0028594A"/>
    <w:rsid w:val="00285AE1"/>
    <w:rsid w:val="00285B05"/>
    <w:rsid w:val="00285B0C"/>
    <w:rsid w:val="00285B62"/>
    <w:rsid w:val="00285BF9"/>
    <w:rsid w:val="00285CCB"/>
    <w:rsid w:val="00285DAC"/>
    <w:rsid w:val="00285DD4"/>
    <w:rsid w:val="00285E38"/>
    <w:rsid w:val="00285E4B"/>
    <w:rsid w:val="00285F0B"/>
    <w:rsid w:val="00285F94"/>
    <w:rsid w:val="002861C0"/>
    <w:rsid w:val="00286259"/>
    <w:rsid w:val="002862C3"/>
    <w:rsid w:val="00286375"/>
    <w:rsid w:val="002863C7"/>
    <w:rsid w:val="00286413"/>
    <w:rsid w:val="00286428"/>
    <w:rsid w:val="002866A1"/>
    <w:rsid w:val="00286756"/>
    <w:rsid w:val="0028684C"/>
    <w:rsid w:val="0028689E"/>
    <w:rsid w:val="00286A51"/>
    <w:rsid w:val="00286A5C"/>
    <w:rsid w:val="00286B54"/>
    <w:rsid w:val="00286B9A"/>
    <w:rsid w:val="00286BA1"/>
    <w:rsid w:val="00286C46"/>
    <w:rsid w:val="00286CF1"/>
    <w:rsid w:val="00286D03"/>
    <w:rsid w:val="00286DC5"/>
    <w:rsid w:val="00286E0C"/>
    <w:rsid w:val="00286E40"/>
    <w:rsid w:val="00286E52"/>
    <w:rsid w:val="00286EA0"/>
    <w:rsid w:val="00286EFD"/>
    <w:rsid w:val="00286FA6"/>
    <w:rsid w:val="00287007"/>
    <w:rsid w:val="00287075"/>
    <w:rsid w:val="00287196"/>
    <w:rsid w:val="00287276"/>
    <w:rsid w:val="00287313"/>
    <w:rsid w:val="00287335"/>
    <w:rsid w:val="0028733D"/>
    <w:rsid w:val="00287473"/>
    <w:rsid w:val="00287485"/>
    <w:rsid w:val="002874B9"/>
    <w:rsid w:val="002874BF"/>
    <w:rsid w:val="0028750B"/>
    <w:rsid w:val="0028751F"/>
    <w:rsid w:val="00287535"/>
    <w:rsid w:val="002875CF"/>
    <w:rsid w:val="002875FE"/>
    <w:rsid w:val="0028763B"/>
    <w:rsid w:val="00287670"/>
    <w:rsid w:val="002876EC"/>
    <w:rsid w:val="0028774F"/>
    <w:rsid w:val="002878C8"/>
    <w:rsid w:val="002878EF"/>
    <w:rsid w:val="00287910"/>
    <w:rsid w:val="0028794C"/>
    <w:rsid w:val="00287A08"/>
    <w:rsid w:val="00287AA3"/>
    <w:rsid w:val="00287BE9"/>
    <w:rsid w:val="00287C94"/>
    <w:rsid w:val="00290129"/>
    <w:rsid w:val="0029018E"/>
    <w:rsid w:val="0029024F"/>
    <w:rsid w:val="002902FC"/>
    <w:rsid w:val="002903FD"/>
    <w:rsid w:val="00290445"/>
    <w:rsid w:val="00290583"/>
    <w:rsid w:val="00290717"/>
    <w:rsid w:val="0029081F"/>
    <w:rsid w:val="002908D3"/>
    <w:rsid w:val="00290915"/>
    <w:rsid w:val="00290955"/>
    <w:rsid w:val="00290986"/>
    <w:rsid w:val="002909E4"/>
    <w:rsid w:val="00290AE1"/>
    <w:rsid w:val="00290C47"/>
    <w:rsid w:val="00290C90"/>
    <w:rsid w:val="00290CCF"/>
    <w:rsid w:val="00290D59"/>
    <w:rsid w:val="00290F4B"/>
    <w:rsid w:val="00291019"/>
    <w:rsid w:val="0029104C"/>
    <w:rsid w:val="00291224"/>
    <w:rsid w:val="00291299"/>
    <w:rsid w:val="002912B9"/>
    <w:rsid w:val="002912DB"/>
    <w:rsid w:val="002912F0"/>
    <w:rsid w:val="0029131E"/>
    <w:rsid w:val="00291359"/>
    <w:rsid w:val="002913F8"/>
    <w:rsid w:val="0029145B"/>
    <w:rsid w:val="002914AA"/>
    <w:rsid w:val="00291518"/>
    <w:rsid w:val="00291571"/>
    <w:rsid w:val="002916AC"/>
    <w:rsid w:val="002916B0"/>
    <w:rsid w:val="002916B4"/>
    <w:rsid w:val="002917BD"/>
    <w:rsid w:val="002919B7"/>
    <w:rsid w:val="00291A3C"/>
    <w:rsid w:val="00291ACB"/>
    <w:rsid w:val="00291AD5"/>
    <w:rsid w:val="00291BBD"/>
    <w:rsid w:val="00291BC0"/>
    <w:rsid w:val="00291BF2"/>
    <w:rsid w:val="00291BF4"/>
    <w:rsid w:val="00291C30"/>
    <w:rsid w:val="00291DF5"/>
    <w:rsid w:val="00291EFB"/>
    <w:rsid w:val="00291FE7"/>
    <w:rsid w:val="00292074"/>
    <w:rsid w:val="00292075"/>
    <w:rsid w:val="00292201"/>
    <w:rsid w:val="00292273"/>
    <w:rsid w:val="002924C2"/>
    <w:rsid w:val="00292532"/>
    <w:rsid w:val="00292666"/>
    <w:rsid w:val="002926A0"/>
    <w:rsid w:val="002926C8"/>
    <w:rsid w:val="002927D4"/>
    <w:rsid w:val="0029280C"/>
    <w:rsid w:val="00292816"/>
    <w:rsid w:val="002928EB"/>
    <w:rsid w:val="002928F4"/>
    <w:rsid w:val="00292992"/>
    <w:rsid w:val="00292B41"/>
    <w:rsid w:val="00292E5C"/>
    <w:rsid w:val="00292F38"/>
    <w:rsid w:val="00292F78"/>
    <w:rsid w:val="00292F91"/>
    <w:rsid w:val="00292F98"/>
    <w:rsid w:val="00293095"/>
    <w:rsid w:val="00293177"/>
    <w:rsid w:val="0029318A"/>
    <w:rsid w:val="002933B1"/>
    <w:rsid w:val="00293533"/>
    <w:rsid w:val="00293569"/>
    <w:rsid w:val="002935FE"/>
    <w:rsid w:val="0029367E"/>
    <w:rsid w:val="00293757"/>
    <w:rsid w:val="00293775"/>
    <w:rsid w:val="002937CE"/>
    <w:rsid w:val="00293820"/>
    <w:rsid w:val="002939A1"/>
    <w:rsid w:val="00293AFE"/>
    <w:rsid w:val="00293BD6"/>
    <w:rsid w:val="00293C79"/>
    <w:rsid w:val="00293C8B"/>
    <w:rsid w:val="00293D38"/>
    <w:rsid w:val="00293D98"/>
    <w:rsid w:val="00293DDA"/>
    <w:rsid w:val="00293E7A"/>
    <w:rsid w:val="00293EB0"/>
    <w:rsid w:val="00293ED1"/>
    <w:rsid w:val="00293EE1"/>
    <w:rsid w:val="00293F32"/>
    <w:rsid w:val="00293FAD"/>
    <w:rsid w:val="002940BD"/>
    <w:rsid w:val="002940D2"/>
    <w:rsid w:val="00294122"/>
    <w:rsid w:val="002941CF"/>
    <w:rsid w:val="002941D7"/>
    <w:rsid w:val="002943DD"/>
    <w:rsid w:val="002943ED"/>
    <w:rsid w:val="00294619"/>
    <w:rsid w:val="00294700"/>
    <w:rsid w:val="002947CE"/>
    <w:rsid w:val="002947D8"/>
    <w:rsid w:val="00294808"/>
    <w:rsid w:val="00294A23"/>
    <w:rsid w:val="00294A24"/>
    <w:rsid w:val="00294A71"/>
    <w:rsid w:val="00294AC0"/>
    <w:rsid w:val="00294ADD"/>
    <w:rsid w:val="00294B37"/>
    <w:rsid w:val="00294BE5"/>
    <w:rsid w:val="00294C5F"/>
    <w:rsid w:val="00294D26"/>
    <w:rsid w:val="00294D55"/>
    <w:rsid w:val="00294F52"/>
    <w:rsid w:val="002953FA"/>
    <w:rsid w:val="00295536"/>
    <w:rsid w:val="00295558"/>
    <w:rsid w:val="002955BA"/>
    <w:rsid w:val="00295624"/>
    <w:rsid w:val="0029566E"/>
    <w:rsid w:val="002956EE"/>
    <w:rsid w:val="00295799"/>
    <w:rsid w:val="0029597E"/>
    <w:rsid w:val="002959FD"/>
    <w:rsid w:val="00295A89"/>
    <w:rsid w:val="00295B1C"/>
    <w:rsid w:val="00295BA9"/>
    <w:rsid w:val="00295C86"/>
    <w:rsid w:val="00295DB6"/>
    <w:rsid w:val="00295DC4"/>
    <w:rsid w:val="00295EA5"/>
    <w:rsid w:val="00295F65"/>
    <w:rsid w:val="00295F67"/>
    <w:rsid w:val="00296016"/>
    <w:rsid w:val="002960E2"/>
    <w:rsid w:val="002961A2"/>
    <w:rsid w:val="002962AB"/>
    <w:rsid w:val="002964BF"/>
    <w:rsid w:val="002965A1"/>
    <w:rsid w:val="00296659"/>
    <w:rsid w:val="00296779"/>
    <w:rsid w:val="002968C8"/>
    <w:rsid w:val="002968F0"/>
    <w:rsid w:val="00296971"/>
    <w:rsid w:val="002969BA"/>
    <w:rsid w:val="002969F7"/>
    <w:rsid w:val="00296A44"/>
    <w:rsid w:val="00296A87"/>
    <w:rsid w:val="00296C14"/>
    <w:rsid w:val="00296C1D"/>
    <w:rsid w:val="00296C44"/>
    <w:rsid w:val="00296CE7"/>
    <w:rsid w:val="00296D12"/>
    <w:rsid w:val="00296D80"/>
    <w:rsid w:val="00296E22"/>
    <w:rsid w:val="00296EFF"/>
    <w:rsid w:val="00296F6B"/>
    <w:rsid w:val="0029705A"/>
    <w:rsid w:val="0029705D"/>
    <w:rsid w:val="0029721B"/>
    <w:rsid w:val="0029731E"/>
    <w:rsid w:val="0029732D"/>
    <w:rsid w:val="002973C8"/>
    <w:rsid w:val="002974EA"/>
    <w:rsid w:val="002975DA"/>
    <w:rsid w:val="002976B4"/>
    <w:rsid w:val="00297792"/>
    <w:rsid w:val="00297A1B"/>
    <w:rsid w:val="00297B5B"/>
    <w:rsid w:val="00297C28"/>
    <w:rsid w:val="00297CB8"/>
    <w:rsid w:val="00297CED"/>
    <w:rsid w:val="00297CFD"/>
    <w:rsid w:val="00297D09"/>
    <w:rsid w:val="00297D79"/>
    <w:rsid w:val="00297E0C"/>
    <w:rsid w:val="00297E61"/>
    <w:rsid w:val="00297F25"/>
    <w:rsid w:val="002A019A"/>
    <w:rsid w:val="002A01A7"/>
    <w:rsid w:val="002A01C6"/>
    <w:rsid w:val="002A028E"/>
    <w:rsid w:val="002A044D"/>
    <w:rsid w:val="002A047A"/>
    <w:rsid w:val="002A055B"/>
    <w:rsid w:val="002A0649"/>
    <w:rsid w:val="002A0732"/>
    <w:rsid w:val="002A0748"/>
    <w:rsid w:val="002A075E"/>
    <w:rsid w:val="002A0785"/>
    <w:rsid w:val="002A083D"/>
    <w:rsid w:val="002A08E3"/>
    <w:rsid w:val="002A099B"/>
    <w:rsid w:val="002A09B1"/>
    <w:rsid w:val="002A0A1D"/>
    <w:rsid w:val="002A0B3D"/>
    <w:rsid w:val="002A0B75"/>
    <w:rsid w:val="002A0BC7"/>
    <w:rsid w:val="002A0BD6"/>
    <w:rsid w:val="002A0BE3"/>
    <w:rsid w:val="002A0C6F"/>
    <w:rsid w:val="002A0DD6"/>
    <w:rsid w:val="002A0DF9"/>
    <w:rsid w:val="002A0E29"/>
    <w:rsid w:val="002A0EE9"/>
    <w:rsid w:val="002A0EEA"/>
    <w:rsid w:val="002A0F4D"/>
    <w:rsid w:val="002A1036"/>
    <w:rsid w:val="002A10D9"/>
    <w:rsid w:val="002A128A"/>
    <w:rsid w:val="002A1369"/>
    <w:rsid w:val="002A137A"/>
    <w:rsid w:val="002A138A"/>
    <w:rsid w:val="002A13D2"/>
    <w:rsid w:val="002A14B1"/>
    <w:rsid w:val="002A159F"/>
    <w:rsid w:val="002A163C"/>
    <w:rsid w:val="002A1690"/>
    <w:rsid w:val="002A16A5"/>
    <w:rsid w:val="002A1711"/>
    <w:rsid w:val="002A176F"/>
    <w:rsid w:val="002A17EB"/>
    <w:rsid w:val="002A18A1"/>
    <w:rsid w:val="002A191A"/>
    <w:rsid w:val="002A1970"/>
    <w:rsid w:val="002A1B1A"/>
    <w:rsid w:val="002A1B2B"/>
    <w:rsid w:val="002A1BD2"/>
    <w:rsid w:val="002A1C81"/>
    <w:rsid w:val="002A1D4A"/>
    <w:rsid w:val="002A1D62"/>
    <w:rsid w:val="002A1E4A"/>
    <w:rsid w:val="002A1F23"/>
    <w:rsid w:val="002A1F59"/>
    <w:rsid w:val="002A1FC0"/>
    <w:rsid w:val="002A1FF3"/>
    <w:rsid w:val="002A2017"/>
    <w:rsid w:val="002A20CE"/>
    <w:rsid w:val="002A216C"/>
    <w:rsid w:val="002A21BB"/>
    <w:rsid w:val="002A21E8"/>
    <w:rsid w:val="002A2245"/>
    <w:rsid w:val="002A2246"/>
    <w:rsid w:val="002A224E"/>
    <w:rsid w:val="002A2325"/>
    <w:rsid w:val="002A235A"/>
    <w:rsid w:val="002A24F9"/>
    <w:rsid w:val="002A2548"/>
    <w:rsid w:val="002A2583"/>
    <w:rsid w:val="002A26F8"/>
    <w:rsid w:val="002A2793"/>
    <w:rsid w:val="002A27D9"/>
    <w:rsid w:val="002A281B"/>
    <w:rsid w:val="002A284E"/>
    <w:rsid w:val="002A2890"/>
    <w:rsid w:val="002A28A0"/>
    <w:rsid w:val="002A28A9"/>
    <w:rsid w:val="002A28E3"/>
    <w:rsid w:val="002A29A1"/>
    <w:rsid w:val="002A29D4"/>
    <w:rsid w:val="002A2A69"/>
    <w:rsid w:val="002A2AC3"/>
    <w:rsid w:val="002A2AD7"/>
    <w:rsid w:val="002A2C48"/>
    <w:rsid w:val="002A2CE3"/>
    <w:rsid w:val="002A2D64"/>
    <w:rsid w:val="002A2DB3"/>
    <w:rsid w:val="002A2E31"/>
    <w:rsid w:val="002A2E55"/>
    <w:rsid w:val="002A2E8B"/>
    <w:rsid w:val="002A2F29"/>
    <w:rsid w:val="002A2FEB"/>
    <w:rsid w:val="002A30CC"/>
    <w:rsid w:val="002A321A"/>
    <w:rsid w:val="002A328E"/>
    <w:rsid w:val="002A32EB"/>
    <w:rsid w:val="002A349B"/>
    <w:rsid w:val="002A3524"/>
    <w:rsid w:val="002A361C"/>
    <w:rsid w:val="002A3720"/>
    <w:rsid w:val="002A373D"/>
    <w:rsid w:val="002A37A7"/>
    <w:rsid w:val="002A37AE"/>
    <w:rsid w:val="002A37F4"/>
    <w:rsid w:val="002A385C"/>
    <w:rsid w:val="002A3878"/>
    <w:rsid w:val="002A3976"/>
    <w:rsid w:val="002A398F"/>
    <w:rsid w:val="002A39E5"/>
    <w:rsid w:val="002A3A3F"/>
    <w:rsid w:val="002A3BE2"/>
    <w:rsid w:val="002A3C89"/>
    <w:rsid w:val="002A3D21"/>
    <w:rsid w:val="002A3E2D"/>
    <w:rsid w:val="002A3E56"/>
    <w:rsid w:val="002A3EB3"/>
    <w:rsid w:val="002A3ECF"/>
    <w:rsid w:val="002A3EED"/>
    <w:rsid w:val="002A3FCA"/>
    <w:rsid w:val="002A4099"/>
    <w:rsid w:val="002A46AC"/>
    <w:rsid w:val="002A4704"/>
    <w:rsid w:val="002A481C"/>
    <w:rsid w:val="002A483C"/>
    <w:rsid w:val="002A486A"/>
    <w:rsid w:val="002A4879"/>
    <w:rsid w:val="002A4892"/>
    <w:rsid w:val="002A4A3C"/>
    <w:rsid w:val="002A4BAE"/>
    <w:rsid w:val="002A4C03"/>
    <w:rsid w:val="002A4C9D"/>
    <w:rsid w:val="002A4CDE"/>
    <w:rsid w:val="002A4F7A"/>
    <w:rsid w:val="002A4F9E"/>
    <w:rsid w:val="002A5060"/>
    <w:rsid w:val="002A508E"/>
    <w:rsid w:val="002A5130"/>
    <w:rsid w:val="002A5299"/>
    <w:rsid w:val="002A52B2"/>
    <w:rsid w:val="002A5481"/>
    <w:rsid w:val="002A552B"/>
    <w:rsid w:val="002A5680"/>
    <w:rsid w:val="002A5689"/>
    <w:rsid w:val="002A57C1"/>
    <w:rsid w:val="002A580C"/>
    <w:rsid w:val="002A5814"/>
    <w:rsid w:val="002A5842"/>
    <w:rsid w:val="002A5870"/>
    <w:rsid w:val="002A587E"/>
    <w:rsid w:val="002A58A0"/>
    <w:rsid w:val="002A58D3"/>
    <w:rsid w:val="002A599A"/>
    <w:rsid w:val="002A5A56"/>
    <w:rsid w:val="002A5C0B"/>
    <w:rsid w:val="002A5C3E"/>
    <w:rsid w:val="002A5CD5"/>
    <w:rsid w:val="002A5DA3"/>
    <w:rsid w:val="002A5DEC"/>
    <w:rsid w:val="002A5E3E"/>
    <w:rsid w:val="002A5E45"/>
    <w:rsid w:val="002A5E62"/>
    <w:rsid w:val="002A5E7D"/>
    <w:rsid w:val="002A5E92"/>
    <w:rsid w:val="002A5F52"/>
    <w:rsid w:val="002A6024"/>
    <w:rsid w:val="002A611F"/>
    <w:rsid w:val="002A6133"/>
    <w:rsid w:val="002A628A"/>
    <w:rsid w:val="002A6293"/>
    <w:rsid w:val="002A62B3"/>
    <w:rsid w:val="002A6333"/>
    <w:rsid w:val="002A63D5"/>
    <w:rsid w:val="002A63FB"/>
    <w:rsid w:val="002A647F"/>
    <w:rsid w:val="002A6626"/>
    <w:rsid w:val="002A686F"/>
    <w:rsid w:val="002A69DC"/>
    <w:rsid w:val="002A69F5"/>
    <w:rsid w:val="002A6AE4"/>
    <w:rsid w:val="002A6B55"/>
    <w:rsid w:val="002A6BE6"/>
    <w:rsid w:val="002A6D40"/>
    <w:rsid w:val="002A6DE6"/>
    <w:rsid w:val="002A6FAE"/>
    <w:rsid w:val="002A7005"/>
    <w:rsid w:val="002A70CC"/>
    <w:rsid w:val="002A7129"/>
    <w:rsid w:val="002A7191"/>
    <w:rsid w:val="002A723E"/>
    <w:rsid w:val="002A72DA"/>
    <w:rsid w:val="002A7327"/>
    <w:rsid w:val="002A74EB"/>
    <w:rsid w:val="002A75AD"/>
    <w:rsid w:val="002A7647"/>
    <w:rsid w:val="002A7666"/>
    <w:rsid w:val="002A76D9"/>
    <w:rsid w:val="002A78C0"/>
    <w:rsid w:val="002A7B97"/>
    <w:rsid w:val="002A7C09"/>
    <w:rsid w:val="002A7C8F"/>
    <w:rsid w:val="002A7CF1"/>
    <w:rsid w:val="002A7CF6"/>
    <w:rsid w:val="002A7D4A"/>
    <w:rsid w:val="002A7FBA"/>
    <w:rsid w:val="002B0088"/>
    <w:rsid w:val="002B01F6"/>
    <w:rsid w:val="002B0278"/>
    <w:rsid w:val="002B02BA"/>
    <w:rsid w:val="002B04A3"/>
    <w:rsid w:val="002B04AD"/>
    <w:rsid w:val="002B04FC"/>
    <w:rsid w:val="002B05CE"/>
    <w:rsid w:val="002B0678"/>
    <w:rsid w:val="002B0786"/>
    <w:rsid w:val="002B0793"/>
    <w:rsid w:val="002B07B2"/>
    <w:rsid w:val="002B07DF"/>
    <w:rsid w:val="002B092A"/>
    <w:rsid w:val="002B0D20"/>
    <w:rsid w:val="002B0D96"/>
    <w:rsid w:val="002B104B"/>
    <w:rsid w:val="002B105D"/>
    <w:rsid w:val="002B1069"/>
    <w:rsid w:val="002B10B1"/>
    <w:rsid w:val="002B10E1"/>
    <w:rsid w:val="002B11CF"/>
    <w:rsid w:val="002B12D5"/>
    <w:rsid w:val="002B12DC"/>
    <w:rsid w:val="002B1324"/>
    <w:rsid w:val="002B154B"/>
    <w:rsid w:val="002B16F8"/>
    <w:rsid w:val="002B17BD"/>
    <w:rsid w:val="002B17EB"/>
    <w:rsid w:val="002B1A76"/>
    <w:rsid w:val="002B1C47"/>
    <w:rsid w:val="002B1CE3"/>
    <w:rsid w:val="002B1D4A"/>
    <w:rsid w:val="002B1E74"/>
    <w:rsid w:val="002B1F81"/>
    <w:rsid w:val="002B203D"/>
    <w:rsid w:val="002B20A3"/>
    <w:rsid w:val="002B20FD"/>
    <w:rsid w:val="002B221E"/>
    <w:rsid w:val="002B22BB"/>
    <w:rsid w:val="002B234B"/>
    <w:rsid w:val="002B23B4"/>
    <w:rsid w:val="002B24B3"/>
    <w:rsid w:val="002B2528"/>
    <w:rsid w:val="002B2535"/>
    <w:rsid w:val="002B25F3"/>
    <w:rsid w:val="002B2814"/>
    <w:rsid w:val="002B28F6"/>
    <w:rsid w:val="002B2913"/>
    <w:rsid w:val="002B2942"/>
    <w:rsid w:val="002B2955"/>
    <w:rsid w:val="002B29EC"/>
    <w:rsid w:val="002B2A54"/>
    <w:rsid w:val="002B2D1B"/>
    <w:rsid w:val="002B2D63"/>
    <w:rsid w:val="002B2D6C"/>
    <w:rsid w:val="002B2ED9"/>
    <w:rsid w:val="002B2FBC"/>
    <w:rsid w:val="002B3013"/>
    <w:rsid w:val="002B3020"/>
    <w:rsid w:val="002B3036"/>
    <w:rsid w:val="002B304B"/>
    <w:rsid w:val="002B3058"/>
    <w:rsid w:val="002B3152"/>
    <w:rsid w:val="002B327D"/>
    <w:rsid w:val="002B329B"/>
    <w:rsid w:val="002B32FC"/>
    <w:rsid w:val="002B3483"/>
    <w:rsid w:val="002B34AA"/>
    <w:rsid w:val="002B34FE"/>
    <w:rsid w:val="002B3734"/>
    <w:rsid w:val="002B3911"/>
    <w:rsid w:val="002B3969"/>
    <w:rsid w:val="002B39EA"/>
    <w:rsid w:val="002B3A27"/>
    <w:rsid w:val="002B3C78"/>
    <w:rsid w:val="002B3C95"/>
    <w:rsid w:val="002B3D58"/>
    <w:rsid w:val="002B3DFC"/>
    <w:rsid w:val="002B3EC2"/>
    <w:rsid w:val="002B3F22"/>
    <w:rsid w:val="002B4046"/>
    <w:rsid w:val="002B4051"/>
    <w:rsid w:val="002B408F"/>
    <w:rsid w:val="002B4237"/>
    <w:rsid w:val="002B423A"/>
    <w:rsid w:val="002B4256"/>
    <w:rsid w:val="002B427E"/>
    <w:rsid w:val="002B42F4"/>
    <w:rsid w:val="002B43B2"/>
    <w:rsid w:val="002B43B9"/>
    <w:rsid w:val="002B43BF"/>
    <w:rsid w:val="002B44CF"/>
    <w:rsid w:val="002B4527"/>
    <w:rsid w:val="002B456D"/>
    <w:rsid w:val="002B4650"/>
    <w:rsid w:val="002B4669"/>
    <w:rsid w:val="002B4681"/>
    <w:rsid w:val="002B470A"/>
    <w:rsid w:val="002B4713"/>
    <w:rsid w:val="002B4717"/>
    <w:rsid w:val="002B4781"/>
    <w:rsid w:val="002B47DF"/>
    <w:rsid w:val="002B4801"/>
    <w:rsid w:val="002B480A"/>
    <w:rsid w:val="002B4823"/>
    <w:rsid w:val="002B4830"/>
    <w:rsid w:val="002B487A"/>
    <w:rsid w:val="002B4884"/>
    <w:rsid w:val="002B48C8"/>
    <w:rsid w:val="002B498A"/>
    <w:rsid w:val="002B4A2A"/>
    <w:rsid w:val="002B4A52"/>
    <w:rsid w:val="002B4DEC"/>
    <w:rsid w:val="002B4EFE"/>
    <w:rsid w:val="002B510B"/>
    <w:rsid w:val="002B5240"/>
    <w:rsid w:val="002B531B"/>
    <w:rsid w:val="002B534C"/>
    <w:rsid w:val="002B545B"/>
    <w:rsid w:val="002B5465"/>
    <w:rsid w:val="002B54F3"/>
    <w:rsid w:val="002B55A0"/>
    <w:rsid w:val="002B5769"/>
    <w:rsid w:val="002B5787"/>
    <w:rsid w:val="002B583D"/>
    <w:rsid w:val="002B5860"/>
    <w:rsid w:val="002B5888"/>
    <w:rsid w:val="002B58BC"/>
    <w:rsid w:val="002B595D"/>
    <w:rsid w:val="002B599E"/>
    <w:rsid w:val="002B5A2B"/>
    <w:rsid w:val="002B5B81"/>
    <w:rsid w:val="002B5BAE"/>
    <w:rsid w:val="002B5BC0"/>
    <w:rsid w:val="002B5C4E"/>
    <w:rsid w:val="002B5C7E"/>
    <w:rsid w:val="002B5E35"/>
    <w:rsid w:val="002B5E42"/>
    <w:rsid w:val="002B6034"/>
    <w:rsid w:val="002B603F"/>
    <w:rsid w:val="002B6070"/>
    <w:rsid w:val="002B614B"/>
    <w:rsid w:val="002B618C"/>
    <w:rsid w:val="002B618F"/>
    <w:rsid w:val="002B629D"/>
    <w:rsid w:val="002B65C6"/>
    <w:rsid w:val="002B668B"/>
    <w:rsid w:val="002B693D"/>
    <w:rsid w:val="002B6C06"/>
    <w:rsid w:val="002B6C09"/>
    <w:rsid w:val="002B6C0A"/>
    <w:rsid w:val="002B6C49"/>
    <w:rsid w:val="002B6CBE"/>
    <w:rsid w:val="002B6CC6"/>
    <w:rsid w:val="002B6EA4"/>
    <w:rsid w:val="002B6F07"/>
    <w:rsid w:val="002B6F77"/>
    <w:rsid w:val="002B6FB9"/>
    <w:rsid w:val="002B6FE8"/>
    <w:rsid w:val="002B7213"/>
    <w:rsid w:val="002B741D"/>
    <w:rsid w:val="002B7498"/>
    <w:rsid w:val="002B74DD"/>
    <w:rsid w:val="002B751E"/>
    <w:rsid w:val="002B75A4"/>
    <w:rsid w:val="002B76B5"/>
    <w:rsid w:val="002B76E7"/>
    <w:rsid w:val="002B77DA"/>
    <w:rsid w:val="002B7853"/>
    <w:rsid w:val="002B7921"/>
    <w:rsid w:val="002B7ABD"/>
    <w:rsid w:val="002B7C00"/>
    <w:rsid w:val="002B7C34"/>
    <w:rsid w:val="002B7E21"/>
    <w:rsid w:val="002B8A59"/>
    <w:rsid w:val="002C011D"/>
    <w:rsid w:val="002C0345"/>
    <w:rsid w:val="002C0373"/>
    <w:rsid w:val="002C037B"/>
    <w:rsid w:val="002C049B"/>
    <w:rsid w:val="002C04F1"/>
    <w:rsid w:val="002C05B2"/>
    <w:rsid w:val="002C0655"/>
    <w:rsid w:val="002C0660"/>
    <w:rsid w:val="002C0673"/>
    <w:rsid w:val="002C06B7"/>
    <w:rsid w:val="002C06C5"/>
    <w:rsid w:val="002C0704"/>
    <w:rsid w:val="002C0749"/>
    <w:rsid w:val="002C09F6"/>
    <w:rsid w:val="002C0AC8"/>
    <w:rsid w:val="002C0AE9"/>
    <w:rsid w:val="002C0B2A"/>
    <w:rsid w:val="002C0B3A"/>
    <w:rsid w:val="002C0C92"/>
    <w:rsid w:val="002C0F08"/>
    <w:rsid w:val="002C0FD2"/>
    <w:rsid w:val="002C107A"/>
    <w:rsid w:val="002C12C6"/>
    <w:rsid w:val="002C15D1"/>
    <w:rsid w:val="002C1694"/>
    <w:rsid w:val="002C16C5"/>
    <w:rsid w:val="002C171F"/>
    <w:rsid w:val="002C18D7"/>
    <w:rsid w:val="002C1975"/>
    <w:rsid w:val="002C19D1"/>
    <w:rsid w:val="002C19FA"/>
    <w:rsid w:val="002C1B01"/>
    <w:rsid w:val="002C1B8F"/>
    <w:rsid w:val="002C1BDE"/>
    <w:rsid w:val="002C1C08"/>
    <w:rsid w:val="002C1C28"/>
    <w:rsid w:val="002C1C2A"/>
    <w:rsid w:val="002C1CB1"/>
    <w:rsid w:val="002C1DBA"/>
    <w:rsid w:val="002C1EED"/>
    <w:rsid w:val="002C1FD7"/>
    <w:rsid w:val="002C2117"/>
    <w:rsid w:val="002C21D1"/>
    <w:rsid w:val="002C234C"/>
    <w:rsid w:val="002C259C"/>
    <w:rsid w:val="002C25B7"/>
    <w:rsid w:val="002C2639"/>
    <w:rsid w:val="002C2688"/>
    <w:rsid w:val="002C2699"/>
    <w:rsid w:val="002C2782"/>
    <w:rsid w:val="002C2819"/>
    <w:rsid w:val="002C286A"/>
    <w:rsid w:val="002C293F"/>
    <w:rsid w:val="002C29B8"/>
    <w:rsid w:val="002C2A08"/>
    <w:rsid w:val="002C2A15"/>
    <w:rsid w:val="002C2E1B"/>
    <w:rsid w:val="002C30B3"/>
    <w:rsid w:val="002C3154"/>
    <w:rsid w:val="002C3220"/>
    <w:rsid w:val="002C3252"/>
    <w:rsid w:val="002C32E0"/>
    <w:rsid w:val="002C33AC"/>
    <w:rsid w:val="002C34B0"/>
    <w:rsid w:val="002C353F"/>
    <w:rsid w:val="002C35C3"/>
    <w:rsid w:val="002C35F7"/>
    <w:rsid w:val="002C363C"/>
    <w:rsid w:val="002C36D5"/>
    <w:rsid w:val="002C3762"/>
    <w:rsid w:val="002C3870"/>
    <w:rsid w:val="002C38A6"/>
    <w:rsid w:val="002C390F"/>
    <w:rsid w:val="002C393C"/>
    <w:rsid w:val="002C3949"/>
    <w:rsid w:val="002C39B9"/>
    <w:rsid w:val="002C39E8"/>
    <w:rsid w:val="002C39FC"/>
    <w:rsid w:val="002C3ABA"/>
    <w:rsid w:val="002C3ABD"/>
    <w:rsid w:val="002C3B7D"/>
    <w:rsid w:val="002C3B7F"/>
    <w:rsid w:val="002C3C03"/>
    <w:rsid w:val="002C3C61"/>
    <w:rsid w:val="002C3C74"/>
    <w:rsid w:val="002C3CCF"/>
    <w:rsid w:val="002C3EC9"/>
    <w:rsid w:val="002C4103"/>
    <w:rsid w:val="002C4173"/>
    <w:rsid w:val="002C418C"/>
    <w:rsid w:val="002C4195"/>
    <w:rsid w:val="002C42CF"/>
    <w:rsid w:val="002C4399"/>
    <w:rsid w:val="002C43EE"/>
    <w:rsid w:val="002C4410"/>
    <w:rsid w:val="002C4445"/>
    <w:rsid w:val="002C44A4"/>
    <w:rsid w:val="002C46C3"/>
    <w:rsid w:val="002C4719"/>
    <w:rsid w:val="002C4834"/>
    <w:rsid w:val="002C49C7"/>
    <w:rsid w:val="002C4A5D"/>
    <w:rsid w:val="002C4AC8"/>
    <w:rsid w:val="002C4B3F"/>
    <w:rsid w:val="002C4B7E"/>
    <w:rsid w:val="002C4E90"/>
    <w:rsid w:val="002C4E94"/>
    <w:rsid w:val="002C4EA6"/>
    <w:rsid w:val="002C4EFC"/>
    <w:rsid w:val="002C5081"/>
    <w:rsid w:val="002C51B2"/>
    <w:rsid w:val="002C51C1"/>
    <w:rsid w:val="002C51E6"/>
    <w:rsid w:val="002C5245"/>
    <w:rsid w:val="002C53A0"/>
    <w:rsid w:val="002C53DD"/>
    <w:rsid w:val="002C53ED"/>
    <w:rsid w:val="002C5435"/>
    <w:rsid w:val="002C543D"/>
    <w:rsid w:val="002C5507"/>
    <w:rsid w:val="002C563B"/>
    <w:rsid w:val="002C579B"/>
    <w:rsid w:val="002C5938"/>
    <w:rsid w:val="002C5941"/>
    <w:rsid w:val="002C5BD5"/>
    <w:rsid w:val="002C5CBB"/>
    <w:rsid w:val="002C5D6F"/>
    <w:rsid w:val="002C5E0B"/>
    <w:rsid w:val="002C5E15"/>
    <w:rsid w:val="002C5F40"/>
    <w:rsid w:val="002C5F52"/>
    <w:rsid w:val="002C5FBF"/>
    <w:rsid w:val="002C604B"/>
    <w:rsid w:val="002C615F"/>
    <w:rsid w:val="002C6201"/>
    <w:rsid w:val="002C64E7"/>
    <w:rsid w:val="002C65CF"/>
    <w:rsid w:val="002C6633"/>
    <w:rsid w:val="002C68E2"/>
    <w:rsid w:val="002C697F"/>
    <w:rsid w:val="002C6A31"/>
    <w:rsid w:val="002C6B0D"/>
    <w:rsid w:val="002C6B27"/>
    <w:rsid w:val="002C6BB4"/>
    <w:rsid w:val="002C6BFE"/>
    <w:rsid w:val="002C6CEB"/>
    <w:rsid w:val="002C6D75"/>
    <w:rsid w:val="002C6D7D"/>
    <w:rsid w:val="002C6DDE"/>
    <w:rsid w:val="002C6E7C"/>
    <w:rsid w:val="002C6F43"/>
    <w:rsid w:val="002C70D3"/>
    <w:rsid w:val="002C7102"/>
    <w:rsid w:val="002C716F"/>
    <w:rsid w:val="002C7205"/>
    <w:rsid w:val="002C720F"/>
    <w:rsid w:val="002C7219"/>
    <w:rsid w:val="002C730F"/>
    <w:rsid w:val="002C7396"/>
    <w:rsid w:val="002C739C"/>
    <w:rsid w:val="002C7554"/>
    <w:rsid w:val="002C7605"/>
    <w:rsid w:val="002C7772"/>
    <w:rsid w:val="002C7792"/>
    <w:rsid w:val="002C77F1"/>
    <w:rsid w:val="002C787F"/>
    <w:rsid w:val="002C7934"/>
    <w:rsid w:val="002C7A60"/>
    <w:rsid w:val="002C7A77"/>
    <w:rsid w:val="002C7A7E"/>
    <w:rsid w:val="002C7D07"/>
    <w:rsid w:val="002C7EAD"/>
    <w:rsid w:val="002C7ECB"/>
    <w:rsid w:val="002C7FC9"/>
    <w:rsid w:val="002C7FF1"/>
    <w:rsid w:val="002D00F7"/>
    <w:rsid w:val="002D0125"/>
    <w:rsid w:val="002D03B9"/>
    <w:rsid w:val="002D0447"/>
    <w:rsid w:val="002D04B0"/>
    <w:rsid w:val="002D050F"/>
    <w:rsid w:val="002D06CA"/>
    <w:rsid w:val="002D06DE"/>
    <w:rsid w:val="002D06DF"/>
    <w:rsid w:val="002D0756"/>
    <w:rsid w:val="002D0839"/>
    <w:rsid w:val="002D0850"/>
    <w:rsid w:val="002D08A1"/>
    <w:rsid w:val="002D0902"/>
    <w:rsid w:val="002D0A73"/>
    <w:rsid w:val="002D0E97"/>
    <w:rsid w:val="002D0FBE"/>
    <w:rsid w:val="002D1184"/>
    <w:rsid w:val="002D11E7"/>
    <w:rsid w:val="002D1224"/>
    <w:rsid w:val="002D1236"/>
    <w:rsid w:val="002D13BD"/>
    <w:rsid w:val="002D13DD"/>
    <w:rsid w:val="002D13E0"/>
    <w:rsid w:val="002D14E4"/>
    <w:rsid w:val="002D1691"/>
    <w:rsid w:val="002D16F4"/>
    <w:rsid w:val="002D176F"/>
    <w:rsid w:val="002D17B0"/>
    <w:rsid w:val="002D17E7"/>
    <w:rsid w:val="002D1942"/>
    <w:rsid w:val="002D1A24"/>
    <w:rsid w:val="002D1A72"/>
    <w:rsid w:val="002D1B5F"/>
    <w:rsid w:val="002D1B7A"/>
    <w:rsid w:val="002D1B8F"/>
    <w:rsid w:val="002D1BAF"/>
    <w:rsid w:val="002D1DEB"/>
    <w:rsid w:val="002D1E28"/>
    <w:rsid w:val="002D1E7E"/>
    <w:rsid w:val="002D1F13"/>
    <w:rsid w:val="002D1F8D"/>
    <w:rsid w:val="002D1FC1"/>
    <w:rsid w:val="002D1FE4"/>
    <w:rsid w:val="002D203E"/>
    <w:rsid w:val="002D21BD"/>
    <w:rsid w:val="002D21C5"/>
    <w:rsid w:val="002D225A"/>
    <w:rsid w:val="002D23FF"/>
    <w:rsid w:val="002D241B"/>
    <w:rsid w:val="002D24F5"/>
    <w:rsid w:val="002D25B3"/>
    <w:rsid w:val="002D271C"/>
    <w:rsid w:val="002D2756"/>
    <w:rsid w:val="002D276E"/>
    <w:rsid w:val="002D2931"/>
    <w:rsid w:val="002D29B3"/>
    <w:rsid w:val="002D29C9"/>
    <w:rsid w:val="002D29CA"/>
    <w:rsid w:val="002D29ED"/>
    <w:rsid w:val="002D2AA5"/>
    <w:rsid w:val="002D2ACC"/>
    <w:rsid w:val="002D2B45"/>
    <w:rsid w:val="002D2CA4"/>
    <w:rsid w:val="002D2D7F"/>
    <w:rsid w:val="002D2DD8"/>
    <w:rsid w:val="002D2DF7"/>
    <w:rsid w:val="002D2EF2"/>
    <w:rsid w:val="002D2FC2"/>
    <w:rsid w:val="002D329F"/>
    <w:rsid w:val="002D32DF"/>
    <w:rsid w:val="002D3312"/>
    <w:rsid w:val="002D334C"/>
    <w:rsid w:val="002D33A5"/>
    <w:rsid w:val="002D33B9"/>
    <w:rsid w:val="002D3440"/>
    <w:rsid w:val="002D34A2"/>
    <w:rsid w:val="002D3553"/>
    <w:rsid w:val="002D36A0"/>
    <w:rsid w:val="002D371C"/>
    <w:rsid w:val="002D372D"/>
    <w:rsid w:val="002D3794"/>
    <w:rsid w:val="002D3914"/>
    <w:rsid w:val="002D3A2F"/>
    <w:rsid w:val="002D3AE5"/>
    <w:rsid w:val="002D3B25"/>
    <w:rsid w:val="002D3B31"/>
    <w:rsid w:val="002D3BB5"/>
    <w:rsid w:val="002D3CD0"/>
    <w:rsid w:val="002D3D8F"/>
    <w:rsid w:val="002D3DAC"/>
    <w:rsid w:val="002D3DB5"/>
    <w:rsid w:val="002D3E0D"/>
    <w:rsid w:val="002D3E3A"/>
    <w:rsid w:val="002D3EE1"/>
    <w:rsid w:val="002D3EE4"/>
    <w:rsid w:val="002D3F5B"/>
    <w:rsid w:val="002D400D"/>
    <w:rsid w:val="002D4037"/>
    <w:rsid w:val="002D41AB"/>
    <w:rsid w:val="002D42A6"/>
    <w:rsid w:val="002D43DE"/>
    <w:rsid w:val="002D454D"/>
    <w:rsid w:val="002D45B3"/>
    <w:rsid w:val="002D45BE"/>
    <w:rsid w:val="002D45E3"/>
    <w:rsid w:val="002D46AF"/>
    <w:rsid w:val="002D478D"/>
    <w:rsid w:val="002D4792"/>
    <w:rsid w:val="002D47A7"/>
    <w:rsid w:val="002D47C8"/>
    <w:rsid w:val="002D47E6"/>
    <w:rsid w:val="002D482E"/>
    <w:rsid w:val="002D488D"/>
    <w:rsid w:val="002D4899"/>
    <w:rsid w:val="002D48EC"/>
    <w:rsid w:val="002D4939"/>
    <w:rsid w:val="002D4967"/>
    <w:rsid w:val="002D4B5E"/>
    <w:rsid w:val="002D4C82"/>
    <w:rsid w:val="002D4CA6"/>
    <w:rsid w:val="002D4EB3"/>
    <w:rsid w:val="002D5004"/>
    <w:rsid w:val="002D509A"/>
    <w:rsid w:val="002D50A9"/>
    <w:rsid w:val="002D525F"/>
    <w:rsid w:val="002D52A6"/>
    <w:rsid w:val="002D53BD"/>
    <w:rsid w:val="002D53E6"/>
    <w:rsid w:val="002D541D"/>
    <w:rsid w:val="002D5471"/>
    <w:rsid w:val="002D54DF"/>
    <w:rsid w:val="002D55E8"/>
    <w:rsid w:val="002D55F7"/>
    <w:rsid w:val="002D575E"/>
    <w:rsid w:val="002D5761"/>
    <w:rsid w:val="002D5776"/>
    <w:rsid w:val="002D577A"/>
    <w:rsid w:val="002D57FE"/>
    <w:rsid w:val="002D58AA"/>
    <w:rsid w:val="002D58CD"/>
    <w:rsid w:val="002D5A09"/>
    <w:rsid w:val="002D5A48"/>
    <w:rsid w:val="002D5A6A"/>
    <w:rsid w:val="002D5A74"/>
    <w:rsid w:val="002D5A9A"/>
    <w:rsid w:val="002D5AD7"/>
    <w:rsid w:val="002D5BD0"/>
    <w:rsid w:val="002D5BE6"/>
    <w:rsid w:val="002D5D33"/>
    <w:rsid w:val="002D5E10"/>
    <w:rsid w:val="002D5F44"/>
    <w:rsid w:val="002D5F85"/>
    <w:rsid w:val="002D5FB2"/>
    <w:rsid w:val="002D5FC2"/>
    <w:rsid w:val="002D5FFB"/>
    <w:rsid w:val="002D601F"/>
    <w:rsid w:val="002D6025"/>
    <w:rsid w:val="002D6037"/>
    <w:rsid w:val="002D6100"/>
    <w:rsid w:val="002D6350"/>
    <w:rsid w:val="002D6386"/>
    <w:rsid w:val="002D63B4"/>
    <w:rsid w:val="002D63DB"/>
    <w:rsid w:val="002D652B"/>
    <w:rsid w:val="002D6539"/>
    <w:rsid w:val="002D662C"/>
    <w:rsid w:val="002D671B"/>
    <w:rsid w:val="002D67A4"/>
    <w:rsid w:val="002D6871"/>
    <w:rsid w:val="002D6973"/>
    <w:rsid w:val="002D6976"/>
    <w:rsid w:val="002D6AB1"/>
    <w:rsid w:val="002D6C15"/>
    <w:rsid w:val="002D6C2F"/>
    <w:rsid w:val="002D6CCD"/>
    <w:rsid w:val="002D6CDB"/>
    <w:rsid w:val="002D6D3D"/>
    <w:rsid w:val="002D6D49"/>
    <w:rsid w:val="002D6E11"/>
    <w:rsid w:val="002D6EDD"/>
    <w:rsid w:val="002D6EE8"/>
    <w:rsid w:val="002D6FB8"/>
    <w:rsid w:val="002D70AA"/>
    <w:rsid w:val="002D70D1"/>
    <w:rsid w:val="002D7198"/>
    <w:rsid w:val="002D73E3"/>
    <w:rsid w:val="002D74EE"/>
    <w:rsid w:val="002D75DF"/>
    <w:rsid w:val="002D770D"/>
    <w:rsid w:val="002D7745"/>
    <w:rsid w:val="002D7824"/>
    <w:rsid w:val="002D78FB"/>
    <w:rsid w:val="002D79A1"/>
    <w:rsid w:val="002D79FC"/>
    <w:rsid w:val="002D7A92"/>
    <w:rsid w:val="002D7B17"/>
    <w:rsid w:val="002D7B26"/>
    <w:rsid w:val="002D7BED"/>
    <w:rsid w:val="002D7C09"/>
    <w:rsid w:val="002D7C0B"/>
    <w:rsid w:val="002D7C45"/>
    <w:rsid w:val="002D7CB3"/>
    <w:rsid w:val="002D7DB4"/>
    <w:rsid w:val="002D7E22"/>
    <w:rsid w:val="002D7EAC"/>
    <w:rsid w:val="002E002B"/>
    <w:rsid w:val="002E0048"/>
    <w:rsid w:val="002E0091"/>
    <w:rsid w:val="002E00E6"/>
    <w:rsid w:val="002E011A"/>
    <w:rsid w:val="002E014B"/>
    <w:rsid w:val="002E01A1"/>
    <w:rsid w:val="002E01C9"/>
    <w:rsid w:val="002E02CA"/>
    <w:rsid w:val="002E02F5"/>
    <w:rsid w:val="002E0382"/>
    <w:rsid w:val="002E03B8"/>
    <w:rsid w:val="002E0445"/>
    <w:rsid w:val="002E068B"/>
    <w:rsid w:val="002E06A7"/>
    <w:rsid w:val="002E06B7"/>
    <w:rsid w:val="002E0708"/>
    <w:rsid w:val="002E077C"/>
    <w:rsid w:val="002E0862"/>
    <w:rsid w:val="002E086D"/>
    <w:rsid w:val="002E089E"/>
    <w:rsid w:val="002E090A"/>
    <w:rsid w:val="002E0972"/>
    <w:rsid w:val="002E09B0"/>
    <w:rsid w:val="002E0B97"/>
    <w:rsid w:val="002E0D56"/>
    <w:rsid w:val="002E0E29"/>
    <w:rsid w:val="002E0F02"/>
    <w:rsid w:val="002E0F7A"/>
    <w:rsid w:val="002E0FA4"/>
    <w:rsid w:val="002E1177"/>
    <w:rsid w:val="002E11C0"/>
    <w:rsid w:val="002E11E2"/>
    <w:rsid w:val="002E1225"/>
    <w:rsid w:val="002E128F"/>
    <w:rsid w:val="002E12C3"/>
    <w:rsid w:val="002E1397"/>
    <w:rsid w:val="002E1489"/>
    <w:rsid w:val="002E14B4"/>
    <w:rsid w:val="002E19A0"/>
    <w:rsid w:val="002E1A13"/>
    <w:rsid w:val="002E1A2F"/>
    <w:rsid w:val="002E1A93"/>
    <w:rsid w:val="002E1AAB"/>
    <w:rsid w:val="002E1AAC"/>
    <w:rsid w:val="002E1AFF"/>
    <w:rsid w:val="002E1B38"/>
    <w:rsid w:val="002E1B5C"/>
    <w:rsid w:val="002E1BC0"/>
    <w:rsid w:val="002E1C27"/>
    <w:rsid w:val="002E1C7A"/>
    <w:rsid w:val="002E1D19"/>
    <w:rsid w:val="002E1DC2"/>
    <w:rsid w:val="002E1E75"/>
    <w:rsid w:val="002E1E84"/>
    <w:rsid w:val="002E2040"/>
    <w:rsid w:val="002E205B"/>
    <w:rsid w:val="002E2098"/>
    <w:rsid w:val="002E209B"/>
    <w:rsid w:val="002E2139"/>
    <w:rsid w:val="002E21AA"/>
    <w:rsid w:val="002E2347"/>
    <w:rsid w:val="002E244C"/>
    <w:rsid w:val="002E2495"/>
    <w:rsid w:val="002E24D6"/>
    <w:rsid w:val="002E24F4"/>
    <w:rsid w:val="002E2540"/>
    <w:rsid w:val="002E2720"/>
    <w:rsid w:val="002E2889"/>
    <w:rsid w:val="002E2A55"/>
    <w:rsid w:val="002E2B00"/>
    <w:rsid w:val="002E2B03"/>
    <w:rsid w:val="002E2C4B"/>
    <w:rsid w:val="002E2C65"/>
    <w:rsid w:val="002E2D48"/>
    <w:rsid w:val="002E2E3E"/>
    <w:rsid w:val="002E2EC6"/>
    <w:rsid w:val="002E2FB0"/>
    <w:rsid w:val="002E322B"/>
    <w:rsid w:val="002E324A"/>
    <w:rsid w:val="002E3281"/>
    <w:rsid w:val="002E32AD"/>
    <w:rsid w:val="002E32BA"/>
    <w:rsid w:val="002E360B"/>
    <w:rsid w:val="002E36B1"/>
    <w:rsid w:val="002E36F5"/>
    <w:rsid w:val="002E389B"/>
    <w:rsid w:val="002E38AE"/>
    <w:rsid w:val="002E38D6"/>
    <w:rsid w:val="002E3BD7"/>
    <w:rsid w:val="002E3BF0"/>
    <w:rsid w:val="002E3C1F"/>
    <w:rsid w:val="002E3DA9"/>
    <w:rsid w:val="002E3DB0"/>
    <w:rsid w:val="002E3DDB"/>
    <w:rsid w:val="002E3E79"/>
    <w:rsid w:val="002E3E82"/>
    <w:rsid w:val="002E3E85"/>
    <w:rsid w:val="002E3EEB"/>
    <w:rsid w:val="002E3F20"/>
    <w:rsid w:val="002E3F44"/>
    <w:rsid w:val="002E409D"/>
    <w:rsid w:val="002E40AB"/>
    <w:rsid w:val="002E4117"/>
    <w:rsid w:val="002E4126"/>
    <w:rsid w:val="002E4148"/>
    <w:rsid w:val="002E4220"/>
    <w:rsid w:val="002E426B"/>
    <w:rsid w:val="002E42CF"/>
    <w:rsid w:val="002E4431"/>
    <w:rsid w:val="002E443E"/>
    <w:rsid w:val="002E44E0"/>
    <w:rsid w:val="002E4702"/>
    <w:rsid w:val="002E473C"/>
    <w:rsid w:val="002E4753"/>
    <w:rsid w:val="002E4760"/>
    <w:rsid w:val="002E4802"/>
    <w:rsid w:val="002E483F"/>
    <w:rsid w:val="002E4871"/>
    <w:rsid w:val="002E48A2"/>
    <w:rsid w:val="002E4AF9"/>
    <w:rsid w:val="002E4B2D"/>
    <w:rsid w:val="002E4C64"/>
    <w:rsid w:val="002E4CE6"/>
    <w:rsid w:val="002E4D30"/>
    <w:rsid w:val="002E4FE0"/>
    <w:rsid w:val="002E5047"/>
    <w:rsid w:val="002E5080"/>
    <w:rsid w:val="002E50E0"/>
    <w:rsid w:val="002E5100"/>
    <w:rsid w:val="002E5148"/>
    <w:rsid w:val="002E514A"/>
    <w:rsid w:val="002E53CC"/>
    <w:rsid w:val="002E5430"/>
    <w:rsid w:val="002E5457"/>
    <w:rsid w:val="002E546B"/>
    <w:rsid w:val="002E54B0"/>
    <w:rsid w:val="002E54DE"/>
    <w:rsid w:val="002E5566"/>
    <w:rsid w:val="002E557C"/>
    <w:rsid w:val="002E55D4"/>
    <w:rsid w:val="002E564E"/>
    <w:rsid w:val="002E5689"/>
    <w:rsid w:val="002E56AE"/>
    <w:rsid w:val="002E56E2"/>
    <w:rsid w:val="002E573E"/>
    <w:rsid w:val="002E576E"/>
    <w:rsid w:val="002E579A"/>
    <w:rsid w:val="002E5868"/>
    <w:rsid w:val="002E58E1"/>
    <w:rsid w:val="002E5B71"/>
    <w:rsid w:val="002E5B76"/>
    <w:rsid w:val="002E5B9B"/>
    <w:rsid w:val="002E5D7A"/>
    <w:rsid w:val="002E5DB5"/>
    <w:rsid w:val="002E5DF4"/>
    <w:rsid w:val="002E5E3F"/>
    <w:rsid w:val="002E5EE2"/>
    <w:rsid w:val="002E5EE3"/>
    <w:rsid w:val="002E604B"/>
    <w:rsid w:val="002E622F"/>
    <w:rsid w:val="002E6503"/>
    <w:rsid w:val="002E67AE"/>
    <w:rsid w:val="002E69F0"/>
    <w:rsid w:val="002E6A72"/>
    <w:rsid w:val="002E6AB9"/>
    <w:rsid w:val="002E6CFD"/>
    <w:rsid w:val="002E6DBE"/>
    <w:rsid w:val="002E6DDF"/>
    <w:rsid w:val="002E6E11"/>
    <w:rsid w:val="002E6E27"/>
    <w:rsid w:val="002E6ED2"/>
    <w:rsid w:val="002E6ED6"/>
    <w:rsid w:val="002E6EFF"/>
    <w:rsid w:val="002E6F23"/>
    <w:rsid w:val="002E6F2C"/>
    <w:rsid w:val="002E6F2F"/>
    <w:rsid w:val="002E6FA9"/>
    <w:rsid w:val="002E707A"/>
    <w:rsid w:val="002E7085"/>
    <w:rsid w:val="002E7267"/>
    <w:rsid w:val="002E746C"/>
    <w:rsid w:val="002E753C"/>
    <w:rsid w:val="002E7607"/>
    <w:rsid w:val="002E768F"/>
    <w:rsid w:val="002E7692"/>
    <w:rsid w:val="002E7703"/>
    <w:rsid w:val="002E797F"/>
    <w:rsid w:val="002E7AA2"/>
    <w:rsid w:val="002E7AB1"/>
    <w:rsid w:val="002E7C1A"/>
    <w:rsid w:val="002E7DC5"/>
    <w:rsid w:val="002E7DEF"/>
    <w:rsid w:val="002E7F25"/>
    <w:rsid w:val="002E7F29"/>
    <w:rsid w:val="002E7FB3"/>
    <w:rsid w:val="002F015A"/>
    <w:rsid w:val="002F0187"/>
    <w:rsid w:val="002F034E"/>
    <w:rsid w:val="002F0368"/>
    <w:rsid w:val="002F0413"/>
    <w:rsid w:val="002F04FB"/>
    <w:rsid w:val="002F07B5"/>
    <w:rsid w:val="002F07FA"/>
    <w:rsid w:val="002F0819"/>
    <w:rsid w:val="002F0930"/>
    <w:rsid w:val="002F0A1F"/>
    <w:rsid w:val="002F0A53"/>
    <w:rsid w:val="002F0A5F"/>
    <w:rsid w:val="002F0A69"/>
    <w:rsid w:val="002F0BCD"/>
    <w:rsid w:val="002F0C22"/>
    <w:rsid w:val="002F0CC8"/>
    <w:rsid w:val="002F0D80"/>
    <w:rsid w:val="002F0DF8"/>
    <w:rsid w:val="002F0E17"/>
    <w:rsid w:val="002F0E70"/>
    <w:rsid w:val="002F0E7B"/>
    <w:rsid w:val="002F0E8A"/>
    <w:rsid w:val="002F0F54"/>
    <w:rsid w:val="002F102E"/>
    <w:rsid w:val="002F105E"/>
    <w:rsid w:val="002F1173"/>
    <w:rsid w:val="002F11C3"/>
    <w:rsid w:val="002F1232"/>
    <w:rsid w:val="002F1286"/>
    <w:rsid w:val="002F133F"/>
    <w:rsid w:val="002F139B"/>
    <w:rsid w:val="002F1440"/>
    <w:rsid w:val="002F14FE"/>
    <w:rsid w:val="002F1516"/>
    <w:rsid w:val="002F1588"/>
    <w:rsid w:val="002F177A"/>
    <w:rsid w:val="002F177C"/>
    <w:rsid w:val="002F1790"/>
    <w:rsid w:val="002F17CB"/>
    <w:rsid w:val="002F1855"/>
    <w:rsid w:val="002F188A"/>
    <w:rsid w:val="002F1939"/>
    <w:rsid w:val="002F19C7"/>
    <w:rsid w:val="002F1A5F"/>
    <w:rsid w:val="002F1A93"/>
    <w:rsid w:val="002F1AD8"/>
    <w:rsid w:val="002F1B15"/>
    <w:rsid w:val="002F1B90"/>
    <w:rsid w:val="002F1C26"/>
    <w:rsid w:val="002F1CBC"/>
    <w:rsid w:val="002F1D01"/>
    <w:rsid w:val="002F1DE2"/>
    <w:rsid w:val="002F2027"/>
    <w:rsid w:val="002F2168"/>
    <w:rsid w:val="002F2337"/>
    <w:rsid w:val="002F24AA"/>
    <w:rsid w:val="002F24B3"/>
    <w:rsid w:val="002F24BC"/>
    <w:rsid w:val="002F2698"/>
    <w:rsid w:val="002F276A"/>
    <w:rsid w:val="002F2770"/>
    <w:rsid w:val="002F27A9"/>
    <w:rsid w:val="002F27F8"/>
    <w:rsid w:val="002F2834"/>
    <w:rsid w:val="002F2848"/>
    <w:rsid w:val="002F28EB"/>
    <w:rsid w:val="002F29F8"/>
    <w:rsid w:val="002F2AF8"/>
    <w:rsid w:val="002F2B5D"/>
    <w:rsid w:val="002F2CBA"/>
    <w:rsid w:val="002F2D59"/>
    <w:rsid w:val="002F2D65"/>
    <w:rsid w:val="002F2DFF"/>
    <w:rsid w:val="002F2E11"/>
    <w:rsid w:val="002F2E23"/>
    <w:rsid w:val="002F2EC1"/>
    <w:rsid w:val="002F2FBE"/>
    <w:rsid w:val="002F309D"/>
    <w:rsid w:val="002F30B2"/>
    <w:rsid w:val="002F3291"/>
    <w:rsid w:val="002F3340"/>
    <w:rsid w:val="002F334A"/>
    <w:rsid w:val="002F343E"/>
    <w:rsid w:val="002F34B2"/>
    <w:rsid w:val="002F3598"/>
    <w:rsid w:val="002F35F7"/>
    <w:rsid w:val="002F3624"/>
    <w:rsid w:val="002F3626"/>
    <w:rsid w:val="002F3665"/>
    <w:rsid w:val="002F36BC"/>
    <w:rsid w:val="002F36EF"/>
    <w:rsid w:val="002F384C"/>
    <w:rsid w:val="002F3852"/>
    <w:rsid w:val="002F3876"/>
    <w:rsid w:val="002F38A7"/>
    <w:rsid w:val="002F395D"/>
    <w:rsid w:val="002F3B08"/>
    <w:rsid w:val="002F3B23"/>
    <w:rsid w:val="002F3D0E"/>
    <w:rsid w:val="002F3DCC"/>
    <w:rsid w:val="002F3E57"/>
    <w:rsid w:val="002F3E6B"/>
    <w:rsid w:val="002F4178"/>
    <w:rsid w:val="002F41C2"/>
    <w:rsid w:val="002F41CA"/>
    <w:rsid w:val="002F41F0"/>
    <w:rsid w:val="002F41F7"/>
    <w:rsid w:val="002F425B"/>
    <w:rsid w:val="002F426B"/>
    <w:rsid w:val="002F4321"/>
    <w:rsid w:val="002F44AA"/>
    <w:rsid w:val="002F4539"/>
    <w:rsid w:val="002F4668"/>
    <w:rsid w:val="002F467E"/>
    <w:rsid w:val="002F46D5"/>
    <w:rsid w:val="002F46F4"/>
    <w:rsid w:val="002F4735"/>
    <w:rsid w:val="002F492A"/>
    <w:rsid w:val="002F495B"/>
    <w:rsid w:val="002F4A80"/>
    <w:rsid w:val="002F4AD5"/>
    <w:rsid w:val="002F4B51"/>
    <w:rsid w:val="002F4BBE"/>
    <w:rsid w:val="002F4E52"/>
    <w:rsid w:val="002F4EAD"/>
    <w:rsid w:val="002F4EDC"/>
    <w:rsid w:val="002F4EED"/>
    <w:rsid w:val="002F4EF0"/>
    <w:rsid w:val="002F4F3C"/>
    <w:rsid w:val="002F4F66"/>
    <w:rsid w:val="002F5021"/>
    <w:rsid w:val="002F508D"/>
    <w:rsid w:val="002F5129"/>
    <w:rsid w:val="002F52B1"/>
    <w:rsid w:val="002F52DA"/>
    <w:rsid w:val="002F53AD"/>
    <w:rsid w:val="002F5405"/>
    <w:rsid w:val="002F542B"/>
    <w:rsid w:val="002F5454"/>
    <w:rsid w:val="002F5502"/>
    <w:rsid w:val="002F5565"/>
    <w:rsid w:val="002F558B"/>
    <w:rsid w:val="002F5655"/>
    <w:rsid w:val="002F578E"/>
    <w:rsid w:val="002F5991"/>
    <w:rsid w:val="002F59F5"/>
    <w:rsid w:val="002F5A10"/>
    <w:rsid w:val="002F5A68"/>
    <w:rsid w:val="002F5AFF"/>
    <w:rsid w:val="002F5B3E"/>
    <w:rsid w:val="002F5C9E"/>
    <w:rsid w:val="002F5D99"/>
    <w:rsid w:val="002F5D9E"/>
    <w:rsid w:val="002F5DF1"/>
    <w:rsid w:val="002F5E55"/>
    <w:rsid w:val="002F5E6A"/>
    <w:rsid w:val="002F5E72"/>
    <w:rsid w:val="002F5E7A"/>
    <w:rsid w:val="002F5E82"/>
    <w:rsid w:val="002F5FD2"/>
    <w:rsid w:val="002F605C"/>
    <w:rsid w:val="002F612F"/>
    <w:rsid w:val="002F6179"/>
    <w:rsid w:val="002F61D9"/>
    <w:rsid w:val="002F6328"/>
    <w:rsid w:val="002F65E7"/>
    <w:rsid w:val="002F6609"/>
    <w:rsid w:val="002F6682"/>
    <w:rsid w:val="002F6685"/>
    <w:rsid w:val="002F66F8"/>
    <w:rsid w:val="002F67BB"/>
    <w:rsid w:val="002F6824"/>
    <w:rsid w:val="002F6971"/>
    <w:rsid w:val="002F69C5"/>
    <w:rsid w:val="002F69C6"/>
    <w:rsid w:val="002F6A0E"/>
    <w:rsid w:val="002F6A69"/>
    <w:rsid w:val="002F6A7F"/>
    <w:rsid w:val="002F6AB8"/>
    <w:rsid w:val="002F6B18"/>
    <w:rsid w:val="002F6BE3"/>
    <w:rsid w:val="002F6C48"/>
    <w:rsid w:val="002F6C86"/>
    <w:rsid w:val="002F6FEA"/>
    <w:rsid w:val="002F7030"/>
    <w:rsid w:val="002F7031"/>
    <w:rsid w:val="002F7224"/>
    <w:rsid w:val="002F7281"/>
    <w:rsid w:val="002F731D"/>
    <w:rsid w:val="002F73BD"/>
    <w:rsid w:val="002F7430"/>
    <w:rsid w:val="002F748C"/>
    <w:rsid w:val="002F759E"/>
    <w:rsid w:val="002F7702"/>
    <w:rsid w:val="002F7727"/>
    <w:rsid w:val="002F7788"/>
    <w:rsid w:val="002F791A"/>
    <w:rsid w:val="002F7A01"/>
    <w:rsid w:val="002F7A69"/>
    <w:rsid w:val="002F7A6B"/>
    <w:rsid w:val="002F7ADF"/>
    <w:rsid w:val="002F7B3A"/>
    <w:rsid w:val="002F7BB3"/>
    <w:rsid w:val="002F7BDD"/>
    <w:rsid w:val="002F7D44"/>
    <w:rsid w:val="002F7F16"/>
    <w:rsid w:val="002F7F61"/>
    <w:rsid w:val="0030006B"/>
    <w:rsid w:val="00300258"/>
    <w:rsid w:val="00300479"/>
    <w:rsid w:val="0030061C"/>
    <w:rsid w:val="00300678"/>
    <w:rsid w:val="003006F3"/>
    <w:rsid w:val="003007C8"/>
    <w:rsid w:val="003007DB"/>
    <w:rsid w:val="003007E5"/>
    <w:rsid w:val="0030082D"/>
    <w:rsid w:val="003008AC"/>
    <w:rsid w:val="00300998"/>
    <w:rsid w:val="003009F7"/>
    <w:rsid w:val="00300AB4"/>
    <w:rsid w:val="00300B65"/>
    <w:rsid w:val="00300B9D"/>
    <w:rsid w:val="00300BB4"/>
    <w:rsid w:val="00300C38"/>
    <w:rsid w:val="00300C96"/>
    <w:rsid w:val="00300D52"/>
    <w:rsid w:val="00300DB4"/>
    <w:rsid w:val="00300E15"/>
    <w:rsid w:val="00300E1A"/>
    <w:rsid w:val="00300E66"/>
    <w:rsid w:val="00300FE3"/>
    <w:rsid w:val="003010C9"/>
    <w:rsid w:val="0030128C"/>
    <w:rsid w:val="003012AE"/>
    <w:rsid w:val="003012E3"/>
    <w:rsid w:val="0030130B"/>
    <w:rsid w:val="0030139D"/>
    <w:rsid w:val="00301446"/>
    <w:rsid w:val="00301469"/>
    <w:rsid w:val="00301472"/>
    <w:rsid w:val="003015C4"/>
    <w:rsid w:val="00301756"/>
    <w:rsid w:val="0030176B"/>
    <w:rsid w:val="003017F8"/>
    <w:rsid w:val="00301901"/>
    <w:rsid w:val="00301A42"/>
    <w:rsid w:val="00301A85"/>
    <w:rsid w:val="00301B34"/>
    <w:rsid w:val="00301B47"/>
    <w:rsid w:val="00301C4A"/>
    <w:rsid w:val="00301DAE"/>
    <w:rsid w:val="00301DD9"/>
    <w:rsid w:val="00301ED5"/>
    <w:rsid w:val="0030205D"/>
    <w:rsid w:val="00302066"/>
    <w:rsid w:val="003020BB"/>
    <w:rsid w:val="00302132"/>
    <w:rsid w:val="00302190"/>
    <w:rsid w:val="003021B2"/>
    <w:rsid w:val="003021DC"/>
    <w:rsid w:val="0030222A"/>
    <w:rsid w:val="00302288"/>
    <w:rsid w:val="003023F0"/>
    <w:rsid w:val="00302408"/>
    <w:rsid w:val="00302437"/>
    <w:rsid w:val="0030275C"/>
    <w:rsid w:val="0030288B"/>
    <w:rsid w:val="003028B9"/>
    <w:rsid w:val="0030298D"/>
    <w:rsid w:val="003029D6"/>
    <w:rsid w:val="00302AC1"/>
    <w:rsid w:val="00302C0A"/>
    <w:rsid w:val="00302C0C"/>
    <w:rsid w:val="00302C35"/>
    <w:rsid w:val="00302CF7"/>
    <w:rsid w:val="00302D06"/>
    <w:rsid w:val="00302DF9"/>
    <w:rsid w:val="00302E73"/>
    <w:rsid w:val="00302E75"/>
    <w:rsid w:val="00302EF3"/>
    <w:rsid w:val="00302F74"/>
    <w:rsid w:val="00302FB5"/>
    <w:rsid w:val="00303015"/>
    <w:rsid w:val="00303146"/>
    <w:rsid w:val="0030322C"/>
    <w:rsid w:val="00303427"/>
    <w:rsid w:val="00303454"/>
    <w:rsid w:val="00303495"/>
    <w:rsid w:val="003035A0"/>
    <w:rsid w:val="003036C7"/>
    <w:rsid w:val="00303797"/>
    <w:rsid w:val="003037AA"/>
    <w:rsid w:val="003037BC"/>
    <w:rsid w:val="003037F6"/>
    <w:rsid w:val="00303842"/>
    <w:rsid w:val="0030384D"/>
    <w:rsid w:val="00303887"/>
    <w:rsid w:val="00303999"/>
    <w:rsid w:val="00303AD8"/>
    <w:rsid w:val="00303B8E"/>
    <w:rsid w:val="00303B96"/>
    <w:rsid w:val="00303BB2"/>
    <w:rsid w:val="00303BF5"/>
    <w:rsid w:val="00303C5F"/>
    <w:rsid w:val="00303C89"/>
    <w:rsid w:val="00303CCE"/>
    <w:rsid w:val="00303CD0"/>
    <w:rsid w:val="00303E20"/>
    <w:rsid w:val="00303E50"/>
    <w:rsid w:val="00303F45"/>
    <w:rsid w:val="00303F90"/>
    <w:rsid w:val="00303FAC"/>
    <w:rsid w:val="00303FBC"/>
    <w:rsid w:val="00304030"/>
    <w:rsid w:val="0030411E"/>
    <w:rsid w:val="003041FF"/>
    <w:rsid w:val="003042EA"/>
    <w:rsid w:val="0030439D"/>
    <w:rsid w:val="00304432"/>
    <w:rsid w:val="003044B5"/>
    <w:rsid w:val="003044B9"/>
    <w:rsid w:val="003044D6"/>
    <w:rsid w:val="00304586"/>
    <w:rsid w:val="003045D0"/>
    <w:rsid w:val="0030463D"/>
    <w:rsid w:val="0030465D"/>
    <w:rsid w:val="00304689"/>
    <w:rsid w:val="003046B8"/>
    <w:rsid w:val="003046CB"/>
    <w:rsid w:val="003048E8"/>
    <w:rsid w:val="003049B7"/>
    <w:rsid w:val="003049CA"/>
    <w:rsid w:val="00304A1E"/>
    <w:rsid w:val="00304BB7"/>
    <w:rsid w:val="00304C3F"/>
    <w:rsid w:val="00304CEA"/>
    <w:rsid w:val="00304D67"/>
    <w:rsid w:val="00304DBC"/>
    <w:rsid w:val="00304EA3"/>
    <w:rsid w:val="00304EE4"/>
    <w:rsid w:val="00304F24"/>
    <w:rsid w:val="00304F96"/>
    <w:rsid w:val="00304FA5"/>
    <w:rsid w:val="00304FBB"/>
    <w:rsid w:val="00305022"/>
    <w:rsid w:val="0030506F"/>
    <w:rsid w:val="00305082"/>
    <w:rsid w:val="00305188"/>
    <w:rsid w:val="00305226"/>
    <w:rsid w:val="00305360"/>
    <w:rsid w:val="00305434"/>
    <w:rsid w:val="00305459"/>
    <w:rsid w:val="003055F6"/>
    <w:rsid w:val="003057D4"/>
    <w:rsid w:val="00305A0D"/>
    <w:rsid w:val="00305C28"/>
    <w:rsid w:val="00305C92"/>
    <w:rsid w:val="00305C9F"/>
    <w:rsid w:val="00305D3B"/>
    <w:rsid w:val="00305D67"/>
    <w:rsid w:val="00305E8F"/>
    <w:rsid w:val="00305EBD"/>
    <w:rsid w:val="00305FBC"/>
    <w:rsid w:val="0030603C"/>
    <w:rsid w:val="0030616E"/>
    <w:rsid w:val="00306281"/>
    <w:rsid w:val="0030628F"/>
    <w:rsid w:val="0030633C"/>
    <w:rsid w:val="00306361"/>
    <w:rsid w:val="00306394"/>
    <w:rsid w:val="00306396"/>
    <w:rsid w:val="003063E5"/>
    <w:rsid w:val="0030647E"/>
    <w:rsid w:val="0030655C"/>
    <w:rsid w:val="003065BA"/>
    <w:rsid w:val="0030673F"/>
    <w:rsid w:val="00306834"/>
    <w:rsid w:val="003068A7"/>
    <w:rsid w:val="003068BF"/>
    <w:rsid w:val="00306AFA"/>
    <w:rsid w:val="00306B13"/>
    <w:rsid w:val="00306B65"/>
    <w:rsid w:val="00306B6E"/>
    <w:rsid w:val="00306BEA"/>
    <w:rsid w:val="00306BEF"/>
    <w:rsid w:val="00306C12"/>
    <w:rsid w:val="00306C9F"/>
    <w:rsid w:val="00306DA1"/>
    <w:rsid w:val="00306DAD"/>
    <w:rsid w:val="00306DE3"/>
    <w:rsid w:val="00306E75"/>
    <w:rsid w:val="00306F00"/>
    <w:rsid w:val="003070E3"/>
    <w:rsid w:val="003070E6"/>
    <w:rsid w:val="003071AD"/>
    <w:rsid w:val="00307276"/>
    <w:rsid w:val="00307283"/>
    <w:rsid w:val="003072A9"/>
    <w:rsid w:val="00307329"/>
    <w:rsid w:val="0030749B"/>
    <w:rsid w:val="003074F1"/>
    <w:rsid w:val="00307530"/>
    <w:rsid w:val="0030759E"/>
    <w:rsid w:val="003075E3"/>
    <w:rsid w:val="00307619"/>
    <w:rsid w:val="003076CD"/>
    <w:rsid w:val="00307729"/>
    <w:rsid w:val="00307742"/>
    <w:rsid w:val="003077B3"/>
    <w:rsid w:val="003077BD"/>
    <w:rsid w:val="00307A8E"/>
    <w:rsid w:val="00307AD0"/>
    <w:rsid w:val="00307AFF"/>
    <w:rsid w:val="00307B9B"/>
    <w:rsid w:val="00307D90"/>
    <w:rsid w:val="00307DA7"/>
    <w:rsid w:val="00307ED9"/>
    <w:rsid w:val="00310011"/>
    <w:rsid w:val="00310099"/>
    <w:rsid w:val="00310124"/>
    <w:rsid w:val="003101B5"/>
    <w:rsid w:val="003102EE"/>
    <w:rsid w:val="0031034F"/>
    <w:rsid w:val="00310544"/>
    <w:rsid w:val="003107D5"/>
    <w:rsid w:val="003107E1"/>
    <w:rsid w:val="003108E7"/>
    <w:rsid w:val="00310993"/>
    <w:rsid w:val="00310AD0"/>
    <w:rsid w:val="00310BCF"/>
    <w:rsid w:val="00310C20"/>
    <w:rsid w:val="00310C32"/>
    <w:rsid w:val="00311026"/>
    <w:rsid w:val="00311064"/>
    <w:rsid w:val="00311141"/>
    <w:rsid w:val="0031117D"/>
    <w:rsid w:val="0031127E"/>
    <w:rsid w:val="0031135F"/>
    <w:rsid w:val="00311490"/>
    <w:rsid w:val="003114CF"/>
    <w:rsid w:val="00311500"/>
    <w:rsid w:val="00311504"/>
    <w:rsid w:val="003115F4"/>
    <w:rsid w:val="003115FF"/>
    <w:rsid w:val="003117B0"/>
    <w:rsid w:val="003117B4"/>
    <w:rsid w:val="00311845"/>
    <w:rsid w:val="00311896"/>
    <w:rsid w:val="00311A45"/>
    <w:rsid w:val="00311A66"/>
    <w:rsid w:val="00311A83"/>
    <w:rsid w:val="00311A93"/>
    <w:rsid w:val="00311B66"/>
    <w:rsid w:val="00311C83"/>
    <w:rsid w:val="00311DD9"/>
    <w:rsid w:val="00311E1E"/>
    <w:rsid w:val="00311E99"/>
    <w:rsid w:val="00311F5A"/>
    <w:rsid w:val="00312020"/>
    <w:rsid w:val="00312080"/>
    <w:rsid w:val="003120F8"/>
    <w:rsid w:val="003123CD"/>
    <w:rsid w:val="00312485"/>
    <w:rsid w:val="003124F8"/>
    <w:rsid w:val="00312632"/>
    <w:rsid w:val="003126B5"/>
    <w:rsid w:val="003127D0"/>
    <w:rsid w:val="00312803"/>
    <w:rsid w:val="0031282B"/>
    <w:rsid w:val="003129D3"/>
    <w:rsid w:val="00312A90"/>
    <w:rsid w:val="00312AD1"/>
    <w:rsid w:val="00312B0C"/>
    <w:rsid w:val="00312B96"/>
    <w:rsid w:val="00312BFF"/>
    <w:rsid w:val="00312C58"/>
    <w:rsid w:val="00312C6B"/>
    <w:rsid w:val="00312DB6"/>
    <w:rsid w:val="00312DEB"/>
    <w:rsid w:val="00312F95"/>
    <w:rsid w:val="00312FFA"/>
    <w:rsid w:val="00313095"/>
    <w:rsid w:val="003130DA"/>
    <w:rsid w:val="00313116"/>
    <w:rsid w:val="0031317C"/>
    <w:rsid w:val="003131C5"/>
    <w:rsid w:val="003132BD"/>
    <w:rsid w:val="003132C4"/>
    <w:rsid w:val="0031331D"/>
    <w:rsid w:val="003133BF"/>
    <w:rsid w:val="00313475"/>
    <w:rsid w:val="00313483"/>
    <w:rsid w:val="003135F3"/>
    <w:rsid w:val="0031369B"/>
    <w:rsid w:val="00313845"/>
    <w:rsid w:val="003138EF"/>
    <w:rsid w:val="00313953"/>
    <w:rsid w:val="0031398F"/>
    <w:rsid w:val="00313AFA"/>
    <w:rsid w:val="00313B3C"/>
    <w:rsid w:val="00313B42"/>
    <w:rsid w:val="00313E0A"/>
    <w:rsid w:val="00313F6F"/>
    <w:rsid w:val="00313F8F"/>
    <w:rsid w:val="00313FE1"/>
    <w:rsid w:val="00313FE2"/>
    <w:rsid w:val="00314005"/>
    <w:rsid w:val="0031401E"/>
    <w:rsid w:val="00314115"/>
    <w:rsid w:val="00314149"/>
    <w:rsid w:val="0031417B"/>
    <w:rsid w:val="00314189"/>
    <w:rsid w:val="00314202"/>
    <w:rsid w:val="0031433B"/>
    <w:rsid w:val="00314404"/>
    <w:rsid w:val="003144A1"/>
    <w:rsid w:val="0031460A"/>
    <w:rsid w:val="00314724"/>
    <w:rsid w:val="003147CC"/>
    <w:rsid w:val="0031487A"/>
    <w:rsid w:val="0031493B"/>
    <w:rsid w:val="003149E1"/>
    <w:rsid w:val="00314A30"/>
    <w:rsid w:val="00314AC4"/>
    <w:rsid w:val="00314C76"/>
    <w:rsid w:val="00314D26"/>
    <w:rsid w:val="00314E5F"/>
    <w:rsid w:val="00314ED4"/>
    <w:rsid w:val="00314F84"/>
    <w:rsid w:val="00314FF7"/>
    <w:rsid w:val="003151B2"/>
    <w:rsid w:val="003151E8"/>
    <w:rsid w:val="003152AB"/>
    <w:rsid w:val="0031538D"/>
    <w:rsid w:val="00315475"/>
    <w:rsid w:val="0031561D"/>
    <w:rsid w:val="0031569C"/>
    <w:rsid w:val="00315709"/>
    <w:rsid w:val="003157D1"/>
    <w:rsid w:val="0031583F"/>
    <w:rsid w:val="003158C5"/>
    <w:rsid w:val="0031591E"/>
    <w:rsid w:val="0031598C"/>
    <w:rsid w:val="00315AD1"/>
    <w:rsid w:val="00315C0C"/>
    <w:rsid w:val="00315D62"/>
    <w:rsid w:val="00315DCC"/>
    <w:rsid w:val="00315E1B"/>
    <w:rsid w:val="00315E64"/>
    <w:rsid w:val="00315EC4"/>
    <w:rsid w:val="00315F02"/>
    <w:rsid w:val="00315FE4"/>
    <w:rsid w:val="003160A8"/>
    <w:rsid w:val="003161B7"/>
    <w:rsid w:val="003161D5"/>
    <w:rsid w:val="003161F5"/>
    <w:rsid w:val="0031625F"/>
    <w:rsid w:val="003162A6"/>
    <w:rsid w:val="003162EB"/>
    <w:rsid w:val="00316566"/>
    <w:rsid w:val="003165AC"/>
    <w:rsid w:val="00316713"/>
    <w:rsid w:val="00316788"/>
    <w:rsid w:val="00316814"/>
    <w:rsid w:val="0031690B"/>
    <w:rsid w:val="003169D5"/>
    <w:rsid w:val="00316B78"/>
    <w:rsid w:val="00316BF2"/>
    <w:rsid w:val="00316CA8"/>
    <w:rsid w:val="00316CD5"/>
    <w:rsid w:val="00316CFA"/>
    <w:rsid w:val="00316D34"/>
    <w:rsid w:val="00316DC5"/>
    <w:rsid w:val="00316E20"/>
    <w:rsid w:val="00316F2D"/>
    <w:rsid w:val="00316F4B"/>
    <w:rsid w:val="00316F56"/>
    <w:rsid w:val="0031707F"/>
    <w:rsid w:val="00317174"/>
    <w:rsid w:val="00317276"/>
    <w:rsid w:val="00317380"/>
    <w:rsid w:val="003173A6"/>
    <w:rsid w:val="003173E3"/>
    <w:rsid w:val="003173F2"/>
    <w:rsid w:val="00317479"/>
    <w:rsid w:val="003175CB"/>
    <w:rsid w:val="00317614"/>
    <w:rsid w:val="00317636"/>
    <w:rsid w:val="003177AA"/>
    <w:rsid w:val="00317879"/>
    <w:rsid w:val="003179E3"/>
    <w:rsid w:val="003179F1"/>
    <w:rsid w:val="00317A07"/>
    <w:rsid w:val="00317A64"/>
    <w:rsid w:val="00317D50"/>
    <w:rsid w:val="00317D87"/>
    <w:rsid w:val="00317E29"/>
    <w:rsid w:val="00317F5F"/>
    <w:rsid w:val="00317FFC"/>
    <w:rsid w:val="00319F7F"/>
    <w:rsid w:val="0032001D"/>
    <w:rsid w:val="0032008D"/>
    <w:rsid w:val="00320374"/>
    <w:rsid w:val="003203F6"/>
    <w:rsid w:val="00320681"/>
    <w:rsid w:val="00320731"/>
    <w:rsid w:val="00320828"/>
    <w:rsid w:val="00320A17"/>
    <w:rsid w:val="00320A28"/>
    <w:rsid w:val="00320A3D"/>
    <w:rsid w:val="00320A41"/>
    <w:rsid w:val="00320AEF"/>
    <w:rsid w:val="00320B98"/>
    <w:rsid w:val="00320BD1"/>
    <w:rsid w:val="00320C99"/>
    <w:rsid w:val="00320D86"/>
    <w:rsid w:val="00320DEB"/>
    <w:rsid w:val="00320E9E"/>
    <w:rsid w:val="00320F7B"/>
    <w:rsid w:val="0032102F"/>
    <w:rsid w:val="0032103E"/>
    <w:rsid w:val="00321085"/>
    <w:rsid w:val="00321106"/>
    <w:rsid w:val="003211E4"/>
    <w:rsid w:val="003212CF"/>
    <w:rsid w:val="00321314"/>
    <w:rsid w:val="00321402"/>
    <w:rsid w:val="00321467"/>
    <w:rsid w:val="003215B3"/>
    <w:rsid w:val="003216B7"/>
    <w:rsid w:val="00321781"/>
    <w:rsid w:val="00321802"/>
    <w:rsid w:val="0032193F"/>
    <w:rsid w:val="00321A1E"/>
    <w:rsid w:val="00321ABB"/>
    <w:rsid w:val="00321B09"/>
    <w:rsid w:val="00321B4C"/>
    <w:rsid w:val="00321C5D"/>
    <w:rsid w:val="00321D51"/>
    <w:rsid w:val="00321E1E"/>
    <w:rsid w:val="00321F82"/>
    <w:rsid w:val="00322059"/>
    <w:rsid w:val="003220AA"/>
    <w:rsid w:val="003220DF"/>
    <w:rsid w:val="00322112"/>
    <w:rsid w:val="003221A8"/>
    <w:rsid w:val="0032222C"/>
    <w:rsid w:val="0032227F"/>
    <w:rsid w:val="003222AE"/>
    <w:rsid w:val="003222C7"/>
    <w:rsid w:val="003222E4"/>
    <w:rsid w:val="003224CE"/>
    <w:rsid w:val="0032257D"/>
    <w:rsid w:val="003225E7"/>
    <w:rsid w:val="003226FA"/>
    <w:rsid w:val="0032270F"/>
    <w:rsid w:val="0032273D"/>
    <w:rsid w:val="00322824"/>
    <w:rsid w:val="00322875"/>
    <w:rsid w:val="003228D1"/>
    <w:rsid w:val="003228F3"/>
    <w:rsid w:val="00322911"/>
    <w:rsid w:val="00322B37"/>
    <w:rsid w:val="00322B87"/>
    <w:rsid w:val="00322DA0"/>
    <w:rsid w:val="00322DE5"/>
    <w:rsid w:val="00322DF3"/>
    <w:rsid w:val="00322E0B"/>
    <w:rsid w:val="00322E1F"/>
    <w:rsid w:val="00322EB6"/>
    <w:rsid w:val="00322F41"/>
    <w:rsid w:val="00322F4B"/>
    <w:rsid w:val="00322FF2"/>
    <w:rsid w:val="00323106"/>
    <w:rsid w:val="0032312F"/>
    <w:rsid w:val="00323226"/>
    <w:rsid w:val="003233F0"/>
    <w:rsid w:val="003233FE"/>
    <w:rsid w:val="00323533"/>
    <w:rsid w:val="00323538"/>
    <w:rsid w:val="00323593"/>
    <w:rsid w:val="00323650"/>
    <w:rsid w:val="0032373B"/>
    <w:rsid w:val="003238A4"/>
    <w:rsid w:val="00323A51"/>
    <w:rsid w:val="00323C31"/>
    <w:rsid w:val="00323C95"/>
    <w:rsid w:val="00323CC7"/>
    <w:rsid w:val="00323CE8"/>
    <w:rsid w:val="00323D5D"/>
    <w:rsid w:val="00323D91"/>
    <w:rsid w:val="00323FBD"/>
    <w:rsid w:val="00323FF8"/>
    <w:rsid w:val="00324170"/>
    <w:rsid w:val="003241EB"/>
    <w:rsid w:val="0032420C"/>
    <w:rsid w:val="0032437A"/>
    <w:rsid w:val="003243B2"/>
    <w:rsid w:val="003243D0"/>
    <w:rsid w:val="00324403"/>
    <w:rsid w:val="0032444C"/>
    <w:rsid w:val="00324459"/>
    <w:rsid w:val="00324568"/>
    <w:rsid w:val="003247C6"/>
    <w:rsid w:val="0032483B"/>
    <w:rsid w:val="003249C9"/>
    <w:rsid w:val="003249F7"/>
    <w:rsid w:val="00324A6A"/>
    <w:rsid w:val="00324BA8"/>
    <w:rsid w:val="00324CBE"/>
    <w:rsid w:val="00324E00"/>
    <w:rsid w:val="00324E3E"/>
    <w:rsid w:val="00324E9E"/>
    <w:rsid w:val="003250AB"/>
    <w:rsid w:val="003251FA"/>
    <w:rsid w:val="00325245"/>
    <w:rsid w:val="00325292"/>
    <w:rsid w:val="00325547"/>
    <w:rsid w:val="00325591"/>
    <w:rsid w:val="00325618"/>
    <w:rsid w:val="0032567A"/>
    <w:rsid w:val="003256D7"/>
    <w:rsid w:val="00325739"/>
    <w:rsid w:val="0032574A"/>
    <w:rsid w:val="00325767"/>
    <w:rsid w:val="0032576A"/>
    <w:rsid w:val="0032582E"/>
    <w:rsid w:val="0032583A"/>
    <w:rsid w:val="00325885"/>
    <w:rsid w:val="00325889"/>
    <w:rsid w:val="00325A0E"/>
    <w:rsid w:val="00325A2B"/>
    <w:rsid w:val="00325A6F"/>
    <w:rsid w:val="00325B26"/>
    <w:rsid w:val="00325B8C"/>
    <w:rsid w:val="00325C84"/>
    <w:rsid w:val="00325C93"/>
    <w:rsid w:val="00325D37"/>
    <w:rsid w:val="00325DEF"/>
    <w:rsid w:val="00325EA8"/>
    <w:rsid w:val="00325EB6"/>
    <w:rsid w:val="00325F43"/>
    <w:rsid w:val="003260B5"/>
    <w:rsid w:val="003261E6"/>
    <w:rsid w:val="00326213"/>
    <w:rsid w:val="00326390"/>
    <w:rsid w:val="00326560"/>
    <w:rsid w:val="00326573"/>
    <w:rsid w:val="00326590"/>
    <w:rsid w:val="0032686C"/>
    <w:rsid w:val="00326918"/>
    <w:rsid w:val="003269D3"/>
    <w:rsid w:val="003269E9"/>
    <w:rsid w:val="00326AA9"/>
    <w:rsid w:val="00326B63"/>
    <w:rsid w:val="00326C3F"/>
    <w:rsid w:val="00326C40"/>
    <w:rsid w:val="00326CF6"/>
    <w:rsid w:val="00326D64"/>
    <w:rsid w:val="00326E12"/>
    <w:rsid w:val="00326E8F"/>
    <w:rsid w:val="00326FCF"/>
    <w:rsid w:val="0032704A"/>
    <w:rsid w:val="0032713C"/>
    <w:rsid w:val="00327243"/>
    <w:rsid w:val="00327289"/>
    <w:rsid w:val="0032733F"/>
    <w:rsid w:val="00327399"/>
    <w:rsid w:val="0032741A"/>
    <w:rsid w:val="00327465"/>
    <w:rsid w:val="003274B9"/>
    <w:rsid w:val="003274F6"/>
    <w:rsid w:val="003276E7"/>
    <w:rsid w:val="00327711"/>
    <w:rsid w:val="00327766"/>
    <w:rsid w:val="003277FF"/>
    <w:rsid w:val="0032780A"/>
    <w:rsid w:val="00327844"/>
    <w:rsid w:val="0032786B"/>
    <w:rsid w:val="00327884"/>
    <w:rsid w:val="00327A9F"/>
    <w:rsid w:val="00327C08"/>
    <w:rsid w:val="00327C42"/>
    <w:rsid w:val="00327C58"/>
    <w:rsid w:val="00327DBA"/>
    <w:rsid w:val="00330029"/>
    <w:rsid w:val="0033002F"/>
    <w:rsid w:val="00330160"/>
    <w:rsid w:val="003302E9"/>
    <w:rsid w:val="003302ED"/>
    <w:rsid w:val="003303B0"/>
    <w:rsid w:val="003303B6"/>
    <w:rsid w:val="003303B7"/>
    <w:rsid w:val="00330444"/>
    <w:rsid w:val="003305DD"/>
    <w:rsid w:val="0033067C"/>
    <w:rsid w:val="0033069F"/>
    <w:rsid w:val="0033072D"/>
    <w:rsid w:val="003307B9"/>
    <w:rsid w:val="003307FE"/>
    <w:rsid w:val="003308E5"/>
    <w:rsid w:val="00330A2D"/>
    <w:rsid w:val="00330BDB"/>
    <w:rsid w:val="00330D1D"/>
    <w:rsid w:val="00330D51"/>
    <w:rsid w:val="00330E46"/>
    <w:rsid w:val="00330E82"/>
    <w:rsid w:val="00330F20"/>
    <w:rsid w:val="00330F96"/>
    <w:rsid w:val="00330FDA"/>
    <w:rsid w:val="0033106E"/>
    <w:rsid w:val="0033112A"/>
    <w:rsid w:val="0033115F"/>
    <w:rsid w:val="0033124E"/>
    <w:rsid w:val="003312A5"/>
    <w:rsid w:val="003313AD"/>
    <w:rsid w:val="003314AE"/>
    <w:rsid w:val="0033150D"/>
    <w:rsid w:val="00331517"/>
    <w:rsid w:val="00331542"/>
    <w:rsid w:val="00331611"/>
    <w:rsid w:val="0033164D"/>
    <w:rsid w:val="003317D6"/>
    <w:rsid w:val="0033185F"/>
    <w:rsid w:val="003318F8"/>
    <w:rsid w:val="0033196C"/>
    <w:rsid w:val="003319F2"/>
    <w:rsid w:val="00331A86"/>
    <w:rsid w:val="00331C1A"/>
    <w:rsid w:val="00331D61"/>
    <w:rsid w:val="00331F29"/>
    <w:rsid w:val="00331FF1"/>
    <w:rsid w:val="00331FF2"/>
    <w:rsid w:val="00332016"/>
    <w:rsid w:val="00332095"/>
    <w:rsid w:val="00332208"/>
    <w:rsid w:val="003322BC"/>
    <w:rsid w:val="003323AD"/>
    <w:rsid w:val="0033243F"/>
    <w:rsid w:val="0033245F"/>
    <w:rsid w:val="0033247F"/>
    <w:rsid w:val="00332499"/>
    <w:rsid w:val="00332783"/>
    <w:rsid w:val="0033288B"/>
    <w:rsid w:val="003328A9"/>
    <w:rsid w:val="003329D6"/>
    <w:rsid w:val="003329FA"/>
    <w:rsid w:val="00332B1B"/>
    <w:rsid w:val="00332B1E"/>
    <w:rsid w:val="00332B9B"/>
    <w:rsid w:val="00332BA3"/>
    <w:rsid w:val="00332CB4"/>
    <w:rsid w:val="00332CCA"/>
    <w:rsid w:val="00332D27"/>
    <w:rsid w:val="00332E4C"/>
    <w:rsid w:val="00332EF5"/>
    <w:rsid w:val="00332F16"/>
    <w:rsid w:val="003331B7"/>
    <w:rsid w:val="00333224"/>
    <w:rsid w:val="003332C9"/>
    <w:rsid w:val="003332FD"/>
    <w:rsid w:val="003333BB"/>
    <w:rsid w:val="003333C9"/>
    <w:rsid w:val="00333461"/>
    <w:rsid w:val="00333464"/>
    <w:rsid w:val="0033349C"/>
    <w:rsid w:val="00333527"/>
    <w:rsid w:val="00333595"/>
    <w:rsid w:val="003336C7"/>
    <w:rsid w:val="0033380D"/>
    <w:rsid w:val="003339AB"/>
    <w:rsid w:val="003339E7"/>
    <w:rsid w:val="00333A7E"/>
    <w:rsid w:val="00333C4F"/>
    <w:rsid w:val="00333CB1"/>
    <w:rsid w:val="00333D21"/>
    <w:rsid w:val="00333D3E"/>
    <w:rsid w:val="00333E12"/>
    <w:rsid w:val="00334111"/>
    <w:rsid w:val="0033416A"/>
    <w:rsid w:val="00334195"/>
    <w:rsid w:val="00334241"/>
    <w:rsid w:val="0033425F"/>
    <w:rsid w:val="003342B3"/>
    <w:rsid w:val="0033432C"/>
    <w:rsid w:val="0033438D"/>
    <w:rsid w:val="0033439C"/>
    <w:rsid w:val="003343C7"/>
    <w:rsid w:val="003344EE"/>
    <w:rsid w:val="003345B3"/>
    <w:rsid w:val="003346BE"/>
    <w:rsid w:val="003346E8"/>
    <w:rsid w:val="00334875"/>
    <w:rsid w:val="0033499C"/>
    <w:rsid w:val="00334A50"/>
    <w:rsid w:val="00334BC7"/>
    <w:rsid w:val="00334C22"/>
    <w:rsid w:val="00334D4C"/>
    <w:rsid w:val="00334DF5"/>
    <w:rsid w:val="00334E39"/>
    <w:rsid w:val="00334F9E"/>
    <w:rsid w:val="00334FA3"/>
    <w:rsid w:val="003351CA"/>
    <w:rsid w:val="00335276"/>
    <w:rsid w:val="003352D1"/>
    <w:rsid w:val="0033534D"/>
    <w:rsid w:val="00335383"/>
    <w:rsid w:val="00335426"/>
    <w:rsid w:val="00335448"/>
    <w:rsid w:val="00335597"/>
    <w:rsid w:val="003355ED"/>
    <w:rsid w:val="0033595E"/>
    <w:rsid w:val="00335A00"/>
    <w:rsid w:val="00335A21"/>
    <w:rsid w:val="00335A23"/>
    <w:rsid w:val="00335A5C"/>
    <w:rsid w:val="00335B4B"/>
    <w:rsid w:val="00335BDA"/>
    <w:rsid w:val="00335D37"/>
    <w:rsid w:val="00335D92"/>
    <w:rsid w:val="00335DBA"/>
    <w:rsid w:val="00335E1D"/>
    <w:rsid w:val="00335E71"/>
    <w:rsid w:val="00335F11"/>
    <w:rsid w:val="00335FEB"/>
    <w:rsid w:val="00336109"/>
    <w:rsid w:val="0033612D"/>
    <w:rsid w:val="0033619A"/>
    <w:rsid w:val="00336388"/>
    <w:rsid w:val="003363B9"/>
    <w:rsid w:val="003363FE"/>
    <w:rsid w:val="0033660F"/>
    <w:rsid w:val="00336759"/>
    <w:rsid w:val="003367B3"/>
    <w:rsid w:val="003367E9"/>
    <w:rsid w:val="00336918"/>
    <w:rsid w:val="00336A04"/>
    <w:rsid w:val="00336A5B"/>
    <w:rsid w:val="00336B00"/>
    <w:rsid w:val="00336CA8"/>
    <w:rsid w:val="00336D20"/>
    <w:rsid w:val="00336E07"/>
    <w:rsid w:val="00336E12"/>
    <w:rsid w:val="00336F15"/>
    <w:rsid w:val="00336F8B"/>
    <w:rsid w:val="0033709A"/>
    <w:rsid w:val="0033709C"/>
    <w:rsid w:val="0033714C"/>
    <w:rsid w:val="00337178"/>
    <w:rsid w:val="0033717B"/>
    <w:rsid w:val="0033723F"/>
    <w:rsid w:val="00337241"/>
    <w:rsid w:val="00337269"/>
    <w:rsid w:val="0033732B"/>
    <w:rsid w:val="0033734E"/>
    <w:rsid w:val="0033739B"/>
    <w:rsid w:val="003373EF"/>
    <w:rsid w:val="00337406"/>
    <w:rsid w:val="003376B6"/>
    <w:rsid w:val="00337714"/>
    <w:rsid w:val="003379B6"/>
    <w:rsid w:val="003379D5"/>
    <w:rsid w:val="003379D9"/>
    <w:rsid w:val="00337A33"/>
    <w:rsid w:val="00337A4B"/>
    <w:rsid w:val="00337A88"/>
    <w:rsid w:val="00337B18"/>
    <w:rsid w:val="00337BF8"/>
    <w:rsid w:val="00337C8D"/>
    <w:rsid w:val="00337DC6"/>
    <w:rsid w:val="00337DF8"/>
    <w:rsid w:val="00337E42"/>
    <w:rsid w:val="00337E58"/>
    <w:rsid w:val="00337E6A"/>
    <w:rsid w:val="00340046"/>
    <w:rsid w:val="003400C8"/>
    <w:rsid w:val="0034012A"/>
    <w:rsid w:val="003401D3"/>
    <w:rsid w:val="003401ED"/>
    <w:rsid w:val="0034022E"/>
    <w:rsid w:val="0034029D"/>
    <w:rsid w:val="00340495"/>
    <w:rsid w:val="003404D8"/>
    <w:rsid w:val="00340506"/>
    <w:rsid w:val="0034051C"/>
    <w:rsid w:val="00340581"/>
    <w:rsid w:val="003405A1"/>
    <w:rsid w:val="003405F5"/>
    <w:rsid w:val="0034065E"/>
    <w:rsid w:val="00340665"/>
    <w:rsid w:val="003406C6"/>
    <w:rsid w:val="00340734"/>
    <w:rsid w:val="00340737"/>
    <w:rsid w:val="0034080B"/>
    <w:rsid w:val="003408BC"/>
    <w:rsid w:val="0034092C"/>
    <w:rsid w:val="003409BE"/>
    <w:rsid w:val="003409E5"/>
    <w:rsid w:val="00340A31"/>
    <w:rsid w:val="00340A4B"/>
    <w:rsid w:val="00340B7D"/>
    <w:rsid w:val="00340BFF"/>
    <w:rsid w:val="00340CFD"/>
    <w:rsid w:val="00340D01"/>
    <w:rsid w:val="00340D15"/>
    <w:rsid w:val="00340DB5"/>
    <w:rsid w:val="00340DDA"/>
    <w:rsid w:val="00340E0C"/>
    <w:rsid w:val="00340E79"/>
    <w:rsid w:val="00340EB8"/>
    <w:rsid w:val="00340F0E"/>
    <w:rsid w:val="00340F92"/>
    <w:rsid w:val="00340FE5"/>
    <w:rsid w:val="00340FFD"/>
    <w:rsid w:val="00341113"/>
    <w:rsid w:val="003411CB"/>
    <w:rsid w:val="00341277"/>
    <w:rsid w:val="00341335"/>
    <w:rsid w:val="0034135E"/>
    <w:rsid w:val="003413C0"/>
    <w:rsid w:val="00341460"/>
    <w:rsid w:val="0034158A"/>
    <w:rsid w:val="0034160A"/>
    <w:rsid w:val="00341621"/>
    <w:rsid w:val="00341794"/>
    <w:rsid w:val="003418DD"/>
    <w:rsid w:val="0034190D"/>
    <w:rsid w:val="00341962"/>
    <w:rsid w:val="00341965"/>
    <w:rsid w:val="00341A7C"/>
    <w:rsid w:val="00341A9D"/>
    <w:rsid w:val="00341B06"/>
    <w:rsid w:val="00341B39"/>
    <w:rsid w:val="00341B82"/>
    <w:rsid w:val="00341BB2"/>
    <w:rsid w:val="00341BF1"/>
    <w:rsid w:val="00341D17"/>
    <w:rsid w:val="00341D9D"/>
    <w:rsid w:val="00341DF9"/>
    <w:rsid w:val="00341E51"/>
    <w:rsid w:val="00341F2B"/>
    <w:rsid w:val="00341FA9"/>
    <w:rsid w:val="00342031"/>
    <w:rsid w:val="00342102"/>
    <w:rsid w:val="0034219A"/>
    <w:rsid w:val="003421F9"/>
    <w:rsid w:val="00342210"/>
    <w:rsid w:val="00342272"/>
    <w:rsid w:val="00342296"/>
    <w:rsid w:val="003422DF"/>
    <w:rsid w:val="00342314"/>
    <w:rsid w:val="00342326"/>
    <w:rsid w:val="003423A0"/>
    <w:rsid w:val="00342475"/>
    <w:rsid w:val="003424BB"/>
    <w:rsid w:val="003425B5"/>
    <w:rsid w:val="003425B9"/>
    <w:rsid w:val="00342647"/>
    <w:rsid w:val="0034267A"/>
    <w:rsid w:val="003426CE"/>
    <w:rsid w:val="0034278C"/>
    <w:rsid w:val="003427B1"/>
    <w:rsid w:val="00342839"/>
    <w:rsid w:val="00342889"/>
    <w:rsid w:val="003429AA"/>
    <w:rsid w:val="00342AD0"/>
    <w:rsid w:val="00342B11"/>
    <w:rsid w:val="00342B49"/>
    <w:rsid w:val="00342D49"/>
    <w:rsid w:val="00342D99"/>
    <w:rsid w:val="00342E34"/>
    <w:rsid w:val="00342E4F"/>
    <w:rsid w:val="00342E90"/>
    <w:rsid w:val="00342EED"/>
    <w:rsid w:val="003430E7"/>
    <w:rsid w:val="00343178"/>
    <w:rsid w:val="00343193"/>
    <w:rsid w:val="00343266"/>
    <w:rsid w:val="0034326A"/>
    <w:rsid w:val="0034329C"/>
    <w:rsid w:val="0034332D"/>
    <w:rsid w:val="003434A1"/>
    <w:rsid w:val="003434ED"/>
    <w:rsid w:val="003434F6"/>
    <w:rsid w:val="003435EF"/>
    <w:rsid w:val="003436DB"/>
    <w:rsid w:val="003436FD"/>
    <w:rsid w:val="00343925"/>
    <w:rsid w:val="00343971"/>
    <w:rsid w:val="003439D0"/>
    <w:rsid w:val="00343A06"/>
    <w:rsid w:val="00343B51"/>
    <w:rsid w:val="00343B89"/>
    <w:rsid w:val="00343C05"/>
    <w:rsid w:val="00343E0E"/>
    <w:rsid w:val="00343E57"/>
    <w:rsid w:val="00343E9F"/>
    <w:rsid w:val="0034414A"/>
    <w:rsid w:val="003441B8"/>
    <w:rsid w:val="0034426A"/>
    <w:rsid w:val="003442E3"/>
    <w:rsid w:val="0034437C"/>
    <w:rsid w:val="003443D2"/>
    <w:rsid w:val="0034447D"/>
    <w:rsid w:val="0034455A"/>
    <w:rsid w:val="00344653"/>
    <w:rsid w:val="00344680"/>
    <w:rsid w:val="003446F7"/>
    <w:rsid w:val="0034477D"/>
    <w:rsid w:val="003447AA"/>
    <w:rsid w:val="003447FE"/>
    <w:rsid w:val="003448BC"/>
    <w:rsid w:val="00344935"/>
    <w:rsid w:val="00344A05"/>
    <w:rsid w:val="00344AA0"/>
    <w:rsid w:val="00344ADB"/>
    <w:rsid w:val="00344AE9"/>
    <w:rsid w:val="00344BED"/>
    <w:rsid w:val="00344C2C"/>
    <w:rsid w:val="00344D8B"/>
    <w:rsid w:val="00344DCA"/>
    <w:rsid w:val="00344DED"/>
    <w:rsid w:val="00344DFB"/>
    <w:rsid w:val="00344E8C"/>
    <w:rsid w:val="00344EC8"/>
    <w:rsid w:val="00344F10"/>
    <w:rsid w:val="0034503C"/>
    <w:rsid w:val="00345060"/>
    <w:rsid w:val="0034509B"/>
    <w:rsid w:val="003450AC"/>
    <w:rsid w:val="00345232"/>
    <w:rsid w:val="003452A7"/>
    <w:rsid w:val="00345341"/>
    <w:rsid w:val="003453A5"/>
    <w:rsid w:val="00345445"/>
    <w:rsid w:val="00345521"/>
    <w:rsid w:val="00345591"/>
    <w:rsid w:val="003455DF"/>
    <w:rsid w:val="00345624"/>
    <w:rsid w:val="0034566A"/>
    <w:rsid w:val="00345730"/>
    <w:rsid w:val="00345733"/>
    <w:rsid w:val="003457DB"/>
    <w:rsid w:val="00345808"/>
    <w:rsid w:val="0034595A"/>
    <w:rsid w:val="00345A7E"/>
    <w:rsid w:val="00345AAE"/>
    <w:rsid w:val="00345C3C"/>
    <w:rsid w:val="00345C72"/>
    <w:rsid w:val="00345CCE"/>
    <w:rsid w:val="00345CD5"/>
    <w:rsid w:val="00345D2C"/>
    <w:rsid w:val="00345E42"/>
    <w:rsid w:val="00345E56"/>
    <w:rsid w:val="00346096"/>
    <w:rsid w:val="003461B7"/>
    <w:rsid w:val="003461E1"/>
    <w:rsid w:val="00346259"/>
    <w:rsid w:val="00346295"/>
    <w:rsid w:val="003463DF"/>
    <w:rsid w:val="00346422"/>
    <w:rsid w:val="00346434"/>
    <w:rsid w:val="003464D1"/>
    <w:rsid w:val="003464E6"/>
    <w:rsid w:val="003466B7"/>
    <w:rsid w:val="00346786"/>
    <w:rsid w:val="00346830"/>
    <w:rsid w:val="00346B7B"/>
    <w:rsid w:val="00346C56"/>
    <w:rsid w:val="00346C71"/>
    <w:rsid w:val="00346CC9"/>
    <w:rsid w:val="00346CFA"/>
    <w:rsid w:val="00346D68"/>
    <w:rsid w:val="00346DAC"/>
    <w:rsid w:val="00346DE8"/>
    <w:rsid w:val="00346EE3"/>
    <w:rsid w:val="00346F5B"/>
    <w:rsid w:val="0034710D"/>
    <w:rsid w:val="00347129"/>
    <w:rsid w:val="003472A6"/>
    <w:rsid w:val="00347317"/>
    <w:rsid w:val="003473A6"/>
    <w:rsid w:val="003473BF"/>
    <w:rsid w:val="00347424"/>
    <w:rsid w:val="00347437"/>
    <w:rsid w:val="00347456"/>
    <w:rsid w:val="0034745E"/>
    <w:rsid w:val="003475C7"/>
    <w:rsid w:val="00347666"/>
    <w:rsid w:val="003476DD"/>
    <w:rsid w:val="00347773"/>
    <w:rsid w:val="003478B9"/>
    <w:rsid w:val="003478BE"/>
    <w:rsid w:val="0034792B"/>
    <w:rsid w:val="003479A2"/>
    <w:rsid w:val="00347A51"/>
    <w:rsid w:val="00347A5E"/>
    <w:rsid w:val="00347A69"/>
    <w:rsid w:val="00347B8E"/>
    <w:rsid w:val="00347BC1"/>
    <w:rsid w:val="00347BEB"/>
    <w:rsid w:val="00347C96"/>
    <w:rsid w:val="00347DB7"/>
    <w:rsid w:val="00347E10"/>
    <w:rsid w:val="00347E4F"/>
    <w:rsid w:val="00347E64"/>
    <w:rsid w:val="00347ED4"/>
    <w:rsid w:val="00347FC9"/>
    <w:rsid w:val="00350003"/>
    <w:rsid w:val="0035001E"/>
    <w:rsid w:val="0035001F"/>
    <w:rsid w:val="003500E1"/>
    <w:rsid w:val="00350113"/>
    <w:rsid w:val="0035017B"/>
    <w:rsid w:val="003501B2"/>
    <w:rsid w:val="003501E9"/>
    <w:rsid w:val="00350241"/>
    <w:rsid w:val="003502FF"/>
    <w:rsid w:val="00350307"/>
    <w:rsid w:val="00350478"/>
    <w:rsid w:val="003504C3"/>
    <w:rsid w:val="00350517"/>
    <w:rsid w:val="003506DF"/>
    <w:rsid w:val="0035075F"/>
    <w:rsid w:val="00350837"/>
    <w:rsid w:val="003508E4"/>
    <w:rsid w:val="0035099A"/>
    <w:rsid w:val="00350A0A"/>
    <w:rsid w:val="00350B47"/>
    <w:rsid w:val="00350C37"/>
    <w:rsid w:val="00350C72"/>
    <w:rsid w:val="00350D25"/>
    <w:rsid w:val="00350DFD"/>
    <w:rsid w:val="00350FE7"/>
    <w:rsid w:val="00351005"/>
    <w:rsid w:val="00351030"/>
    <w:rsid w:val="003511E0"/>
    <w:rsid w:val="003512CD"/>
    <w:rsid w:val="003513E5"/>
    <w:rsid w:val="00351494"/>
    <w:rsid w:val="003514B4"/>
    <w:rsid w:val="00351552"/>
    <w:rsid w:val="0035157F"/>
    <w:rsid w:val="00351617"/>
    <w:rsid w:val="00351666"/>
    <w:rsid w:val="0035168A"/>
    <w:rsid w:val="003516A1"/>
    <w:rsid w:val="00351839"/>
    <w:rsid w:val="00351860"/>
    <w:rsid w:val="003518AA"/>
    <w:rsid w:val="003518FA"/>
    <w:rsid w:val="0035195F"/>
    <w:rsid w:val="00351A01"/>
    <w:rsid w:val="00351A54"/>
    <w:rsid w:val="00351AC1"/>
    <w:rsid w:val="00351B97"/>
    <w:rsid w:val="00351BFA"/>
    <w:rsid w:val="00351C2B"/>
    <w:rsid w:val="00351CC9"/>
    <w:rsid w:val="00351D34"/>
    <w:rsid w:val="00351DC7"/>
    <w:rsid w:val="00351E24"/>
    <w:rsid w:val="00351E2D"/>
    <w:rsid w:val="00351E40"/>
    <w:rsid w:val="00351E78"/>
    <w:rsid w:val="00351F39"/>
    <w:rsid w:val="00351F60"/>
    <w:rsid w:val="00351FBA"/>
    <w:rsid w:val="0035201B"/>
    <w:rsid w:val="0035207D"/>
    <w:rsid w:val="003520B5"/>
    <w:rsid w:val="0035211A"/>
    <w:rsid w:val="0035232B"/>
    <w:rsid w:val="003523D8"/>
    <w:rsid w:val="00352402"/>
    <w:rsid w:val="0035242E"/>
    <w:rsid w:val="003524DE"/>
    <w:rsid w:val="003524F8"/>
    <w:rsid w:val="00352616"/>
    <w:rsid w:val="0035263F"/>
    <w:rsid w:val="0035269F"/>
    <w:rsid w:val="003526B7"/>
    <w:rsid w:val="0035271E"/>
    <w:rsid w:val="003527A7"/>
    <w:rsid w:val="00352835"/>
    <w:rsid w:val="003528ED"/>
    <w:rsid w:val="00352931"/>
    <w:rsid w:val="00352943"/>
    <w:rsid w:val="00352B3B"/>
    <w:rsid w:val="00352C5F"/>
    <w:rsid w:val="00352CEB"/>
    <w:rsid w:val="00352D13"/>
    <w:rsid w:val="00352D4A"/>
    <w:rsid w:val="00352D63"/>
    <w:rsid w:val="00352E65"/>
    <w:rsid w:val="00352E8A"/>
    <w:rsid w:val="00352EA2"/>
    <w:rsid w:val="00352ECE"/>
    <w:rsid w:val="00352EF1"/>
    <w:rsid w:val="00352FE1"/>
    <w:rsid w:val="003530B7"/>
    <w:rsid w:val="00353365"/>
    <w:rsid w:val="0035342D"/>
    <w:rsid w:val="00353524"/>
    <w:rsid w:val="0035358D"/>
    <w:rsid w:val="003535C4"/>
    <w:rsid w:val="003537F4"/>
    <w:rsid w:val="0035383D"/>
    <w:rsid w:val="003538EC"/>
    <w:rsid w:val="0035394C"/>
    <w:rsid w:val="00353A07"/>
    <w:rsid w:val="00353A3E"/>
    <w:rsid w:val="00353A87"/>
    <w:rsid w:val="00353A9A"/>
    <w:rsid w:val="00353AF0"/>
    <w:rsid w:val="00353AFD"/>
    <w:rsid w:val="00353B01"/>
    <w:rsid w:val="00353B0E"/>
    <w:rsid w:val="00353C21"/>
    <w:rsid w:val="00353DD1"/>
    <w:rsid w:val="00353E0F"/>
    <w:rsid w:val="00353F64"/>
    <w:rsid w:val="00354031"/>
    <w:rsid w:val="003540FF"/>
    <w:rsid w:val="00354173"/>
    <w:rsid w:val="00354185"/>
    <w:rsid w:val="003541FF"/>
    <w:rsid w:val="00354251"/>
    <w:rsid w:val="003542BA"/>
    <w:rsid w:val="003543E9"/>
    <w:rsid w:val="00354415"/>
    <w:rsid w:val="003544AC"/>
    <w:rsid w:val="00354518"/>
    <w:rsid w:val="00354574"/>
    <w:rsid w:val="003546C4"/>
    <w:rsid w:val="00354863"/>
    <w:rsid w:val="00354911"/>
    <w:rsid w:val="003549A6"/>
    <w:rsid w:val="003549C4"/>
    <w:rsid w:val="00354A25"/>
    <w:rsid w:val="00354B1C"/>
    <w:rsid w:val="00354B95"/>
    <w:rsid w:val="00354C3F"/>
    <w:rsid w:val="00354EE7"/>
    <w:rsid w:val="00354F0A"/>
    <w:rsid w:val="00354F5F"/>
    <w:rsid w:val="00354FC4"/>
    <w:rsid w:val="00354FF8"/>
    <w:rsid w:val="0035526B"/>
    <w:rsid w:val="003552EA"/>
    <w:rsid w:val="00355308"/>
    <w:rsid w:val="003553EA"/>
    <w:rsid w:val="00355485"/>
    <w:rsid w:val="00355498"/>
    <w:rsid w:val="0035549E"/>
    <w:rsid w:val="003554C0"/>
    <w:rsid w:val="003554D6"/>
    <w:rsid w:val="0035557E"/>
    <w:rsid w:val="00355616"/>
    <w:rsid w:val="00355739"/>
    <w:rsid w:val="0035575B"/>
    <w:rsid w:val="003557B6"/>
    <w:rsid w:val="003557D4"/>
    <w:rsid w:val="003557FC"/>
    <w:rsid w:val="003558BF"/>
    <w:rsid w:val="003559A1"/>
    <w:rsid w:val="003559F4"/>
    <w:rsid w:val="00355A06"/>
    <w:rsid w:val="00355A82"/>
    <w:rsid w:val="00355A8B"/>
    <w:rsid w:val="00355AD2"/>
    <w:rsid w:val="00355B3D"/>
    <w:rsid w:val="00355BDE"/>
    <w:rsid w:val="00355C0C"/>
    <w:rsid w:val="00355D32"/>
    <w:rsid w:val="00355DF5"/>
    <w:rsid w:val="00355E0B"/>
    <w:rsid w:val="00355F00"/>
    <w:rsid w:val="00355F93"/>
    <w:rsid w:val="00355F94"/>
    <w:rsid w:val="00355FD0"/>
    <w:rsid w:val="0035604E"/>
    <w:rsid w:val="003560FC"/>
    <w:rsid w:val="00356246"/>
    <w:rsid w:val="00356249"/>
    <w:rsid w:val="0035626F"/>
    <w:rsid w:val="003562B3"/>
    <w:rsid w:val="00356370"/>
    <w:rsid w:val="003563BD"/>
    <w:rsid w:val="003563D9"/>
    <w:rsid w:val="00356408"/>
    <w:rsid w:val="0035660F"/>
    <w:rsid w:val="003566B3"/>
    <w:rsid w:val="00356847"/>
    <w:rsid w:val="0035689A"/>
    <w:rsid w:val="003568D1"/>
    <w:rsid w:val="003568F3"/>
    <w:rsid w:val="00356934"/>
    <w:rsid w:val="0035698F"/>
    <w:rsid w:val="003569B6"/>
    <w:rsid w:val="003569E0"/>
    <w:rsid w:val="00356A81"/>
    <w:rsid w:val="00356AD1"/>
    <w:rsid w:val="00356C53"/>
    <w:rsid w:val="00356DC3"/>
    <w:rsid w:val="00356E13"/>
    <w:rsid w:val="00356E37"/>
    <w:rsid w:val="00356EF9"/>
    <w:rsid w:val="00356F8C"/>
    <w:rsid w:val="00357005"/>
    <w:rsid w:val="00357080"/>
    <w:rsid w:val="0035709A"/>
    <w:rsid w:val="003570EB"/>
    <w:rsid w:val="00357150"/>
    <w:rsid w:val="003571E9"/>
    <w:rsid w:val="00357249"/>
    <w:rsid w:val="0035726A"/>
    <w:rsid w:val="0035729A"/>
    <w:rsid w:val="003572E7"/>
    <w:rsid w:val="00357463"/>
    <w:rsid w:val="003574A1"/>
    <w:rsid w:val="0035753E"/>
    <w:rsid w:val="00357553"/>
    <w:rsid w:val="003575E7"/>
    <w:rsid w:val="00357811"/>
    <w:rsid w:val="0035781C"/>
    <w:rsid w:val="00357833"/>
    <w:rsid w:val="00357A37"/>
    <w:rsid w:val="00357CAB"/>
    <w:rsid w:val="00357CFB"/>
    <w:rsid w:val="00357D09"/>
    <w:rsid w:val="00357D29"/>
    <w:rsid w:val="00357E1F"/>
    <w:rsid w:val="00357E24"/>
    <w:rsid w:val="00357E39"/>
    <w:rsid w:val="00357EB0"/>
    <w:rsid w:val="00357F8C"/>
    <w:rsid w:val="00357FBA"/>
    <w:rsid w:val="00357FC4"/>
    <w:rsid w:val="00357FE1"/>
    <w:rsid w:val="003601F8"/>
    <w:rsid w:val="0036028C"/>
    <w:rsid w:val="00360397"/>
    <w:rsid w:val="003603A9"/>
    <w:rsid w:val="003603B6"/>
    <w:rsid w:val="00360401"/>
    <w:rsid w:val="003604AB"/>
    <w:rsid w:val="00360543"/>
    <w:rsid w:val="0036055A"/>
    <w:rsid w:val="003606E7"/>
    <w:rsid w:val="00360841"/>
    <w:rsid w:val="00360901"/>
    <w:rsid w:val="0036091C"/>
    <w:rsid w:val="0036094D"/>
    <w:rsid w:val="00360B94"/>
    <w:rsid w:val="00360BD3"/>
    <w:rsid w:val="00360C5E"/>
    <w:rsid w:val="00360C7D"/>
    <w:rsid w:val="00360CC6"/>
    <w:rsid w:val="00360D04"/>
    <w:rsid w:val="00360D44"/>
    <w:rsid w:val="00360DAB"/>
    <w:rsid w:val="00360DE8"/>
    <w:rsid w:val="00360FA6"/>
    <w:rsid w:val="00360FF5"/>
    <w:rsid w:val="00361072"/>
    <w:rsid w:val="003611BB"/>
    <w:rsid w:val="003611D1"/>
    <w:rsid w:val="00361208"/>
    <w:rsid w:val="00361262"/>
    <w:rsid w:val="0036129B"/>
    <w:rsid w:val="003612C8"/>
    <w:rsid w:val="0036132E"/>
    <w:rsid w:val="0036137E"/>
    <w:rsid w:val="003614F9"/>
    <w:rsid w:val="00361530"/>
    <w:rsid w:val="00361563"/>
    <w:rsid w:val="003615DE"/>
    <w:rsid w:val="0036162F"/>
    <w:rsid w:val="00361651"/>
    <w:rsid w:val="003616CF"/>
    <w:rsid w:val="003616EE"/>
    <w:rsid w:val="0036173A"/>
    <w:rsid w:val="00361762"/>
    <w:rsid w:val="00361778"/>
    <w:rsid w:val="00361809"/>
    <w:rsid w:val="00361819"/>
    <w:rsid w:val="003619C1"/>
    <w:rsid w:val="00361A97"/>
    <w:rsid w:val="00361AA7"/>
    <w:rsid w:val="00361AEC"/>
    <w:rsid w:val="00361B39"/>
    <w:rsid w:val="00361BB7"/>
    <w:rsid w:val="00361D50"/>
    <w:rsid w:val="00361D88"/>
    <w:rsid w:val="00361E49"/>
    <w:rsid w:val="00361F65"/>
    <w:rsid w:val="00361FC8"/>
    <w:rsid w:val="00361FD4"/>
    <w:rsid w:val="00361FFE"/>
    <w:rsid w:val="00362018"/>
    <w:rsid w:val="00362071"/>
    <w:rsid w:val="0036215C"/>
    <w:rsid w:val="003623CC"/>
    <w:rsid w:val="003623D5"/>
    <w:rsid w:val="003623EB"/>
    <w:rsid w:val="00362410"/>
    <w:rsid w:val="003626F5"/>
    <w:rsid w:val="003627B8"/>
    <w:rsid w:val="00362977"/>
    <w:rsid w:val="003629BF"/>
    <w:rsid w:val="00362A06"/>
    <w:rsid w:val="00362BE8"/>
    <w:rsid w:val="00362C17"/>
    <w:rsid w:val="00362CD8"/>
    <w:rsid w:val="00362D30"/>
    <w:rsid w:val="00362DF5"/>
    <w:rsid w:val="00362EE9"/>
    <w:rsid w:val="00362F06"/>
    <w:rsid w:val="00363084"/>
    <w:rsid w:val="003631D1"/>
    <w:rsid w:val="0036321F"/>
    <w:rsid w:val="00363259"/>
    <w:rsid w:val="00363276"/>
    <w:rsid w:val="0036333B"/>
    <w:rsid w:val="003633A8"/>
    <w:rsid w:val="003633C8"/>
    <w:rsid w:val="00363472"/>
    <w:rsid w:val="003634EF"/>
    <w:rsid w:val="0036358A"/>
    <w:rsid w:val="003635D4"/>
    <w:rsid w:val="003635ED"/>
    <w:rsid w:val="003636A7"/>
    <w:rsid w:val="003637B3"/>
    <w:rsid w:val="003637BB"/>
    <w:rsid w:val="00363941"/>
    <w:rsid w:val="00363B32"/>
    <w:rsid w:val="00363B4F"/>
    <w:rsid w:val="00363C48"/>
    <w:rsid w:val="00363CB8"/>
    <w:rsid w:val="00363D0B"/>
    <w:rsid w:val="00363D43"/>
    <w:rsid w:val="00363D44"/>
    <w:rsid w:val="00363DD7"/>
    <w:rsid w:val="00363E1E"/>
    <w:rsid w:val="00363EA5"/>
    <w:rsid w:val="00363F9A"/>
    <w:rsid w:val="0036400B"/>
    <w:rsid w:val="0036404D"/>
    <w:rsid w:val="0036405D"/>
    <w:rsid w:val="0036408B"/>
    <w:rsid w:val="003640D0"/>
    <w:rsid w:val="00364153"/>
    <w:rsid w:val="0036419B"/>
    <w:rsid w:val="0036420E"/>
    <w:rsid w:val="00364232"/>
    <w:rsid w:val="0036424C"/>
    <w:rsid w:val="003642BE"/>
    <w:rsid w:val="003642E5"/>
    <w:rsid w:val="00364305"/>
    <w:rsid w:val="0036430F"/>
    <w:rsid w:val="00364355"/>
    <w:rsid w:val="0036439F"/>
    <w:rsid w:val="003643A3"/>
    <w:rsid w:val="003643BE"/>
    <w:rsid w:val="00364569"/>
    <w:rsid w:val="003645EE"/>
    <w:rsid w:val="0036466F"/>
    <w:rsid w:val="00364727"/>
    <w:rsid w:val="00364735"/>
    <w:rsid w:val="003647E3"/>
    <w:rsid w:val="0036480A"/>
    <w:rsid w:val="0036480C"/>
    <w:rsid w:val="00364B53"/>
    <w:rsid w:val="00364B5A"/>
    <w:rsid w:val="00364BAE"/>
    <w:rsid w:val="00364D9D"/>
    <w:rsid w:val="00364DB5"/>
    <w:rsid w:val="00364DCD"/>
    <w:rsid w:val="00364E5E"/>
    <w:rsid w:val="003651DC"/>
    <w:rsid w:val="00365216"/>
    <w:rsid w:val="0036533E"/>
    <w:rsid w:val="00365350"/>
    <w:rsid w:val="00365417"/>
    <w:rsid w:val="003654E1"/>
    <w:rsid w:val="00365556"/>
    <w:rsid w:val="00365831"/>
    <w:rsid w:val="003658E6"/>
    <w:rsid w:val="003659BE"/>
    <w:rsid w:val="00365A96"/>
    <w:rsid w:val="00365C5F"/>
    <w:rsid w:val="00365CDC"/>
    <w:rsid w:val="00365E1B"/>
    <w:rsid w:val="00365E1D"/>
    <w:rsid w:val="00365F6A"/>
    <w:rsid w:val="00366035"/>
    <w:rsid w:val="003660E1"/>
    <w:rsid w:val="0036611B"/>
    <w:rsid w:val="0036614D"/>
    <w:rsid w:val="003661C2"/>
    <w:rsid w:val="003661E2"/>
    <w:rsid w:val="0036627A"/>
    <w:rsid w:val="0036644B"/>
    <w:rsid w:val="00366472"/>
    <w:rsid w:val="00366551"/>
    <w:rsid w:val="0036666A"/>
    <w:rsid w:val="00366769"/>
    <w:rsid w:val="0036680C"/>
    <w:rsid w:val="0036690B"/>
    <w:rsid w:val="00366980"/>
    <w:rsid w:val="003669BC"/>
    <w:rsid w:val="003669CD"/>
    <w:rsid w:val="00366A0D"/>
    <w:rsid w:val="00366A14"/>
    <w:rsid w:val="00366B45"/>
    <w:rsid w:val="00366B82"/>
    <w:rsid w:val="00366BA9"/>
    <w:rsid w:val="00366BEF"/>
    <w:rsid w:val="00366C81"/>
    <w:rsid w:val="00366D01"/>
    <w:rsid w:val="00366D3E"/>
    <w:rsid w:val="00366E0E"/>
    <w:rsid w:val="00366EB5"/>
    <w:rsid w:val="0036709E"/>
    <w:rsid w:val="003670BC"/>
    <w:rsid w:val="0036715D"/>
    <w:rsid w:val="003671EB"/>
    <w:rsid w:val="00367205"/>
    <w:rsid w:val="0036720C"/>
    <w:rsid w:val="00367296"/>
    <w:rsid w:val="00367398"/>
    <w:rsid w:val="003673FF"/>
    <w:rsid w:val="00367462"/>
    <w:rsid w:val="003674E9"/>
    <w:rsid w:val="00367538"/>
    <w:rsid w:val="0036754D"/>
    <w:rsid w:val="00367672"/>
    <w:rsid w:val="00367743"/>
    <w:rsid w:val="00367766"/>
    <w:rsid w:val="003677DB"/>
    <w:rsid w:val="00367878"/>
    <w:rsid w:val="0036794F"/>
    <w:rsid w:val="003679EB"/>
    <w:rsid w:val="00367A39"/>
    <w:rsid w:val="00367A7E"/>
    <w:rsid w:val="00367B52"/>
    <w:rsid w:val="00367BC7"/>
    <w:rsid w:val="00367F25"/>
    <w:rsid w:val="00367F75"/>
    <w:rsid w:val="00367F97"/>
    <w:rsid w:val="00367FC2"/>
    <w:rsid w:val="003701EE"/>
    <w:rsid w:val="0037020E"/>
    <w:rsid w:val="003702CB"/>
    <w:rsid w:val="003702DD"/>
    <w:rsid w:val="003703B9"/>
    <w:rsid w:val="00370447"/>
    <w:rsid w:val="0037045D"/>
    <w:rsid w:val="003705FC"/>
    <w:rsid w:val="0037060F"/>
    <w:rsid w:val="0037065B"/>
    <w:rsid w:val="0037071C"/>
    <w:rsid w:val="0037073C"/>
    <w:rsid w:val="003708F7"/>
    <w:rsid w:val="00370ACA"/>
    <w:rsid w:val="00370AD3"/>
    <w:rsid w:val="00370B4D"/>
    <w:rsid w:val="00370D5B"/>
    <w:rsid w:val="00370E89"/>
    <w:rsid w:val="00371033"/>
    <w:rsid w:val="003711D7"/>
    <w:rsid w:val="00371378"/>
    <w:rsid w:val="00371397"/>
    <w:rsid w:val="003714E4"/>
    <w:rsid w:val="0037159F"/>
    <w:rsid w:val="00371602"/>
    <w:rsid w:val="003716F0"/>
    <w:rsid w:val="0037173E"/>
    <w:rsid w:val="0037176B"/>
    <w:rsid w:val="003718DD"/>
    <w:rsid w:val="00371929"/>
    <w:rsid w:val="00371A20"/>
    <w:rsid w:val="00371A77"/>
    <w:rsid w:val="00371B8C"/>
    <w:rsid w:val="00371CF1"/>
    <w:rsid w:val="00371D0A"/>
    <w:rsid w:val="00371D2A"/>
    <w:rsid w:val="00371DF0"/>
    <w:rsid w:val="00371FF4"/>
    <w:rsid w:val="00372365"/>
    <w:rsid w:val="003723DA"/>
    <w:rsid w:val="00372490"/>
    <w:rsid w:val="003726B7"/>
    <w:rsid w:val="00372750"/>
    <w:rsid w:val="0037283F"/>
    <w:rsid w:val="00372891"/>
    <w:rsid w:val="003728F2"/>
    <w:rsid w:val="00372913"/>
    <w:rsid w:val="0037296F"/>
    <w:rsid w:val="00372A8E"/>
    <w:rsid w:val="00372ABC"/>
    <w:rsid w:val="00372BA7"/>
    <w:rsid w:val="00372BD3"/>
    <w:rsid w:val="00372BF9"/>
    <w:rsid w:val="00372CFA"/>
    <w:rsid w:val="00372D0F"/>
    <w:rsid w:val="00372D80"/>
    <w:rsid w:val="00372D8D"/>
    <w:rsid w:val="00372E4C"/>
    <w:rsid w:val="00372E7D"/>
    <w:rsid w:val="00372EE6"/>
    <w:rsid w:val="00372F1D"/>
    <w:rsid w:val="00372F4A"/>
    <w:rsid w:val="00372FE0"/>
    <w:rsid w:val="003730AA"/>
    <w:rsid w:val="003730DC"/>
    <w:rsid w:val="0037314D"/>
    <w:rsid w:val="00373344"/>
    <w:rsid w:val="003733D5"/>
    <w:rsid w:val="00373533"/>
    <w:rsid w:val="003735B1"/>
    <w:rsid w:val="00373772"/>
    <w:rsid w:val="00373792"/>
    <w:rsid w:val="00373795"/>
    <w:rsid w:val="003737E1"/>
    <w:rsid w:val="003737F7"/>
    <w:rsid w:val="003738C0"/>
    <w:rsid w:val="00373A02"/>
    <w:rsid w:val="00373A7A"/>
    <w:rsid w:val="00373B0A"/>
    <w:rsid w:val="00373BA0"/>
    <w:rsid w:val="00373BC1"/>
    <w:rsid w:val="00373C9F"/>
    <w:rsid w:val="00373CFF"/>
    <w:rsid w:val="00373D2D"/>
    <w:rsid w:val="00373D57"/>
    <w:rsid w:val="00373E5A"/>
    <w:rsid w:val="00373F07"/>
    <w:rsid w:val="00373F36"/>
    <w:rsid w:val="00373F4A"/>
    <w:rsid w:val="00373FF3"/>
    <w:rsid w:val="003740AC"/>
    <w:rsid w:val="00374142"/>
    <w:rsid w:val="003741C0"/>
    <w:rsid w:val="00374239"/>
    <w:rsid w:val="00374271"/>
    <w:rsid w:val="003742D8"/>
    <w:rsid w:val="00374431"/>
    <w:rsid w:val="003746D6"/>
    <w:rsid w:val="003748AB"/>
    <w:rsid w:val="0037494C"/>
    <w:rsid w:val="0037494D"/>
    <w:rsid w:val="0037497B"/>
    <w:rsid w:val="0037498C"/>
    <w:rsid w:val="00374ABE"/>
    <w:rsid w:val="00374B0D"/>
    <w:rsid w:val="00374B16"/>
    <w:rsid w:val="00374BAF"/>
    <w:rsid w:val="00374C2C"/>
    <w:rsid w:val="00374C5E"/>
    <w:rsid w:val="00374CC0"/>
    <w:rsid w:val="00374D22"/>
    <w:rsid w:val="00374EC8"/>
    <w:rsid w:val="00374FD1"/>
    <w:rsid w:val="00375019"/>
    <w:rsid w:val="00375029"/>
    <w:rsid w:val="00375146"/>
    <w:rsid w:val="0037527D"/>
    <w:rsid w:val="003752DA"/>
    <w:rsid w:val="00375536"/>
    <w:rsid w:val="00375575"/>
    <w:rsid w:val="0037558F"/>
    <w:rsid w:val="00375605"/>
    <w:rsid w:val="0037561E"/>
    <w:rsid w:val="00375648"/>
    <w:rsid w:val="003757CD"/>
    <w:rsid w:val="00375823"/>
    <w:rsid w:val="003758AC"/>
    <w:rsid w:val="0037591D"/>
    <w:rsid w:val="0037592C"/>
    <w:rsid w:val="00375AF9"/>
    <w:rsid w:val="00375B39"/>
    <w:rsid w:val="00375BA2"/>
    <w:rsid w:val="00375BA8"/>
    <w:rsid w:val="00375C2F"/>
    <w:rsid w:val="00375C42"/>
    <w:rsid w:val="00375C7A"/>
    <w:rsid w:val="00375DE2"/>
    <w:rsid w:val="00375DEF"/>
    <w:rsid w:val="00376067"/>
    <w:rsid w:val="0037617E"/>
    <w:rsid w:val="0037624E"/>
    <w:rsid w:val="003763E7"/>
    <w:rsid w:val="00376418"/>
    <w:rsid w:val="00376421"/>
    <w:rsid w:val="00376463"/>
    <w:rsid w:val="0037647E"/>
    <w:rsid w:val="00376638"/>
    <w:rsid w:val="00376747"/>
    <w:rsid w:val="00376781"/>
    <w:rsid w:val="003768A1"/>
    <w:rsid w:val="003769A6"/>
    <w:rsid w:val="00376A01"/>
    <w:rsid w:val="00376A21"/>
    <w:rsid w:val="00376A89"/>
    <w:rsid w:val="00376AD7"/>
    <w:rsid w:val="00376AE6"/>
    <w:rsid w:val="00376C86"/>
    <w:rsid w:val="00376C99"/>
    <w:rsid w:val="00376D4F"/>
    <w:rsid w:val="00376D7C"/>
    <w:rsid w:val="00376D99"/>
    <w:rsid w:val="00376E17"/>
    <w:rsid w:val="00376E40"/>
    <w:rsid w:val="00376F06"/>
    <w:rsid w:val="00376F3F"/>
    <w:rsid w:val="00376F5C"/>
    <w:rsid w:val="00376F61"/>
    <w:rsid w:val="00376F9B"/>
    <w:rsid w:val="00376FA5"/>
    <w:rsid w:val="0037700F"/>
    <w:rsid w:val="00377034"/>
    <w:rsid w:val="003770E9"/>
    <w:rsid w:val="003770FD"/>
    <w:rsid w:val="003771C1"/>
    <w:rsid w:val="00377295"/>
    <w:rsid w:val="003772B3"/>
    <w:rsid w:val="0037745F"/>
    <w:rsid w:val="0037749B"/>
    <w:rsid w:val="003774BD"/>
    <w:rsid w:val="00377581"/>
    <w:rsid w:val="0037759C"/>
    <w:rsid w:val="003776A5"/>
    <w:rsid w:val="00377742"/>
    <w:rsid w:val="00377783"/>
    <w:rsid w:val="0037782A"/>
    <w:rsid w:val="0037786B"/>
    <w:rsid w:val="00377954"/>
    <w:rsid w:val="0037797F"/>
    <w:rsid w:val="003779F1"/>
    <w:rsid w:val="00377AC1"/>
    <w:rsid w:val="00377AC3"/>
    <w:rsid w:val="00377B63"/>
    <w:rsid w:val="00377D12"/>
    <w:rsid w:val="00377E2D"/>
    <w:rsid w:val="00377E4A"/>
    <w:rsid w:val="00377E59"/>
    <w:rsid w:val="00377EA5"/>
    <w:rsid w:val="00377EF5"/>
    <w:rsid w:val="00377F30"/>
    <w:rsid w:val="0038000A"/>
    <w:rsid w:val="0038009B"/>
    <w:rsid w:val="003800FF"/>
    <w:rsid w:val="0038014B"/>
    <w:rsid w:val="00380216"/>
    <w:rsid w:val="00380236"/>
    <w:rsid w:val="003802F5"/>
    <w:rsid w:val="0038035C"/>
    <w:rsid w:val="00380458"/>
    <w:rsid w:val="00380553"/>
    <w:rsid w:val="00380636"/>
    <w:rsid w:val="003806C0"/>
    <w:rsid w:val="003806C4"/>
    <w:rsid w:val="003806E7"/>
    <w:rsid w:val="003807B3"/>
    <w:rsid w:val="00380830"/>
    <w:rsid w:val="00380889"/>
    <w:rsid w:val="00380900"/>
    <w:rsid w:val="00380A0A"/>
    <w:rsid w:val="00380AED"/>
    <w:rsid w:val="00380B09"/>
    <w:rsid w:val="00380CF5"/>
    <w:rsid w:val="00380D02"/>
    <w:rsid w:val="00380E43"/>
    <w:rsid w:val="00380EF7"/>
    <w:rsid w:val="00381111"/>
    <w:rsid w:val="0038134C"/>
    <w:rsid w:val="00381453"/>
    <w:rsid w:val="003814DA"/>
    <w:rsid w:val="0038155E"/>
    <w:rsid w:val="0038157F"/>
    <w:rsid w:val="0038172B"/>
    <w:rsid w:val="0038177F"/>
    <w:rsid w:val="0038178F"/>
    <w:rsid w:val="003817EE"/>
    <w:rsid w:val="003817F6"/>
    <w:rsid w:val="00381853"/>
    <w:rsid w:val="00381880"/>
    <w:rsid w:val="0038196B"/>
    <w:rsid w:val="003819A8"/>
    <w:rsid w:val="003819B9"/>
    <w:rsid w:val="00381ADA"/>
    <w:rsid w:val="00381B2D"/>
    <w:rsid w:val="00381B96"/>
    <w:rsid w:val="00381C3A"/>
    <w:rsid w:val="00381C46"/>
    <w:rsid w:val="00381C8B"/>
    <w:rsid w:val="00381CC0"/>
    <w:rsid w:val="00381CDD"/>
    <w:rsid w:val="00381D0A"/>
    <w:rsid w:val="00381D85"/>
    <w:rsid w:val="00381DAF"/>
    <w:rsid w:val="00381DD8"/>
    <w:rsid w:val="00381E5F"/>
    <w:rsid w:val="00381EB8"/>
    <w:rsid w:val="00381F48"/>
    <w:rsid w:val="00381FA6"/>
    <w:rsid w:val="00381FAD"/>
    <w:rsid w:val="00381FE8"/>
    <w:rsid w:val="003820EF"/>
    <w:rsid w:val="0038239E"/>
    <w:rsid w:val="00382409"/>
    <w:rsid w:val="00382456"/>
    <w:rsid w:val="003826B1"/>
    <w:rsid w:val="003826E6"/>
    <w:rsid w:val="00382743"/>
    <w:rsid w:val="0038285B"/>
    <w:rsid w:val="003828A7"/>
    <w:rsid w:val="00382907"/>
    <w:rsid w:val="00382A4A"/>
    <w:rsid w:val="00382A63"/>
    <w:rsid w:val="00382AC4"/>
    <w:rsid w:val="00382AC6"/>
    <w:rsid w:val="00382C4E"/>
    <w:rsid w:val="00382CFC"/>
    <w:rsid w:val="00382D3B"/>
    <w:rsid w:val="00382ED2"/>
    <w:rsid w:val="00382F53"/>
    <w:rsid w:val="00382F70"/>
    <w:rsid w:val="00382F78"/>
    <w:rsid w:val="00382FD9"/>
    <w:rsid w:val="00383086"/>
    <w:rsid w:val="003830C2"/>
    <w:rsid w:val="00383163"/>
    <w:rsid w:val="00383308"/>
    <w:rsid w:val="00383335"/>
    <w:rsid w:val="00383468"/>
    <w:rsid w:val="003834AF"/>
    <w:rsid w:val="00383511"/>
    <w:rsid w:val="0038352B"/>
    <w:rsid w:val="003835E4"/>
    <w:rsid w:val="00383667"/>
    <w:rsid w:val="00383721"/>
    <w:rsid w:val="0038389A"/>
    <w:rsid w:val="003838EB"/>
    <w:rsid w:val="00383944"/>
    <w:rsid w:val="00383976"/>
    <w:rsid w:val="003839C6"/>
    <w:rsid w:val="003839D0"/>
    <w:rsid w:val="00383BCD"/>
    <w:rsid w:val="00383CA6"/>
    <w:rsid w:val="00383CAC"/>
    <w:rsid w:val="00383CDA"/>
    <w:rsid w:val="00383D9E"/>
    <w:rsid w:val="00383DAA"/>
    <w:rsid w:val="00383DB8"/>
    <w:rsid w:val="00383DFA"/>
    <w:rsid w:val="00383F7D"/>
    <w:rsid w:val="00383FE3"/>
    <w:rsid w:val="00383FE4"/>
    <w:rsid w:val="00384079"/>
    <w:rsid w:val="003841CA"/>
    <w:rsid w:val="00384352"/>
    <w:rsid w:val="00384357"/>
    <w:rsid w:val="0038446A"/>
    <w:rsid w:val="00384513"/>
    <w:rsid w:val="003845E1"/>
    <w:rsid w:val="003845FC"/>
    <w:rsid w:val="00384727"/>
    <w:rsid w:val="0038475E"/>
    <w:rsid w:val="00384824"/>
    <w:rsid w:val="0038486B"/>
    <w:rsid w:val="00384871"/>
    <w:rsid w:val="003848BF"/>
    <w:rsid w:val="003848CF"/>
    <w:rsid w:val="003848D8"/>
    <w:rsid w:val="00384929"/>
    <w:rsid w:val="00384A28"/>
    <w:rsid w:val="00384B02"/>
    <w:rsid w:val="00384B32"/>
    <w:rsid w:val="00384CCE"/>
    <w:rsid w:val="00384CD9"/>
    <w:rsid w:val="00384E33"/>
    <w:rsid w:val="003850FD"/>
    <w:rsid w:val="003851F5"/>
    <w:rsid w:val="00385224"/>
    <w:rsid w:val="0038523F"/>
    <w:rsid w:val="0038533C"/>
    <w:rsid w:val="00385475"/>
    <w:rsid w:val="0038552A"/>
    <w:rsid w:val="00385580"/>
    <w:rsid w:val="003855C9"/>
    <w:rsid w:val="0038564E"/>
    <w:rsid w:val="00385739"/>
    <w:rsid w:val="003857BD"/>
    <w:rsid w:val="003857DF"/>
    <w:rsid w:val="0038586B"/>
    <w:rsid w:val="003858AE"/>
    <w:rsid w:val="00385993"/>
    <w:rsid w:val="00385AFF"/>
    <w:rsid w:val="00385B02"/>
    <w:rsid w:val="00385BC5"/>
    <w:rsid w:val="00385C51"/>
    <w:rsid w:val="00385D3B"/>
    <w:rsid w:val="00385D51"/>
    <w:rsid w:val="00385E6E"/>
    <w:rsid w:val="00385EF3"/>
    <w:rsid w:val="00385F19"/>
    <w:rsid w:val="00385F46"/>
    <w:rsid w:val="00386008"/>
    <w:rsid w:val="0038602A"/>
    <w:rsid w:val="00386075"/>
    <w:rsid w:val="0038610E"/>
    <w:rsid w:val="003861F0"/>
    <w:rsid w:val="0038623C"/>
    <w:rsid w:val="00386260"/>
    <w:rsid w:val="0038633E"/>
    <w:rsid w:val="003863AD"/>
    <w:rsid w:val="00386414"/>
    <w:rsid w:val="00386460"/>
    <w:rsid w:val="003865B4"/>
    <w:rsid w:val="003867F8"/>
    <w:rsid w:val="0038687F"/>
    <w:rsid w:val="00386887"/>
    <w:rsid w:val="00386909"/>
    <w:rsid w:val="003869E4"/>
    <w:rsid w:val="00386A43"/>
    <w:rsid w:val="00386A55"/>
    <w:rsid w:val="00386A96"/>
    <w:rsid w:val="00386AFE"/>
    <w:rsid w:val="00386B1E"/>
    <w:rsid w:val="00386BE8"/>
    <w:rsid w:val="00386F8D"/>
    <w:rsid w:val="00387044"/>
    <w:rsid w:val="0038711A"/>
    <w:rsid w:val="0038717B"/>
    <w:rsid w:val="00387235"/>
    <w:rsid w:val="00387248"/>
    <w:rsid w:val="0038733E"/>
    <w:rsid w:val="00387358"/>
    <w:rsid w:val="00387395"/>
    <w:rsid w:val="003874A3"/>
    <w:rsid w:val="003874A6"/>
    <w:rsid w:val="00387536"/>
    <w:rsid w:val="00387588"/>
    <w:rsid w:val="003875E3"/>
    <w:rsid w:val="0038763C"/>
    <w:rsid w:val="0038765E"/>
    <w:rsid w:val="0038790F"/>
    <w:rsid w:val="003879A3"/>
    <w:rsid w:val="00387A07"/>
    <w:rsid w:val="00387C72"/>
    <w:rsid w:val="00387D42"/>
    <w:rsid w:val="00387F2D"/>
    <w:rsid w:val="00390065"/>
    <w:rsid w:val="00390113"/>
    <w:rsid w:val="0039019B"/>
    <w:rsid w:val="003901CB"/>
    <w:rsid w:val="00390202"/>
    <w:rsid w:val="0039024E"/>
    <w:rsid w:val="00390256"/>
    <w:rsid w:val="003902B1"/>
    <w:rsid w:val="0039033E"/>
    <w:rsid w:val="00390340"/>
    <w:rsid w:val="003903CB"/>
    <w:rsid w:val="00390452"/>
    <w:rsid w:val="00390491"/>
    <w:rsid w:val="003904FB"/>
    <w:rsid w:val="00390604"/>
    <w:rsid w:val="00390691"/>
    <w:rsid w:val="0039078C"/>
    <w:rsid w:val="003907B3"/>
    <w:rsid w:val="003908A5"/>
    <w:rsid w:val="003908AE"/>
    <w:rsid w:val="00390932"/>
    <w:rsid w:val="003909EC"/>
    <w:rsid w:val="00390A21"/>
    <w:rsid w:val="00390A40"/>
    <w:rsid w:val="00390A83"/>
    <w:rsid w:val="00390B07"/>
    <w:rsid w:val="00390B94"/>
    <w:rsid w:val="00390BBB"/>
    <w:rsid w:val="00390C27"/>
    <w:rsid w:val="00390D36"/>
    <w:rsid w:val="00390E44"/>
    <w:rsid w:val="0039107F"/>
    <w:rsid w:val="003910CC"/>
    <w:rsid w:val="003915CF"/>
    <w:rsid w:val="003916B9"/>
    <w:rsid w:val="0039175B"/>
    <w:rsid w:val="0039185E"/>
    <w:rsid w:val="0039187A"/>
    <w:rsid w:val="003918DD"/>
    <w:rsid w:val="003919B0"/>
    <w:rsid w:val="00391A35"/>
    <w:rsid w:val="00391A75"/>
    <w:rsid w:val="00391A98"/>
    <w:rsid w:val="00391BDE"/>
    <w:rsid w:val="00391BF0"/>
    <w:rsid w:val="00391BF2"/>
    <w:rsid w:val="00391C77"/>
    <w:rsid w:val="00391CEF"/>
    <w:rsid w:val="00391DAE"/>
    <w:rsid w:val="00391DDA"/>
    <w:rsid w:val="00391DE3"/>
    <w:rsid w:val="00391E20"/>
    <w:rsid w:val="00391ED7"/>
    <w:rsid w:val="00391F4C"/>
    <w:rsid w:val="00391FEF"/>
    <w:rsid w:val="003920CE"/>
    <w:rsid w:val="00392175"/>
    <w:rsid w:val="003922C3"/>
    <w:rsid w:val="0039251C"/>
    <w:rsid w:val="00392560"/>
    <w:rsid w:val="003925A0"/>
    <w:rsid w:val="003925EB"/>
    <w:rsid w:val="00392639"/>
    <w:rsid w:val="003926AB"/>
    <w:rsid w:val="00392795"/>
    <w:rsid w:val="00392841"/>
    <w:rsid w:val="003929E1"/>
    <w:rsid w:val="00392A03"/>
    <w:rsid w:val="00392A68"/>
    <w:rsid w:val="00392BB7"/>
    <w:rsid w:val="00392CA6"/>
    <w:rsid w:val="00392D8F"/>
    <w:rsid w:val="00392DB8"/>
    <w:rsid w:val="00392DDD"/>
    <w:rsid w:val="00392DDF"/>
    <w:rsid w:val="00392DED"/>
    <w:rsid w:val="00392E09"/>
    <w:rsid w:val="00392E8D"/>
    <w:rsid w:val="003930E1"/>
    <w:rsid w:val="00393100"/>
    <w:rsid w:val="0039315B"/>
    <w:rsid w:val="003932BC"/>
    <w:rsid w:val="0039336F"/>
    <w:rsid w:val="003933AC"/>
    <w:rsid w:val="003934BD"/>
    <w:rsid w:val="00393509"/>
    <w:rsid w:val="003935BD"/>
    <w:rsid w:val="0039360D"/>
    <w:rsid w:val="003936A2"/>
    <w:rsid w:val="00393717"/>
    <w:rsid w:val="00393740"/>
    <w:rsid w:val="003937A1"/>
    <w:rsid w:val="0039380B"/>
    <w:rsid w:val="00393890"/>
    <w:rsid w:val="003938BA"/>
    <w:rsid w:val="003938E7"/>
    <w:rsid w:val="003938EA"/>
    <w:rsid w:val="003939CB"/>
    <w:rsid w:val="00393A21"/>
    <w:rsid w:val="00393AAF"/>
    <w:rsid w:val="00393AB0"/>
    <w:rsid w:val="00393CDE"/>
    <w:rsid w:val="00393D05"/>
    <w:rsid w:val="00393D71"/>
    <w:rsid w:val="00393DD9"/>
    <w:rsid w:val="00393E40"/>
    <w:rsid w:val="00393EE7"/>
    <w:rsid w:val="00393F48"/>
    <w:rsid w:val="003940AC"/>
    <w:rsid w:val="003940C1"/>
    <w:rsid w:val="00394118"/>
    <w:rsid w:val="00394170"/>
    <w:rsid w:val="003942CB"/>
    <w:rsid w:val="0039434E"/>
    <w:rsid w:val="003946AD"/>
    <w:rsid w:val="0039478A"/>
    <w:rsid w:val="0039491A"/>
    <w:rsid w:val="0039491E"/>
    <w:rsid w:val="003949FD"/>
    <w:rsid w:val="00394B99"/>
    <w:rsid w:val="00394B9C"/>
    <w:rsid w:val="00394BEA"/>
    <w:rsid w:val="00394CD1"/>
    <w:rsid w:val="00394DA2"/>
    <w:rsid w:val="00394DB7"/>
    <w:rsid w:val="00394E77"/>
    <w:rsid w:val="00394E8E"/>
    <w:rsid w:val="00394ED3"/>
    <w:rsid w:val="00395068"/>
    <w:rsid w:val="00395117"/>
    <w:rsid w:val="0039517E"/>
    <w:rsid w:val="0039519C"/>
    <w:rsid w:val="003951A1"/>
    <w:rsid w:val="00395231"/>
    <w:rsid w:val="00395257"/>
    <w:rsid w:val="00395306"/>
    <w:rsid w:val="00395393"/>
    <w:rsid w:val="003953AC"/>
    <w:rsid w:val="00395682"/>
    <w:rsid w:val="0039572C"/>
    <w:rsid w:val="003957D2"/>
    <w:rsid w:val="0039590B"/>
    <w:rsid w:val="00395A7E"/>
    <w:rsid w:val="00395B1F"/>
    <w:rsid w:val="00395BDA"/>
    <w:rsid w:val="00395C80"/>
    <w:rsid w:val="00395DC4"/>
    <w:rsid w:val="00395E2A"/>
    <w:rsid w:val="00395E47"/>
    <w:rsid w:val="00395F2F"/>
    <w:rsid w:val="00395F74"/>
    <w:rsid w:val="00395FC6"/>
    <w:rsid w:val="00395FD0"/>
    <w:rsid w:val="00395FDE"/>
    <w:rsid w:val="00396169"/>
    <w:rsid w:val="003962B3"/>
    <w:rsid w:val="00396327"/>
    <w:rsid w:val="00396424"/>
    <w:rsid w:val="0039663B"/>
    <w:rsid w:val="00396693"/>
    <w:rsid w:val="00396753"/>
    <w:rsid w:val="003967F7"/>
    <w:rsid w:val="0039688A"/>
    <w:rsid w:val="00396893"/>
    <w:rsid w:val="00396984"/>
    <w:rsid w:val="003969C3"/>
    <w:rsid w:val="00396A56"/>
    <w:rsid w:val="00396BD5"/>
    <w:rsid w:val="00396C67"/>
    <w:rsid w:val="00396C92"/>
    <w:rsid w:val="00396D10"/>
    <w:rsid w:val="00396E9B"/>
    <w:rsid w:val="00396F86"/>
    <w:rsid w:val="00396FD4"/>
    <w:rsid w:val="00397040"/>
    <w:rsid w:val="00397109"/>
    <w:rsid w:val="0039713D"/>
    <w:rsid w:val="0039715C"/>
    <w:rsid w:val="0039726A"/>
    <w:rsid w:val="0039735B"/>
    <w:rsid w:val="003973F4"/>
    <w:rsid w:val="00397652"/>
    <w:rsid w:val="0039770F"/>
    <w:rsid w:val="00397733"/>
    <w:rsid w:val="00397769"/>
    <w:rsid w:val="003977AF"/>
    <w:rsid w:val="00397949"/>
    <w:rsid w:val="00397963"/>
    <w:rsid w:val="00397A7B"/>
    <w:rsid w:val="00397AE5"/>
    <w:rsid w:val="00397B81"/>
    <w:rsid w:val="00397C26"/>
    <w:rsid w:val="00397D62"/>
    <w:rsid w:val="00397D82"/>
    <w:rsid w:val="00397DA2"/>
    <w:rsid w:val="00397E1F"/>
    <w:rsid w:val="00397E44"/>
    <w:rsid w:val="00397E5E"/>
    <w:rsid w:val="00397F50"/>
    <w:rsid w:val="00397FE2"/>
    <w:rsid w:val="003A0026"/>
    <w:rsid w:val="003A0131"/>
    <w:rsid w:val="003A0144"/>
    <w:rsid w:val="003A01C3"/>
    <w:rsid w:val="003A02C4"/>
    <w:rsid w:val="003A02C9"/>
    <w:rsid w:val="003A02EA"/>
    <w:rsid w:val="003A0320"/>
    <w:rsid w:val="003A03C5"/>
    <w:rsid w:val="003A0592"/>
    <w:rsid w:val="003A05E3"/>
    <w:rsid w:val="003A0625"/>
    <w:rsid w:val="003A065C"/>
    <w:rsid w:val="003A071E"/>
    <w:rsid w:val="003A0844"/>
    <w:rsid w:val="003A09DD"/>
    <w:rsid w:val="003A0AB0"/>
    <w:rsid w:val="003A0ACA"/>
    <w:rsid w:val="003A0B25"/>
    <w:rsid w:val="003A0BEB"/>
    <w:rsid w:val="003A0C56"/>
    <w:rsid w:val="003A0CA4"/>
    <w:rsid w:val="003A0D02"/>
    <w:rsid w:val="003A0D7C"/>
    <w:rsid w:val="003A0DA7"/>
    <w:rsid w:val="003A0DCA"/>
    <w:rsid w:val="003A0DE7"/>
    <w:rsid w:val="003A0DF9"/>
    <w:rsid w:val="003A0F89"/>
    <w:rsid w:val="003A107E"/>
    <w:rsid w:val="003A11B7"/>
    <w:rsid w:val="003A13A6"/>
    <w:rsid w:val="003A13E9"/>
    <w:rsid w:val="003A1466"/>
    <w:rsid w:val="003A14CA"/>
    <w:rsid w:val="003A15D3"/>
    <w:rsid w:val="003A165A"/>
    <w:rsid w:val="003A16D0"/>
    <w:rsid w:val="003A1776"/>
    <w:rsid w:val="003A18B3"/>
    <w:rsid w:val="003A1939"/>
    <w:rsid w:val="003A19B4"/>
    <w:rsid w:val="003A19CE"/>
    <w:rsid w:val="003A19D1"/>
    <w:rsid w:val="003A1AA8"/>
    <w:rsid w:val="003A1ADE"/>
    <w:rsid w:val="003A1CC3"/>
    <w:rsid w:val="003A1E7E"/>
    <w:rsid w:val="003A1EB8"/>
    <w:rsid w:val="003A1EDC"/>
    <w:rsid w:val="003A1EF6"/>
    <w:rsid w:val="003A1F5C"/>
    <w:rsid w:val="003A2019"/>
    <w:rsid w:val="003A2125"/>
    <w:rsid w:val="003A212B"/>
    <w:rsid w:val="003A218A"/>
    <w:rsid w:val="003A21AD"/>
    <w:rsid w:val="003A21C3"/>
    <w:rsid w:val="003A21F9"/>
    <w:rsid w:val="003A22A8"/>
    <w:rsid w:val="003A2329"/>
    <w:rsid w:val="003A23C3"/>
    <w:rsid w:val="003A24C0"/>
    <w:rsid w:val="003A250C"/>
    <w:rsid w:val="003A2587"/>
    <w:rsid w:val="003A25BD"/>
    <w:rsid w:val="003A25EF"/>
    <w:rsid w:val="003A271B"/>
    <w:rsid w:val="003A281A"/>
    <w:rsid w:val="003A28D5"/>
    <w:rsid w:val="003A2ACF"/>
    <w:rsid w:val="003A2AED"/>
    <w:rsid w:val="003A2B30"/>
    <w:rsid w:val="003A2BC0"/>
    <w:rsid w:val="003A2C36"/>
    <w:rsid w:val="003A2C92"/>
    <w:rsid w:val="003A2D88"/>
    <w:rsid w:val="003A2D8A"/>
    <w:rsid w:val="003A2DCB"/>
    <w:rsid w:val="003A2F2F"/>
    <w:rsid w:val="003A2F3C"/>
    <w:rsid w:val="003A2F45"/>
    <w:rsid w:val="003A2FC0"/>
    <w:rsid w:val="003A3208"/>
    <w:rsid w:val="003A3341"/>
    <w:rsid w:val="003A33BC"/>
    <w:rsid w:val="003A3481"/>
    <w:rsid w:val="003A349F"/>
    <w:rsid w:val="003A3514"/>
    <w:rsid w:val="003A358E"/>
    <w:rsid w:val="003A3654"/>
    <w:rsid w:val="003A366F"/>
    <w:rsid w:val="003A3684"/>
    <w:rsid w:val="003A36F2"/>
    <w:rsid w:val="003A36F8"/>
    <w:rsid w:val="003A3852"/>
    <w:rsid w:val="003A38FE"/>
    <w:rsid w:val="003A3952"/>
    <w:rsid w:val="003A396B"/>
    <w:rsid w:val="003A39BF"/>
    <w:rsid w:val="003A3B7E"/>
    <w:rsid w:val="003A3B88"/>
    <w:rsid w:val="003A3C30"/>
    <w:rsid w:val="003A3D07"/>
    <w:rsid w:val="003A3D41"/>
    <w:rsid w:val="003A3EE1"/>
    <w:rsid w:val="003A3F88"/>
    <w:rsid w:val="003A3F8B"/>
    <w:rsid w:val="003A3FE3"/>
    <w:rsid w:val="003A3FF2"/>
    <w:rsid w:val="003A4039"/>
    <w:rsid w:val="003A405F"/>
    <w:rsid w:val="003A4129"/>
    <w:rsid w:val="003A4165"/>
    <w:rsid w:val="003A425E"/>
    <w:rsid w:val="003A4365"/>
    <w:rsid w:val="003A4404"/>
    <w:rsid w:val="003A441C"/>
    <w:rsid w:val="003A44B7"/>
    <w:rsid w:val="003A466D"/>
    <w:rsid w:val="003A471D"/>
    <w:rsid w:val="003A4757"/>
    <w:rsid w:val="003A47DD"/>
    <w:rsid w:val="003A48AC"/>
    <w:rsid w:val="003A49B9"/>
    <w:rsid w:val="003A4AD1"/>
    <w:rsid w:val="003A4B14"/>
    <w:rsid w:val="003A4CBA"/>
    <w:rsid w:val="003A4DDB"/>
    <w:rsid w:val="003A4E89"/>
    <w:rsid w:val="003A4EE7"/>
    <w:rsid w:val="003A4FD4"/>
    <w:rsid w:val="003A5040"/>
    <w:rsid w:val="003A5046"/>
    <w:rsid w:val="003A518D"/>
    <w:rsid w:val="003A54E7"/>
    <w:rsid w:val="003A5506"/>
    <w:rsid w:val="003A5508"/>
    <w:rsid w:val="003A5510"/>
    <w:rsid w:val="003A5546"/>
    <w:rsid w:val="003A55A1"/>
    <w:rsid w:val="003A5601"/>
    <w:rsid w:val="003A56EA"/>
    <w:rsid w:val="003A570D"/>
    <w:rsid w:val="003A582F"/>
    <w:rsid w:val="003A58E4"/>
    <w:rsid w:val="003A5904"/>
    <w:rsid w:val="003A59BA"/>
    <w:rsid w:val="003A5A94"/>
    <w:rsid w:val="003A5AB7"/>
    <w:rsid w:val="003A5AC5"/>
    <w:rsid w:val="003A5B5E"/>
    <w:rsid w:val="003A5C33"/>
    <w:rsid w:val="003A5C36"/>
    <w:rsid w:val="003A5C43"/>
    <w:rsid w:val="003A5CB4"/>
    <w:rsid w:val="003A5D7C"/>
    <w:rsid w:val="003A5DCE"/>
    <w:rsid w:val="003A604D"/>
    <w:rsid w:val="003A607B"/>
    <w:rsid w:val="003A607E"/>
    <w:rsid w:val="003A60BC"/>
    <w:rsid w:val="003A6105"/>
    <w:rsid w:val="003A6376"/>
    <w:rsid w:val="003A638D"/>
    <w:rsid w:val="003A63BA"/>
    <w:rsid w:val="003A63E2"/>
    <w:rsid w:val="003A63E6"/>
    <w:rsid w:val="003A65C6"/>
    <w:rsid w:val="003A65CB"/>
    <w:rsid w:val="003A6641"/>
    <w:rsid w:val="003A66A4"/>
    <w:rsid w:val="003A66E1"/>
    <w:rsid w:val="003A6753"/>
    <w:rsid w:val="003A6757"/>
    <w:rsid w:val="003A6812"/>
    <w:rsid w:val="003A6899"/>
    <w:rsid w:val="003A6992"/>
    <w:rsid w:val="003A6A77"/>
    <w:rsid w:val="003A6B6F"/>
    <w:rsid w:val="003A6BE1"/>
    <w:rsid w:val="003A6C56"/>
    <w:rsid w:val="003A6CF9"/>
    <w:rsid w:val="003A6E85"/>
    <w:rsid w:val="003A6EBD"/>
    <w:rsid w:val="003A6F3D"/>
    <w:rsid w:val="003A6FF4"/>
    <w:rsid w:val="003A7150"/>
    <w:rsid w:val="003A7151"/>
    <w:rsid w:val="003A733C"/>
    <w:rsid w:val="003A749D"/>
    <w:rsid w:val="003A74EE"/>
    <w:rsid w:val="003A7534"/>
    <w:rsid w:val="003A7714"/>
    <w:rsid w:val="003A77BD"/>
    <w:rsid w:val="003A77CE"/>
    <w:rsid w:val="003A789D"/>
    <w:rsid w:val="003A78ED"/>
    <w:rsid w:val="003A7906"/>
    <w:rsid w:val="003A79E9"/>
    <w:rsid w:val="003A7A79"/>
    <w:rsid w:val="003A7A80"/>
    <w:rsid w:val="003A7AD1"/>
    <w:rsid w:val="003A7AF1"/>
    <w:rsid w:val="003A7B11"/>
    <w:rsid w:val="003A7B61"/>
    <w:rsid w:val="003A7B81"/>
    <w:rsid w:val="003A7BE0"/>
    <w:rsid w:val="003A7CCC"/>
    <w:rsid w:val="003A7D94"/>
    <w:rsid w:val="003A7DD7"/>
    <w:rsid w:val="003A7ECB"/>
    <w:rsid w:val="003A7F25"/>
    <w:rsid w:val="003B0126"/>
    <w:rsid w:val="003B022C"/>
    <w:rsid w:val="003B029A"/>
    <w:rsid w:val="003B02F7"/>
    <w:rsid w:val="003B030D"/>
    <w:rsid w:val="003B0547"/>
    <w:rsid w:val="003B0553"/>
    <w:rsid w:val="003B0708"/>
    <w:rsid w:val="003B0A14"/>
    <w:rsid w:val="003B0A15"/>
    <w:rsid w:val="003B0ADC"/>
    <w:rsid w:val="003B0B53"/>
    <w:rsid w:val="003B0CDF"/>
    <w:rsid w:val="003B0D31"/>
    <w:rsid w:val="003B0F13"/>
    <w:rsid w:val="003B0F19"/>
    <w:rsid w:val="003B0F9D"/>
    <w:rsid w:val="003B1175"/>
    <w:rsid w:val="003B11B5"/>
    <w:rsid w:val="003B133D"/>
    <w:rsid w:val="003B13AB"/>
    <w:rsid w:val="003B1417"/>
    <w:rsid w:val="003B1493"/>
    <w:rsid w:val="003B14D2"/>
    <w:rsid w:val="003B155A"/>
    <w:rsid w:val="003B1577"/>
    <w:rsid w:val="003B15CC"/>
    <w:rsid w:val="003B15DB"/>
    <w:rsid w:val="003B16B0"/>
    <w:rsid w:val="003B1757"/>
    <w:rsid w:val="003B17D1"/>
    <w:rsid w:val="003B191F"/>
    <w:rsid w:val="003B19F2"/>
    <w:rsid w:val="003B1B0F"/>
    <w:rsid w:val="003B1B72"/>
    <w:rsid w:val="003B1BD0"/>
    <w:rsid w:val="003B1C34"/>
    <w:rsid w:val="003B1CD3"/>
    <w:rsid w:val="003B1CE0"/>
    <w:rsid w:val="003B1D91"/>
    <w:rsid w:val="003B1DE3"/>
    <w:rsid w:val="003B2235"/>
    <w:rsid w:val="003B22DE"/>
    <w:rsid w:val="003B2308"/>
    <w:rsid w:val="003B247B"/>
    <w:rsid w:val="003B26A0"/>
    <w:rsid w:val="003B2816"/>
    <w:rsid w:val="003B2826"/>
    <w:rsid w:val="003B28BD"/>
    <w:rsid w:val="003B295A"/>
    <w:rsid w:val="003B296D"/>
    <w:rsid w:val="003B2B92"/>
    <w:rsid w:val="003B2C1F"/>
    <w:rsid w:val="003B2DAC"/>
    <w:rsid w:val="003B2EFE"/>
    <w:rsid w:val="003B2F4F"/>
    <w:rsid w:val="003B2F63"/>
    <w:rsid w:val="003B2FA2"/>
    <w:rsid w:val="003B3051"/>
    <w:rsid w:val="003B30DC"/>
    <w:rsid w:val="003B3137"/>
    <w:rsid w:val="003B319E"/>
    <w:rsid w:val="003B323B"/>
    <w:rsid w:val="003B32FB"/>
    <w:rsid w:val="003B3363"/>
    <w:rsid w:val="003B338A"/>
    <w:rsid w:val="003B3426"/>
    <w:rsid w:val="003B34E8"/>
    <w:rsid w:val="003B34FA"/>
    <w:rsid w:val="003B3602"/>
    <w:rsid w:val="003B3640"/>
    <w:rsid w:val="003B3693"/>
    <w:rsid w:val="003B36FB"/>
    <w:rsid w:val="003B3771"/>
    <w:rsid w:val="003B378C"/>
    <w:rsid w:val="003B385F"/>
    <w:rsid w:val="003B38FA"/>
    <w:rsid w:val="003B393C"/>
    <w:rsid w:val="003B3980"/>
    <w:rsid w:val="003B3989"/>
    <w:rsid w:val="003B3A57"/>
    <w:rsid w:val="003B3A7F"/>
    <w:rsid w:val="003B3B35"/>
    <w:rsid w:val="003B3C3A"/>
    <w:rsid w:val="003B3D01"/>
    <w:rsid w:val="003B3D72"/>
    <w:rsid w:val="003B3D93"/>
    <w:rsid w:val="003B3DA8"/>
    <w:rsid w:val="003B3EE8"/>
    <w:rsid w:val="003B3F91"/>
    <w:rsid w:val="003B3FCC"/>
    <w:rsid w:val="003B3FE6"/>
    <w:rsid w:val="003B4104"/>
    <w:rsid w:val="003B4134"/>
    <w:rsid w:val="003B41F5"/>
    <w:rsid w:val="003B4291"/>
    <w:rsid w:val="003B4367"/>
    <w:rsid w:val="003B438C"/>
    <w:rsid w:val="003B43BD"/>
    <w:rsid w:val="003B4406"/>
    <w:rsid w:val="003B444C"/>
    <w:rsid w:val="003B44E3"/>
    <w:rsid w:val="003B45E3"/>
    <w:rsid w:val="003B4673"/>
    <w:rsid w:val="003B46B9"/>
    <w:rsid w:val="003B4706"/>
    <w:rsid w:val="003B476C"/>
    <w:rsid w:val="003B4793"/>
    <w:rsid w:val="003B484F"/>
    <w:rsid w:val="003B4B77"/>
    <w:rsid w:val="003B4B80"/>
    <w:rsid w:val="003B4BE6"/>
    <w:rsid w:val="003B4C16"/>
    <w:rsid w:val="003B4CFC"/>
    <w:rsid w:val="003B4D87"/>
    <w:rsid w:val="003B4DA9"/>
    <w:rsid w:val="003B504B"/>
    <w:rsid w:val="003B5095"/>
    <w:rsid w:val="003B50A6"/>
    <w:rsid w:val="003B50C1"/>
    <w:rsid w:val="003B50D2"/>
    <w:rsid w:val="003B5103"/>
    <w:rsid w:val="003B527C"/>
    <w:rsid w:val="003B535B"/>
    <w:rsid w:val="003B5517"/>
    <w:rsid w:val="003B5531"/>
    <w:rsid w:val="003B5567"/>
    <w:rsid w:val="003B55B7"/>
    <w:rsid w:val="003B5682"/>
    <w:rsid w:val="003B56AB"/>
    <w:rsid w:val="003B57BA"/>
    <w:rsid w:val="003B584A"/>
    <w:rsid w:val="003B5931"/>
    <w:rsid w:val="003B5A35"/>
    <w:rsid w:val="003B5B7A"/>
    <w:rsid w:val="003B5E34"/>
    <w:rsid w:val="003B5F10"/>
    <w:rsid w:val="003B5FD8"/>
    <w:rsid w:val="003B6088"/>
    <w:rsid w:val="003B609D"/>
    <w:rsid w:val="003B611D"/>
    <w:rsid w:val="003B6192"/>
    <w:rsid w:val="003B624F"/>
    <w:rsid w:val="003B6536"/>
    <w:rsid w:val="003B6588"/>
    <w:rsid w:val="003B666A"/>
    <w:rsid w:val="003B672E"/>
    <w:rsid w:val="003B678B"/>
    <w:rsid w:val="003B67B1"/>
    <w:rsid w:val="003B6998"/>
    <w:rsid w:val="003B69D2"/>
    <w:rsid w:val="003B6A36"/>
    <w:rsid w:val="003B6A52"/>
    <w:rsid w:val="003B6A7B"/>
    <w:rsid w:val="003B6AF0"/>
    <w:rsid w:val="003B6BC6"/>
    <w:rsid w:val="003B6C91"/>
    <w:rsid w:val="003B6D0B"/>
    <w:rsid w:val="003B6D11"/>
    <w:rsid w:val="003B6F13"/>
    <w:rsid w:val="003B6F30"/>
    <w:rsid w:val="003B6F90"/>
    <w:rsid w:val="003B6FE3"/>
    <w:rsid w:val="003B6FFE"/>
    <w:rsid w:val="003B703F"/>
    <w:rsid w:val="003B70AF"/>
    <w:rsid w:val="003B7141"/>
    <w:rsid w:val="003B71DD"/>
    <w:rsid w:val="003B71E3"/>
    <w:rsid w:val="003B73A6"/>
    <w:rsid w:val="003B73FF"/>
    <w:rsid w:val="003B743D"/>
    <w:rsid w:val="003B74FE"/>
    <w:rsid w:val="003B754E"/>
    <w:rsid w:val="003B764C"/>
    <w:rsid w:val="003B779F"/>
    <w:rsid w:val="003B77CF"/>
    <w:rsid w:val="003B7839"/>
    <w:rsid w:val="003B7A7E"/>
    <w:rsid w:val="003B7A95"/>
    <w:rsid w:val="003B7AC1"/>
    <w:rsid w:val="003B7AD9"/>
    <w:rsid w:val="003B7C66"/>
    <w:rsid w:val="003B7D09"/>
    <w:rsid w:val="003B7D8E"/>
    <w:rsid w:val="003B7DF3"/>
    <w:rsid w:val="003B7E1B"/>
    <w:rsid w:val="003B7EB3"/>
    <w:rsid w:val="003B7F44"/>
    <w:rsid w:val="003B7F51"/>
    <w:rsid w:val="003B7F53"/>
    <w:rsid w:val="003C0390"/>
    <w:rsid w:val="003C03EE"/>
    <w:rsid w:val="003C03F5"/>
    <w:rsid w:val="003C06BC"/>
    <w:rsid w:val="003C0738"/>
    <w:rsid w:val="003C07B6"/>
    <w:rsid w:val="003C07F6"/>
    <w:rsid w:val="003C07FF"/>
    <w:rsid w:val="003C0878"/>
    <w:rsid w:val="003C0B14"/>
    <w:rsid w:val="003C0CE6"/>
    <w:rsid w:val="003C0DBC"/>
    <w:rsid w:val="003C0E46"/>
    <w:rsid w:val="003C0E77"/>
    <w:rsid w:val="003C0FD7"/>
    <w:rsid w:val="003C0FDC"/>
    <w:rsid w:val="003C1040"/>
    <w:rsid w:val="003C1147"/>
    <w:rsid w:val="003C126D"/>
    <w:rsid w:val="003C137B"/>
    <w:rsid w:val="003C1425"/>
    <w:rsid w:val="003C146F"/>
    <w:rsid w:val="003C14BD"/>
    <w:rsid w:val="003C1515"/>
    <w:rsid w:val="003C1640"/>
    <w:rsid w:val="003C16A5"/>
    <w:rsid w:val="003C1717"/>
    <w:rsid w:val="003C1858"/>
    <w:rsid w:val="003C1AD0"/>
    <w:rsid w:val="003C1BA6"/>
    <w:rsid w:val="003C1BC6"/>
    <w:rsid w:val="003C1C68"/>
    <w:rsid w:val="003C1C77"/>
    <w:rsid w:val="003C1D0E"/>
    <w:rsid w:val="003C1D27"/>
    <w:rsid w:val="003C1E51"/>
    <w:rsid w:val="003C1EB1"/>
    <w:rsid w:val="003C1EEB"/>
    <w:rsid w:val="003C1F11"/>
    <w:rsid w:val="003C1FA8"/>
    <w:rsid w:val="003C2009"/>
    <w:rsid w:val="003C200A"/>
    <w:rsid w:val="003C200E"/>
    <w:rsid w:val="003C205E"/>
    <w:rsid w:val="003C20F0"/>
    <w:rsid w:val="003C20F4"/>
    <w:rsid w:val="003C20F8"/>
    <w:rsid w:val="003C2124"/>
    <w:rsid w:val="003C21E0"/>
    <w:rsid w:val="003C21F2"/>
    <w:rsid w:val="003C2247"/>
    <w:rsid w:val="003C22C0"/>
    <w:rsid w:val="003C2333"/>
    <w:rsid w:val="003C23A1"/>
    <w:rsid w:val="003C240D"/>
    <w:rsid w:val="003C242E"/>
    <w:rsid w:val="003C269D"/>
    <w:rsid w:val="003C2700"/>
    <w:rsid w:val="003C270F"/>
    <w:rsid w:val="003C277C"/>
    <w:rsid w:val="003C2782"/>
    <w:rsid w:val="003C27F8"/>
    <w:rsid w:val="003C2852"/>
    <w:rsid w:val="003C28FD"/>
    <w:rsid w:val="003C2937"/>
    <w:rsid w:val="003C2998"/>
    <w:rsid w:val="003C29EC"/>
    <w:rsid w:val="003C2A70"/>
    <w:rsid w:val="003C2B32"/>
    <w:rsid w:val="003C2B91"/>
    <w:rsid w:val="003C2BB1"/>
    <w:rsid w:val="003C2DAF"/>
    <w:rsid w:val="003C2DBD"/>
    <w:rsid w:val="003C2E06"/>
    <w:rsid w:val="003C2E4C"/>
    <w:rsid w:val="003C2F37"/>
    <w:rsid w:val="003C2F73"/>
    <w:rsid w:val="003C2FB5"/>
    <w:rsid w:val="003C304A"/>
    <w:rsid w:val="003C313A"/>
    <w:rsid w:val="003C31C2"/>
    <w:rsid w:val="003C32A0"/>
    <w:rsid w:val="003C3419"/>
    <w:rsid w:val="003C35BB"/>
    <w:rsid w:val="003C361E"/>
    <w:rsid w:val="003C3626"/>
    <w:rsid w:val="003C364A"/>
    <w:rsid w:val="003C36C7"/>
    <w:rsid w:val="003C371D"/>
    <w:rsid w:val="003C374A"/>
    <w:rsid w:val="003C379A"/>
    <w:rsid w:val="003C390E"/>
    <w:rsid w:val="003C399D"/>
    <w:rsid w:val="003C3AA6"/>
    <w:rsid w:val="003C3BFD"/>
    <w:rsid w:val="003C3D64"/>
    <w:rsid w:val="003C3EA0"/>
    <w:rsid w:val="003C3EB7"/>
    <w:rsid w:val="003C3F80"/>
    <w:rsid w:val="003C408F"/>
    <w:rsid w:val="003C40C8"/>
    <w:rsid w:val="003C410A"/>
    <w:rsid w:val="003C4289"/>
    <w:rsid w:val="003C4544"/>
    <w:rsid w:val="003C45C9"/>
    <w:rsid w:val="003C4688"/>
    <w:rsid w:val="003C479D"/>
    <w:rsid w:val="003C482F"/>
    <w:rsid w:val="003C4883"/>
    <w:rsid w:val="003C4889"/>
    <w:rsid w:val="003C48B0"/>
    <w:rsid w:val="003C48DD"/>
    <w:rsid w:val="003C48FD"/>
    <w:rsid w:val="003C494A"/>
    <w:rsid w:val="003C4972"/>
    <w:rsid w:val="003C4A60"/>
    <w:rsid w:val="003C4B3F"/>
    <w:rsid w:val="003C4B41"/>
    <w:rsid w:val="003C4B48"/>
    <w:rsid w:val="003C4B60"/>
    <w:rsid w:val="003C4B72"/>
    <w:rsid w:val="003C4B99"/>
    <w:rsid w:val="003C4CE2"/>
    <w:rsid w:val="003C4D46"/>
    <w:rsid w:val="003C4D51"/>
    <w:rsid w:val="003C4DBE"/>
    <w:rsid w:val="003C4F3A"/>
    <w:rsid w:val="003C50B9"/>
    <w:rsid w:val="003C520D"/>
    <w:rsid w:val="003C522C"/>
    <w:rsid w:val="003C5281"/>
    <w:rsid w:val="003C53E7"/>
    <w:rsid w:val="003C544D"/>
    <w:rsid w:val="003C5540"/>
    <w:rsid w:val="003C55BC"/>
    <w:rsid w:val="003C560E"/>
    <w:rsid w:val="003C569B"/>
    <w:rsid w:val="003C5704"/>
    <w:rsid w:val="003C5729"/>
    <w:rsid w:val="003C5767"/>
    <w:rsid w:val="003C57D5"/>
    <w:rsid w:val="003C5853"/>
    <w:rsid w:val="003C5969"/>
    <w:rsid w:val="003C599F"/>
    <w:rsid w:val="003C5AE5"/>
    <w:rsid w:val="003C5B94"/>
    <w:rsid w:val="003C5C94"/>
    <w:rsid w:val="003C5F7C"/>
    <w:rsid w:val="003C5FAD"/>
    <w:rsid w:val="003C5FD2"/>
    <w:rsid w:val="003C6053"/>
    <w:rsid w:val="003C6183"/>
    <w:rsid w:val="003C628F"/>
    <w:rsid w:val="003C6573"/>
    <w:rsid w:val="003C6621"/>
    <w:rsid w:val="003C666B"/>
    <w:rsid w:val="003C66FA"/>
    <w:rsid w:val="003C673E"/>
    <w:rsid w:val="003C6780"/>
    <w:rsid w:val="003C69AC"/>
    <w:rsid w:val="003C69BF"/>
    <w:rsid w:val="003C6A10"/>
    <w:rsid w:val="003C6A39"/>
    <w:rsid w:val="003C6AF5"/>
    <w:rsid w:val="003C6B47"/>
    <w:rsid w:val="003C6B61"/>
    <w:rsid w:val="003C6BE2"/>
    <w:rsid w:val="003C6C2F"/>
    <w:rsid w:val="003C6C72"/>
    <w:rsid w:val="003C6DB4"/>
    <w:rsid w:val="003C6EF6"/>
    <w:rsid w:val="003C6F74"/>
    <w:rsid w:val="003C6F93"/>
    <w:rsid w:val="003C6FF8"/>
    <w:rsid w:val="003C7032"/>
    <w:rsid w:val="003C7170"/>
    <w:rsid w:val="003C737B"/>
    <w:rsid w:val="003C7490"/>
    <w:rsid w:val="003C7494"/>
    <w:rsid w:val="003C76FD"/>
    <w:rsid w:val="003C7817"/>
    <w:rsid w:val="003C784D"/>
    <w:rsid w:val="003C78A2"/>
    <w:rsid w:val="003C7962"/>
    <w:rsid w:val="003C7AD1"/>
    <w:rsid w:val="003C7AE2"/>
    <w:rsid w:val="003C7B46"/>
    <w:rsid w:val="003C7C0C"/>
    <w:rsid w:val="003C7C13"/>
    <w:rsid w:val="003C7CC0"/>
    <w:rsid w:val="003C7DD0"/>
    <w:rsid w:val="003C7E56"/>
    <w:rsid w:val="003C7E75"/>
    <w:rsid w:val="003C7E87"/>
    <w:rsid w:val="003C7F0A"/>
    <w:rsid w:val="003D0035"/>
    <w:rsid w:val="003D0064"/>
    <w:rsid w:val="003D00D4"/>
    <w:rsid w:val="003D0219"/>
    <w:rsid w:val="003D0261"/>
    <w:rsid w:val="003D031A"/>
    <w:rsid w:val="003D0386"/>
    <w:rsid w:val="003D042C"/>
    <w:rsid w:val="003D04B9"/>
    <w:rsid w:val="003D069D"/>
    <w:rsid w:val="003D06F1"/>
    <w:rsid w:val="003D080D"/>
    <w:rsid w:val="003D0834"/>
    <w:rsid w:val="003D0867"/>
    <w:rsid w:val="003D08F7"/>
    <w:rsid w:val="003D091D"/>
    <w:rsid w:val="003D093D"/>
    <w:rsid w:val="003D097B"/>
    <w:rsid w:val="003D099C"/>
    <w:rsid w:val="003D0A0D"/>
    <w:rsid w:val="003D0A12"/>
    <w:rsid w:val="003D0A98"/>
    <w:rsid w:val="003D0B47"/>
    <w:rsid w:val="003D0CA3"/>
    <w:rsid w:val="003D0DAD"/>
    <w:rsid w:val="003D0F3A"/>
    <w:rsid w:val="003D0F7A"/>
    <w:rsid w:val="003D1030"/>
    <w:rsid w:val="003D1100"/>
    <w:rsid w:val="003D1164"/>
    <w:rsid w:val="003D1166"/>
    <w:rsid w:val="003D122A"/>
    <w:rsid w:val="003D1396"/>
    <w:rsid w:val="003D1512"/>
    <w:rsid w:val="003D1517"/>
    <w:rsid w:val="003D159D"/>
    <w:rsid w:val="003D175A"/>
    <w:rsid w:val="003D182D"/>
    <w:rsid w:val="003D1887"/>
    <w:rsid w:val="003D191D"/>
    <w:rsid w:val="003D1B08"/>
    <w:rsid w:val="003D1B4D"/>
    <w:rsid w:val="003D1C4C"/>
    <w:rsid w:val="003D1C91"/>
    <w:rsid w:val="003D1DB0"/>
    <w:rsid w:val="003D1E73"/>
    <w:rsid w:val="003D1F18"/>
    <w:rsid w:val="003D1F3D"/>
    <w:rsid w:val="003D1FB3"/>
    <w:rsid w:val="003D2072"/>
    <w:rsid w:val="003D208A"/>
    <w:rsid w:val="003D20F6"/>
    <w:rsid w:val="003D240A"/>
    <w:rsid w:val="003D2428"/>
    <w:rsid w:val="003D248B"/>
    <w:rsid w:val="003D2642"/>
    <w:rsid w:val="003D2751"/>
    <w:rsid w:val="003D29A6"/>
    <w:rsid w:val="003D29CD"/>
    <w:rsid w:val="003D2A38"/>
    <w:rsid w:val="003D2A5B"/>
    <w:rsid w:val="003D2A8B"/>
    <w:rsid w:val="003D2C3A"/>
    <w:rsid w:val="003D2C4C"/>
    <w:rsid w:val="003D2D99"/>
    <w:rsid w:val="003D2DCF"/>
    <w:rsid w:val="003D2DEB"/>
    <w:rsid w:val="003D2FF9"/>
    <w:rsid w:val="003D3203"/>
    <w:rsid w:val="003D321E"/>
    <w:rsid w:val="003D3228"/>
    <w:rsid w:val="003D3526"/>
    <w:rsid w:val="003D3592"/>
    <w:rsid w:val="003D3622"/>
    <w:rsid w:val="003D3638"/>
    <w:rsid w:val="003D3639"/>
    <w:rsid w:val="003D36C5"/>
    <w:rsid w:val="003D378E"/>
    <w:rsid w:val="003D3808"/>
    <w:rsid w:val="003D392F"/>
    <w:rsid w:val="003D39CD"/>
    <w:rsid w:val="003D39CE"/>
    <w:rsid w:val="003D3B2E"/>
    <w:rsid w:val="003D3B93"/>
    <w:rsid w:val="003D3BB4"/>
    <w:rsid w:val="003D3BBC"/>
    <w:rsid w:val="003D3D12"/>
    <w:rsid w:val="003D3D19"/>
    <w:rsid w:val="003D3D1E"/>
    <w:rsid w:val="003D3D29"/>
    <w:rsid w:val="003D3D72"/>
    <w:rsid w:val="003D3DFC"/>
    <w:rsid w:val="003D3F21"/>
    <w:rsid w:val="003D3F5A"/>
    <w:rsid w:val="003D4001"/>
    <w:rsid w:val="003D405C"/>
    <w:rsid w:val="003D40FD"/>
    <w:rsid w:val="003D4185"/>
    <w:rsid w:val="003D41C6"/>
    <w:rsid w:val="003D41FE"/>
    <w:rsid w:val="003D4279"/>
    <w:rsid w:val="003D42BD"/>
    <w:rsid w:val="003D42D5"/>
    <w:rsid w:val="003D435F"/>
    <w:rsid w:val="003D4366"/>
    <w:rsid w:val="003D43A3"/>
    <w:rsid w:val="003D43C7"/>
    <w:rsid w:val="003D441F"/>
    <w:rsid w:val="003D442F"/>
    <w:rsid w:val="003D44B0"/>
    <w:rsid w:val="003D4610"/>
    <w:rsid w:val="003D463A"/>
    <w:rsid w:val="003D47AC"/>
    <w:rsid w:val="003D4842"/>
    <w:rsid w:val="003D4950"/>
    <w:rsid w:val="003D4966"/>
    <w:rsid w:val="003D4A5D"/>
    <w:rsid w:val="003D4B62"/>
    <w:rsid w:val="003D4BEE"/>
    <w:rsid w:val="003D4BF0"/>
    <w:rsid w:val="003D4C73"/>
    <w:rsid w:val="003D4DEF"/>
    <w:rsid w:val="003D4E07"/>
    <w:rsid w:val="003D4EBE"/>
    <w:rsid w:val="003D4F2C"/>
    <w:rsid w:val="003D4F98"/>
    <w:rsid w:val="003D50AF"/>
    <w:rsid w:val="003D50CF"/>
    <w:rsid w:val="003D50F8"/>
    <w:rsid w:val="003D517D"/>
    <w:rsid w:val="003D5262"/>
    <w:rsid w:val="003D535D"/>
    <w:rsid w:val="003D53FC"/>
    <w:rsid w:val="003D54FB"/>
    <w:rsid w:val="003D552F"/>
    <w:rsid w:val="003D5655"/>
    <w:rsid w:val="003D5661"/>
    <w:rsid w:val="003D567C"/>
    <w:rsid w:val="003D57E2"/>
    <w:rsid w:val="003D58DC"/>
    <w:rsid w:val="003D5982"/>
    <w:rsid w:val="003D59F8"/>
    <w:rsid w:val="003D5B34"/>
    <w:rsid w:val="003D5BFF"/>
    <w:rsid w:val="003D5CE4"/>
    <w:rsid w:val="003D5D57"/>
    <w:rsid w:val="003D5E67"/>
    <w:rsid w:val="003D621C"/>
    <w:rsid w:val="003D6239"/>
    <w:rsid w:val="003D637A"/>
    <w:rsid w:val="003D64E6"/>
    <w:rsid w:val="003D6627"/>
    <w:rsid w:val="003D6676"/>
    <w:rsid w:val="003D66A3"/>
    <w:rsid w:val="003D671A"/>
    <w:rsid w:val="003D6724"/>
    <w:rsid w:val="003D674E"/>
    <w:rsid w:val="003D6751"/>
    <w:rsid w:val="003D6859"/>
    <w:rsid w:val="003D685C"/>
    <w:rsid w:val="003D68BA"/>
    <w:rsid w:val="003D69F9"/>
    <w:rsid w:val="003D6A6F"/>
    <w:rsid w:val="003D6B97"/>
    <w:rsid w:val="003D6C5C"/>
    <w:rsid w:val="003D6CAE"/>
    <w:rsid w:val="003D6D17"/>
    <w:rsid w:val="003D6DC7"/>
    <w:rsid w:val="003D6DE9"/>
    <w:rsid w:val="003D6EB5"/>
    <w:rsid w:val="003D6F38"/>
    <w:rsid w:val="003D70C1"/>
    <w:rsid w:val="003D70E4"/>
    <w:rsid w:val="003D7171"/>
    <w:rsid w:val="003D7285"/>
    <w:rsid w:val="003D738D"/>
    <w:rsid w:val="003D745E"/>
    <w:rsid w:val="003D74B3"/>
    <w:rsid w:val="003D75F5"/>
    <w:rsid w:val="003D76C6"/>
    <w:rsid w:val="003D7857"/>
    <w:rsid w:val="003D78D1"/>
    <w:rsid w:val="003D7952"/>
    <w:rsid w:val="003D7B6F"/>
    <w:rsid w:val="003D7C2A"/>
    <w:rsid w:val="003D7CB8"/>
    <w:rsid w:val="003D7D3B"/>
    <w:rsid w:val="003D7E26"/>
    <w:rsid w:val="003D7E37"/>
    <w:rsid w:val="003D7EA0"/>
    <w:rsid w:val="003D7ED2"/>
    <w:rsid w:val="003D7FA9"/>
    <w:rsid w:val="003E00E3"/>
    <w:rsid w:val="003E0129"/>
    <w:rsid w:val="003E0291"/>
    <w:rsid w:val="003E04C1"/>
    <w:rsid w:val="003E0518"/>
    <w:rsid w:val="003E0603"/>
    <w:rsid w:val="003E06E2"/>
    <w:rsid w:val="003E06E8"/>
    <w:rsid w:val="003E06FC"/>
    <w:rsid w:val="003E0905"/>
    <w:rsid w:val="003E09F4"/>
    <w:rsid w:val="003E0A41"/>
    <w:rsid w:val="003E0A6A"/>
    <w:rsid w:val="003E0A6C"/>
    <w:rsid w:val="003E0AEC"/>
    <w:rsid w:val="003E0AFA"/>
    <w:rsid w:val="003E0B1C"/>
    <w:rsid w:val="003E0F29"/>
    <w:rsid w:val="003E101D"/>
    <w:rsid w:val="003E1124"/>
    <w:rsid w:val="003E1153"/>
    <w:rsid w:val="003E11A0"/>
    <w:rsid w:val="003E11B6"/>
    <w:rsid w:val="003E1212"/>
    <w:rsid w:val="003E131F"/>
    <w:rsid w:val="003E1437"/>
    <w:rsid w:val="003E1459"/>
    <w:rsid w:val="003E1811"/>
    <w:rsid w:val="003E1894"/>
    <w:rsid w:val="003E1906"/>
    <w:rsid w:val="003E1AB1"/>
    <w:rsid w:val="003E1B21"/>
    <w:rsid w:val="003E1DE8"/>
    <w:rsid w:val="003E2041"/>
    <w:rsid w:val="003E2045"/>
    <w:rsid w:val="003E20CC"/>
    <w:rsid w:val="003E22D6"/>
    <w:rsid w:val="003E23CF"/>
    <w:rsid w:val="003E2444"/>
    <w:rsid w:val="003E258F"/>
    <w:rsid w:val="003E25CA"/>
    <w:rsid w:val="003E260F"/>
    <w:rsid w:val="003E274F"/>
    <w:rsid w:val="003E28E7"/>
    <w:rsid w:val="003E2AA2"/>
    <w:rsid w:val="003E2B28"/>
    <w:rsid w:val="003E2DB7"/>
    <w:rsid w:val="003E2E52"/>
    <w:rsid w:val="003E2F1E"/>
    <w:rsid w:val="003E2FA1"/>
    <w:rsid w:val="003E2FDA"/>
    <w:rsid w:val="003E30ED"/>
    <w:rsid w:val="003E30FA"/>
    <w:rsid w:val="003E3370"/>
    <w:rsid w:val="003E340A"/>
    <w:rsid w:val="003E362F"/>
    <w:rsid w:val="003E36D2"/>
    <w:rsid w:val="003E3736"/>
    <w:rsid w:val="003E3797"/>
    <w:rsid w:val="003E3916"/>
    <w:rsid w:val="003E3930"/>
    <w:rsid w:val="003E39B0"/>
    <w:rsid w:val="003E3A0B"/>
    <w:rsid w:val="003E3DC6"/>
    <w:rsid w:val="003E3DCB"/>
    <w:rsid w:val="003E3DFB"/>
    <w:rsid w:val="003E3E61"/>
    <w:rsid w:val="003E3E78"/>
    <w:rsid w:val="003E3EBB"/>
    <w:rsid w:val="003E3FA0"/>
    <w:rsid w:val="003E4244"/>
    <w:rsid w:val="003E441A"/>
    <w:rsid w:val="003E4509"/>
    <w:rsid w:val="003E4577"/>
    <w:rsid w:val="003E45C2"/>
    <w:rsid w:val="003E45E0"/>
    <w:rsid w:val="003E4623"/>
    <w:rsid w:val="003E47FF"/>
    <w:rsid w:val="003E484D"/>
    <w:rsid w:val="003E494E"/>
    <w:rsid w:val="003E4B36"/>
    <w:rsid w:val="003E4BC7"/>
    <w:rsid w:val="003E4BF7"/>
    <w:rsid w:val="003E4CB0"/>
    <w:rsid w:val="003E4CC3"/>
    <w:rsid w:val="003E4CC7"/>
    <w:rsid w:val="003E4DA2"/>
    <w:rsid w:val="003E4DAD"/>
    <w:rsid w:val="003E4E21"/>
    <w:rsid w:val="003E4E71"/>
    <w:rsid w:val="003E4E9D"/>
    <w:rsid w:val="003E4EF9"/>
    <w:rsid w:val="003E4F04"/>
    <w:rsid w:val="003E4F82"/>
    <w:rsid w:val="003E4F8F"/>
    <w:rsid w:val="003E5127"/>
    <w:rsid w:val="003E5178"/>
    <w:rsid w:val="003E5295"/>
    <w:rsid w:val="003E5302"/>
    <w:rsid w:val="003E538A"/>
    <w:rsid w:val="003E539E"/>
    <w:rsid w:val="003E5456"/>
    <w:rsid w:val="003E54B7"/>
    <w:rsid w:val="003E56C7"/>
    <w:rsid w:val="003E5763"/>
    <w:rsid w:val="003E57DE"/>
    <w:rsid w:val="003E5883"/>
    <w:rsid w:val="003E5992"/>
    <w:rsid w:val="003E5A00"/>
    <w:rsid w:val="003E5A34"/>
    <w:rsid w:val="003E5B01"/>
    <w:rsid w:val="003E5B0B"/>
    <w:rsid w:val="003E5B79"/>
    <w:rsid w:val="003E5BA8"/>
    <w:rsid w:val="003E5C74"/>
    <w:rsid w:val="003E5C91"/>
    <w:rsid w:val="003E5D2D"/>
    <w:rsid w:val="003E5DAC"/>
    <w:rsid w:val="003E5E1D"/>
    <w:rsid w:val="003E5E94"/>
    <w:rsid w:val="003E5EC3"/>
    <w:rsid w:val="003E5F37"/>
    <w:rsid w:val="003E5F98"/>
    <w:rsid w:val="003E5FE4"/>
    <w:rsid w:val="003E6182"/>
    <w:rsid w:val="003E61AC"/>
    <w:rsid w:val="003E6393"/>
    <w:rsid w:val="003E6509"/>
    <w:rsid w:val="003E650E"/>
    <w:rsid w:val="003E66A2"/>
    <w:rsid w:val="003E6758"/>
    <w:rsid w:val="003E6798"/>
    <w:rsid w:val="003E68AC"/>
    <w:rsid w:val="003E68CD"/>
    <w:rsid w:val="003E68DD"/>
    <w:rsid w:val="003E6A27"/>
    <w:rsid w:val="003E6ACA"/>
    <w:rsid w:val="003E6CE9"/>
    <w:rsid w:val="003E6DBE"/>
    <w:rsid w:val="003E6EFD"/>
    <w:rsid w:val="003E6F85"/>
    <w:rsid w:val="003E6F87"/>
    <w:rsid w:val="003E6F8D"/>
    <w:rsid w:val="003E6FD3"/>
    <w:rsid w:val="003E7010"/>
    <w:rsid w:val="003E7041"/>
    <w:rsid w:val="003E7054"/>
    <w:rsid w:val="003E7106"/>
    <w:rsid w:val="003E719E"/>
    <w:rsid w:val="003E7285"/>
    <w:rsid w:val="003E7295"/>
    <w:rsid w:val="003E72F0"/>
    <w:rsid w:val="003E7361"/>
    <w:rsid w:val="003E74B5"/>
    <w:rsid w:val="003E74DB"/>
    <w:rsid w:val="003E760F"/>
    <w:rsid w:val="003E78C7"/>
    <w:rsid w:val="003E797E"/>
    <w:rsid w:val="003E798A"/>
    <w:rsid w:val="003E7A6C"/>
    <w:rsid w:val="003E7AC1"/>
    <w:rsid w:val="003E7B49"/>
    <w:rsid w:val="003E7BDF"/>
    <w:rsid w:val="003E7C24"/>
    <w:rsid w:val="003E7E59"/>
    <w:rsid w:val="003E7EEC"/>
    <w:rsid w:val="003E7FCB"/>
    <w:rsid w:val="003E7FF7"/>
    <w:rsid w:val="003F0045"/>
    <w:rsid w:val="003F01B6"/>
    <w:rsid w:val="003F03C1"/>
    <w:rsid w:val="003F046A"/>
    <w:rsid w:val="003F0560"/>
    <w:rsid w:val="003F05D3"/>
    <w:rsid w:val="003F05EA"/>
    <w:rsid w:val="003F0609"/>
    <w:rsid w:val="003F0811"/>
    <w:rsid w:val="003F089B"/>
    <w:rsid w:val="003F096A"/>
    <w:rsid w:val="003F0A7B"/>
    <w:rsid w:val="003F0B00"/>
    <w:rsid w:val="003F0C87"/>
    <w:rsid w:val="003F0DD1"/>
    <w:rsid w:val="003F0E88"/>
    <w:rsid w:val="003F0EF8"/>
    <w:rsid w:val="003F0FA4"/>
    <w:rsid w:val="003F0FBF"/>
    <w:rsid w:val="003F1042"/>
    <w:rsid w:val="003F106C"/>
    <w:rsid w:val="003F1334"/>
    <w:rsid w:val="003F1354"/>
    <w:rsid w:val="003F13A3"/>
    <w:rsid w:val="003F1416"/>
    <w:rsid w:val="003F149F"/>
    <w:rsid w:val="003F15B9"/>
    <w:rsid w:val="003F15DB"/>
    <w:rsid w:val="003F15EA"/>
    <w:rsid w:val="003F1689"/>
    <w:rsid w:val="003F16BC"/>
    <w:rsid w:val="003F170E"/>
    <w:rsid w:val="003F1737"/>
    <w:rsid w:val="003F1741"/>
    <w:rsid w:val="003F1933"/>
    <w:rsid w:val="003F1936"/>
    <w:rsid w:val="003F197A"/>
    <w:rsid w:val="003F19C1"/>
    <w:rsid w:val="003F1A11"/>
    <w:rsid w:val="003F1A27"/>
    <w:rsid w:val="003F1ACE"/>
    <w:rsid w:val="003F1C55"/>
    <w:rsid w:val="003F1CB3"/>
    <w:rsid w:val="003F1DEB"/>
    <w:rsid w:val="003F1E91"/>
    <w:rsid w:val="003F1EBC"/>
    <w:rsid w:val="003F1EDB"/>
    <w:rsid w:val="003F1F93"/>
    <w:rsid w:val="003F210A"/>
    <w:rsid w:val="003F2164"/>
    <w:rsid w:val="003F222A"/>
    <w:rsid w:val="003F226C"/>
    <w:rsid w:val="003F22F9"/>
    <w:rsid w:val="003F237F"/>
    <w:rsid w:val="003F23B3"/>
    <w:rsid w:val="003F23DA"/>
    <w:rsid w:val="003F248C"/>
    <w:rsid w:val="003F24BB"/>
    <w:rsid w:val="003F24DE"/>
    <w:rsid w:val="003F25DD"/>
    <w:rsid w:val="003F2617"/>
    <w:rsid w:val="003F266E"/>
    <w:rsid w:val="003F267F"/>
    <w:rsid w:val="003F275D"/>
    <w:rsid w:val="003F27A3"/>
    <w:rsid w:val="003F27C6"/>
    <w:rsid w:val="003F27E3"/>
    <w:rsid w:val="003F280E"/>
    <w:rsid w:val="003F2897"/>
    <w:rsid w:val="003F28BA"/>
    <w:rsid w:val="003F28C1"/>
    <w:rsid w:val="003F29EB"/>
    <w:rsid w:val="003F2C5B"/>
    <w:rsid w:val="003F2C6E"/>
    <w:rsid w:val="003F2CA5"/>
    <w:rsid w:val="003F2CE0"/>
    <w:rsid w:val="003F2E2A"/>
    <w:rsid w:val="003F2E7F"/>
    <w:rsid w:val="003F2E83"/>
    <w:rsid w:val="003F2E97"/>
    <w:rsid w:val="003F2F6E"/>
    <w:rsid w:val="003F3011"/>
    <w:rsid w:val="003F30BB"/>
    <w:rsid w:val="003F314D"/>
    <w:rsid w:val="003F326B"/>
    <w:rsid w:val="003F33BA"/>
    <w:rsid w:val="003F3455"/>
    <w:rsid w:val="003F35BB"/>
    <w:rsid w:val="003F370F"/>
    <w:rsid w:val="003F3729"/>
    <w:rsid w:val="003F38BE"/>
    <w:rsid w:val="003F3B4B"/>
    <w:rsid w:val="003F3B98"/>
    <w:rsid w:val="003F3BF8"/>
    <w:rsid w:val="003F3C9B"/>
    <w:rsid w:val="003F3CED"/>
    <w:rsid w:val="003F3D10"/>
    <w:rsid w:val="003F3D39"/>
    <w:rsid w:val="003F3DC6"/>
    <w:rsid w:val="003F3E0A"/>
    <w:rsid w:val="003F3ED2"/>
    <w:rsid w:val="003F3FAF"/>
    <w:rsid w:val="003F400C"/>
    <w:rsid w:val="003F4051"/>
    <w:rsid w:val="003F4098"/>
    <w:rsid w:val="003F40DE"/>
    <w:rsid w:val="003F4110"/>
    <w:rsid w:val="003F4153"/>
    <w:rsid w:val="003F4191"/>
    <w:rsid w:val="003F41A8"/>
    <w:rsid w:val="003F429B"/>
    <w:rsid w:val="003F429E"/>
    <w:rsid w:val="003F4451"/>
    <w:rsid w:val="003F44D0"/>
    <w:rsid w:val="003F4568"/>
    <w:rsid w:val="003F458E"/>
    <w:rsid w:val="003F4615"/>
    <w:rsid w:val="003F475F"/>
    <w:rsid w:val="003F4781"/>
    <w:rsid w:val="003F4B8D"/>
    <w:rsid w:val="003F4BCA"/>
    <w:rsid w:val="003F4C27"/>
    <w:rsid w:val="003F4C2A"/>
    <w:rsid w:val="003F4CA8"/>
    <w:rsid w:val="003F4D95"/>
    <w:rsid w:val="003F4DF2"/>
    <w:rsid w:val="003F4E39"/>
    <w:rsid w:val="003F5022"/>
    <w:rsid w:val="003F5063"/>
    <w:rsid w:val="003F50D8"/>
    <w:rsid w:val="003F50F9"/>
    <w:rsid w:val="003F5100"/>
    <w:rsid w:val="003F5104"/>
    <w:rsid w:val="003F5187"/>
    <w:rsid w:val="003F5446"/>
    <w:rsid w:val="003F546B"/>
    <w:rsid w:val="003F54BE"/>
    <w:rsid w:val="003F555D"/>
    <w:rsid w:val="003F55A4"/>
    <w:rsid w:val="003F5656"/>
    <w:rsid w:val="003F567C"/>
    <w:rsid w:val="003F56DC"/>
    <w:rsid w:val="003F5718"/>
    <w:rsid w:val="003F5875"/>
    <w:rsid w:val="003F593F"/>
    <w:rsid w:val="003F5986"/>
    <w:rsid w:val="003F59F1"/>
    <w:rsid w:val="003F5A65"/>
    <w:rsid w:val="003F5BED"/>
    <w:rsid w:val="003F5D91"/>
    <w:rsid w:val="003F5E2D"/>
    <w:rsid w:val="003F5F4B"/>
    <w:rsid w:val="003F5FF1"/>
    <w:rsid w:val="003F606F"/>
    <w:rsid w:val="003F60CB"/>
    <w:rsid w:val="003F617C"/>
    <w:rsid w:val="003F61CA"/>
    <w:rsid w:val="003F63F3"/>
    <w:rsid w:val="003F6448"/>
    <w:rsid w:val="003F646C"/>
    <w:rsid w:val="003F6470"/>
    <w:rsid w:val="003F650B"/>
    <w:rsid w:val="003F6576"/>
    <w:rsid w:val="003F6662"/>
    <w:rsid w:val="003F66B1"/>
    <w:rsid w:val="003F66DD"/>
    <w:rsid w:val="003F6753"/>
    <w:rsid w:val="003F68EE"/>
    <w:rsid w:val="003F6970"/>
    <w:rsid w:val="003F69BD"/>
    <w:rsid w:val="003F6A57"/>
    <w:rsid w:val="003F6B61"/>
    <w:rsid w:val="003F6BA9"/>
    <w:rsid w:val="003F6C14"/>
    <w:rsid w:val="003F6C68"/>
    <w:rsid w:val="003F6D13"/>
    <w:rsid w:val="003F6E49"/>
    <w:rsid w:val="003F6F10"/>
    <w:rsid w:val="003F6F28"/>
    <w:rsid w:val="003F6F3D"/>
    <w:rsid w:val="003F70BD"/>
    <w:rsid w:val="003F7184"/>
    <w:rsid w:val="003F719E"/>
    <w:rsid w:val="003F71D9"/>
    <w:rsid w:val="003F72E4"/>
    <w:rsid w:val="003F739A"/>
    <w:rsid w:val="003F73D8"/>
    <w:rsid w:val="003F7431"/>
    <w:rsid w:val="003F74BC"/>
    <w:rsid w:val="003F74F2"/>
    <w:rsid w:val="003F7560"/>
    <w:rsid w:val="003F7758"/>
    <w:rsid w:val="003F778D"/>
    <w:rsid w:val="003F77AF"/>
    <w:rsid w:val="003F7943"/>
    <w:rsid w:val="003F7947"/>
    <w:rsid w:val="003F79EF"/>
    <w:rsid w:val="003F7A43"/>
    <w:rsid w:val="003F7AAF"/>
    <w:rsid w:val="003F7AD6"/>
    <w:rsid w:val="003F7D7D"/>
    <w:rsid w:val="003F7DF1"/>
    <w:rsid w:val="003F7E12"/>
    <w:rsid w:val="003F7F36"/>
    <w:rsid w:val="004000AE"/>
    <w:rsid w:val="0040019A"/>
    <w:rsid w:val="0040028E"/>
    <w:rsid w:val="0040042A"/>
    <w:rsid w:val="0040051E"/>
    <w:rsid w:val="0040066D"/>
    <w:rsid w:val="00400722"/>
    <w:rsid w:val="00400773"/>
    <w:rsid w:val="0040079C"/>
    <w:rsid w:val="004008BC"/>
    <w:rsid w:val="0040093E"/>
    <w:rsid w:val="004009BC"/>
    <w:rsid w:val="00400B6A"/>
    <w:rsid w:val="00400B8E"/>
    <w:rsid w:val="00400B8F"/>
    <w:rsid w:val="00400D29"/>
    <w:rsid w:val="00400D8C"/>
    <w:rsid w:val="00400E58"/>
    <w:rsid w:val="00400EB6"/>
    <w:rsid w:val="00400FDA"/>
    <w:rsid w:val="0040114A"/>
    <w:rsid w:val="00401193"/>
    <w:rsid w:val="004011BC"/>
    <w:rsid w:val="0040122C"/>
    <w:rsid w:val="00401284"/>
    <w:rsid w:val="0040133F"/>
    <w:rsid w:val="004013B9"/>
    <w:rsid w:val="00401560"/>
    <w:rsid w:val="004015DB"/>
    <w:rsid w:val="00401776"/>
    <w:rsid w:val="004017AD"/>
    <w:rsid w:val="004017FF"/>
    <w:rsid w:val="0040184B"/>
    <w:rsid w:val="0040192E"/>
    <w:rsid w:val="00401A4B"/>
    <w:rsid w:val="00401C0D"/>
    <w:rsid w:val="00401C70"/>
    <w:rsid w:val="00401CF2"/>
    <w:rsid w:val="00401D06"/>
    <w:rsid w:val="00401D68"/>
    <w:rsid w:val="00401DCC"/>
    <w:rsid w:val="00401E8E"/>
    <w:rsid w:val="00401EE2"/>
    <w:rsid w:val="004020C9"/>
    <w:rsid w:val="00402162"/>
    <w:rsid w:val="00402176"/>
    <w:rsid w:val="004021D5"/>
    <w:rsid w:val="0040222E"/>
    <w:rsid w:val="0040226A"/>
    <w:rsid w:val="004022BE"/>
    <w:rsid w:val="0040233F"/>
    <w:rsid w:val="00402712"/>
    <w:rsid w:val="00402763"/>
    <w:rsid w:val="004027E9"/>
    <w:rsid w:val="00402875"/>
    <w:rsid w:val="004028F6"/>
    <w:rsid w:val="004029B3"/>
    <w:rsid w:val="004029CE"/>
    <w:rsid w:val="00402A80"/>
    <w:rsid w:val="00402AC6"/>
    <w:rsid w:val="00402C96"/>
    <w:rsid w:val="00402CAB"/>
    <w:rsid w:val="00402CC7"/>
    <w:rsid w:val="00402DB6"/>
    <w:rsid w:val="00402E4D"/>
    <w:rsid w:val="00402E65"/>
    <w:rsid w:val="00402FCB"/>
    <w:rsid w:val="0040305F"/>
    <w:rsid w:val="004030A8"/>
    <w:rsid w:val="004030BE"/>
    <w:rsid w:val="004030C1"/>
    <w:rsid w:val="004031F1"/>
    <w:rsid w:val="00403239"/>
    <w:rsid w:val="0040323A"/>
    <w:rsid w:val="00403243"/>
    <w:rsid w:val="0040339F"/>
    <w:rsid w:val="0040343C"/>
    <w:rsid w:val="004034B5"/>
    <w:rsid w:val="004034D9"/>
    <w:rsid w:val="004034E5"/>
    <w:rsid w:val="0040352D"/>
    <w:rsid w:val="004035CE"/>
    <w:rsid w:val="00403618"/>
    <w:rsid w:val="0040363D"/>
    <w:rsid w:val="0040365D"/>
    <w:rsid w:val="00403729"/>
    <w:rsid w:val="0040373D"/>
    <w:rsid w:val="004038C9"/>
    <w:rsid w:val="00403920"/>
    <w:rsid w:val="00403949"/>
    <w:rsid w:val="0040394F"/>
    <w:rsid w:val="00403B36"/>
    <w:rsid w:val="00403BAB"/>
    <w:rsid w:val="00403C3B"/>
    <w:rsid w:val="00403C50"/>
    <w:rsid w:val="00403D06"/>
    <w:rsid w:val="00403D6F"/>
    <w:rsid w:val="00403E3C"/>
    <w:rsid w:val="00403E75"/>
    <w:rsid w:val="00403F01"/>
    <w:rsid w:val="00403F32"/>
    <w:rsid w:val="00403FED"/>
    <w:rsid w:val="00404097"/>
    <w:rsid w:val="004041C3"/>
    <w:rsid w:val="004041C7"/>
    <w:rsid w:val="004041D8"/>
    <w:rsid w:val="0040430E"/>
    <w:rsid w:val="004043FF"/>
    <w:rsid w:val="004044C2"/>
    <w:rsid w:val="004044E5"/>
    <w:rsid w:val="004045D7"/>
    <w:rsid w:val="00404604"/>
    <w:rsid w:val="00404705"/>
    <w:rsid w:val="00404782"/>
    <w:rsid w:val="004047CA"/>
    <w:rsid w:val="004049CC"/>
    <w:rsid w:val="00404AB2"/>
    <w:rsid w:val="00404B7C"/>
    <w:rsid w:val="00404C6C"/>
    <w:rsid w:val="00404F6A"/>
    <w:rsid w:val="00405041"/>
    <w:rsid w:val="0040514C"/>
    <w:rsid w:val="00405161"/>
    <w:rsid w:val="004052C9"/>
    <w:rsid w:val="0040538B"/>
    <w:rsid w:val="00405403"/>
    <w:rsid w:val="004054D6"/>
    <w:rsid w:val="00405621"/>
    <w:rsid w:val="0040563A"/>
    <w:rsid w:val="00405692"/>
    <w:rsid w:val="004056A9"/>
    <w:rsid w:val="00405717"/>
    <w:rsid w:val="00405845"/>
    <w:rsid w:val="0040585B"/>
    <w:rsid w:val="00405895"/>
    <w:rsid w:val="00405A5C"/>
    <w:rsid w:val="00405AE1"/>
    <w:rsid w:val="00405C91"/>
    <w:rsid w:val="00405D05"/>
    <w:rsid w:val="00405D20"/>
    <w:rsid w:val="00405E86"/>
    <w:rsid w:val="00405EE7"/>
    <w:rsid w:val="00405FD7"/>
    <w:rsid w:val="00406031"/>
    <w:rsid w:val="00406149"/>
    <w:rsid w:val="004061E8"/>
    <w:rsid w:val="0040620F"/>
    <w:rsid w:val="004062B5"/>
    <w:rsid w:val="00406313"/>
    <w:rsid w:val="00406440"/>
    <w:rsid w:val="004064A2"/>
    <w:rsid w:val="00406542"/>
    <w:rsid w:val="0040666E"/>
    <w:rsid w:val="00406699"/>
    <w:rsid w:val="004066B9"/>
    <w:rsid w:val="00406777"/>
    <w:rsid w:val="004067E8"/>
    <w:rsid w:val="004068C4"/>
    <w:rsid w:val="0040690E"/>
    <w:rsid w:val="00406A19"/>
    <w:rsid w:val="00406ADC"/>
    <w:rsid w:val="00406C92"/>
    <w:rsid w:val="00406CAE"/>
    <w:rsid w:val="00406DD9"/>
    <w:rsid w:val="00406E36"/>
    <w:rsid w:val="00406EF6"/>
    <w:rsid w:val="00406F0C"/>
    <w:rsid w:val="0040703E"/>
    <w:rsid w:val="004071F4"/>
    <w:rsid w:val="004072B5"/>
    <w:rsid w:val="004072D6"/>
    <w:rsid w:val="0040735F"/>
    <w:rsid w:val="004073AA"/>
    <w:rsid w:val="004074DA"/>
    <w:rsid w:val="0040762E"/>
    <w:rsid w:val="004076C1"/>
    <w:rsid w:val="004076DF"/>
    <w:rsid w:val="00407776"/>
    <w:rsid w:val="0040777B"/>
    <w:rsid w:val="004079D8"/>
    <w:rsid w:val="00407AA0"/>
    <w:rsid w:val="00407D1B"/>
    <w:rsid w:val="00407D30"/>
    <w:rsid w:val="00407DA5"/>
    <w:rsid w:val="00407DD7"/>
    <w:rsid w:val="00407E15"/>
    <w:rsid w:val="00407E93"/>
    <w:rsid w:val="00407F6D"/>
    <w:rsid w:val="00407FEE"/>
    <w:rsid w:val="004100AE"/>
    <w:rsid w:val="0041021A"/>
    <w:rsid w:val="00410417"/>
    <w:rsid w:val="004104F7"/>
    <w:rsid w:val="004104FF"/>
    <w:rsid w:val="00410701"/>
    <w:rsid w:val="0041075B"/>
    <w:rsid w:val="0041075F"/>
    <w:rsid w:val="0041084F"/>
    <w:rsid w:val="0041087E"/>
    <w:rsid w:val="004108B7"/>
    <w:rsid w:val="0041090F"/>
    <w:rsid w:val="00410917"/>
    <w:rsid w:val="00410923"/>
    <w:rsid w:val="00410984"/>
    <w:rsid w:val="00410B04"/>
    <w:rsid w:val="00410B8A"/>
    <w:rsid w:val="00410BE6"/>
    <w:rsid w:val="00410C5B"/>
    <w:rsid w:val="00410CB3"/>
    <w:rsid w:val="00410DC1"/>
    <w:rsid w:val="00410E03"/>
    <w:rsid w:val="00410FEB"/>
    <w:rsid w:val="00410FFD"/>
    <w:rsid w:val="00411138"/>
    <w:rsid w:val="00411285"/>
    <w:rsid w:val="004112D0"/>
    <w:rsid w:val="004114DD"/>
    <w:rsid w:val="004117DC"/>
    <w:rsid w:val="00411839"/>
    <w:rsid w:val="0041183C"/>
    <w:rsid w:val="00411850"/>
    <w:rsid w:val="00411981"/>
    <w:rsid w:val="00411B62"/>
    <w:rsid w:val="00411BFA"/>
    <w:rsid w:val="00411C0F"/>
    <w:rsid w:val="00411C9B"/>
    <w:rsid w:val="00411CAF"/>
    <w:rsid w:val="00411D47"/>
    <w:rsid w:val="00411E03"/>
    <w:rsid w:val="00411E73"/>
    <w:rsid w:val="0041206C"/>
    <w:rsid w:val="004121AE"/>
    <w:rsid w:val="00412222"/>
    <w:rsid w:val="00412299"/>
    <w:rsid w:val="004122B7"/>
    <w:rsid w:val="00412310"/>
    <w:rsid w:val="0041237F"/>
    <w:rsid w:val="004123C2"/>
    <w:rsid w:val="00412460"/>
    <w:rsid w:val="004125A3"/>
    <w:rsid w:val="00412682"/>
    <w:rsid w:val="00412689"/>
    <w:rsid w:val="00412711"/>
    <w:rsid w:val="004128BC"/>
    <w:rsid w:val="0041295B"/>
    <w:rsid w:val="00412BA5"/>
    <w:rsid w:val="00412CD2"/>
    <w:rsid w:val="00412CE6"/>
    <w:rsid w:val="00412CF1"/>
    <w:rsid w:val="00412D08"/>
    <w:rsid w:val="00412D6F"/>
    <w:rsid w:val="00412DD6"/>
    <w:rsid w:val="00412EFC"/>
    <w:rsid w:val="0041308C"/>
    <w:rsid w:val="0041308E"/>
    <w:rsid w:val="0041310D"/>
    <w:rsid w:val="00413161"/>
    <w:rsid w:val="004131CE"/>
    <w:rsid w:val="0041321B"/>
    <w:rsid w:val="00413227"/>
    <w:rsid w:val="00413286"/>
    <w:rsid w:val="004132F1"/>
    <w:rsid w:val="00413451"/>
    <w:rsid w:val="004134AB"/>
    <w:rsid w:val="00413596"/>
    <w:rsid w:val="004135EB"/>
    <w:rsid w:val="004135F7"/>
    <w:rsid w:val="00413602"/>
    <w:rsid w:val="0041363D"/>
    <w:rsid w:val="00413664"/>
    <w:rsid w:val="004136B3"/>
    <w:rsid w:val="00413710"/>
    <w:rsid w:val="00413738"/>
    <w:rsid w:val="00413992"/>
    <w:rsid w:val="00413996"/>
    <w:rsid w:val="004139AB"/>
    <w:rsid w:val="00413A62"/>
    <w:rsid w:val="00413B34"/>
    <w:rsid w:val="00413B53"/>
    <w:rsid w:val="00413D9B"/>
    <w:rsid w:val="00413E84"/>
    <w:rsid w:val="00413F25"/>
    <w:rsid w:val="00413FD7"/>
    <w:rsid w:val="0041404A"/>
    <w:rsid w:val="004140C8"/>
    <w:rsid w:val="00414228"/>
    <w:rsid w:val="00414253"/>
    <w:rsid w:val="0041426B"/>
    <w:rsid w:val="004142F0"/>
    <w:rsid w:val="004143DB"/>
    <w:rsid w:val="0041454B"/>
    <w:rsid w:val="00414599"/>
    <w:rsid w:val="00414612"/>
    <w:rsid w:val="0041464C"/>
    <w:rsid w:val="004146CB"/>
    <w:rsid w:val="00414915"/>
    <w:rsid w:val="00414935"/>
    <w:rsid w:val="00414938"/>
    <w:rsid w:val="0041496D"/>
    <w:rsid w:val="00414982"/>
    <w:rsid w:val="00414AB1"/>
    <w:rsid w:val="00414B38"/>
    <w:rsid w:val="00414B5A"/>
    <w:rsid w:val="00414C1E"/>
    <w:rsid w:val="00414CB1"/>
    <w:rsid w:val="00414F4A"/>
    <w:rsid w:val="00414FD8"/>
    <w:rsid w:val="00415141"/>
    <w:rsid w:val="0041528F"/>
    <w:rsid w:val="004152F0"/>
    <w:rsid w:val="00415346"/>
    <w:rsid w:val="00415347"/>
    <w:rsid w:val="004153E1"/>
    <w:rsid w:val="00415414"/>
    <w:rsid w:val="004154F2"/>
    <w:rsid w:val="0041556D"/>
    <w:rsid w:val="004155E8"/>
    <w:rsid w:val="00415625"/>
    <w:rsid w:val="00415716"/>
    <w:rsid w:val="00415813"/>
    <w:rsid w:val="0041585E"/>
    <w:rsid w:val="0041596B"/>
    <w:rsid w:val="0041596E"/>
    <w:rsid w:val="00415A04"/>
    <w:rsid w:val="00415A1B"/>
    <w:rsid w:val="00415BA3"/>
    <w:rsid w:val="00415C74"/>
    <w:rsid w:val="00415DE8"/>
    <w:rsid w:val="00415F8A"/>
    <w:rsid w:val="00415FFE"/>
    <w:rsid w:val="00416024"/>
    <w:rsid w:val="0041622E"/>
    <w:rsid w:val="00416265"/>
    <w:rsid w:val="00416320"/>
    <w:rsid w:val="00416347"/>
    <w:rsid w:val="0041654B"/>
    <w:rsid w:val="0041656D"/>
    <w:rsid w:val="00416578"/>
    <w:rsid w:val="004165B4"/>
    <w:rsid w:val="00416785"/>
    <w:rsid w:val="00416806"/>
    <w:rsid w:val="00416828"/>
    <w:rsid w:val="004168F2"/>
    <w:rsid w:val="00416926"/>
    <w:rsid w:val="004169C5"/>
    <w:rsid w:val="00416A44"/>
    <w:rsid w:val="00416B1A"/>
    <w:rsid w:val="00416B88"/>
    <w:rsid w:val="00416BC6"/>
    <w:rsid w:val="00416BFD"/>
    <w:rsid w:val="00416D08"/>
    <w:rsid w:val="00416E58"/>
    <w:rsid w:val="00416E5F"/>
    <w:rsid w:val="00416EA7"/>
    <w:rsid w:val="0041704F"/>
    <w:rsid w:val="004171C4"/>
    <w:rsid w:val="004172A6"/>
    <w:rsid w:val="004173F6"/>
    <w:rsid w:val="00417466"/>
    <w:rsid w:val="004174F6"/>
    <w:rsid w:val="0041751D"/>
    <w:rsid w:val="00417601"/>
    <w:rsid w:val="00417769"/>
    <w:rsid w:val="0041776B"/>
    <w:rsid w:val="0041785D"/>
    <w:rsid w:val="004178D3"/>
    <w:rsid w:val="004179B4"/>
    <w:rsid w:val="00417A19"/>
    <w:rsid w:val="00417A2F"/>
    <w:rsid w:val="00417B06"/>
    <w:rsid w:val="00417B54"/>
    <w:rsid w:val="00417BE3"/>
    <w:rsid w:val="00417BEA"/>
    <w:rsid w:val="00417C31"/>
    <w:rsid w:val="00417CAD"/>
    <w:rsid w:val="00417CEE"/>
    <w:rsid w:val="00417D01"/>
    <w:rsid w:val="00417E28"/>
    <w:rsid w:val="00417E99"/>
    <w:rsid w:val="00417FA9"/>
    <w:rsid w:val="00420080"/>
    <w:rsid w:val="004200F2"/>
    <w:rsid w:val="00420235"/>
    <w:rsid w:val="004202E1"/>
    <w:rsid w:val="00420373"/>
    <w:rsid w:val="004203AF"/>
    <w:rsid w:val="0042055F"/>
    <w:rsid w:val="0042078E"/>
    <w:rsid w:val="0042079A"/>
    <w:rsid w:val="004208CB"/>
    <w:rsid w:val="0042096B"/>
    <w:rsid w:val="004209BF"/>
    <w:rsid w:val="00420CE1"/>
    <w:rsid w:val="00420CEF"/>
    <w:rsid w:val="00420DF4"/>
    <w:rsid w:val="00420E09"/>
    <w:rsid w:val="00420F08"/>
    <w:rsid w:val="00420F67"/>
    <w:rsid w:val="00420FA5"/>
    <w:rsid w:val="00420FF5"/>
    <w:rsid w:val="00421030"/>
    <w:rsid w:val="004210F0"/>
    <w:rsid w:val="0042125E"/>
    <w:rsid w:val="004212B4"/>
    <w:rsid w:val="004212F5"/>
    <w:rsid w:val="004213D0"/>
    <w:rsid w:val="004213DB"/>
    <w:rsid w:val="0042140A"/>
    <w:rsid w:val="004214DB"/>
    <w:rsid w:val="00421551"/>
    <w:rsid w:val="0042158A"/>
    <w:rsid w:val="004215B4"/>
    <w:rsid w:val="004215E9"/>
    <w:rsid w:val="00421760"/>
    <w:rsid w:val="00421781"/>
    <w:rsid w:val="004217A5"/>
    <w:rsid w:val="00421869"/>
    <w:rsid w:val="00421A3B"/>
    <w:rsid w:val="00421A8E"/>
    <w:rsid w:val="00421BA8"/>
    <w:rsid w:val="00421D1C"/>
    <w:rsid w:val="00421D82"/>
    <w:rsid w:val="00421E77"/>
    <w:rsid w:val="0042209B"/>
    <w:rsid w:val="00422167"/>
    <w:rsid w:val="004221A7"/>
    <w:rsid w:val="0042226B"/>
    <w:rsid w:val="004222EC"/>
    <w:rsid w:val="0042237D"/>
    <w:rsid w:val="004223B3"/>
    <w:rsid w:val="0042248E"/>
    <w:rsid w:val="00422563"/>
    <w:rsid w:val="00422637"/>
    <w:rsid w:val="00422654"/>
    <w:rsid w:val="004227C2"/>
    <w:rsid w:val="004228AA"/>
    <w:rsid w:val="004228FF"/>
    <w:rsid w:val="00422ABD"/>
    <w:rsid w:val="00422B3C"/>
    <w:rsid w:val="00422B81"/>
    <w:rsid w:val="00422C0B"/>
    <w:rsid w:val="00422CC5"/>
    <w:rsid w:val="00422D1D"/>
    <w:rsid w:val="00422E02"/>
    <w:rsid w:val="00422E23"/>
    <w:rsid w:val="00422E7B"/>
    <w:rsid w:val="00422E9F"/>
    <w:rsid w:val="00422F04"/>
    <w:rsid w:val="00423074"/>
    <w:rsid w:val="00423078"/>
    <w:rsid w:val="004230F0"/>
    <w:rsid w:val="004231C8"/>
    <w:rsid w:val="004231EC"/>
    <w:rsid w:val="004231EF"/>
    <w:rsid w:val="0042330B"/>
    <w:rsid w:val="00423320"/>
    <w:rsid w:val="004233F8"/>
    <w:rsid w:val="0042345F"/>
    <w:rsid w:val="004235DE"/>
    <w:rsid w:val="0042369D"/>
    <w:rsid w:val="004236C8"/>
    <w:rsid w:val="0042378E"/>
    <w:rsid w:val="004237D0"/>
    <w:rsid w:val="004238F8"/>
    <w:rsid w:val="0042392D"/>
    <w:rsid w:val="0042394A"/>
    <w:rsid w:val="00423A60"/>
    <w:rsid w:val="00423A8E"/>
    <w:rsid w:val="00423B7A"/>
    <w:rsid w:val="00423BBE"/>
    <w:rsid w:val="00423BF0"/>
    <w:rsid w:val="00423CCD"/>
    <w:rsid w:val="00423CCF"/>
    <w:rsid w:val="00423CD6"/>
    <w:rsid w:val="00423D9C"/>
    <w:rsid w:val="00423E7D"/>
    <w:rsid w:val="00424091"/>
    <w:rsid w:val="004240C5"/>
    <w:rsid w:val="00424125"/>
    <w:rsid w:val="004241BF"/>
    <w:rsid w:val="0042421D"/>
    <w:rsid w:val="0042442F"/>
    <w:rsid w:val="00424455"/>
    <w:rsid w:val="00424522"/>
    <w:rsid w:val="004245FB"/>
    <w:rsid w:val="004246B2"/>
    <w:rsid w:val="00424741"/>
    <w:rsid w:val="0042477C"/>
    <w:rsid w:val="0042481B"/>
    <w:rsid w:val="0042484C"/>
    <w:rsid w:val="00424883"/>
    <w:rsid w:val="004248C7"/>
    <w:rsid w:val="0042492F"/>
    <w:rsid w:val="00424983"/>
    <w:rsid w:val="00424AA3"/>
    <w:rsid w:val="00424B53"/>
    <w:rsid w:val="00424C07"/>
    <w:rsid w:val="00424C30"/>
    <w:rsid w:val="00424C32"/>
    <w:rsid w:val="00424CEB"/>
    <w:rsid w:val="00424CF5"/>
    <w:rsid w:val="00424DB3"/>
    <w:rsid w:val="00424E65"/>
    <w:rsid w:val="00424E82"/>
    <w:rsid w:val="00424EE4"/>
    <w:rsid w:val="00424FA8"/>
    <w:rsid w:val="00425000"/>
    <w:rsid w:val="0042536B"/>
    <w:rsid w:val="004254D3"/>
    <w:rsid w:val="0042558B"/>
    <w:rsid w:val="00425620"/>
    <w:rsid w:val="00425623"/>
    <w:rsid w:val="0042563F"/>
    <w:rsid w:val="00425730"/>
    <w:rsid w:val="00425733"/>
    <w:rsid w:val="0042573B"/>
    <w:rsid w:val="004257D5"/>
    <w:rsid w:val="004258A8"/>
    <w:rsid w:val="00425957"/>
    <w:rsid w:val="00425A64"/>
    <w:rsid w:val="00425AC6"/>
    <w:rsid w:val="00425B73"/>
    <w:rsid w:val="00425BFA"/>
    <w:rsid w:val="00425F19"/>
    <w:rsid w:val="00425F2C"/>
    <w:rsid w:val="00425F8E"/>
    <w:rsid w:val="00425FC6"/>
    <w:rsid w:val="00425FC7"/>
    <w:rsid w:val="00425FF2"/>
    <w:rsid w:val="0042605A"/>
    <w:rsid w:val="0042605D"/>
    <w:rsid w:val="004260A2"/>
    <w:rsid w:val="004260BA"/>
    <w:rsid w:val="004260EA"/>
    <w:rsid w:val="00426266"/>
    <w:rsid w:val="004262A4"/>
    <w:rsid w:val="004262CA"/>
    <w:rsid w:val="00426319"/>
    <w:rsid w:val="0042634D"/>
    <w:rsid w:val="00426429"/>
    <w:rsid w:val="004264BC"/>
    <w:rsid w:val="004265B2"/>
    <w:rsid w:val="004265D4"/>
    <w:rsid w:val="00426672"/>
    <w:rsid w:val="00426690"/>
    <w:rsid w:val="004267A8"/>
    <w:rsid w:val="004269C2"/>
    <w:rsid w:val="00426ACB"/>
    <w:rsid w:val="00426B2A"/>
    <w:rsid w:val="00426B6A"/>
    <w:rsid w:val="00426C5F"/>
    <w:rsid w:val="00426C9E"/>
    <w:rsid w:val="00426CAB"/>
    <w:rsid w:val="00426D8D"/>
    <w:rsid w:val="00426D9A"/>
    <w:rsid w:val="00426DDB"/>
    <w:rsid w:val="00426DF2"/>
    <w:rsid w:val="00426E40"/>
    <w:rsid w:val="00426EE9"/>
    <w:rsid w:val="00426F05"/>
    <w:rsid w:val="00427263"/>
    <w:rsid w:val="0042734B"/>
    <w:rsid w:val="0042753F"/>
    <w:rsid w:val="00427548"/>
    <w:rsid w:val="00427561"/>
    <w:rsid w:val="0042765C"/>
    <w:rsid w:val="00427665"/>
    <w:rsid w:val="004276CB"/>
    <w:rsid w:val="00427770"/>
    <w:rsid w:val="004277B3"/>
    <w:rsid w:val="004277FE"/>
    <w:rsid w:val="004278BC"/>
    <w:rsid w:val="004278DC"/>
    <w:rsid w:val="0042793D"/>
    <w:rsid w:val="00427940"/>
    <w:rsid w:val="00427A51"/>
    <w:rsid w:val="00427ABE"/>
    <w:rsid w:val="00427B2A"/>
    <w:rsid w:val="00427B5D"/>
    <w:rsid w:val="00427C6D"/>
    <w:rsid w:val="00427D30"/>
    <w:rsid w:val="00427E67"/>
    <w:rsid w:val="00427E68"/>
    <w:rsid w:val="00427EDF"/>
    <w:rsid w:val="00427FB7"/>
    <w:rsid w:val="0043002D"/>
    <w:rsid w:val="0043003E"/>
    <w:rsid w:val="00430048"/>
    <w:rsid w:val="0043010A"/>
    <w:rsid w:val="004301C0"/>
    <w:rsid w:val="004301E9"/>
    <w:rsid w:val="00430288"/>
    <w:rsid w:val="004302D2"/>
    <w:rsid w:val="004303BE"/>
    <w:rsid w:val="004303CD"/>
    <w:rsid w:val="004303E0"/>
    <w:rsid w:val="0043040C"/>
    <w:rsid w:val="0043047F"/>
    <w:rsid w:val="00430565"/>
    <w:rsid w:val="00430574"/>
    <w:rsid w:val="00430582"/>
    <w:rsid w:val="0043060B"/>
    <w:rsid w:val="00430633"/>
    <w:rsid w:val="00430858"/>
    <w:rsid w:val="004308A0"/>
    <w:rsid w:val="0043093A"/>
    <w:rsid w:val="0043095F"/>
    <w:rsid w:val="004309FC"/>
    <w:rsid w:val="00430A2C"/>
    <w:rsid w:val="00430A84"/>
    <w:rsid w:val="00430AB7"/>
    <w:rsid w:val="00430B12"/>
    <w:rsid w:val="00430CBC"/>
    <w:rsid w:val="00430DA4"/>
    <w:rsid w:val="00430DC2"/>
    <w:rsid w:val="00430F75"/>
    <w:rsid w:val="00431311"/>
    <w:rsid w:val="0043131B"/>
    <w:rsid w:val="0043133A"/>
    <w:rsid w:val="00431490"/>
    <w:rsid w:val="004314C8"/>
    <w:rsid w:val="00431537"/>
    <w:rsid w:val="0043159C"/>
    <w:rsid w:val="0043179E"/>
    <w:rsid w:val="004317A9"/>
    <w:rsid w:val="00431800"/>
    <w:rsid w:val="00431865"/>
    <w:rsid w:val="00431873"/>
    <w:rsid w:val="00431A23"/>
    <w:rsid w:val="00431A87"/>
    <w:rsid w:val="00431B1A"/>
    <w:rsid w:val="00431B57"/>
    <w:rsid w:val="00431BAE"/>
    <w:rsid w:val="00431C14"/>
    <w:rsid w:val="00431C25"/>
    <w:rsid w:val="00431D1D"/>
    <w:rsid w:val="00431DA7"/>
    <w:rsid w:val="00431E4C"/>
    <w:rsid w:val="00431E6D"/>
    <w:rsid w:val="00431ED6"/>
    <w:rsid w:val="00431FF2"/>
    <w:rsid w:val="00432055"/>
    <w:rsid w:val="00432168"/>
    <w:rsid w:val="00432267"/>
    <w:rsid w:val="0043227D"/>
    <w:rsid w:val="0043229D"/>
    <w:rsid w:val="004322B2"/>
    <w:rsid w:val="0043237C"/>
    <w:rsid w:val="004323BC"/>
    <w:rsid w:val="004323D4"/>
    <w:rsid w:val="004326CF"/>
    <w:rsid w:val="00432858"/>
    <w:rsid w:val="00432924"/>
    <w:rsid w:val="00432935"/>
    <w:rsid w:val="004329DB"/>
    <w:rsid w:val="00432A4F"/>
    <w:rsid w:val="00432AED"/>
    <w:rsid w:val="00432B6B"/>
    <w:rsid w:val="00432B87"/>
    <w:rsid w:val="00432B8C"/>
    <w:rsid w:val="00432D48"/>
    <w:rsid w:val="00432E7F"/>
    <w:rsid w:val="00432ED2"/>
    <w:rsid w:val="00432F72"/>
    <w:rsid w:val="00433246"/>
    <w:rsid w:val="00433293"/>
    <w:rsid w:val="0043329F"/>
    <w:rsid w:val="00433361"/>
    <w:rsid w:val="00433382"/>
    <w:rsid w:val="004333AA"/>
    <w:rsid w:val="004334BD"/>
    <w:rsid w:val="004334C7"/>
    <w:rsid w:val="0043378A"/>
    <w:rsid w:val="00433851"/>
    <w:rsid w:val="00433893"/>
    <w:rsid w:val="00433B61"/>
    <w:rsid w:val="00433D1A"/>
    <w:rsid w:val="00433D54"/>
    <w:rsid w:val="00433DEA"/>
    <w:rsid w:val="00433E25"/>
    <w:rsid w:val="00433EC1"/>
    <w:rsid w:val="00433EDC"/>
    <w:rsid w:val="00433F37"/>
    <w:rsid w:val="00433F51"/>
    <w:rsid w:val="00433FCB"/>
    <w:rsid w:val="00433FF3"/>
    <w:rsid w:val="00434098"/>
    <w:rsid w:val="00434121"/>
    <w:rsid w:val="004342A4"/>
    <w:rsid w:val="004343B4"/>
    <w:rsid w:val="004343CF"/>
    <w:rsid w:val="00434468"/>
    <w:rsid w:val="00434492"/>
    <w:rsid w:val="004344B1"/>
    <w:rsid w:val="00434510"/>
    <w:rsid w:val="004345E1"/>
    <w:rsid w:val="00434686"/>
    <w:rsid w:val="004346ED"/>
    <w:rsid w:val="00434755"/>
    <w:rsid w:val="0043475A"/>
    <w:rsid w:val="00434879"/>
    <w:rsid w:val="004348F1"/>
    <w:rsid w:val="004348F3"/>
    <w:rsid w:val="004349BE"/>
    <w:rsid w:val="00434A24"/>
    <w:rsid w:val="00434A8A"/>
    <w:rsid w:val="00434AB2"/>
    <w:rsid w:val="00434C70"/>
    <w:rsid w:val="00434DDA"/>
    <w:rsid w:val="00434E8A"/>
    <w:rsid w:val="00434EE5"/>
    <w:rsid w:val="00434F60"/>
    <w:rsid w:val="00434FA1"/>
    <w:rsid w:val="00434FDC"/>
    <w:rsid w:val="00435033"/>
    <w:rsid w:val="00435078"/>
    <w:rsid w:val="004350CE"/>
    <w:rsid w:val="00435194"/>
    <w:rsid w:val="00435268"/>
    <w:rsid w:val="004352D0"/>
    <w:rsid w:val="00435345"/>
    <w:rsid w:val="00435567"/>
    <w:rsid w:val="00435728"/>
    <w:rsid w:val="0043576A"/>
    <w:rsid w:val="00435776"/>
    <w:rsid w:val="00435799"/>
    <w:rsid w:val="0043585F"/>
    <w:rsid w:val="004358FA"/>
    <w:rsid w:val="00435973"/>
    <w:rsid w:val="004359A6"/>
    <w:rsid w:val="004359AA"/>
    <w:rsid w:val="004359DE"/>
    <w:rsid w:val="00435A54"/>
    <w:rsid w:val="00435B58"/>
    <w:rsid w:val="00435C86"/>
    <w:rsid w:val="00435EDA"/>
    <w:rsid w:val="004361EB"/>
    <w:rsid w:val="004361FE"/>
    <w:rsid w:val="00436203"/>
    <w:rsid w:val="00436247"/>
    <w:rsid w:val="00436425"/>
    <w:rsid w:val="00436449"/>
    <w:rsid w:val="0043647F"/>
    <w:rsid w:val="00436486"/>
    <w:rsid w:val="00436503"/>
    <w:rsid w:val="004365E8"/>
    <w:rsid w:val="00436711"/>
    <w:rsid w:val="004368AB"/>
    <w:rsid w:val="004369B0"/>
    <w:rsid w:val="00436A8F"/>
    <w:rsid w:val="00436AA5"/>
    <w:rsid w:val="00436D85"/>
    <w:rsid w:val="00436E73"/>
    <w:rsid w:val="00436ED5"/>
    <w:rsid w:val="00437073"/>
    <w:rsid w:val="00437144"/>
    <w:rsid w:val="00437189"/>
    <w:rsid w:val="0043718A"/>
    <w:rsid w:val="00437221"/>
    <w:rsid w:val="0043727E"/>
    <w:rsid w:val="00437382"/>
    <w:rsid w:val="004374B0"/>
    <w:rsid w:val="004375C2"/>
    <w:rsid w:val="004375CE"/>
    <w:rsid w:val="00437635"/>
    <w:rsid w:val="0043785C"/>
    <w:rsid w:val="00437A31"/>
    <w:rsid w:val="00437A44"/>
    <w:rsid w:val="00437B47"/>
    <w:rsid w:val="00437C28"/>
    <w:rsid w:val="00437CFF"/>
    <w:rsid w:val="00437D12"/>
    <w:rsid w:val="00437DFC"/>
    <w:rsid w:val="00437E45"/>
    <w:rsid w:val="00437E4C"/>
    <w:rsid w:val="00437F0D"/>
    <w:rsid w:val="00437F15"/>
    <w:rsid w:val="00437F1D"/>
    <w:rsid w:val="00437F6C"/>
    <w:rsid w:val="00440045"/>
    <w:rsid w:val="00440168"/>
    <w:rsid w:val="004402C2"/>
    <w:rsid w:val="004402FE"/>
    <w:rsid w:val="00440375"/>
    <w:rsid w:val="0044042D"/>
    <w:rsid w:val="004404F9"/>
    <w:rsid w:val="00440668"/>
    <w:rsid w:val="004406E6"/>
    <w:rsid w:val="004407FD"/>
    <w:rsid w:val="00440800"/>
    <w:rsid w:val="004408A9"/>
    <w:rsid w:val="004408E6"/>
    <w:rsid w:val="0044099D"/>
    <w:rsid w:val="004409A0"/>
    <w:rsid w:val="00440ABF"/>
    <w:rsid w:val="00440AFC"/>
    <w:rsid w:val="00440B38"/>
    <w:rsid w:val="00440B5E"/>
    <w:rsid w:val="00440B8C"/>
    <w:rsid w:val="00440FFD"/>
    <w:rsid w:val="0044101B"/>
    <w:rsid w:val="004411B8"/>
    <w:rsid w:val="00441231"/>
    <w:rsid w:val="00441245"/>
    <w:rsid w:val="00441362"/>
    <w:rsid w:val="00441371"/>
    <w:rsid w:val="004413EA"/>
    <w:rsid w:val="0044157A"/>
    <w:rsid w:val="00441670"/>
    <w:rsid w:val="004416AE"/>
    <w:rsid w:val="00441854"/>
    <w:rsid w:val="0044189D"/>
    <w:rsid w:val="00441B40"/>
    <w:rsid w:val="00441C39"/>
    <w:rsid w:val="00441CCE"/>
    <w:rsid w:val="00441CEA"/>
    <w:rsid w:val="00441DEA"/>
    <w:rsid w:val="0044202A"/>
    <w:rsid w:val="0044219D"/>
    <w:rsid w:val="004421A9"/>
    <w:rsid w:val="004421F6"/>
    <w:rsid w:val="00442226"/>
    <w:rsid w:val="00442271"/>
    <w:rsid w:val="004422BD"/>
    <w:rsid w:val="00442452"/>
    <w:rsid w:val="0044248E"/>
    <w:rsid w:val="00442575"/>
    <w:rsid w:val="0044257D"/>
    <w:rsid w:val="004425D9"/>
    <w:rsid w:val="00442605"/>
    <w:rsid w:val="0044262B"/>
    <w:rsid w:val="004426DE"/>
    <w:rsid w:val="004426EB"/>
    <w:rsid w:val="004426F8"/>
    <w:rsid w:val="004427A3"/>
    <w:rsid w:val="004427CA"/>
    <w:rsid w:val="004427FD"/>
    <w:rsid w:val="00442824"/>
    <w:rsid w:val="00442874"/>
    <w:rsid w:val="0044288B"/>
    <w:rsid w:val="004428D9"/>
    <w:rsid w:val="004428EA"/>
    <w:rsid w:val="00442A68"/>
    <w:rsid w:val="00442A95"/>
    <w:rsid w:val="00442AF1"/>
    <w:rsid w:val="00442B7B"/>
    <w:rsid w:val="00442CA4"/>
    <w:rsid w:val="00442CDE"/>
    <w:rsid w:val="00442D15"/>
    <w:rsid w:val="00442D5F"/>
    <w:rsid w:val="00442DCA"/>
    <w:rsid w:val="00442F23"/>
    <w:rsid w:val="00442F45"/>
    <w:rsid w:val="00442FD1"/>
    <w:rsid w:val="00443179"/>
    <w:rsid w:val="0044322C"/>
    <w:rsid w:val="0044330B"/>
    <w:rsid w:val="00443427"/>
    <w:rsid w:val="0044350A"/>
    <w:rsid w:val="004435C2"/>
    <w:rsid w:val="004435DC"/>
    <w:rsid w:val="004436C3"/>
    <w:rsid w:val="00443A70"/>
    <w:rsid w:val="00443AF6"/>
    <w:rsid w:val="00443B01"/>
    <w:rsid w:val="00443B7E"/>
    <w:rsid w:val="00443C62"/>
    <w:rsid w:val="00443C6D"/>
    <w:rsid w:val="00443E0A"/>
    <w:rsid w:val="00443E49"/>
    <w:rsid w:val="00443E7B"/>
    <w:rsid w:val="00443EB0"/>
    <w:rsid w:val="00443F1B"/>
    <w:rsid w:val="0044404F"/>
    <w:rsid w:val="0044415F"/>
    <w:rsid w:val="004442F6"/>
    <w:rsid w:val="00444385"/>
    <w:rsid w:val="0044452E"/>
    <w:rsid w:val="00444600"/>
    <w:rsid w:val="0044462E"/>
    <w:rsid w:val="004446AF"/>
    <w:rsid w:val="004446F0"/>
    <w:rsid w:val="00444789"/>
    <w:rsid w:val="00444AE1"/>
    <w:rsid w:val="00444AE5"/>
    <w:rsid w:val="00444AEB"/>
    <w:rsid w:val="00444B3D"/>
    <w:rsid w:val="00444BCD"/>
    <w:rsid w:val="00444D2B"/>
    <w:rsid w:val="00444D39"/>
    <w:rsid w:val="00444DDA"/>
    <w:rsid w:val="00444E3A"/>
    <w:rsid w:val="00444F5B"/>
    <w:rsid w:val="00444FE7"/>
    <w:rsid w:val="00445001"/>
    <w:rsid w:val="00445117"/>
    <w:rsid w:val="00445204"/>
    <w:rsid w:val="00445239"/>
    <w:rsid w:val="0044524C"/>
    <w:rsid w:val="0044542C"/>
    <w:rsid w:val="004454C5"/>
    <w:rsid w:val="0044561F"/>
    <w:rsid w:val="004456D1"/>
    <w:rsid w:val="00445789"/>
    <w:rsid w:val="004457AB"/>
    <w:rsid w:val="0044582F"/>
    <w:rsid w:val="00445AF8"/>
    <w:rsid w:val="00445C27"/>
    <w:rsid w:val="00445C52"/>
    <w:rsid w:val="00445D06"/>
    <w:rsid w:val="00445D46"/>
    <w:rsid w:val="00445E3C"/>
    <w:rsid w:val="00445E53"/>
    <w:rsid w:val="00445F15"/>
    <w:rsid w:val="0044624F"/>
    <w:rsid w:val="00446263"/>
    <w:rsid w:val="00446321"/>
    <w:rsid w:val="0044648B"/>
    <w:rsid w:val="004464E9"/>
    <w:rsid w:val="00446542"/>
    <w:rsid w:val="00446603"/>
    <w:rsid w:val="004466FE"/>
    <w:rsid w:val="004469CB"/>
    <w:rsid w:val="00446A75"/>
    <w:rsid w:val="00446AD2"/>
    <w:rsid w:val="00446AF6"/>
    <w:rsid w:val="00446B12"/>
    <w:rsid w:val="00446B3A"/>
    <w:rsid w:val="00446B81"/>
    <w:rsid w:val="00446BF5"/>
    <w:rsid w:val="00446D09"/>
    <w:rsid w:val="00446DB0"/>
    <w:rsid w:val="00446DC7"/>
    <w:rsid w:val="00446EE5"/>
    <w:rsid w:val="00446EF4"/>
    <w:rsid w:val="00446FEE"/>
    <w:rsid w:val="004470FD"/>
    <w:rsid w:val="0044710D"/>
    <w:rsid w:val="0044715E"/>
    <w:rsid w:val="00447250"/>
    <w:rsid w:val="00447367"/>
    <w:rsid w:val="004473C1"/>
    <w:rsid w:val="004473E7"/>
    <w:rsid w:val="0044742A"/>
    <w:rsid w:val="0044749A"/>
    <w:rsid w:val="004474AA"/>
    <w:rsid w:val="004475A6"/>
    <w:rsid w:val="0044763A"/>
    <w:rsid w:val="0044780B"/>
    <w:rsid w:val="00447882"/>
    <w:rsid w:val="00447909"/>
    <w:rsid w:val="00447976"/>
    <w:rsid w:val="004479BD"/>
    <w:rsid w:val="00447A0A"/>
    <w:rsid w:val="00447A39"/>
    <w:rsid w:val="00447A93"/>
    <w:rsid w:val="00447ADE"/>
    <w:rsid w:val="00447BE6"/>
    <w:rsid w:val="00447CDB"/>
    <w:rsid w:val="00447D48"/>
    <w:rsid w:val="00447DEA"/>
    <w:rsid w:val="00447DFE"/>
    <w:rsid w:val="00447E6F"/>
    <w:rsid w:val="00447EB6"/>
    <w:rsid w:val="004500A6"/>
    <w:rsid w:val="0045013A"/>
    <w:rsid w:val="00450287"/>
    <w:rsid w:val="0045034B"/>
    <w:rsid w:val="0045035C"/>
    <w:rsid w:val="0045052D"/>
    <w:rsid w:val="0045056C"/>
    <w:rsid w:val="004507C6"/>
    <w:rsid w:val="00450A4C"/>
    <w:rsid w:val="00450B9E"/>
    <w:rsid w:val="00450C49"/>
    <w:rsid w:val="00450DAA"/>
    <w:rsid w:val="00450E35"/>
    <w:rsid w:val="00450E93"/>
    <w:rsid w:val="00450EC4"/>
    <w:rsid w:val="00450F32"/>
    <w:rsid w:val="00450F6D"/>
    <w:rsid w:val="0045109F"/>
    <w:rsid w:val="0045115F"/>
    <w:rsid w:val="004511FD"/>
    <w:rsid w:val="00451201"/>
    <w:rsid w:val="00451202"/>
    <w:rsid w:val="00451211"/>
    <w:rsid w:val="00451222"/>
    <w:rsid w:val="00451281"/>
    <w:rsid w:val="0045134E"/>
    <w:rsid w:val="0045136E"/>
    <w:rsid w:val="00451461"/>
    <w:rsid w:val="00451465"/>
    <w:rsid w:val="00451469"/>
    <w:rsid w:val="004514DD"/>
    <w:rsid w:val="004515C3"/>
    <w:rsid w:val="0045162E"/>
    <w:rsid w:val="0045175C"/>
    <w:rsid w:val="0045177B"/>
    <w:rsid w:val="004517B1"/>
    <w:rsid w:val="004517D2"/>
    <w:rsid w:val="0045182A"/>
    <w:rsid w:val="00451878"/>
    <w:rsid w:val="004518DD"/>
    <w:rsid w:val="004518F5"/>
    <w:rsid w:val="0045195D"/>
    <w:rsid w:val="0045197A"/>
    <w:rsid w:val="004519B2"/>
    <w:rsid w:val="00451A0E"/>
    <w:rsid w:val="00451ACC"/>
    <w:rsid w:val="00451B35"/>
    <w:rsid w:val="00451BDB"/>
    <w:rsid w:val="00451C26"/>
    <w:rsid w:val="00451D27"/>
    <w:rsid w:val="00451F6B"/>
    <w:rsid w:val="00451F8A"/>
    <w:rsid w:val="00452009"/>
    <w:rsid w:val="004521D1"/>
    <w:rsid w:val="004522EA"/>
    <w:rsid w:val="00452406"/>
    <w:rsid w:val="00452591"/>
    <w:rsid w:val="00452614"/>
    <w:rsid w:val="00452645"/>
    <w:rsid w:val="00452664"/>
    <w:rsid w:val="004526DC"/>
    <w:rsid w:val="0045271D"/>
    <w:rsid w:val="0045280D"/>
    <w:rsid w:val="00452816"/>
    <w:rsid w:val="00452885"/>
    <w:rsid w:val="004528F6"/>
    <w:rsid w:val="00452A92"/>
    <w:rsid w:val="00452BAC"/>
    <w:rsid w:val="00452D1D"/>
    <w:rsid w:val="00452D51"/>
    <w:rsid w:val="00452EB9"/>
    <w:rsid w:val="00452F2A"/>
    <w:rsid w:val="00452F43"/>
    <w:rsid w:val="00452FDF"/>
    <w:rsid w:val="00452FF6"/>
    <w:rsid w:val="00453069"/>
    <w:rsid w:val="004530F3"/>
    <w:rsid w:val="004530FE"/>
    <w:rsid w:val="004533E0"/>
    <w:rsid w:val="00453482"/>
    <w:rsid w:val="00453612"/>
    <w:rsid w:val="00453744"/>
    <w:rsid w:val="00453768"/>
    <w:rsid w:val="004538A7"/>
    <w:rsid w:val="00453AA5"/>
    <w:rsid w:val="00453B7C"/>
    <w:rsid w:val="00453B7F"/>
    <w:rsid w:val="00453BA2"/>
    <w:rsid w:val="00453BD9"/>
    <w:rsid w:val="00453BE3"/>
    <w:rsid w:val="00453D65"/>
    <w:rsid w:val="00453F66"/>
    <w:rsid w:val="00454029"/>
    <w:rsid w:val="0045414C"/>
    <w:rsid w:val="00454176"/>
    <w:rsid w:val="0045418E"/>
    <w:rsid w:val="00454192"/>
    <w:rsid w:val="0045419A"/>
    <w:rsid w:val="0045422D"/>
    <w:rsid w:val="004542D1"/>
    <w:rsid w:val="0045430B"/>
    <w:rsid w:val="00454394"/>
    <w:rsid w:val="004543B8"/>
    <w:rsid w:val="004543ED"/>
    <w:rsid w:val="00454443"/>
    <w:rsid w:val="004544A9"/>
    <w:rsid w:val="0045458A"/>
    <w:rsid w:val="004545A6"/>
    <w:rsid w:val="004545CC"/>
    <w:rsid w:val="00454681"/>
    <w:rsid w:val="00454762"/>
    <w:rsid w:val="004547DC"/>
    <w:rsid w:val="0045487A"/>
    <w:rsid w:val="00454928"/>
    <w:rsid w:val="0045495C"/>
    <w:rsid w:val="00454988"/>
    <w:rsid w:val="004549C6"/>
    <w:rsid w:val="00454A5B"/>
    <w:rsid w:val="00454B13"/>
    <w:rsid w:val="00454B33"/>
    <w:rsid w:val="00454B4D"/>
    <w:rsid w:val="00454C92"/>
    <w:rsid w:val="00454D61"/>
    <w:rsid w:val="00454D8E"/>
    <w:rsid w:val="00454E58"/>
    <w:rsid w:val="00454F23"/>
    <w:rsid w:val="00454F49"/>
    <w:rsid w:val="00455021"/>
    <w:rsid w:val="0045502B"/>
    <w:rsid w:val="0045515A"/>
    <w:rsid w:val="00455203"/>
    <w:rsid w:val="0045522C"/>
    <w:rsid w:val="0045524B"/>
    <w:rsid w:val="00455273"/>
    <w:rsid w:val="00455292"/>
    <w:rsid w:val="004554A1"/>
    <w:rsid w:val="00455512"/>
    <w:rsid w:val="0045568A"/>
    <w:rsid w:val="0045588D"/>
    <w:rsid w:val="004558DB"/>
    <w:rsid w:val="0045591F"/>
    <w:rsid w:val="00455989"/>
    <w:rsid w:val="004559C9"/>
    <w:rsid w:val="00455A00"/>
    <w:rsid w:val="00455A5F"/>
    <w:rsid w:val="00455B4E"/>
    <w:rsid w:val="00455BC0"/>
    <w:rsid w:val="00455C18"/>
    <w:rsid w:val="00455C2F"/>
    <w:rsid w:val="00455C34"/>
    <w:rsid w:val="00455C6E"/>
    <w:rsid w:val="00455D7D"/>
    <w:rsid w:val="00455DBD"/>
    <w:rsid w:val="00455EEE"/>
    <w:rsid w:val="00456053"/>
    <w:rsid w:val="00456055"/>
    <w:rsid w:val="00456076"/>
    <w:rsid w:val="0045612C"/>
    <w:rsid w:val="00456160"/>
    <w:rsid w:val="00456209"/>
    <w:rsid w:val="0045627F"/>
    <w:rsid w:val="004562DE"/>
    <w:rsid w:val="004563A2"/>
    <w:rsid w:val="00456479"/>
    <w:rsid w:val="004564F0"/>
    <w:rsid w:val="00456638"/>
    <w:rsid w:val="0045668F"/>
    <w:rsid w:val="00456794"/>
    <w:rsid w:val="004567D1"/>
    <w:rsid w:val="004567F0"/>
    <w:rsid w:val="004568DD"/>
    <w:rsid w:val="0045694A"/>
    <w:rsid w:val="00456951"/>
    <w:rsid w:val="00456A1B"/>
    <w:rsid w:val="00456AA8"/>
    <w:rsid w:val="00456B69"/>
    <w:rsid w:val="00456C7B"/>
    <w:rsid w:val="00456CA0"/>
    <w:rsid w:val="00456D2C"/>
    <w:rsid w:val="00456D63"/>
    <w:rsid w:val="00456D6F"/>
    <w:rsid w:val="00456D79"/>
    <w:rsid w:val="00456DBE"/>
    <w:rsid w:val="00456DC0"/>
    <w:rsid w:val="00456E86"/>
    <w:rsid w:val="00457026"/>
    <w:rsid w:val="00457069"/>
    <w:rsid w:val="0045712F"/>
    <w:rsid w:val="00457373"/>
    <w:rsid w:val="004573D2"/>
    <w:rsid w:val="00457401"/>
    <w:rsid w:val="00457411"/>
    <w:rsid w:val="0045743C"/>
    <w:rsid w:val="004574C7"/>
    <w:rsid w:val="0045758E"/>
    <w:rsid w:val="004575D9"/>
    <w:rsid w:val="004575FF"/>
    <w:rsid w:val="004576A9"/>
    <w:rsid w:val="004576B7"/>
    <w:rsid w:val="004576C1"/>
    <w:rsid w:val="00457750"/>
    <w:rsid w:val="00457772"/>
    <w:rsid w:val="0045778B"/>
    <w:rsid w:val="004577F7"/>
    <w:rsid w:val="00457851"/>
    <w:rsid w:val="00457861"/>
    <w:rsid w:val="00457885"/>
    <w:rsid w:val="004578D1"/>
    <w:rsid w:val="0045791D"/>
    <w:rsid w:val="0045795E"/>
    <w:rsid w:val="00457A5A"/>
    <w:rsid w:val="00457BA4"/>
    <w:rsid w:val="00457BC4"/>
    <w:rsid w:val="00457C2B"/>
    <w:rsid w:val="00457DD6"/>
    <w:rsid w:val="00457DFC"/>
    <w:rsid w:val="00457ECE"/>
    <w:rsid w:val="00457F6E"/>
    <w:rsid w:val="00457FAC"/>
    <w:rsid w:val="00457FBC"/>
    <w:rsid w:val="004600C1"/>
    <w:rsid w:val="004600F6"/>
    <w:rsid w:val="00460180"/>
    <w:rsid w:val="0046025D"/>
    <w:rsid w:val="00460269"/>
    <w:rsid w:val="00460307"/>
    <w:rsid w:val="004603E5"/>
    <w:rsid w:val="00460499"/>
    <w:rsid w:val="004605DE"/>
    <w:rsid w:val="00460745"/>
    <w:rsid w:val="00460800"/>
    <w:rsid w:val="004608DC"/>
    <w:rsid w:val="00460969"/>
    <w:rsid w:val="00460C97"/>
    <w:rsid w:val="00460D05"/>
    <w:rsid w:val="00460E87"/>
    <w:rsid w:val="00460FA8"/>
    <w:rsid w:val="00461160"/>
    <w:rsid w:val="00461182"/>
    <w:rsid w:val="0046129A"/>
    <w:rsid w:val="004613F7"/>
    <w:rsid w:val="004614B4"/>
    <w:rsid w:val="0046159D"/>
    <w:rsid w:val="004617E5"/>
    <w:rsid w:val="0046184E"/>
    <w:rsid w:val="004618BE"/>
    <w:rsid w:val="004618EC"/>
    <w:rsid w:val="00461953"/>
    <w:rsid w:val="0046199B"/>
    <w:rsid w:val="004619F0"/>
    <w:rsid w:val="00461AB3"/>
    <w:rsid w:val="00461B0F"/>
    <w:rsid w:val="00461D3A"/>
    <w:rsid w:val="00461DDA"/>
    <w:rsid w:val="00461EE7"/>
    <w:rsid w:val="004620B9"/>
    <w:rsid w:val="00462218"/>
    <w:rsid w:val="0046224F"/>
    <w:rsid w:val="004622B0"/>
    <w:rsid w:val="00462321"/>
    <w:rsid w:val="00462333"/>
    <w:rsid w:val="00462358"/>
    <w:rsid w:val="00462459"/>
    <w:rsid w:val="00462547"/>
    <w:rsid w:val="0046255B"/>
    <w:rsid w:val="00462591"/>
    <w:rsid w:val="00462615"/>
    <w:rsid w:val="004626A8"/>
    <w:rsid w:val="00462718"/>
    <w:rsid w:val="0046276C"/>
    <w:rsid w:val="004628DB"/>
    <w:rsid w:val="00462903"/>
    <w:rsid w:val="00462957"/>
    <w:rsid w:val="004629F6"/>
    <w:rsid w:val="00462A74"/>
    <w:rsid w:val="00462AEA"/>
    <w:rsid w:val="00462C15"/>
    <w:rsid w:val="00462CC9"/>
    <w:rsid w:val="00462D21"/>
    <w:rsid w:val="00462D8C"/>
    <w:rsid w:val="00462DBA"/>
    <w:rsid w:val="00462DBE"/>
    <w:rsid w:val="00462E21"/>
    <w:rsid w:val="00462E73"/>
    <w:rsid w:val="00462EC0"/>
    <w:rsid w:val="00462EFF"/>
    <w:rsid w:val="00462F18"/>
    <w:rsid w:val="00462F3C"/>
    <w:rsid w:val="00462FB0"/>
    <w:rsid w:val="00463154"/>
    <w:rsid w:val="004631C7"/>
    <w:rsid w:val="0046320E"/>
    <w:rsid w:val="00463362"/>
    <w:rsid w:val="00463366"/>
    <w:rsid w:val="0046338E"/>
    <w:rsid w:val="004634B1"/>
    <w:rsid w:val="00463591"/>
    <w:rsid w:val="004636AC"/>
    <w:rsid w:val="0046374A"/>
    <w:rsid w:val="00463855"/>
    <w:rsid w:val="00463858"/>
    <w:rsid w:val="004638C5"/>
    <w:rsid w:val="00463BC0"/>
    <w:rsid w:val="00463BCC"/>
    <w:rsid w:val="00463D31"/>
    <w:rsid w:val="00463EEB"/>
    <w:rsid w:val="00463FA4"/>
    <w:rsid w:val="00464007"/>
    <w:rsid w:val="00464146"/>
    <w:rsid w:val="00464289"/>
    <w:rsid w:val="0046433A"/>
    <w:rsid w:val="0046439D"/>
    <w:rsid w:val="004643A1"/>
    <w:rsid w:val="00464443"/>
    <w:rsid w:val="00464453"/>
    <w:rsid w:val="004644F3"/>
    <w:rsid w:val="00464564"/>
    <w:rsid w:val="004645F0"/>
    <w:rsid w:val="00464607"/>
    <w:rsid w:val="00464612"/>
    <w:rsid w:val="00464640"/>
    <w:rsid w:val="00464644"/>
    <w:rsid w:val="00464744"/>
    <w:rsid w:val="004647B9"/>
    <w:rsid w:val="004647ED"/>
    <w:rsid w:val="0046483A"/>
    <w:rsid w:val="00464A03"/>
    <w:rsid w:val="00464A71"/>
    <w:rsid w:val="00464C4F"/>
    <w:rsid w:val="00464C77"/>
    <w:rsid w:val="00464CF2"/>
    <w:rsid w:val="00464D53"/>
    <w:rsid w:val="00464E75"/>
    <w:rsid w:val="00464E79"/>
    <w:rsid w:val="00465037"/>
    <w:rsid w:val="0046503E"/>
    <w:rsid w:val="0046521A"/>
    <w:rsid w:val="00465273"/>
    <w:rsid w:val="004653F8"/>
    <w:rsid w:val="004654BB"/>
    <w:rsid w:val="00465515"/>
    <w:rsid w:val="00465553"/>
    <w:rsid w:val="004655AD"/>
    <w:rsid w:val="004655C7"/>
    <w:rsid w:val="00465697"/>
    <w:rsid w:val="004656AA"/>
    <w:rsid w:val="004657DB"/>
    <w:rsid w:val="0046581A"/>
    <w:rsid w:val="0046596C"/>
    <w:rsid w:val="004659D7"/>
    <w:rsid w:val="00465AC9"/>
    <w:rsid w:val="00465B3D"/>
    <w:rsid w:val="00465B5B"/>
    <w:rsid w:val="00465BD8"/>
    <w:rsid w:val="00465BE3"/>
    <w:rsid w:val="00465F0C"/>
    <w:rsid w:val="00465F4D"/>
    <w:rsid w:val="004660A8"/>
    <w:rsid w:val="004660C8"/>
    <w:rsid w:val="004660E1"/>
    <w:rsid w:val="00466187"/>
    <w:rsid w:val="004661A2"/>
    <w:rsid w:val="00466256"/>
    <w:rsid w:val="00466299"/>
    <w:rsid w:val="00466442"/>
    <w:rsid w:val="004664EE"/>
    <w:rsid w:val="00466550"/>
    <w:rsid w:val="00466566"/>
    <w:rsid w:val="0046660E"/>
    <w:rsid w:val="00466631"/>
    <w:rsid w:val="0046664D"/>
    <w:rsid w:val="00466782"/>
    <w:rsid w:val="00466792"/>
    <w:rsid w:val="004667C4"/>
    <w:rsid w:val="004668CD"/>
    <w:rsid w:val="004668D3"/>
    <w:rsid w:val="0046691B"/>
    <w:rsid w:val="00466963"/>
    <w:rsid w:val="004669B2"/>
    <w:rsid w:val="00466A87"/>
    <w:rsid w:val="00466AE6"/>
    <w:rsid w:val="00466B50"/>
    <w:rsid w:val="00466BF6"/>
    <w:rsid w:val="00466C4D"/>
    <w:rsid w:val="00466CC4"/>
    <w:rsid w:val="00466E37"/>
    <w:rsid w:val="00467028"/>
    <w:rsid w:val="00467034"/>
    <w:rsid w:val="00467078"/>
    <w:rsid w:val="004670D4"/>
    <w:rsid w:val="00467166"/>
    <w:rsid w:val="004671C8"/>
    <w:rsid w:val="004671F8"/>
    <w:rsid w:val="00467204"/>
    <w:rsid w:val="00467339"/>
    <w:rsid w:val="0046735F"/>
    <w:rsid w:val="00467567"/>
    <w:rsid w:val="00467683"/>
    <w:rsid w:val="004676AC"/>
    <w:rsid w:val="004677E1"/>
    <w:rsid w:val="004679BA"/>
    <w:rsid w:val="00467D57"/>
    <w:rsid w:val="00467D97"/>
    <w:rsid w:val="00467DA4"/>
    <w:rsid w:val="00467E00"/>
    <w:rsid w:val="00467E81"/>
    <w:rsid w:val="00467EAE"/>
    <w:rsid w:val="00467F7A"/>
    <w:rsid w:val="00467FF3"/>
    <w:rsid w:val="00470007"/>
    <w:rsid w:val="00470032"/>
    <w:rsid w:val="0047006F"/>
    <w:rsid w:val="00470089"/>
    <w:rsid w:val="0047022C"/>
    <w:rsid w:val="004702E7"/>
    <w:rsid w:val="00470386"/>
    <w:rsid w:val="004703F2"/>
    <w:rsid w:val="00470402"/>
    <w:rsid w:val="00470467"/>
    <w:rsid w:val="0047061E"/>
    <w:rsid w:val="0047064A"/>
    <w:rsid w:val="00470682"/>
    <w:rsid w:val="0047072A"/>
    <w:rsid w:val="004709D2"/>
    <w:rsid w:val="004709F7"/>
    <w:rsid w:val="00470ACA"/>
    <w:rsid w:val="00470B40"/>
    <w:rsid w:val="00470D12"/>
    <w:rsid w:val="00470DD6"/>
    <w:rsid w:val="00470E67"/>
    <w:rsid w:val="00470E9D"/>
    <w:rsid w:val="00470ECF"/>
    <w:rsid w:val="00470ED0"/>
    <w:rsid w:val="00470F03"/>
    <w:rsid w:val="00470F28"/>
    <w:rsid w:val="00470F38"/>
    <w:rsid w:val="00471032"/>
    <w:rsid w:val="00471057"/>
    <w:rsid w:val="0047106E"/>
    <w:rsid w:val="004710AD"/>
    <w:rsid w:val="00471128"/>
    <w:rsid w:val="0047127A"/>
    <w:rsid w:val="00471288"/>
    <w:rsid w:val="00471383"/>
    <w:rsid w:val="004713A1"/>
    <w:rsid w:val="004713B5"/>
    <w:rsid w:val="00471420"/>
    <w:rsid w:val="004714DE"/>
    <w:rsid w:val="004715E2"/>
    <w:rsid w:val="00471651"/>
    <w:rsid w:val="004716E5"/>
    <w:rsid w:val="0047172E"/>
    <w:rsid w:val="00471752"/>
    <w:rsid w:val="00471769"/>
    <w:rsid w:val="0047177C"/>
    <w:rsid w:val="004717C3"/>
    <w:rsid w:val="0047180F"/>
    <w:rsid w:val="0047189B"/>
    <w:rsid w:val="004719E6"/>
    <w:rsid w:val="00471AD5"/>
    <w:rsid w:val="00471B19"/>
    <w:rsid w:val="00471B50"/>
    <w:rsid w:val="00471CAA"/>
    <w:rsid w:val="00471EDF"/>
    <w:rsid w:val="00471EE8"/>
    <w:rsid w:val="004720E3"/>
    <w:rsid w:val="00472167"/>
    <w:rsid w:val="0047223C"/>
    <w:rsid w:val="0047227F"/>
    <w:rsid w:val="004723CD"/>
    <w:rsid w:val="00472493"/>
    <w:rsid w:val="0047251C"/>
    <w:rsid w:val="004725B2"/>
    <w:rsid w:val="0047261F"/>
    <w:rsid w:val="0047267D"/>
    <w:rsid w:val="00472804"/>
    <w:rsid w:val="00472A4C"/>
    <w:rsid w:val="00472A88"/>
    <w:rsid w:val="00472AD5"/>
    <w:rsid w:val="00472BED"/>
    <w:rsid w:val="00472BF5"/>
    <w:rsid w:val="00472C30"/>
    <w:rsid w:val="00472CAB"/>
    <w:rsid w:val="00472D15"/>
    <w:rsid w:val="00472E67"/>
    <w:rsid w:val="00472E9F"/>
    <w:rsid w:val="00472F0A"/>
    <w:rsid w:val="00473042"/>
    <w:rsid w:val="004730D4"/>
    <w:rsid w:val="00473142"/>
    <w:rsid w:val="00473160"/>
    <w:rsid w:val="00473188"/>
    <w:rsid w:val="004731DB"/>
    <w:rsid w:val="0047326A"/>
    <w:rsid w:val="0047326E"/>
    <w:rsid w:val="0047332F"/>
    <w:rsid w:val="00473533"/>
    <w:rsid w:val="0047355C"/>
    <w:rsid w:val="0047365D"/>
    <w:rsid w:val="004737B5"/>
    <w:rsid w:val="004738C4"/>
    <w:rsid w:val="004738EC"/>
    <w:rsid w:val="00473A3F"/>
    <w:rsid w:val="00473BE8"/>
    <w:rsid w:val="00473C15"/>
    <w:rsid w:val="00473D4E"/>
    <w:rsid w:val="00473DE5"/>
    <w:rsid w:val="00473E1F"/>
    <w:rsid w:val="00473F7B"/>
    <w:rsid w:val="00474076"/>
    <w:rsid w:val="00474099"/>
    <w:rsid w:val="00474193"/>
    <w:rsid w:val="00474216"/>
    <w:rsid w:val="0047423B"/>
    <w:rsid w:val="004742B5"/>
    <w:rsid w:val="00474379"/>
    <w:rsid w:val="004744EB"/>
    <w:rsid w:val="004744FB"/>
    <w:rsid w:val="004745AE"/>
    <w:rsid w:val="004745C3"/>
    <w:rsid w:val="004746E3"/>
    <w:rsid w:val="0047473B"/>
    <w:rsid w:val="00474816"/>
    <w:rsid w:val="00474924"/>
    <w:rsid w:val="00474938"/>
    <w:rsid w:val="00474982"/>
    <w:rsid w:val="004749D8"/>
    <w:rsid w:val="004749FB"/>
    <w:rsid w:val="00474A62"/>
    <w:rsid w:val="00474AD6"/>
    <w:rsid w:val="00474AFA"/>
    <w:rsid w:val="00474B82"/>
    <w:rsid w:val="00474BD0"/>
    <w:rsid w:val="00474D03"/>
    <w:rsid w:val="00474D2C"/>
    <w:rsid w:val="00474D5A"/>
    <w:rsid w:val="00474D85"/>
    <w:rsid w:val="00474E25"/>
    <w:rsid w:val="00474EF1"/>
    <w:rsid w:val="00474F1A"/>
    <w:rsid w:val="00474F89"/>
    <w:rsid w:val="00475203"/>
    <w:rsid w:val="00475405"/>
    <w:rsid w:val="00475458"/>
    <w:rsid w:val="004755C1"/>
    <w:rsid w:val="0047567D"/>
    <w:rsid w:val="004757AB"/>
    <w:rsid w:val="004757C0"/>
    <w:rsid w:val="004758B9"/>
    <w:rsid w:val="00475917"/>
    <w:rsid w:val="00475A1F"/>
    <w:rsid w:val="00475A73"/>
    <w:rsid w:val="00475AD6"/>
    <w:rsid w:val="00475CE4"/>
    <w:rsid w:val="00475D8D"/>
    <w:rsid w:val="00475D96"/>
    <w:rsid w:val="00475DF5"/>
    <w:rsid w:val="00475E01"/>
    <w:rsid w:val="00475F2A"/>
    <w:rsid w:val="00475F4A"/>
    <w:rsid w:val="00475FD9"/>
    <w:rsid w:val="0047604F"/>
    <w:rsid w:val="0047612D"/>
    <w:rsid w:val="00476270"/>
    <w:rsid w:val="0047629C"/>
    <w:rsid w:val="004762F0"/>
    <w:rsid w:val="00476322"/>
    <w:rsid w:val="00476470"/>
    <w:rsid w:val="004764DB"/>
    <w:rsid w:val="004764FA"/>
    <w:rsid w:val="0047659A"/>
    <w:rsid w:val="004765C2"/>
    <w:rsid w:val="004765F4"/>
    <w:rsid w:val="00476741"/>
    <w:rsid w:val="0047674D"/>
    <w:rsid w:val="004767EE"/>
    <w:rsid w:val="00476928"/>
    <w:rsid w:val="004769B4"/>
    <w:rsid w:val="00476C54"/>
    <w:rsid w:val="00476FC2"/>
    <w:rsid w:val="004770E8"/>
    <w:rsid w:val="00477117"/>
    <w:rsid w:val="004771BB"/>
    <w:rsid w:val="004771F9"/>
    <w:rsid w:val="0047735D"/>
    <w:rsid w:val="00477396"/>
    <w:rsid w:val="004773A1"/>
    <w:rsid w:val="00477493"/>
    <w:rsid w:val="004774E6"/>
    <w:rsid w:val="00477607"/>
    <w:rsid w:val="0047766C"/>
    <w:rsid w:val="00477726"/>
    <w:rsid w:val="00477876"/>
    <w:rsid w:val="0047798D"/>
    <w:rsid w:val="00477B3F"/>
    <w:rsid w:val="00477B7C"/>
    <w:rsid w:val="00477D2B"/>
    <w:rsid w:val="00477DC0"/>
    <w:rsid w:val="00477DCB"/>
    <w:rsid w:val="00477E2A"/>
    <w:rsid w:val="00477E44"/>
    <w:rsid w:val="00477EA9"/>
    <w:rsid w:val="00477F16"/>
    <w:rsid w:val="00480065"/>
    <w:rsid w:val="00480086"/>
    <w:rsid w:val="0048009D"/>
    <w:rsid w:val="00480101"/>
    <w:rsid w:val="0048026D"/>
    <w:rsid w:val="0048039F"/>
    <w:rsid w:val="0048047A"/>
    <w:rsid w:val="00480484"/>
    <w:rsid w:val="0048049B"/>
    <w:rsid w:val="004804D8"/>
    <w:rsid w:val="004804F0"/>
    <w:rsid w:val="004804F5"/>
    <w:rsid w:val="004805EA"/>
    <w:rsid w:val="00480652"/>
    <w:rsid w:val="004806CE"/>
    <w:rsid w:val="0048070D"/>
    <w:rsid w:val="00480734"/>
    <w:rsid w:val="004807FF"/>
    <w:rsid w:val="00480963"/>
    <w:rsid w:val="004809F5"/>
    <w:rsid w:val="00480AA1"/>
    <w:rsid w:val="00480B10"/>
    <w:rsid w:val="00480BA5"/>
    <w:rsid w:val="00480C5A"/>
    <w:rsid w:val="00480C84"/>
    <w:rsid w:val="00480D8D"/>
    <w:rsid w:val="00480EC8"/>
    <w:rsid w:val="00480EFE"/>
    <w:rsid w:val="00480F77"/>
    <w:rsid w:val="00481015"/>
    <w:rsid w:val="00481136"/>
    <w:rsid w:val="004811F3"/>
    <w:rsid w:val="00481343"/>
    <w:rsid w:val="00481398"/>
    <w:rsid w:val="004813B0"/>
    <w:rsid w:val="004814C4"/>
    <w:rsid w:val="0048150C"/>
    <w:rsid w:val="0048150F"/>
    <w:rsid w:val="00481578"/>
    <w:rsid w:val="0048169F"/>
    <w:rsid w:val="004817C8"/>
    <w:rsid w:val="00481819"/>
    <w:rsid w:val="00481859"/>
    <w:rsid w:val="00481B29"/>
    <w:rsid w:val="00481BFB"/>
    <w:rsid w:val="00481C6E"/>
    <w:rsid w:val="00481CBC"/>
    <w:rsid w:val="00481D6E"/>
    <w:rsid w:val="00481DEC"/>
    <w:rsid w:val="00481E1B"/>
    <w:rsid w:val="00481E51"/>
    <w:rsid w:val="00481F47"/>
    <w:rsid w:val="004820A6"/>
    <w:rsid w:val="00482130"/>
    <w:rsid w:val="0048213A"/>
    <w:rsid w:val="00482166"/>
    <w:rsid w:val="0048222F"/>
    <w:rsid w:val="00482235"/>
    <w:rsid w:val="004823AA"/>
    <w:rsid w:val="00482420"/>
    <w:rsid w:val="004824D4"/>
    <w:rsid w:val="004824F0"/>
    <w:rsid w:val="00482560"/>
    <w:rsid w:val="00482616"/>
    <w:rsid w:val="004826A7"/>
    <w:rsid w:val="0048270F"/>
    <w:rsid w:val="004827A7"/>
    <w:rsid w:val="00482896"/>
    <w:rsid w:val="004828CE"/>
    <w:rsid w:val="00482940"/>
    <w:rsid w:val="00482AF5"/>
    <w:rsid w:val="00482B88"/>
    <w:rsid w:val="00482BAE"/>
    <w:rsid w:val="00482C7D"/>
    <w:rsid w:val="00482CB9"/>
    <w:rsid w:val="00482E3C"/>
    <w:rsid w:val="00482ECC"/>
    <w:rsid w:val="00482F8B"/>
    <w:rsid w:val="00482FDB"/>
    <w:rsid w:val="00483107"/>
    <w:rsid w:val="0048317D"/>
    <w:rsid w:val="004834A2"/>
    <w:rsid w:val="004836B5"/>
    <w:rsid w:val="004836B9"/>
    <w:rsid w:val="004836CE"/>
    <w:rsid w:val="004838F2"/>
    <w:rsid w:val="004838F6"/>
    <w:rsid w:val="004839EE"/>
    <w:rsid w:val="00483AAB"/>
    <w:rsid w:val="00483B4E"/>
    <w:rsid w:val="00483C0C"/>
    <w:rsid w:val="00483C98"/>
    <w:rsid w:val="00483CA3"/>
    <w:rsid w:val="00483DFD"/>
    <w:rsid w:val="00483F90"/>
    <w:rsid w:val="00483FA5"/>
    <w:rsid w:val="00484001"/>
    <w:rsid w:val="00484048"/>
    <w:rsid w:val="00484089"/>
    <w:rsid w:val="00484182"/>
    <w:rsid w:val="004842AF"/>
    <w:rsid w:val="004842C5"/>
    <w:rsid w:val="00484479"/>
    <w:rsid w:val="00484490"/>
    <w:rsid w:val="004844CE"/>
    <w:rsid w:val="004845C1"/>
    <w:rsid w:val="004845D1"/>
    <w:rsid w:val="004846F5"/>
    <w:rsid w:val="00484716"/>
    <w:rsid w:val="00484810"/>
    <w:rsid w:val="00484861"/>
    <w:rsid w:val="00484868"/>
    <w:rsid w:val="00484911"/>
    <w:rsid w:val="00484A03"/>
    <w:rsid w:val="00484AC6"/>
    <w:rsid w:val="00484ADF"/>
    <w:rsid w:val="00484B9E"/>
    <w:rsid w:val="00484D0B"/>
    <w:rsid w:val="00484DC1"/>
    <w:rsid w:val="00484DEF"/>
    <w:rsid w:val="00484E00"/>
    <w:rsid w:val="00484E15"/>
    <w:rsid w:val="00484E32"/>
    <w:rsid w:val="00484F68"/>
    <w:rsid w:val="00484F9F"/>
    <w:rsid w:val="00484FF4"/>
    <w:rsid w:val="0048501E"/>
    <w:rsid w:val="00485118"/>
    <w:rsid w:val="00485215"/>
    <w:rsid w:val="00485228"/>
    <w:rsid w:val="004852F9"/>
    <w:rsid w:val="00485346"/>
    <w:rsid w:val="00485367"/>
    <w:rsid w:val="004855C7"/>
    <w:rsid w:val="00485692"/>
    <w:rsid w:val="00485724"/>
    <w:rsid w:val="0048585B"/>
    <w:rsid w:val="0048598F"/>
    <w:rsid w:val="004859AD"/>
    <w:rsid w:val="00485C91"/>
    <w:rsid w:val="00485CB6"/>
    <w:rsid w:val="00485DC3"/>
    <w:rsid w:val="00485E60"/>
    <w:rsid w:val="00485EAA"/>
    <w:rsid w:val="00485F1D"/>
    <w:rsid w:val="00485F4E"/>
    <w:rsid w:val="00485F5E"/>
    <w:rsid w:val="00485FA9"/>
    <w:rsid w:val="0048609E"/>
    <w:rsid w:val="004860F6"/>
    <w:rsid w:val="00486153"/>
    <w:rsid w:val="004861A7"/>
    <w:rsid w:val="004861E4"/>
    <w:rsid w:val="00486239"/>
    <w:rsid w:val="004862CA"/>
    <w:rsid w:val="00486322"/>
    <w:rsid w:val="0048641A"/>
    <w:rsid w:val="0048645E"/>
    <w:rsid w:val="004864A0"/>
    <w:rsid w:val="00486547"/>
    <w:rsid w:val="0048654D"/>
    <w:rsid w:val="0048658A"/>
    <w:rsid w:val="004866A2"/>
    <w:rsid w:val="00486725"/>
    <w:rsid w:val="00486731"/>
    <w:rsid w:val="00486732"/>
    <w:rsid w:val="004867B4"/>
    <w:rsid w:val="004867E3"/>
    <w:rsid w:val="00486940"/>
    <w:rsid w:val="0048696D"/>
    <w:rsid w:val="00486BA0"/>
    <w:rsid w:val="00486F68"/>
    <w:rsid w:val="00486FAA"/>
    <w:rsid w:val="00486FAB"/>
    <w:rsid w:val="004870C9"/>
    <w:rsid w:val="004870F8"/>
    <w:rsid w:val="00487127"/>
    <w:rsid w:val="00487228"/>
    <w:rsid w:val="004872AF"/>
    <w:rsid w:val="004872DF"/>
    <w:rsid w:val="00487466"/>
    <w:rsid w:val="00487485"/>
    <w:rsid w:val="00487638"/>
    <w:rsid w:val="00487710"/>
    <w:rsid w:val="0048771D"/>
    <w:rsid w:val="004877D2"/>
    <w:rsid w:val="0048788A"/>
    <w:rsid w:val="00487920"/>
    <w:rsid w:val="00487921"/>
    <w:rsid w:val="00487A1F"/>
    <w:rsid w:val="00487AB5"/>
    <w:rsid w:val="00487B1A"/>
    <w:rsid w:val="00487BC7"/>
    <w:rsid w:val="00487BDD"/>
    <w:rsid w:val="00487C17"/>
    <w:rsid w:val="00487CA3"/>
    <w:rsid w:val="00487EDA"/>
    <w:rsid w:val="00487FD3"/>
    <w:rsid w:val="00490005"/>
    <w:rsid w:val="00490102"/>
    <w:rsid w:val="0049010A"/>
    <w:rsid w:val="0049013A"/>
    <w:rsid w:val="004901A1"/>
    <w:rsid w:val="004901C2"/>
    <w:rsid w:val="00490256"/>
    <w:rsid w:val="00490591"/>
    <w:rsid w:val="0049064E"/>
    <w:rsid w:val="0049066C"/>
    <w:rsid w:val="00490683"/>
    <w:rsid w:val="00490796"/>
    <w:rsid w:val="00490855"/>
    <w:rsid w:val="004908A7"/>
    <w:rsid w:val="0049099C"/>
    <w:rsid w:val="00490B0C"/>
    <w:rsid w:val="00490B3E"/>
    <w:rsid w:val="00490B85"/>
    <w:rsid w:val="00490BB2"/>
    <w:rsid w:val="00490C13"/>
    <w:rsid w:val="00490C1A"/>
    <w:rsid w:val="00490D96"/>
    <w:rsid w:val="004910DA"/>
    <w:rsid w:val="00491131"/>
    <w:rsid w:val="00491135"/>
    <w:rsid w:val="0049116B"/>
    <w:rsid w:val="00491237"/>
    <w:rsid w:val="0049125A"/>
    <w:rsid w:val="00491299"/>
    <w:rsid w:val="004912B4"/>
    <w:rsid w:val="004913CB"/>
    <w:rsid w:val="004913F4"/>
    <w:rsid w:val="0049147A"/>
    <w:rsid w:val="00491494"/>
    <w:rsid w:val="004914C0"/>
    <w:rsid w:val="004914F4"/>
    <w:rsid w:val="00491563"/>
    <w:rsid w:val="0049163B"/>
    <w:rsid w:val="00491640"/>
    <w:rsid w:val="00491697"/>
    <w:rsid w:val="00491709"/>
    <w:rsid w:val="00491779"/>
    <w:rsid w:val="004917BC"/>
    <w:rsid w:val="00491819"/>
    <w:rsid w:val="004918CD"/>
    <w:rsid w:val="0049194E"/>
    <w:rsid w:val="00491955"/>
    <w:rsid w:val="00491995"/>
    <w:rsid w:val="00491A46"/>
    <w:rsid w:val="00491B15"/>
    <w:rsid w:val="00491C4D"/>
    <w:rsid w:val="00491C96"/>
    <w:rsid w:val="00491D30"/>
    <w:rsid w:val="00491D79"/>
    <w:rsid w:val="00491E46"/>
    <w:rsid w:val="00491E9C"/>
    <w:rsid w:val="00491F14"/>
    <w:rsid w:val="00491F55"/>
    <w:rsid w:val="00491F5D"/>
    <w:rsid w:val="00491F7D"/>
    <w:rsid w:val="00491FB7"/>
    <w:rsid w:val="00491FBB"/>
    <w:rsid w:val="00492069"/>
    <w:rsid w:val="0049214B"/>
    <w:rsid w:val="004921BF"/>
    <w:rsid w:val="004923A9"/>
    <w:rsid w:val="0049256E"/>
    <w:rsid w:val="00492573"/>
    <w:rsid w:val="004925F6"/>
    <w:rsid w:val="00492603"/>
    <w:rsid w:val="004926E3"/>
    <w:rsid w:val="00492775"/>
    <w:rsid w:val="004928EE"/>
    <w:rsid w:val="00492910"/>
    <w:rsid w:val="004929ED"/>
    <w:rsid w:val="00492A4C"/>
    <w:rsid w:val="00492B33"/>
    <w:rsid w:val="00492BEC"/>
    <w:rsid w:val="00492C9E"/>
    <w:rsid w:val="00492D0B"/>
    <w:rsid w:val="00492E8A"/>
    <w:rsid w:val="00492F26"/>
    <w:rsid w:val="00492F7E"/>
    <w:rsid w:val="004930B6"/>
    <w:rsid w:val="004930ED"/>
    <w:rsid w:val="004930F2"/>
    <w:rsid w:val="00493143"/>
    <w:rsid w:val="00493180"/>
    <w:rsid w:val="0049320A"/>
    <w:rsid w:val="0049328F"/>
    <w:rsid w:val="0049334D"/>
    <w:rsid w:val="00493354"/>
    <w:rsid w:val="00493458"/>
    <w:rsid w:val="00493618"/>
    <w:rsid w:val="00493639"/>
    <w:rsid w:val="0049364F"/>
    <w:rsid w:val="004937F1"/>
    <w:rsid w:val="00493897"/>
    <w:rsid w:val="004939AE"/>
    <w:rsid w:val="004939F0"/>
    <w:rsid w:val="00493B45"/>
    <w:rsid w:val="00493C07"/>
    <w:rsid w:val="00493E1A"/>
    <w:rsid w:val="00493E6B"/>
    <w:rsid w:val="00493E80"/>
    <w:rsid w:val="00493F50"/>
    <w:rsid w:val="00493F64"/>
    <w:rsid w:val="00493FFA"/>
    <w:rsid w:val="0049407D"/>
    <w:rsid w:val="004941F4"/>
    <w:rsid w:val="004942B5"/>
    <w:rsid w:val="0049439B"/>
    <w:rsid w:val="0049444F"/>
    <w:rsid w:val="00494482"/>
    <w:rsid w:val="00494504"/>
    <w:rsid w:val="004945D9"/>
    <w:rsid w:val="004945DE"/>
    <w:rsid w:val="00494613"/>
    <w:rsid w:val="004947E6"/>
    <w:rsid w:val="00494829"/>
    <w:rsid w:val="004948AD"/>
    <w:rsid w:val="004948DC"/>
    <w:rsid w:val="0049495F"/>
    <w:rsid w:val="00494969"/>
    <w:rsid w:val="004949DD"/>
    <w:rsid w:val="004949F5"/>
    <w:rsid w:val="00494AA6"/>
    <w:rsid w:val="00494AFB"/>
    <w:rsid w:val="00494B68"/>
    <w:rsid w:val="00494BA7"/>
    <w:rsid w:val="00494D2A"/>
    <w:rsid w:val="00494D31"/>
    <w:rsid w:val="00494D54"/>
    <w:rsid w:val="00494E77"/>
    <w:rsid w:val="00494F18"/>
    <w:rsid w:val="00494F3B"/>
    <w:rsid w:val="00494F82"/>
    <w:rsid w:val="00494FB8"/>
    <w:rsid w:val="00495073"/>
    <w:rsid w:val="004951B4"/>
    <w:rsid w:val="004951E4"/>
    <w:rsid w:val="00495208"/>
    <w:rsid w:val="0049529A"/>
    <w:rsid w:val="004952D7"/>
    <w:rsid w:val="0049530C"/>
    <w:rsid w:val="0049539D"/>
    <w:rsid w:val="004954A4"/>
    <w:rsid w:val="0049550C"/>
    <w:rsid w:val="0049552A"/>
    <w:rsid w:val="00495568"/>
    <w:rsid w:val="004955A5"/>
    <w:rsid w:val="004955AD"/>
    <w:rsid w:val="0049572A"/>
    <w:rsid w:val="00495740"/>
    <w:rsid w:val="00495788"/>
    <w:rsid w:val="004957F8"/>
    <w:rsid w:val="00495867"/>
    <w:rsid w:val="00495A74"/>
    <w:rsid w:val="00495A79"/>
    <w:rsid w:val="00495A88"/>
    <w:rsid w:val="00495B57"/>
    <w:rsid w:val="00495B88"/>
    <w:rsid w:val="00495BCC"/>
    <w:rsid w:val="00495C38"/>
    <w:rsid w:val="00495CE6"/>
    <w:rsid w:val="00495DAB"/>
    <w:rsid w:val="00495E02"/>
    <w:rsid w:val="00495E2B"/>
    <w:rsid w:val="00495EC9"/>
    <w:rsid w:val="00495EE3"/>
    <w:rsid w:val="00495F08"/>
    <w:rsid w:val="00495F96"/>
    <w:rsid w:val="0049606E"/>
    <w:rsid w:val="004960E2"/>
    <w:rsid w:val="00496129"/>
    <w:rsid w:val="0049612A"/>
    <w:rsid w:val="0049615E"/>
    <w:rsid w:val="0049617C"/>
    <w:rsid w:val="00496180"/>
    <w:rsid w:val="00496308"/>
    <w:rsid w:val="004963D3"/>
    <w:rsid w:val="004963F9"/>
    <w:rsid w:val="00496417"/>
    <w:rsid w:val="004964DD"/>
    <w:rsid w:val="004964FD"/>
    <w:rsid w:val="004965D0"/>
    <w:rsid w:val="004965E9"/>
    <w:rsid w:val="00496645"/>
    <w:rsid w:val="004966A7"/>
    <w:rsid w:val="00496747"/>
    <w:rsid w:val="0049678B"/>
    <w:rsid w:val="004967DF"/>
    <w:rsid w:val="0049686C"/>
    <w:rsid w:val="00496873"/>
    <w:rsid w:val="004968EA"/>
    <w:rsid w:val="00496A5D"/>
    <w:rsid w:val="00496A6F"/>
    <w:rsid w:val="00496CDF"/>
    <w:rsid w:val="00496CEA"/>
    <w:rsid w:val="00496D28"/>
    <w:rsid w:val="00496DA1"/>
    <w:rsid w:val="00496E3C"/>
    <w:rsid w:val="00496EED"/>
    <w:rsid w:val="00496F51"/>
    <w:rsid w:val="00496F8C"/>
    <w:rsid w:val="00496FD9"/>
    <w:rsid w:val="00497016"/>
    <w:rsid w:val="004972A2"/>
    <w:rsid w:val="004972EE"/>
    <w:rsid w:val="00497380"/>
    <w:rsid w:val="004973D1"/>
    <w:rsid w:val="004973E0"/>
    <w:rsid w:val="00497420"/>
    <w:rsid w:val="0049745A"/>
    <w:rsid w:val="004974FF"/>
    <w:rsid w:val="00497632"/>
    <w:rsid w:val="004977D2"/>
    <w:rsid w:val="00497888"/>
    <w:rsid w:val="00497923"/>
    <w:rsid w:val="0049793C"/>
    <w:rsid w:val="0049798A"/>
    <w:rsid w:val="0049799D"/>
    <w:rsid w:val="00497A34"/>
    <w:rsid w:val="00497AAC"/>
    <w:rsid w:val="00497AD6"/>
    <w:rsid w:val="00497BE3"/>
    <w:rsid w:val="00497C25"/>
    <w:rsid w:val="00497E81"/>
    <w:rsid w:val="00497E94"/>
    <w:rsid w:val="004A010A"/>
    <w:rsid w:val="004A0113"/>
    <w:rsid w:val="004A0176"/>
    <w:rsid w:val="004A02A2"/>
    <w:rsid w:val="004A03ED"/>
    <w:rsid w:val="004A03FC"/>
    <w:rsid w:val="004A04AE"/>
    <w:rsid w:val="004A04FA"/>
    <w:rsid w:val="004A05B0"/>
    <w:rsid w:val="004A05EF"/>
    <w:rsid w:val="004A0709"/>
    <w:rsid w:val="004A07BB"/>
    <w:rsid w:val="004A0803"/>
    <w:rsid w:val="004A0892"/>
    <w:rsid w:val="004A0896"/>
    <w:rsid w:val="004A0946"/>
    <w:rsid w:val="004A0962"/>
    <w:rsid w:val="004A09B3"/>
    <w:rsid w:val="004A0CF6"/>
    <w:rsid w:val="004A0CFC"/>
    <w:rsid w:val="004A10CD"/>
    <w:rsid w:val="004A1199"/>
    <w:rsid w:val="004A122A"/>
    <w:rsid w:val="004A122B"/>
    <w:rsid w:val="004A134F"/>
    <w:rsid w:val="004A15E8"/>
    <w:rsid w:val="004A1655"/>
    <w:rsid w:val="004A1677"/>
    <w:rsid w:val="004A1839"/>
    <w:rsid w:val="004A1A6A"/>
    <w:rsid w:val="004A1BCE"/>
    <w:rsid w:val="004A1BD7"/>
    <w:rsid w:val="004A1C28"/>
    <w:rsid w:val="004A1C98"/>
    <w:rsid w:val="004A1D16"/>
    <w:rsid w:val="004A1D51"/>
    <w:rsid w:val="004A1D5D"/>
    <w:rsid w:val="004A1DA7"/>
    <w:rsid w:val="004A1E3F"/>
    <w:rsid w:val="004A1F5A"/>
    <w:rsid w:val="004A206E"/>
    <w:rsid w:val="004A20C3"/>
    <w:rsid w:val="004A20DA"/>
    <w:rsid w:val="004A2140"/>
    <w:rsid w:val="004A2241"/>
    <w:rsid w:val="004A228D"/>
    <w:rsid w:val="004A235D"/>
    <w:rsid w:val="004A243D"/>
    <w:rsid w:val="004A2491"/>
    <w:rsid w:val="004A24BA"/>
    <w:rsid w:val="004A24D0"/>
    <w:rsid w:val="004A25E0"/>
    <w:rsid w:val="004A260E"/>
    <w:rsid w:val="004A2618"/>
    <w:rsid w:val="004A2675"/>
    <w:rsid w:val="004A275F"/>
    <w:rsid w:val="004A2769"/>
    <w:rsid w:val="004A27AC"/>
    <w:rsid w:val="004A287F"/>
    <w:rsid w:val="004A289C"/>
    <w:rsid w:val="004A28A3"/>
    <w:rsid w:val="004A28BC"/>
    <w:rsid w:val="004A2914"/>
    <w:rsid w:val="004A2BAB"/>
    <w:rsid w:val="004A2BBA"/>
    <w:rsid w:val="004A2C2C"/>
    <w:rsid w:val="004A2C73"/>
    <w:rsid w:val="004A2DDC"/>
    <w:rsid w:val="004A2DEE"/>
    <w:rsid w:val="004A2E04"/>
    <w:rsid w:val="004A2E07"/>
    <w:rsid w:val="004A2E72"/>
    <w:rsid w:val="004A2E96"/>
    <w:rsid w:val="004A2ED3"/>
    <w:rsid w:val="004A2EE2"/>
    <w:rsid w:val="004A2F4A"/>
    <w:rsid w:val="004A3039"/>
    <w:rsid w:val="004A30F8"/>
    <w:rsid w:val="004A312F"/>
    <w:rsid w:val="004A320A"/>
    <w:rsid w:val="004A3226"/>
    <w:rsid w:val="004A3350"/>
    <w:rsid w:val="004A33CB"/>
    <w:rsid w:val="004A33EA"/>
    <w:rsid w:val="004A33EC"/>
    <w:rsid w:val="004A3407"/>
    <w:rsid w:val="004A34D4"/>
    <w:rsid w:val="004A34F8"/>
    <w:rsid w:val="004A35EB"/>
    <w:rsid w:val="004A3610"/>
    <w:rsid w:val="004A3612"/>
    <w:rsid w:val="004A3708"/>
    <w:rsid w:val="004A3760"/>
    <w:rsid w:val="004A3888"/>
    <w:rsid w:val="004A3947"/>
    <w:rsid w:val="004A395F"/>
    <w:rsid w:val="004A39D4"/>
    <w:rsid w:val="004A3B4C"/>
    <w:rsid w:val="004A3B96"/>
    <w:rsid w:val="004A3ED0"/>
    <w:rsid w:val="004A3ED1"/>
    <w:rsid w:val="004A3EF8"/>
    <w:rsid w:val="004A3FB1"/>
    <w:rsid w:val="004A409E"/>
    <w:rsid w:val="004A42EA"/>
    <w:rsid w:val="004A42FF"/>
    <w:rsid w:val="004A433F"/>
    <w:rsid w:val="004A4391"/>
    <w:rsid w:val="004A44C3"/>
    <w:rsid w:val="004A4889"/>
    <w:rsid w:val="004A499E"/>
    <w:rsid w:val="004A49B9"/>
    <w:rsid w:val="004A4A0E"/>
    <w:rsid w:val="004A4ACA"/>
    <w:rsid w:val="004A4B50"/>
    <w:rsid w:val="004A4C62"/>
    <w:rsid w:val="004A4CD9"/>
    <w:rsid w:val="004A4D15"/>
    <w:rsid w:val="004A4D1D"/>
    <w:rsid w:val="004A4D87"/>
    <w:rsid w:val="004A4DB4"/>
    <w:rsid w:val="004A4DFE"/>
    <w:rsid w:val="004A4E69"/>
    <w:rsid w:val="004A4EDA"/>
    <w:rsid w:val="004A4EDD"/>
    <w:rsid w:val="004A4EFD"/>
    <w:rsid w:val="004A4EFE"/>
    <w:rsid w:val="004A4F63"/>
    <w:rsid w:val="004A4FC6"/>
    <w:rsid w:val="004A5089"/>
    <w:rsid w:val="004A50C6"/>
    <w:rsid w:val="004A50E8"/>
    <w:rsid w:val="004A5338"/>
    <w:rsid w:val="004A5343"/>
    <w:rsid w:val="004A54B2"/>
    <w:rsid w:val="004A54BF"/>
    <w:rsid w:val="004A551F"/>
    <w:rsid w:val="004A5520"/>
    <w:rsid w:val="004A5528"/>
    <w:rsid w:val="004A5529"/>
    <w:rsid w:val="004A561B"/>
    <w:rsid w:val="004A5634"/>
    <w:rsid w:val="004A575E"/>
    <w:rsid w:val="004A57FB"/>
    <w:rsid w:val="004A58C1"/>
    <w:rsid w:val="004A59DA"/>
    <w:rsid w:val="004A5A8D"/>
    <w:rsid w:val="004A5A97"/>
    <w:rsid w:val="004A5B3D"/>
    <w:rsid w:val="004A5B9D"/>
    <w:rsid w:val="004A5BE0"/>
    <w:rsid w:val="004A5C2C"/>
    <w:rsid w:val="004A5CC2"/>
    <w:rsid w:val="004A5DEC"/>
    <w:rsid w:val="004A5E1F"/>
    <w:rsid w:val="004A5EA8"/>
    <w:rsid w:val="004A5F01"/>
    <w:rsid w:val="004A5F62"/>
    <w:rsid w:val="004A5FCB"/>
    <w:rsid w:val="004A610C"/>
    <w:rsid w:val="004A6295"/>
    <w:rsid w:val="004A638B"/>
    <w:rsid w:val="004A6498"/>
    <w:rsid w:val="004A649C"/>
    <w:rsid w:val="004A64CA"/>
    <w:rsid w:val="004A64EF"/>
    <w:rsid w:val="004A6508"/>
    <w:rsid w:val="004A6559"/>
    <w:rsid w:val="004A6587"/>
    <w:rsid w:val="004A659D"/>
    <w:rsid w:val="004A66B4"/>
    <w:rsid w:val="004A680D"/>
    <w:rsid w:val="004A6898"/>
    <w:rsid w:val="004A69FA"/>
    <w:rsid w:val="004A6A3E"/>
    <w:rsid w:val="004A6A84"/>
    <w:rsid w:val="004A6B67"/>
    <w:rsid w:val="004A6C9D"/>
    <w:rsid w:val="004A6CE4"/>
    <w:rsid w:val="004A6D18"/>
    <w:rsid w:val="004A6E7A"/>
    <w:rsid w:val="004A6FD9"/>
    <w:rsid w:val="004A707B"/>
    <w:rsid w:val="004A70EE"/>
    <w:rsid w:val="004A71C4"/>
    <w:rsid w:val="004A7257"/>
    <w:rsid w:val="004A769A"/>
    <w:rsid w:val="004A777B"/>
    <w:rsid w:val="004A7783"/>
    <w:rsid w:val="004A77B7"/>
    <w:rsid w:val="004A7882"/>
    <w:rsid w:val="004A78A4"/>
    <w:rsid w:val="004A79B7"/>
    <w:rsid w:val="004A7AB2"/>
    <w:rsid w:val="004A7B17"/>
    <w:rsid w:val="004A7C25"/>
    <w:rsid w:val="004A7CC3"/>
    <w:rsid w:val="004A7E16"/>
    <w:rsid w:val="004A7EA2"/>
    <w:rsid w:val="004A7F11"/>
    <w:rsid w:val="004A7FBA"/>
    <w:rsid w:val="004B0161"/>
    <w:rsid w:val="004B0175"/>
    <w:rsid w:val="004B0301"/>
    <w:rsid w:val="004B0308"/>
    <w:rsid w:val="004B03D6"/>
    <w:rsid w:val="004B04CF"/>
    <w:rsid w:val="004B05CF"/>
    <w:rsid w:val="004B07CF"/>
    <w:rsid w:val="004B0A14"/>
    <w:rsid w:val="004B0A72"/>
    <w:rsid w:val="004B0ACA"/>
    <w:rsid w:val="004B0B11"/>
    <w:rsid w:val="004B0B47"/>
    <w:rsid w:val="004B0BAF"/>
    <w:rsid w:val="004B0D41"/>
    <w:rsid w:val="004B0DFA"/>
    <w:rsid w:val="004B0F32"/>
    <w:rsid w:val="004B1139"/>
    <w:rsid w:val="004B113C"/>
    <w:rsid w:val="004B11C5"/>
    <w:rsid w:val="004B11E1"/>
    <w:rsid w:val="004B12E4"/>
    <w:rsid w:val="004B1345"/>
    <w:rsid w:val="004B13A1"/>
    <w:rsid w:val="004B13F4"/>
    <w:rsid w:val="004B1407"/>
    <w:rsid w:val="004B1674"/>
    <w:rsid w:val="004B1743"/>
    <w:rsid w:val="004B183B"/>
    <w:rsid w:val="004B18E9"/>
    <w:rsid w:val="004B196E"/>
    <w:rsid w:val="004B1B71"/>
    <w:rsid w:val="004B1C7E"/>
    <w:rsid w:val="004B1D59"/>
    <w:rsid w:val="004B1DBD"/>
    <w:rsid w:val="004B1F59"/>
    <w:rsid w:val="004B1F92"/>
    <w:rsid w:val="004B1FF2"/>
    <w:rsid w:val="004B2043"/>
    <w:rsid w:val="004B205F"/>
    <w:rsid w:val="004B20B0"/>
    <w:rsid w:val="004B20E1"/>
    <w:rsid w:val="004B212C"/>
    <w:rsid w:val="004B21F7"/>
    <w:rsid w:val="004B2325"/>
    <w:rsid w:val="004B233E"/>
    <w:rsid w:val="004B241E"/>
    <w:rsid w:val="004B253D"/>
    <w:rsid w:val="004B25A9"/>
    <w:rsid w:val="004B262F"/>
    <w:rsid w:val="004B2671"/>
    <w:rsid w:val="004B27AD"/>
    <w:rsid w:val="004B2929"/>
    <w:rsid w:val="004B29C9"/>
    <w:rsid w:val="004B2BAF"/>
    <w:rsid w:val="004B2C97"/>
    <w:rsid w:val="004B2CC1"/>
    <w:rsid w:val="004B2DE4"/>
    <w:rsid w:val="004B2DF4"/>
    <w:rsid w:val="004B2E05"/>
    <w:rsid w:val="004B2E1F"/>
    <w:rsid w:val="004B2E3A"/>
    <w:rsid w:val="004B2ECB"/>
    <w:rsid w:val="004B303F"/>
    <w:rsid w:val="004B304B"/>
    <w:rsid w:val="004B3206"/>
    <w:rsid w:val="004B32A4"/>
    <w:rsid w:val="004B32CA"/>
    <w:rsid w:val="004B34BA"/>
    <w:rsid w:val="004B34C9"/>
    <w:rsid w:val="004B34DE"/>
    <w:rsid w:val="004B34EE"/>
    <w:rsid w:val="004B3651"/>
    <w:rsid w:val="004B3728"/>
    <w:rsid w:val="004B3767"/>
    <w:rsid w:val="004B37AC"/>
    <w:rsid w:val="004B37B6"/>
    <w:rsid w:val="004B386A"/>
    <w:rsid w:val="004B3A67"/>
    <w:rsid w:val="004B3AAF"/>
    <w:rsid w:val="004B3AD3"/>
    <w:rsid w:val="004B3B81"/>
    <w:rsid w:val="004B3BA2"/>
    <w:rsid w:val="004B3BD6"/>
    <w:rsid w:val="004B3D8B"/>
    <w:rsid w:val="004B3E11"/>
    <w:rsid w:val="004B3FF9"/>
    <w:rsid w:val="004B4207"/>
    <w:rsid w:val="004B4306"/>
    <w:rsid w:val="004B433F"/>
    <w:rsid w:val="004B4390"/>
    <w:rsid w:val="004B4396"/>
    <w:rsid w:val="004B4406"/>
    <w:rsid w:val="004B444B"/>
    <w:rsid w:val="004B45FE"/>
    <w:rsid w:val="004B48B1"/>
    <w:rsid w:val="004B4938"/>
    <w:rsid w:val="004B49C1"/>
    <w:rsid w:val="004B49EB"/>
    <w:rsid w:val="004B49F2"/>
    <w:rsid w:val="004B4AC3"/>
    <w:rsid w:val="004B4B35"/>
    <w:rsid w:val="004B4B8C"/>
    <w:rsid w:val="004B4C60"/>
    <w:rsid w:val="004B4C8C"/>
    <w:rsid w:val="004B4E96"/>
    <w:rsid w:val="004B4ECD"/>
    <w:rsid w:val="004B4EF9"/>
    <w:rsid w:val="004B4F90"/>
    <w:rsid w:val="004B5141"/>
    <w:rsid w:val="004B5154"/>
    <w:rsid w:val="004B5381"/>
    <w:rsid w:val="004B53BC"/>
    <w:rsid w:val="004B53BE"/>
    <w:rsid w:val="004B53F9"/>
    <w:rsid w:val="004B5643"/>
    <w:rsid w:val="004B56A7"/>
    <w:rsid w:val="004B56F6"/>
    <w:rsid w:val="004B5741"/>
    <w:rsid w:val="004B5836"/>
    <w:rsid w:val="004B596C"/>
    <w:rsid w:val="004B5978"/>
    <w:rsid w:val="004B5D7A"/>
    <w:rsid w:val="004B5EEE"/>
    <w:rsid w:val="004B5F47"/>
    <w:rsid w:val="004B60CE"/>
    <w:rsid w:val="004B62E1"/>
    <w:rsid w:val="004B6370"/>
    <w:rsid w:val="004B6375"/>
    <w:rsid w:val="004B640E"/>
    <w:rsid w:val="004B6515"/>
    <w:rsid w:val="004B664B"/>
    <w:rsid w:val="004B67D0"/>
    <w:rsid w:val="004B67E8"/>
    <w:rsid w:val="004B6B44"/>
    <w:rsid w:val="004B6BE5"/>
    <w:rsid w:val="004B6C76"/>
    <w:rsid w:val="004B6CD2"/>
    <w:rsid w:val="004B6D96"/>
    <w:rsid w:val="004B6E91"/>
    <w:rsid w:val="004B6E95"/>
    <w:rsid w:val="004B6EFF"/>
    <w:rsid w:val="004B6FD6"/>
    <w:rsid w:val="004B7030"/>
    <w:rsid w:val="004B7051"/>
    <w:rsid w:val="004B7085"/>
    <w:rsid w:val="004B70A6"/>
    <w:rsid w:val="004B736C"/>
    <w:rsid w:val="004B74AB"/>
    <w:rsid w:val="004B7522"/>
    <w:rsid w:val="004B7546"/>
    <w:rsid w:val="004B7578"/>
    <w:rsid w:val="004B75D1"/>
    <w:rsid w:val="004B7673"/>
    <w:rsid w:val="004B779B"/>
    <w:rsid w:val="004B78BC"/>
    <w:rsid w:val="004B79BD"/>
    <w:rsid w:val="004B7CF3"/>
    <w:rsid w:val="004B7D6C"/>
    <w:rsid w:val="004B7DDB"/>
    <w:rsid w:val="004B7E01"/>
    <w:rsid w:val="004B7F10"/>
    <w:rsid w:val="004C00E2"/>
    <w:rsid w:val="004C0246"/>
    <w:rsid w:val="004C02F9"/>
    <w:rsid w:val="004C0416"/>
    <w:rsid w:val="004C0431"/>
    <w:rsid w:val="004C04A8"/>
    <w:rsid w:val="004C04E2"/>
    <w:rsid w:val="004C0731"/>
    <w:rsid w:val="004C0787"/>
    <w:rsid w:val="004C088E"/>
    <w:rsid w:val="004C0894"/>
    <w:rsid w:val="004C091F"/>
    <w:rsid w:val="004C092F"/>
    <w:rsid w:val="004C09BF"/>
    <w:rsid w:val="004C0A1E"/>
    <w:rsid w:val="004C0A2E"/>
    <w:rsid w:val="004C0A31"/>
    <w:rsid w:val="004C0B0C"/>
    <w:rsid w:val="004C0BC1"/>
    <w:rsid w:val="004C0C3A"/>
    <w:rsid w:val="004C0CEB"/>
    <w:rsid w:val="004C0D12"/>
    <w:rsid w:val="004C0D7F"/>
    <w:rsid w:val="004C0D9B"/>
    <w:rsid w:val="004C0E20"/>
    <w:rsid w:val="004C0EEC"/>
    <w:rsid w:val="004C0F39"/>
    <w:rsid w:val="004C0F7F"/>
    <w:rsid w:val="004C1129"/>
    <w:rsid w:val="004C1143"/>
    <w:rsid w:val="004C114D"/>
    <w:rsid w:val="004C12A8"/>
    <w:rsid w:val="004C12B3"/>
    <w:rsid w:val="004C12FD"/>
    <w:rsid w:val="004C146B"/>
    <w:rsid w:val="004C1471"/>
    <w:rsid w:val="004C1494"/>
    <w:rsid w:val="004C149B"/>
    <w:rsid w:val="004C14C3"/>
    <w:rsid w:val="004C14E6"/>
    <w:rsid w:val="004C1522"/>
    <w:rsid w:val="004C15C9"/>
    <w:rsid w:val="004C15F0"/>
    <w:rsid w:val="004C1668"/>
    <w:rsid w:val="004C16DD"/>
    <w:rsid w:val="004C16EC"/>
    <w:rsid w:val="004C1781"/>
    <w:rsid w:val="004C185B"/>
    <w:rsid w:val="004C195A"/>
    <w:rsid w:val="004C1A36"/>
    <w:rsid w:val="004C1A5A"/>
    <w:rsid w:val="004C1B09"/>
    <w:rsid w:val="004C1BCE"/>
    <w:rsid w:val="004C1CFA"/>
    <w:rsid w:val="004C1DF1"/>
    <w:rsid w:val="004C1E12"/>
    <w:rsid w:val="004C1F20"/>
    <w:rsid w:val="004C1FE2"/>
    <w:rsid w:val="004C219F"/>
    <w:rsid w:val="004C2222"/>
    <w:rsid w:val="004C2290"/>
    <w:rsid w:val="004C22B6"/>
    <w:rsid w:val="004C22C8"/>
    <w:rsid w:val="004C2351"/>
    <w:rsid w:val="004C24B5"/>
    <w:rsid w:val="004C24DE"/>
    <w:rsid w:val="004C25DD"/>
    <w:rsid w:val="004C266C"/>
    <w:rsid w:val="004C2769"/>
    <w:rsid w:val="004C277B"/>
    <w:rsid w:val="004C278D"/>
    <w:rsid w:val="004C27DE"/>
    <w:rsid w:val="004C285A"/>
    <w:rsid w:val="004C285B"/>
    <w:rsid w:val="004C2870"/>
    <w:rsid w:val="004C2872"/>
    <w:rsid w:val="004C288A"/>
    <w:rsid w:val="004C28D4"/>
    <w:rsid w:val="004C293C"/>
    <w:rsid w:val="004C2A0F"/>
    <w:rsid w:val="004C2CCB"/>
    <w:rsid w:val="004C2DB2"/>
    <w:rsid w:val="004C2DC7"/>
    <w:rsid w:val="004C2DCA"/>
    <w:rsid w:val="004C2E47"/>
    <w:rsid w:val="004C2E5A"/>
    <w:rsid w:val="004C30E6"/>
    <w:rsid w:val="004C31BC"/>
    <w:rsid w:val="004C323A"/>
    <w:rsid w:val="004C327B"/>
    <w:rsid w:val="004C327C"/>
    <w:rsid w:val="004C32F6"/>
    <w:rsid w:val="004C3334"/>
    <w:rsid w:val="004C33B6"/>
    <w:rsid w:val="004C3443"/>
    <w:rsid w:val="004C358E"/>
    <w:rsid w:val="004C3612"/>
    <w:rsid w:val="004C3676"/>
    <w:rsid w:val="004C36CE"/>
    <w:rsid w:val="004C37C8"/>
    <w:rsid w:val="004C388C"/>
    <w:rsid w:val="004C3935"/>
    <w:rsid w:val="004C3ACF"/>
    <w:rsid w:val="004C3BFD"/>
    <w:rsid w:val="004C3C67"/>
    <w:rsid w:val="004C3CBD"/>
    <w:rsid w:val="004C3D83"/>
    <w:rsid w:val="004C3E66"/>
    <w:rsid w:val="004C3ECD"/>
    <w:rsid w:val="004C3F08"/>
    <w:rsid w:val="004C4085"/>
    <w:rsid w:val="004C416A"/>
    <w:rsid w:val="004C4311"/>
    <w:rsid w:val="004C438F"/>
    <w:rsid w:val="004C4485"/>
    <w:rsid w:val="004C44E1"/>
    <w:rsid w:val="004C4781"/>
    <w:rsid w:val="004C4789"/>
    <w:rsid w:val="004C4899"/>
    <w:rsid w:val="004C493F"/>
    <w:rsid w:val="004C4958"/>
    <w:rsid w:val="004C495F"/>
    <w:rsid w:val="004C4A3D"/>
    <w:rsid w:val="004C4A78"/>
    <w:rsid w:val="004C4B65"/>
    <w:rsid w:val="004C4BFE"/>
    <w:rsid w:val="004C4CC2"/>
    <w:rsid w:val="004C4D01"/>
    <w:rsid w:val="004C4D31"/>
    <w:rsid w:val="004C4D79"/>
    <w:rsid w:val="004C4E02"/>
    <w:rsid w:val="004C4E19"/>
    <w:rsid w:val="004C4E20"/>
    <w:rsid w:val="004C4F7F"/>
    <w:rsid w:val="004C5176"/>
    <w:rsid w:val="004C52ED"/>
    <w:rsid w:val="004C5340"/>
    <w:rsid w:val="004C5361"/>
    <w:rsid w:val="004C547F"/>
    <w:rsid w:val="004C54BD"/>
    <w:rsid w:val="004C54D1"/>
    <w:rsid w:val="004C54EF"/>
    <w:rsid w:val="004C54F1"/>
    <w:rsid w:val="004C555B"/>
    <w:rsid w:val="004C55FF"/>
    <w:rsid w:val="004C5808"/>
    <w:rsid w:val="004C580E"/>
    <w:rsid w:val="004C584A"/>
    <w:rsid w:val="004C5868"/>
    <w:rsid w:val="004C588B"/>
    <w:rsid w:val="004C58C2"/>
    <w:rsid w:val="004C5902"/>
    <w:rsid w:val="004C598E"/>
    <w:rsid w:val="004C5A57"/>
    <w:rsid w:val="004C5D33"/>
    <w:rsid w:val="004C5D74"/>
    <w:rsid w:val="004C5D92"/>
    <w:rsid w:val="004C5FFC"/>
    <w:rsid w:val="004C6037"/>
    <w:rsid w:val="004C6041"/>
    <w:rsid w:val="004C6042"/>
    <w:rsid w:val="004C6184"/>
    <w:rsid w:val="004C61B4"/>
    <w:rsid w:val="004C61EA"/>
    <w:rsid w:val="004C6232"/>
    <w:rsid w:val="004C628C"/>
    <w:rsid w:val="004C63EB"/>
    <w:rsid w:val="004C642D"/>
    <w:rsid w:val="004C646E"/>
    <w:rsid w:val="004C6553"/>
    <w:rsid w:val="004C6615"/>
    <w:rsid w:val="004C66A3"/>
    <w:rsid w:val="004C6723"/>
    <w:rsid w:val="004C6818"/>
    <w:rsid w:val="004C695D"/>
    <w:rsid w:val="004C6A01"/>
    <w:rsid w:val="004C6A69"/>
    <w:rsid w:val="004C6B41"/>
    <w:rsid w:val="004C6B62"/>
    <w:rsid w:val="004C6B9B"/>
    <w:rsid w:val="004C6BBA"/>
    <w:rsid w:val="004C6BF0"/>
    <w:rsid w:val="004C6D58"/>
    <w:rsid w:val="004C6D85"/>
    <w:rsid w:val="004C6F52"/>
    <w:rsid w:val="004C6FF1"/>
    <w:rsid w:val="004C7044"/>
    <w:rsid w:val="004C70A2"/>
    <w:rsid w:val="004C711F"/>
    <w:rsid w:val="004C712C"/>
    <w:rsid w:val="004C7151"/>
    <w:rsid w:val="004C7227"/>
    <w:rsid w:val="004C72A8"/>
    <w:rsid w:val="004C735C"/>
    <w:rsid w:val="004C7379"/>
    <w:rsid w:val="004C73AF"/>
    <w:rsid w:val="004C7601"/>
    <w:rsid w:val="004C765A"/>
    <w:rsid w:val="004C7730"/>
    <w:rsid w:val="004C779B"/>
    <w:rsid w:val="004C77BC"/>
    <w:rsid w:val="004C77F0"/>
    <w:rsid w:val="004C78DD"/>
    <w:rsid w:val="004C796D"/>
    <w:rsid w:val="004C7B04"/>
    <w:rsid w:val="004C7BEA"/>
    <w:rsid w:val="004C7D7C"/>
    <w:rsid w:val="004C7E45"/>
    <w:rsid w:val="004C7F42"/>
    <w:rsid w:val="004C7F80"/>
    <w:rsid w:val="004C7F96"/>
    <w:rsid w:val="004D00E4"/>
    <w:rsid w:val="004D0144"/>
    <w:rsid w:val="004D0155"/>
    <w:rsid w:val="004D020E"/>
    <w:rsid w:val="004D0221"/>
    <w:rsid w:val="004D0241"/>
    <w:rsid w:val="004D026D"/>
    <w:rsid w:val="004D0292"/>
    <w:rsid w:val="004D02F4"/>
    <w:rsid w:val="004D05A3"/>
    <w:rsid w:val="004D05C0"/>
    <w:rsid w:val="004D078A"/>
    <w:rsid w:val="004D07BE"/>
    <w:rsid w:val="004D0806"/>
    <w:rsid w:val="004D0859"/>
    <w:rsid w:val="004D08B9"/>
    <w:rsid w:val="004D090B"/>
    <w:rsid w:val="004D092F"/>
    <w:rsid w:val="004D0942"/>
    <w:rsid w:val="004D0B33"/>
    <w:rsid w:val="004D0C9F"/>
    <w:rsid w:val="004D0CAE"/>
    <w:rsid w:val="004D0D11"/>
    <w:rsid w:val="004D0E48"/>
    <w:rsid w:val="004D0E7E"/>
    <w:rsid w:val="004D0FE0"/>
    <w:rsid w:val="004D1029"/>
    <w:rsid w:val="004D1191"/>
    <w:rsid w:val="004D12D1"/>
    <w:rsid w:val="004D13A9"/>
    <w:rsid w:val="004D1445"/>
    <w:rsid w:val="004D146B"/>
    <w:rsid w:val="004D14A4"/>
    <w:rsid w:val="004D14BE"/>
    <w:rsid w:val="004D1594"/>
    <w:rsid w:val="004D15ED"/>
    <w:rsid w:val="004D164D"/>
    <w:rsid w:val="004D16DD"/>
    <w:rsid w:val="004D1833"/>
    <w:rsid w:val="004D1AE0"/>
    <w:rsid w:val="004D1AF0"/>
    <w:rsid w:val="004D1AF1"/>
    <w:rsid w:val="004D1AF7"/>
    <w:rsid w:val="004D1BFC"/>
    <w:rsid w:val="004D1CA6"/>
    <w:rsid w:val="004D1CC4"/>
    <w:rsid w:val="004D1D0A"/>
    <w:rsid w:val="004D1D1E"/>
    <w:rsid w:val="004D1D40"/>
    <w:rsid w:val="004D1EA3"/>
    <w:rsid w:val="004D1EE9"/>
    <w:rsid w:val="004D1EF1"/>
    <w:rsid w:val="004D1F2B"/>
    <w:rsid w:val="004D1F8F"/>
    <w:rsid w:val="004D2237"/>
    <w:rsid w:val="004D2334"/>
    <w:rsid w:val="004D23A5"/>
    <w:rsid w:val="004D2408"/>
    <w:rsid w:val="004D241A"/>
    <w:rsid w:val="004D241B"/>
    <w:rsid w:val="004D24B5"/>
    <w:rsid w:val="004D24DA"/>
    <w:rsid w:val="004D2644"/>
    <w:rsid w:val="004D26E9"/>
    <w:rsid w:val="004D283E"/>
    <w:rsid w:val="004D28FF"/>
    <w:rsid w:val="004D2946"/>
    <w:rsid w:val="004D295D"/>
    <w:rsid w:val="004D2971"/>
    <w:rsid w:val="004D29A5"/>
    <w:rsid w:val="004D2AF2"/>
    <w:rsid w:val="004D2B20"/>
    <w:rsid w:val="004D2BDA"/>
    <w:rsid w:val="004D2C22"/>
    <w:rsid w:val="004D2C7C"/>
    <w:rsid w:val="004D2CC8"/>
    <w:rsid w:val="004D2CD1"/>
    <w:rsid w:val="004D2DF2"/>
    <w:rsid w:val="004D2E4B"/>
    <w:rsid w:val="004D2F22"/>
    <w:rsid w:val="004D2FC9"/>
    <w:rsid w:val="004D30BE"/>
    <w:rsid w:val="004D3164"/>
    <w:rsid w:val="004D3314"/>
    <w:rsid w:val="004D333A"/>
    <w:rsid w:val="004D334C"/>
    <w:rsid w:val="004D339C"/>
    <w:rsid w:val="004D3445"/>
    <w:rsid w:val="004D35D7"/>
    <w:rsid w:val="004D3709"/>
    <w:rsid w:val="004D3875"/>
    <w:rsid w:val="004D397D"/>
    <w:rsid w:val="004D3A7F"/>
    <w:rsid w:val="004D3B2F"/>
    <w:rsid w:val="004D3C3A"/>
    <w:rsid w:val="004D3D6D"/>
    <w:rsid w:val="004D3DAA"/>
    <w:rsid w:val="004D3EBC"/>
    <w:rsid w:val="004D3EFD"/>
    <w:rsid w:val="004D4096"/>
    <w:rsid w:val="004D416A"/>
    <w:rsid w:val="004D4179"/>
    <w:rsid w:val="004D427A"/>
    <w:rsid w:val="004D42CC"/>
    <w:rsid w:val="004D431A"/>
    <w:rsid w:val="004D4420"/>
    <w:rsid w:val="004D4511"/>
    <w:rsid w:val="004D4538"/>
    <w:rsid w:val="004D46D1"/>
    <w:rsid w:val="004D46E5"/>
    <w:rsid w:val="004D4743"/>
    <w:rsid w:val="004D479C"/>
    <w:rsid w:val="004D47A6"/>
    <w:rsid w:val="004D47FE"/>
    <w:rsid w:val="004D48B7"/>
    <w:rsid w:val="004D4BAC"/>
    <w:rsid w:val="004D4D01"/>
    <w:rsid w:val="004D4DB6"/>
    <w:rsid w:val="004D4E1D"/>
    <w:rsid w:val="004D4EE2"/>
    <w:rsid w:val="004D4FD3"/>
    <w:rsid w:val="004D4FE3"/>
    <w:rsid w:val="004D5050"/>
    <w:rsid w:val="004D5063"/>
    <w:rsid w:val="004D507E"/>
    <w:rsid w:val="004D5215"/>
    <w:rsid w:val="004D52DC"/>
    <w:rsid w:val="004D5431"/>
    <w:rsid w:val="004D54EF"/>
    <w:rsid w:val="004D5571"/>
    <w:rsid w:val="004D558F"/>
    <w:rsid w:val="004D5752"/>
    <w:rsid w:val="004D57C4"/>
    <w:rsid w:val="004D57FC"/>
    <w:rsid w:val="004D5869"/>
    <w:rsid w:val="004D58B2"/>
    <w:rsid w:val="004D59DA"/>
    <w:rsid w:val="004D59E3"/>
    <w:rsid w:val="004D5AF2"/>
    <w:rsid w:val="004D5AF9"/>
    <w:rsid w:val="004D5BF5"/>
    <w:rsid w:val="004D5C36"/>
    <w:rsid w:val="004D5C5D"/>
    <w:rsid w:val="004D5C61"/>
    <w:rsid w:val="004D5E8B"/>
    <w:rsid w:val="004D6003"/>
    <w:rsid w:val="004D604B"/>
    <w:rsid w:val="004D61AB"/>
    <w:rsid w:val="004D61BE"/>
    <w:rsid w:val="004D6272"/>
    <w:rsid w:val="004D633B"/>
    <w:rsid w:val="004D63BD"/>
    <w:rsid w:val="004D643E"/>
    <w:rsid w:val="004D654B"/>
    <w:rsid w:val="004D655C"/>
    <w:rsid w:val="004D6576"/>
    <w:rsid w:val="004D657A"/>
    <w:rsid w:val="004D6591"/>
    <w:rsid w:val="004D6683"/>
    <w:rsid w:val="004D678C"/>
    <w:rsid w:val="004D67D7"/>
    <w:rsid w:val="004D697F"/>
    <w:rsid w:val="004D6996"/>
    <w:rsid w:val="004D6C61"/>
    <w:rsid w:val="004D6DF6"/>
    <w:rsid w:val="004D6EDA"/>
    <w:rsid w:val="004D6F8F"/>
    <w:rsid w:val="004D71F7"/>
    <w:rsid w:val="004D7374"/>
    <w:rsid w:val="004D7447"/>
    <w:rsid w:val="004D745D"/>
    <w:rsid w:val="004D74CB"/>
    <w:rsid w:val="004D7578"/>
    <w:rsid w:val="004D7590"/>
    <w:rsid w:val="004D75EB"/>
    <w:rsid w:val="004D75F4"/>
    <w:rsid w:val="004D765D"/>
    <w:rsid w:val="004D76E6"/>
    <w:rsid w:val="004D7809"/>
    <w:rsid w:val="004D79AA"/>
    <w:rsid w:val="004D7A13"/>
    <w:rsid w:val="004D7AD3"/>
    <w:rsid w:val="004D7B08"/>
    <w:rsid w:val="004D7BF5"/>
    <w:rsid w:val="004D7FD8"/>
    <w:rsid w:val="004E02D8"/>
    <w:rsid w:val="004E03F0"/>
    <w:rsid w:val="004E047E"/>
    <w:rsid w:val="004E04F7"/>
    <w:rsid w:val="004E0571"/>
    <w:rsid w:val="004E05A9"/>
    <w:rsid w:val="004E0631"/>
    <w:rsid w:val="004E077C"/>
    <w:rsid w:val="004E079D"/>
    <w:rsid w:val="004E07C4"/>
    <w:rsid w:val="004E09D2"/>
    <w:rsid w:val="004E0B50"/>
    <w:rsid w:val="004E0B8E"/>
    <w:rsid w:val="004E0C0D"/>
    <w:rsid w:val="004E0D4B"/>
    <w:rsid w:val="004E0D6E"/>
    <w:rsid w:val="004E0DFB"/>
    <w:rsid w:val="004E0F60"/>
    <w:rsid w:val="004E10DA"/>
    <w:rsid w:val="004E118E"/>
    <w:rsid w:val="004E1263"/>
    <w:rsid w:val="004E1318"/>
    <w:rsid w:val="004E1347"/>
    <w:rsid w:val="004E13B1"/>
    <w:rsid w:val="004E143A"/>
    <w:rsid w:val="004E1501"/>
    <w:rsid w:val="004E15D0"/>
    <w:rsid w:val="004E1615"/>
    <w:rsid w:val="004E1616"/>
    <w:rsid w:val="004E169A"/>
    <w:rsid w:val="004E16BA"/>
    <w:rsid w:val="004E189B"/>
    <w:rsid w:val="004E189E"/>
    <w:rsid w:val="004E199E"/>
    <w:rsid w:val="004E1A31"/>
    <w:rsid w:val="004E1B3A"/>
    <w:rsid w:val="004E1BDE"/>
    <w:rsid w:val="004E1C1A"/>
    <w:rsid w:val="004E1D3B"/>
    <w:rsid w:val="004E1DC7"/>
    <w:rsid w:val="004E1DD6"/>
    <w:rsid w:val="004E1E95"/>
    <w:rsid w:val="004E1F05"/>
    <w:rsid w:val="004E1F12"/>
    <w:rsid w:val="004E1F38"/>
    <w:rsid w:val="004E2095"/>
    <w:rsid w:val="004E20D4"/>
    <w:rsid w:val="004E2147"/>
    <w:rsid w:val="004E22E6"/>
    <w:rsid w:val="004E22ED"/>
    <w:rsid w:val="004E2392"/>
    <w:rsid w:val="004E2402"/>
    <w:rsid w:val="004E2477"/>
    <w:rsid w:val="004E24C4"/>
    <w:rsid w:val="004E2588"/>
    <w:rsid w:val="004E25EB"/>
    <w:rsid w:val="004E2672"/>
    <w:rsid w:val="004E2836"/>
    <w:rsid w:val="004E2893"/>
    <w:rsid w:val="004E2908"/>
    <w:rsid w:val="004E2926"/>
    <w:rsid w:val="004E29C6"/>
    <w:rsid w:val="004E29F4"/>
    <w:rsid w:val="004E2A21"/>
    <w:rsid w:val="004E2B4A"/>
    <w:rsid w:val="004E2C10"/>
    <w:rsid w:val="004E2C1B"/>
    <w:rsid w:val="004E2CF2"/>
    <w:rsid w:val="004E2CF6"/>
    <w:rsid w:val="004E2D6E"/>
    <w:rsid w:val="004E2DA8"/>
    <w:rsid w:val="004E2E59"/>
    <w:rsid w:val="004E2EEA"/>
    <w:rsid w:val="004E2F23"/>
    <w:rsid w:val="004E2F5F"/>
    <w:rsid w:val="004E2FC0"/>
    <w:rsid w:val="004E2FF2"/>
    <w:rsid w:val="004E318A"/>
    <w:rsid w:val="004E31A1"/>
    <w:rsid w:val="004E31DB"/>
    <w:rsid w:val="004E320B"/>
    <w:rsid w:val="004E3236"/>
    <w:rsid w:val="004E3309"/>
    <w:rsid w:val="004E3558"/>
    <w:rsid w:val="004E3622"/>
    <w:rsid w:val="004E373C"/>
    <w:rsid w:val="004E38B7"/>
    <w:rsid w:val="004E3907"/>
    <w:rsid w:val="004E3A8F"/>
    <w:rsid w:val="004E3AC7"/>
    <w:rsid w:val="004E3AD1"/>
    <w:rsid w:val="004E3AF1"/>
    <w:rsid w:val="004E3AFE"/>
    <w:rsid w:val="004E3C1C"/>
    <w:rsid w:val="004E3C40"/>
    <w:rsid w:val="004E3CCC"/>
    <w:rsid w:val="004E3D1B"/>
    <w:rsid w:val="004E3DAB"/>
    <w:rsid w:val="004E3E0B"/>
    <w:rsid w:val="004E3F7C"/>
    <w:rsid w:val="004E4056"/>
    <w:rsid w:val="004E4112"/>
    <w:rsid w:val="004E413B"/>
    <w:rsid w:val="004E419F"/>
    <w:rsid w:val="004E43BE"/>
    <w:rsid w:val="004E4414"/>
    <w:rsid w:val="004E443F"/>
    <w:rsid w:val="004E4469"/>
    <w:rsid w:val="004E4554"/>
    <w:rsid w:val="004E4560"/>
    <w:rsid w:val="004E45F0"/>
    <w:rsid w:val="004E46F4"/>
    <w:rsid w:val="004E479B"/>
    <w:rsid w:val="004E48B3"/>
    <w:rsid w:val="004E48B9"/>
    <w:rsid w:val="004E4900"/>
    <w:rsid w:val="004E4948"/>
    <w:rsid w:val="004E4ABC"/>
    <w:rsid w:val="004E4CD4"/>
    <w:rsid w:val="004E4D3E"/>
    <w:rsid w:val="004E4DB6"/>
    <w:rsid w:val="004E4E06"/>
    <w:rsid w:val="004E4EFB"/>
    <w:rsid w:val="004E4F02"/>
    <w:rsid w:val="004E4F0E"/>
    <w:rsid w:val="004E4F41"/>
    <w:rsid w:val="004E5094"/>
    <w:rsid w:val="004E50A2"/>
    <w:rsid w:val="004E5203"/>
    <w:rsid w:val="004E5279"/>
    <w:rsid w:val="004E531C"/>
    <w:rsid w:val="004E535E"/>
    <w:rsid w:val="004E5376"/>
    <w:rsid w:val="004E5469"/>
    <w:rsid w:val="004E5484"/>
    <w:rsid w:val="004E56C2"/>
    <w:rsid w:val="004E5708"/>
    <w:rsid w:val="004E5812"/>
    <w:rsid w:val="004E5816"/>
    <w:rsid w:val="004E592D"/>
    <w:rsid w:val="004E5935"/>
    <w:rsid w:val="004E5A1A"/>
    <w:rsid w:val="004E5A78"/>
    <w:rsid w:val="004E5A8F"/>
    <w:rsid w:val="004E5AA0"/>
    <w:rsid w:val="004E5AA4"/>
    <w:rsid w:val="004E5D2E"/>
    <w:rsid w:val="004E5DCE"/>
    <w:rsid w:val="004E5E00"/>
    <w:rsid w:val="004E5E93"/>
    <w:rsid w:val="004E5EC7"/>
    <w:rsid w:val="004E5EDF"/>
    <w:rsid w:val="004E5F52"/>
    <w:rsid w:val="004E5F53"/>
    <w:rsid w:val="004E60E7"/>
    <w:rsid w:val="004E60F7"/>
    <w:rsid w:val="004E6107"/>
    <w:rsid w:val="004E6190"/>
    <w:rsid w:val="004E61A1"/>
    <w:rsid w:val="004E630A"/>
    <w:rsid w:val="004E6456"/>
    <w:rsid w:val="004E6475"/>
    <w:rsid w:val="004E654E"/>
    <w:rsid w:val="004E6603"/>
    <w:rsid w:val="004E6659"/>
    <w:rsid w:val="004E666F"/>
    <w:rsid w:val="004E667B"/>
    <w:rsid w:val="004E6683"/>
    <w:rsid w:val="004E6718"/>
    <w:rsid w:val="004E675D"/>
    <w:rsid w:val="004E6767"/>
    <w:rsid w:val="004E6844"/>
    <w:rsid w:val="004E68DA"/>
    <w:rsid w:val="004E696D"/>
    <w:rsid w:val="004E699B"/>
    <w:rsid w:val="004E69D0"/>
    <w:rsid w:val="004E6B24"/>
    <w:rsid w:val="004E6B51"/>
    <w:rsid w:val="004E6B76"/>
    <w:rsid w:val="004E6C15"/>
    <w:rsid w:val="004E6CB7"/>
    <w:rsid w:val="004E6D2C"/>
    <w:rsid w:val="004E6DB1"/>
    <w:rsid w:val="004E6E05"/>
    <w:rsid w:val="004E6E81"/>
    <w:rsid w:val="004E6E8F"/>
    <w:rsid w:val="004E6FCD"/>
    <w:rsid w:val="004E6FCE"/>
    <w:rsid w:val="004E6FF4"/>
    <w:rsid w:val="004E7020"/>
    <w:rsid w:val="004E70E6"/>
    <w:rsid w:val="004E71EB"/>
    <w:rsid w:val="004E7222"/>
    <w:rsid w:val="004E722E"/>
    <w:rsid w:val="004E729D"/>
    <w:rsid w:val="004E73BF"/>
    <w:rsid w:val="004E742F"/>
    <w:rsid w:val="004E745F"/>
    <w:rsid w:val="004E7474"/>
    <w:rsid w:val="004E749D"/>
    <w:rsid w:val="004E74FB"/>
    <w:rsid w:val="004E750C"/>
    <w:rsid w:val="004E7517"/>
    <w:rsid w:val="004E75F2"/>
    <w:rsid w:val="004E76BD"/>
    <w:rsid w:val="004E76C3"/>
    <w:rsid w:val="004E76ED"/>
    <w:rsid w:val="004E77D1"/>
    <w:rsid w:val="004E7897"/>
    <w:rsid w:val="004E7A76"/>
    <w:rsid w:val="004E7AFF"/>
    <w:rsid w:val="004E7B8A"/>
    <w:rsid w:val="004E7C3A"/>
    <w:rsid w:val="004E7DA1"/>
    <w:rsid w:val="004E7F39"/>
    <w:rsid w:val="004E7F6D"/>
    <w:rsid w:val="004E7FE1"/>
    <w:rsid w:val="004F000F"/>
    <w:rsid w:val="004F018D"/>
    <w:rsid w:val="004F0230"/>
    <w:rsid w:val="004F037D"/>
    <w:rsid w:val="004F03A5"/>
    <w:rsid w:val="004F03D0"/>
    <w:rsid w:val="004F03E6"/>
    <w:rsid w:val="004F0423"/>
    <w:rsid w:val="004F04D4"/>
    <w:rsid w:val="004F0960"/>
    <w:rsid w:val="004F09DA"/>
    <w:rsid w:val="004F0A93"/>
    <w:rsid w:val="004F0A99"/>
    <w:rsid w:val="004F0ACD"/>
    <w:rsid w:val="004F0B34"/>
    <w:rsid w:val="004F0B54"/>
    <w:rsid w:val="004F0C1E"/>
    <w:rsid w:val="004F0C20"/>
    <w:rsid w:val="004F0CF4"/>
    <w:rsid w:val="004F0D06"/>
    <w:rsid w:val="004F0D8C"/>
    <w:rsid w:val="004F0DD9"/>
    <w:rsid w:val="004F0E1A"/>
    <w:rsid w:val="004F0E2A"/>
    <w:rsid w:val="004F0E3F"/>
    <w:rsid w:val="004F0EA6"/>
    <w:rsid w:val="004F0F0E"/>
    <w:rsid w:val="004F110E"/>
    <w:rsid w:val="004F1165"/>
    <w:rsid w:val="004F119B"/>
    <w:rsid w:val="004F1324"/>
    <w:rsid w:val="004F1352"/>
    <w:rsid w:val="004F13AD"/>
    <w:rsid w:val="004F144D"/>
    <w:rsid w:val="004F149E"/>
    <w:rsid w:val="004F15C0"/>
    <w:rsid w:val="004F16CB"/>
    <w:rsid w:val="004F1700"/>
    <w:rsid w:val="004F179E"/>
    <w:rsid w:val="004F1910"/>
    <w:rsid w:val="004F19AE"/>
    <w:rsid w:val="004F1A1E"/>
    <w:rsid w:val="004F1A2B"/>
    <w:rsid w:val="004F1A93"/>
    <w:rsid w:val="004F1ABF"/>
    <w:rsid w:val="004F1CAD"/>
    <w:rsid w:val="004F1CAF"/>
    <w:rsid w:val="004F1CCF"/>
    <w:rsid w:val="004F1CF4"/>
    <w:rsid w:val="004F1D0B"/>
    <w:rsid w:val="004F1E9B"/>
    <w:rsid w:val="004F20BA"/>
    <w:rsid w:val="004F2226"/>
    <w:rsid w:val="004F22E1"/>
    <w:rsid w:val="004F2355"/>
    <w:rsid w:val="004F2472"/>
    <w:rsid w:val="004F25CF"/>
    <w:rsid w:val="004F2725"/>
    <w:rsid w:val="004F27A2"/>
    <w:rsid w:val="004F2893"/>
    <w:rsid w:val="004F2905"/>
    <w:rsid w:val="004F2969"/>
    <w:rsid w:val="004F29C4"/>
    <w:rsid w:val="004F2AB8"/>
    <w:rsid w:val="004F2C6B"/>
    <w:rsid w:val="004F2DD5"/>
    <w:rsid w:val="004F2DDA"/>
    <w:rsid w:val="004F2F44"/>
    <w:rsid w:val="004F2F7D"/>
    <w:rsid w:val="004F30B9"/>
    <w:rsid w:val="004F3179"/>
    <w:rsid w:val="004F32DE"/>
    <w:rsid w:val="004F3356"/>
    <w:rsid w:val="004F3436"/>
    <w:rsid w:val="004F348C"/>
    <w:rsid w:val="004F3526"/>
    <w:rsid w:val="004F35FD"/>
    <w:rsid w:val="004F3660"/>
    <w:rsid w:val="004F3701"/>
    <w:rsid w:val="004F3781"/>
    <w:rsid w:val="004F37A0"/>
    <w:rsid w:val="004F38AE"/>
    <w:rsid w:val="004F38C6"/>
    <w:rsid w:val="004F396F"/>
    <w:rsid w:val="004F3A05"/>
    <w:rsid w:val="004F3A53"/>
    <w:rsid w:val="004F3A94"/>
    <w:rsid w:val="004F3AC9"/>
    <w:rsid w:val="004F3AEA"/>
    <w:rsid w:val="004F3BA8"/>
    <w:rsid w:val="004F3C49"/>
    <w:rsid w:val="004F3D5D"/>
    <w:rsid w:val="004F3DCC"/>
    <w:rsid w:val="004F3E54"/>
    <w:rsid w:val="004F3EBA"/>
    <w:rsid w:val="004F3EE4"/>
    <w:rsid w:val="004F3FC4"/>
    <w:rsid w:val="004F3FEF"/>
    <w:rsid w:val="004F4006"/>
    <w:rsid w:val="004F40CF"/>
    <w:rsid w:val="004F4265"/>
    <w:rsid w:val="004F433F"/>
    <w:rsid w:val="004F43DA"/>
    <w:rsid w:val="004F456B"/>
    <w:rsid w:val="004F4676"/>
    <w:rsid w:val="004F470B"/>
    <w:rsid w:val="004F472A"/>
    <w:rsid w:val="004F4797"/>
    <w:rsid w:val="004F4845"/>
    <w:rsid w:val="004F4855"/>
    <w:rsid w:val="004F4930"/>
    <w:rsid w:val="004F49B6"/>
    <w:rsid w:val="004F4AD7"/>
    <w:rsid w:val="004F4B89"/>
    <w:rsid w:val="004F4B91"/>
    <w:rsid w:val="004F4BC2"/>
    <w:rsid w:val="004F4C6E"/>
    <w:rsid w:val="004F4D7D"/>
    <w:rsid w:val="004F4D9C"/>
    <w:rsid w:val="004F4DE1"/>
    <w:rsid w:val="004F4E0F"/>
    <w:rsid w:val="004F4ED9"/>
    <w:rsid w:val="004F4F0C"/>
    <w:rsid w:val="004F4F44"/>
    <w:rsid w:val="004F4F72"/>
    <w:rsid w:val="004F5088"/>
    <w:rsid w:val="004F5152"/>
    <w:rsid w:val="004F51F3"/>
    <w:rsid w:val="004F5214"/>
    <w:rsid w:val="004F5270"/>
    <w:rsid w:val="004F52FF"/>
    <w:rsid w:val="004F540F"/>
    <w:rsid w:val="004F5488"/>
    <w:rsid w:val="004F554C"/>
    <w:rsid w:val="004F5713"/>
    <w:rsid w:val="004F577A"/>
    <w:rsid w:val="004F5844"/>
    <w:rsid w:val="004F586D"/>
    <w:rsid w:val="004F586F"/>
    <w:rsid w:val="004F5923"/>
    <w:rsid w:val="004F5AD4"/>
    <w:rsid w:val="004F5B63"/>
    <w:rsid w:val="004F5B69"/>
    <w:rsid w:val="004F5B8F"/>
    <w:rsid w:val="004F5BA6"/>
    <w:rsid w:val="004F5C84"/>
    <w:rsid w:val="004F5D05"/>
    <w:rsid w:val="004F5D2D"/>
    <w:rsid w:val="004F5D34"/>
    <w:rsid w:val="004F5D40"/>
    <w:rsid w:val="004F5DA0"/>
    <w:rsid w:val="004F5DEA"/>
    <w:rsid w:val="004F5EFD"/>
    <w:rsid w:val="004F5F37"/>
    <w:rsid w:val="004F617F"/>
    <w:rsid w:val="004F61B6"/>
    <w:rsid w:val="004F61C6"/>
    <w:rsid w:val="004F6297"/>
    <w:rsid w:val="004F634C"/>
    <w:rsid w:val="004F65B2"/>
    <w:rsid w:val="004F65D3"/>
    <w:rsid w:val="004F65F9"/>
    <w:rsid w:val="004F677C"/>
    <w:rsid w:val="004F67A2"/>
    <w:rsid w:val="004F6977"/>
    <w:rsid w:val="004F697A"/>
    <w:rsid w:val="004F69BE"/>
    <w:rsid w:val="004F69DB"/>
    <w:rsid w:val="004F6A46"/>
    <w:rsid w:val="004F6ACE"/>
    <w:rsid w:val="004F6AFB"/>
    <w:rsid w:val="004F6CB9"/>
    <w:rsid w:val="004F6CC4"/>
    <w:rsid w:val="004F6CC5"/>
    <w:rsid w:val="004F6CDF"/>
    <w:rsid w:val="004F6D3C"/>
    <w:rsid w:val="004F6D5F"/>
    <w:rsid w:val="004F6E34"/>
    <w:rsid w:val="004F6F4D"/>
    <w:rsid w:val="004F70A0"/>
    <w:rsid w:val="004F70CB"/>
    <w:rsid w:val="004F70EC"/>
    <w:rsid w:val="004F7178"/>
    <w:rsid w:val="004F7222"/>
    <w:rsid w:val="004F733A"/>
    <w:rsid w:val="004F736F"/>
    <w:rsid w:val="004F73FD"/>
    <w:rsid w:val="004F7697"/>
    <w:rsid w:val="004F76B6"/>
    <w:rsid w:val="004F76CD"/>
    <w:rsid w:val="004F7840"/>
    <w:rsid w:val="004F7B49"/>
    <w:rsid w:val="004F7D6F"/>
    <w:rsid w:val="004F7F5D"/>
    <w:rsid w:val="004F7F62"/>
    <w:rsid w:val="004F7F89"/>
    <w:rsid w:val="00500015"/>
    <w:rsid w:val="0050004B"/>
    <w:rsid w:val="005001CC"/>
    <w:rsid w:val="005001F2"/>
    <w:rsid w:val="00500209"/>
    <w:rsid w:val="005002BD"/>
    <w:rsid w:val="005004E5"/>
    <w:rsid w:val="00500523"/>
    <w:rsid w:val="00500565"/>
    <w:rsid w:val="005005C2"/>
    <w:rsid w:val="005005D5"/>
    <w:rsid w:val="0050063C"/>
    <w:rsid w:val="0050066D"/>
    <w:rsid w:val="0050070C"/>
    <w:rsid w:val="0050080F"/>
    <w:rsid w:val="0050083A"/>
    <w:rsid w:val="0050086D"/>
    <w:rsid w:val="00500885"/>
    <w:rsid w:val="00500889"/>
    <w:rsid w:val="00500893"/>
    <w:rsid w:val="005008F9"/>
    <w:rsid w:val="00500A20"/>
    <w:rsid w:val="00500CF4"/>
    <w:rsid w:val="00500D02"/>
    <w:rsid w:val="00500D16"/>
    <w:rsid w:val="00500DC6"/>
    <w:rsid w:val="00500E4C"/>
    <w:rsid w:val="00500E54"/>
    <w:rsid w:val="00500EED"/>
    <w:rsid w:val="00500EF0"/>
    <w:rsid w:val="00500FB7"/>
    <w:rsid w:val="0050118F"/>
    <w:rsid w:val="005012AB"/>
    <w:rsid w:val="0050161E"/>
    <w:rsid w:val="00501666"/>
    <w:rsid w:val="00501694"/>
    <w:rsid w:val="00501718"/>
    <w:rsid w:val="0050175E"/>
    <w:rsid w:val="00501A4C"/>
    <w:rsid w:val="00501A6C"/>
    <w:rsid w:val="00501BC6"/>
    <w:rsid w:val="00501DDF"/>
    <w:rsid w:val="00501E68"/>
    <w:rsid w:val="00501EEB"/>
    <w:rsid w:val="00501F80"/>
    <w:rsid w:val="00501FCC"/>
    <w:rsid w:val="00501FD3"/>
    <w:rsid w:val="00501FDC"/>
    <w:rsid w:val="00501FF4"/>
    <w:rsid w:val="00501FF9"/>
    <w:rsid w:val="0050203F"/>
    <w:rsid w:val="00502083"/>
    <w:rsid w:val="0050210F"/>
    <w:rsid w:val="00502134"/>
    <w:rsid w:val="00502199"/>
    <w:rsid w:val="00502304"/>
    <w:rsid w:val="0050232B"/>
    <w:rsid w:val="00502591"/>
    <w:rsid w:val="005025AB"/>
    <w:rsid w:val="0050266F"/>
    <w:rsid w:val="005026A7"/>
    <w:rsid w:val="00502783"/>
    <w:rsid w:val="00502851"/>
    <w:rsid w:val="005028CF"/>
    <w:rsid w:val="00502927"/>
    <w:rsid w:val="005029B3"/>
    <w:rsid w:val="005029FF"/>
    <w:rsid w:val="00502A71"/>
    <w:rsid w:val="00502A97"/>
    <w:rsid w:val="00502AFC"/>
    <w:rsid w:val="00502FE3"/>
    <w:rsid w:val="0050300F"/>
    <w:rsid w:val="00503021"/>
    <w:rsid w:val="005030C4"/>
    <w:rsid w:val="0050312B"/>
    <w:rsid w:val="0050315F"/>
    <w:rsid w:val="005032D8"/>
    <w:rsid w:val="00503335"/>
    <w:rsid w:val="00503436"/>
    <w:rsid w:val="0050349A"/>
    <w:rsid w:val="005034A9"/>
    <w:rsid w:val="005034AE"/>
    <w:rsid w:val="005037DA"/>
    <w:rsid w:val="00503A48"/>
    <w:rsid w:val="00503B66"/>
    <w:rsid w:val="00503BB0"/>
    <w:rsid w:val="00503C68"/>
    <w:rsid w:val="00503CFB"/>
    <w:rsid w:val="00503D8A"/>
    <w:rsid w:val="00503D99"/>
    <w:rsid w:val="00503E21"/>
    <w:rsid w:val="00503E38"/>
    <w:rsid w:val="00503E5F"/>
    <w:rsid w:val="00503EA0"/>
    <w:rsid w:val="00503F7F"/>
    <w:rsid w:val="00503FC9"/>
    <w:rsid w:val="0050404E"/>
    <w:rsid w:val="00504083"/>
    <w:rsid w:val="005041E7"/>
    <w:rsid w:val="005042A6"/>
    <w:rsid w:val="005042B0"/>
    <w:rsid w:val="00504324"/>
    <w:rsid w:val="00504420"/>
    <w:rsid w:val="0050444B"/>
    <w:rsid w:val="005045A3"/>
    <w:rsid w:val="00504613"/>
    <w:rsid w:val="00504615"/>
    <w:rsid w:val="005046C1"/>
    <w:rsid w:val="005046DE"/>
    <w:rsid w:val="005047B5"/>
    <w:rsid w:val="005049C9"/>
    <w:rsid w:val="00504A47"/>
    <w:rsid w:val="00504AA5"/>
    <w:rsid w:val="00504B87"/>
    <w:rsid w:val="00504C13"/>
    <w:rsid w:val="00504CF8"/>
    <w:rsid w:val="00504F53"/>
    <w:rsid w:val="00504FAB"/>
    <w:rsid w:val="00504FD5"/>
    <w:rsid w:val="0050518A"/>
    <w:rsid w:val="00505290"/>
    <w:rsid w:val="005052F7"/>
    <w:rsid w:val="00505301"/>
    <w:rsid w:val="00505411"/>
    <w:rsid w:val="00505440"/>
    <w:rsid w:val="00505538"/>
    <w:rsid w:val="005055DE"/>
    <w:rsid w:val="00505647"/>
    <w:rsid w:val="00505722"/>
    <w:rsid w:val="005058AF"/>
    <w:rsid w:val="00505915"/>
    <w:rsid w:val="0050592C"/>
    <w:rsid w:val="00505A2D"/>
    <w:rsid w:val="00505A91"/>
    <w:rsid w:val="00505C25"/>
    <w:rsid w:val="00505C46"/>
    <w:rsid w:val="00505C75"/>
    <w:rsid w:val="00505CC2"/>
    <w:rsid w:val="00505CF2"/>
    <w:rsid w:val="00505D7B"/>
    <w:rsid w:val="00505D9B"/>
    <w:rsid w:val="00505E85"/>
    <w:rsid w:val="00505E8B"/>
    <w:rsid w:val="00505F78"/>
    <w:rsid w:val="00505F9A"/>
    <w:rsid w:val="00505FED"/>
    <w:rsid w:val="00506017"/>
    <w:rsid w:val="00506149"/>
    <w:rsid w:val="00506181"/>
    <w:rsid w:val="005061BE"/>
    <w:rsid w:val="00506234"/>
    <w:rsid w:val="00506328"/>
    <w:rsid w:val="0050634A"/>
    <w:rsid w:val="005063BE"/>
    <w:rsid w:val="0050644D"/>
    <w:rsid w:val="005064EB"/>
    <w:rsid w:val="0050654F"/>
    <w:rsid w:val="0050655A"/>
    <w:rsid w:val="0050658E"/>
    <w:rsid w:val="00506691"/>
    <w:rsid w:val="00506692"/>
    <w:rsid w:val="00506696"/>
    <w:rsid w:val="005066CB"/>
    <w:rsid w:val="00506714"/>
    <w:rsid w:val="005067DD"/>
    <w:rsid w:val="005068C2"/>
    <w:rsid w:val="005068F9"/>
    <w:rsid w:val="005069F8"/>
    <w:rsid w:val="00506B0E"/>
    <w:rsid w:val="00506B18"/>
    <w:rsid w:val="00506B7F"/>
    <w:rsid w:val="00506BFA"/>
    <w:rsid w:val="00506C7D"/>
    <w:rsid w:val="00506D31"/>
    <w:rsid w:val="00506DEA"/>
    <w:rsid w:val="00506E65"/>
    <w:rsid w:val="00506E66"/>
    <w:rsid w:val="00506EB3"/>
    <w:rsid w:val="00506F2C"/>
    <w:rsid w:val="00506FE7"/>
    <w:rsid w:val="00507071"/>
    <w:rsid w:val="005071A7"/>
    <w:rsid w:val="00507260"/>
    <w:rsid w:val="00507267"/>
    <w:rsid w:val="00507307"/>
    <w:rsid w:val="0050736F"/>
    <w:rsid w:val="00507416"/>
    <w:rsid w:val="00507425"/>
    <w:rsid w:val="005074EF"/>
    <w:rsid w:val="0050760F"/>
    <w:rsid w:val="00507630"/>
    <w:rsid w:val="005076D2"/>
    <w:rsid w:val="005077E2"/>
    <w:rsid w:val="00507946"/>
    <w:rsid w:val="00507B58"/>
    <w:rsid w:val="00507B64"/>
    <w:rsid w:val="00507B9B"/>
    <w:rsid w:val="00507C0F"/>
    <w:rsid w:val="00507CC7"/>
    <w:rsid w:val="00507D11"/>
    <w:rsid w:val="00507FF0"/>
    <w:rsid w:val="0051009E"/>
    <w:rsid w:val="0051010E"/>
    <w:rsid w:val="00510153"/>
    <w:rsid w:val="00510174"/>
    <w:rsid w:val="005101E7"/>
    <w:rsid w:val="00510328"/>
    <w:rsid w:val="00510376"/>
    <w:rsid w:val="005105EB"/>
    <w:rsid w:val="0051066F"/>
    <w:rsid w:val="005108B2"/>
    <w:rsid w:val="0051090E"/>
    <w:rsid w:val="00510911"/>
    <w:rsid w:val="00510A41"/>
    <w:rsid w:val="00510A8B"/>
    <w:rsid w:val="00510AB2"/>
    <w:rsid w:val="00510ACC"/>
    <w:rsid w:val="00510B58"/>
    <w:rsid w:val="00510B93"/>
    <w:rsid w:val="00510BC1"/>
    <w:rsid w:val="00510BD2"/>
    <w:rsid w:val="00510C06"/>
    <w:rsid w:val="00510C29"/>
    <w:rsid w:val="00510C42"/>
    <w:rsid w:val="00510C51"/>
    <w:rsid w:val="00510D22"/>
    <w:rsid w:val="00510DCE"/>
    <w:rsid w:val="00510E61"/>
    <w:rsid w:val="00510FDE"/>
    <w:rsid w:val="00511107"/>
    <w:rsid w:val="0051121C"/>
    <w:rsid w:val="00511279"/>
    <w:rsid w:val="005114BA"/>
    <w:rsid w:val="005114DB"/>
    <w:rsid w:val="005114E7"/>
    <w:rsid w:val="00511507"/>
    <w:rsid w:val="0051161B"/>
    <w:rsid w:val="0051168A"/>
    <w:rsid w:val="0051183A"/>
    <w:rsid w:val="005118CE"/>
    <w:rsid w:val="00511969"/>
    <w:rsid w:val="00511A19"/>
    <w:rsid w:val="00511B81"/>
    <w:rsid w:val="00511D16"/>
    <w:rsid w:val="00511D1B"/>
    <w:rsid w:val="00511DEF"/>
    <w:rsid w:val="00511E0F"/>
    <w:rsid w:val="00511E78"/>
    <w:rsid w:val="00511ED7"/>
    <w:rsid w:val="00511F42"/>
    <w:rsid w:val="00511FBD"/>
    <w:rsid w:val="00512036"/>
    <w:rsid w:val="005120A8"/>
    <w:rsid w:val="005120AD"/>
    <w:rsid w:val="00512122"/>
    <w:rsid w:val="00512272"/>
    <w:rsid w:val="00512347"/>
    <w:rsid w:val="005123E2"/>
    <w:rsid w:val="00512421"/>
    <w:rsid w:val="005124CC"/>
    <w:rsid w:val="005124FF"/>
    <w:rsid w:val="00512628"/>
    <w:rsid w:val="005128B2"/>
    <w:rsid w:val="005128E6"/>
    <w:rsid w:val="0051294C"/>
    <w:rsid w:val="00512961"/>
    <w:rsid w:val="00512C42"/>
    <w:rsid w:val="00512CC1"/>
    <w:rsid w:val="00512D5D"/>
    <w:rsid w:val="00512E40"/>
    <w:rsid w:val="00512E42"/>
    <w:rsid w:val="00512E5F"/>
    <w:rsid w:val="00512E62"/>
    <w:rsid w:val="00512EBF"/>
    <w:rsid w:val="00512F12"/>
    <w:rsid w:val="0051306F"/>
    <w:rsid w:val="0051307A"/>
    <w:rsid w:val="00513329"/>
    <w:rsid w:val="00513337"/>
    <w:rsid w:val="00513338"/>
    <w:rsid w:val="00513407"/>
    <w:rsid w:val="005134D4"/>
    <w:rsid w:val="005134D8"/>
    <w:rsid w:val="0051363F"/>
    <w:rsid w:val="005137F1"/>
    <w:rsid w:val="00513942"/>
    <w:rsid w:val="00513A00"/>
    <w:rsid w:val="00513A7C"/>
    <w:rsid w:val="00513B3F"/>
    <w:rsid w:val="00513BD6"/>
    <w:rsid w:val="00513E34"/>
    <w:rsid w:val="00513FD9"/>
    <w:rsid w:val="00513FDC"/>
    <w:rsid w:val="00514161"/>
    <w:rsid w:val="005141A4"/>
    <w:rsid w:val="005141A7"/>
    <w:rsid w:val="005141FD"/>
    <w:rsid w:val="0051429B"/>
    <w:rsid w:val="005142CE"/>
    <w:rsid w:val="0051436D"/>
    <w:rsid w:val="005143C7"/>
    <w:rsid w:val="0051441A"/>
    <w:rsid w:val="0051442C"/>
    <w:rsid w:val="005144D2"/>
    <w:rsid w:val="00514566"/>
    <w:rsid w:val="0051460B"/>
    <w:rsid w:val="005146E8"/>
    <w:rsid w:val="00514751"/>
    <w:rsid w:val="0051484E"/>
    <w:rsid w:val="0051497C"/>
    <w:rsid w:val="0051498A"/>
    <w:rsid w:val="005149B1"/>
    <w:rsid w:val="005149F2"/>
    <w:rsid w:val="00514B43"/>
    <w:rsid w:val="00514C29"/>
    <w:rsid w:val="00514C95"/>
    <w:rsid w:val="00514CEF"/>
    <w:rsid w:val="00514D16"/>
    <w:rsid w:val="00514DD1"/>
    <w:rsid w:val="00514DDD"/>
    <w:rsid w:val="00514E01"/>
    <w:rsid w:val="00514E65"/>
    <w:rsid w:val="00514F41"/>
    <w:rsid w:val="00514F55"/>
    <w:rsid w:val="00515002"/>
    <w:rsid w:val="00515086"/>
    <w:rsid w:val="00515205"/>
    <w:rsid w:val="00515237"/>
    <w:rsid w:val="00515239"/>
    <w:rsid w:val="0051530A"/>
    <w:rsid w:val="00515310"/>
    <w:rsid w:val="0051543F"/>
    <w:rsid w:val="00515474"/>
    <w:rsid w:val="00515493"/>
    <w:rsid w:val="005154DF"/>
    <w:rsid w:val="00515502"/>
    <w:rsid w:val="00515505"/>
    <w:rsid w:val="00515509"/>
    <w:rsid w:val="0051554C"/>
    <w:rsid w:val="00515707"/>
    <w:rsid w:val="0051570E"/>
    <w:rsid w:val="00515772"/>
    <w:rsid w:val="005157A3"/>
    <w:rsid w:val="005158A8"/>
    <w:rsid w:val="005159F9"/>
    <w:rsid w:val="00515A65"/>
    <w:rsid w:val="00515B4F"/>
    <w:rsid w:val="00515CEF"/>
    <w:rsid w:val="00515EAB"/>
    <w:rsid w:val="00515EF4"/>
    <w:rsid w:val="00515EF9"/>
    <w:rsid w:val="00515FF6"/>
    <w:rsid w:val="005160E7"/>
    <w:rsid w:val="00516241"/>
    <w:rsid w:val="0051636E"/>
    <w:rsid w:val="005164D0"/>
    <w:rsid w:val="00516532"/>
    <w:rsid w:val="00516543"/>
    <w:rsid w:val="00516590"/>
    <w:rsid w:val="005165D8"/>
    <w:rsid w:val="005165EB"/>
    <w:rsid w:val="0051662B"/>
    <w:rsid w:val="00516650"/>
    <w:rsid w:val="005166DE"/>
    <w:rsid w:val="00516754"/>
    <w:rsid w:val="0051680F"/>
    <w:rsid w:val="00516863"/>
    <w:rsid w:val="00516982"/>
    <w:rsid w:val="005169C6"/>
    <w:rsid w:val="00516A09"/>
    <w:rsid w:val="00516A7F"/>
    <w:rsid w:val="00516AD8"/>
    <w:rsid w:val="00516B24"/>
    <w:rsid w:val="00516B64"/>
    <w:rsid w:val="00516B85"/>
    <w:rsid w:val="00516C8B"/>
    <w:rsid w:val="00516C9D"/>
    <w:rsid w:val="00516D44"/>
    <w:rsid w:val="00516E73"/>
    <w:rsid w:val="00516E8B"/>
    <w:rsid w:val="00516EDF"/>
    <w:rsid w:val="00516F3E"/>
    <w:rsid w:val="005171BF"/>
    <w:rsid w:val="00517217"/>
    <w:rsid w:val="005172D1"/>
    <w:rsid w:val="0051755B"/>
    <w:rsid w:val="005175B3"/>
    <w:rsid w:val="00517600"/>
    <w:rsid w:val="00517662"/>
    <w:rsid w:val="00517685"/>
    <w:rsid w:val="00517686"/>
    <w:rsid w:val="005176C9"/>
    <w:rsid w:val="005176DD"/>
    <w:rsid w:val="00517764"/>
    <w:rsid w:val="005177AD"/>
    <w:rsid w:val="00517847"/>
    <w:rsid w:val="0051795A"/>
    <w:rsid w:val="005179AD"/>
    <w:rsid w:val="00517A90"/>
    <w:rsid w:val="00517B33"/>
    <w:rsid w:val="00517B94"/>
    <w:rsid w:val="00517DE8"/>
    <w:rsid w:val="00517E50"/>
    <w:rsid w:val="00517F0E"/>
    <w:rsid w:val="00517F91"/>
    <w:rsid w:val="00520023"/>
    <w:rsid w:val="00520271"/>
    <w:rsid w:val="005202BE"/>
    <w:rsid w:val="00520305"/>
    <w:rsid w:val="0052033E"/>
    <w:rsid w:val="00520349"/>
    <w:rsid w:val="005204BE"/>
    <w:rsid w:val="005205B0"/>
    <w:rsid w:val="00520636"/>
    <w:rsid w:val="005206D3"/>
    <w:rsid w:val="00520814"/>
    <w:rsid w:val="0052088C"/>
    <w:rsid w:val="00520942"/>
    <w:rsid w:val="0052099D"/>
    <w:rsid w:val="00520A1F"/>
    <w:rsid w:val="00520A2A"/>
    <w:rsid w:val="00520A78"/>
    <w:rsid w:val="00520B70"/>
    <w:rsid w:val="00520C36"/>
    <w:rsid w:val="00520D95"/>
    <w:rsid w:val="00520D9A"/>
    <w:rsid w:val="00520DDF"/>
    <w:rsid w:val="00520E66"/>
    <w:rsid w:val="0052114E"/>
    <w:rsid w:val="00521185"/>
    <w:rsid w:val="0052127E"/>
    <w:rsid w:val="00521283"/>
    <w:rsid w:val="005212CC"/>
    <w:rsid w:val="0052139A"/>
    <w:rsid w:val="005213BB"/>
    <w:rsid w:val="0052143C"/>
    <w:rsid w:val="005214E0"/>
    <w:rsid w:val="00521585"/>
    <w:rsid w:val="005215EE"/>
    <w:rsid w:val="0052165D"/>
    <w:rsid w:val="0052171F"/>
    <w:rsid w:val="00521728"/>
    <w:rsid w:val="005217CC"/>
    <w:rsid w:val="00521834"/>
    <w:rsid w:val="00521A52"/>
    <w:rsid w:val="00521A9E"/>
    <w:rsid w:val="00521AE0"/>
    <w:rsid w:val="00521CCD"/>
    <w:rsid w:val="00521D0D"/>
    <w:rsid w:val="00521DC2"/>
    <w:rsid w:val="00521DD4"/>
    <w:rsid w:val="00521E04"/>
    <w:rsid w:val="00521E1F"/>
    <w:rsid w:val="00521FD6"/>
    <w:rsid w:val="00522101"/>
    <w:rsid w:val="00522169"/>
    <w:rsid w:val="005221D5"/>
    <w:rsid w:val="005221E3"/>
    <w:rsid w:val="005221E4"/>
    <w:rsid w:val="005222DA"/>
    <w:rsid w:val="005222E0"/>
    <w:rsid w:val="00522505"/>
    <w:rsid w:val="00522523"/>
    <w:rsid w:val="0052257B"/>
    <w:rsid w:val="0052270D"/>
    <w:rsid w:val="0052276B"/>
    <w:rsid w:val="00522858"/>
    <w:rsid w:val="005228B9"/>
    <w:rsid w:val="005228BA"/>
    <w:rsid w:val="005229C8"/>
    <w:rsid w:val="00522A5E"/>
    <w:rsid w:val="00522AB7"/>
    <w:rsid w:val="00522AF6"/>
    <w:rsid w:val="00522BE8"/>
    <w:rsid w:val="00522C31"/>
    <w:rsid w:val="00522C9F"/>
    <w:rsid w:val="00522DC2"/>
    <w:rsid w:val="00522EE0"/>
    <w:rsid w:val="00522F56"/>
    <w:rsid w:val="00522FD1"/>
    <w:rsid w:val="00522FE4"/>
    <w:rsid w:val="0052312D"/>
    <w:rsid w:val="0052316C"/>
    <w:rsid w:val="00523190"/>
    <w:rsid w:val="005231F8"/>
    <w:rsid w:val="00523379"/>
    <w:rsid w:val="005233EB"/>
    <w:rsid w:val="005233F8"/>
    <w:rsid w:val="00523427"/>
    <w:rsid w:val="0052345F"/>
    <w:rsid w:val="005234E0"/>
    <w:rsid w:val="00523564"/>
    <w:rsid w:val="005235BB"/>
    <w:rsid w:val="005235CF"/>
    <w:rsid w:val="005235D6"/>
    <w:rsid w:val="005235FD"/>
    <w:rsid w:val="00523614"/>
    <w:rsid w:val="00523768"/>
    <w:rsid w:val="005237AB"/>
    <w:rsid w:val="005237B7"/>
    <w:rsid w:val="0052389F"/>
    <w:rsid w:val="0052390F"/>
    <w:rsid w:val="00523A46"/>
    <w:rsid w:val="00523A83"/>
    <w:rsid w:val="00523A8B"/>
    <w:rsid w:val="00523AAD"/>
    <w:rsid w:val="00523AAE"/>
    <w:rsid w:val="00523AF9"/>
    <w:rsid w:val="00523B1F"/>
    <w:rsid w:val="00523B35"/>
    <w:rsid w:val="00523B4E"/>
    <w:rsid w:val="00523B7C"/>
    <w:rsid w:val="00523C91"/>
    <w:rsid w:val="00523D1C"/>
    <w:rsid w:val="00523D41"/>
    <w:rsid w:val="00523E4F"/>
    <w:rsid w:val="00523F93"/>
    <w:rsid w:val="0052405E"/>
    <w:rsid w:val="00524288"/>
    <w:rsid w:val="00524327"/>
    <w:rsid w:val="0052436E"/>
    <w:rsid w:val="00524376"/>
    <w:rsid w:val="0052438E"/>
    <w:rsid w:val="00524426"/>
    <w:rsid w:val="00524505"/>
    <w:rsid w:val="00524579"/>
    <w:rsid w:val="005245AF"/>
    <w:rsid w:val="0052464C"/>
    <w:rsid w:val="0052466B"/>
    <w:rsid w:val="0052466D"/>
    <w:rsid w:val="005247F9"/>
    <w:rsid w:val="00524886"/>
    <w:rsid w:val="00524A1F"/>
    <w:rsid w:val="00524A6A"/>
    <w:rsid w:val="00524A6D"/>
    <w:rsid w:val="00524D78"/>
    <w:rsid w:val="00524E69"/>
    <w:rsid w:val="00524F33"/>
    <w:rsid w:val="005250A6"/>
    <w:rsid w:val="005250C0"/>
    <w:rsid w:val="005250EC"/>
    <w:rsid w:val="005250FC"/>
    <w:rsid w:val="0052511E"/>
    <w:rsid w:val="005251B0"/>
    <w:rsid w:val="00525253"/>
    <w:rsid w:val="00525266"/>
    <w:rsid w:val="00525292"/>
    <w:rsid w:val="005252E3"/>
    <w:rsid w:val="0052531C"/>
    <w:rsid w:val="00525557"/>
    <w:rsid w:val="005255CD"/>
    <w:rsid w:val="00525668"/>
    <w:rsid w:val="00525669"/>
    <w:rsid w:val="0052590E"/>
    <w:rsid w:val="0052593F"/>
    <w:rsid w:val="00525988"/>
    <w:rsid w:val="00525A8C"/>
    <w:rsid w:val="00525ABA"/>
    <w:rsid w:val="00525B10"/>
    <w:rsid w:val="00525C02"/>
    <w:rsid w:val="00525C05"/>
    <w:rsid w:val="00525C70"/>
    <w:rsid w:val="00525CA0"/>
    <w:rsid w:val="00525D07"/>
    <w:rsid w:val="00525D48"/>
    <w:rsid w:val="00525EB4"/>
    <w:rsid w:val="00526070"/>
    <w:rsid w:val="005260BB"/>
    <w:rsid w:val="00526105"/>
    <w:rsid w:val="00526178"/>
    <w:rsid w:val="005261C2"/>
    <w:rsid w:val="005261E1"/>
    <w:rsid w:val="00526286"/>
    <w:rsid w:val="00526313"/>
    <w:rsid w:val="00526342"/>
    <w:rsid w:val="00526433"/>
    <w:rsid w:val="0052643D"/>
    <w:rsid w:val="00526491"/>
    <w:rsid w:val="005264E4"/>
    <w:rsid w:val="005265BE"/>
    <w:rsid w:val="00526841"/>
    <w:rsid w:val="00526845"/>
    <w:rsid w:val="00526ABF"/>
    <w:rsid w:val="00526AF8"/>
    <w:rsid w:val="00526BA5"/>
    <w:rsid w:val="00526BB6"/>
    <w:rsid w:val="00526C01"/>
    <w:rsid w:val="00526C0B"/>
    <w:rsid w:val="00526EB5"/>
    <w:rsid w:val="00526F03"/>
    <w:rsid w:val="00526F72"/>
    <w:rsid w:val="0052715A"/>
    <w:rsid w:val="005271A0"/>
    <w:rsid w:val="00527224"/>
    <w:rsid w:val="00527317"/>
    <w:rsid w:val="00527342"/>
    <w:rsid w:val="005273D6"/>
    <w:rsid w:val="00527526"/>
    <w:rsid w:val="00527594"/>
    <w:rsid w:val="0052759D"/>
    <w:rsid w:val="005275F0"/>
    <w:rsid w:val="0052761F"/>
    <w:rsid w:val="00527672"/>
    <w:rsid w:val="0052772D"/>
    <w:rsid w:val="0052781F"/>
    <w:rsid w:val="005278C1"/>
    <w:rsid w:val="005279BA"/>
    <w:rsid w:val="00527A86"/>
    <w:rsid w:val="00527AA1"/>
    <w:rsid w:val="00527B0C"/>
    <w:rsid w:val="00527B86"/>
    <w:rsid w:val="00527BC8"/>
    <w:rsid w:val="00527BD6"/>
    <w:rsid w:val="00527CA0"/>
    <w:rsid w:val="00527CAF"/>
    <w:rsid w:val="00527CCD"/>
    <w:rsid w:val="00527CD7"/>
    <w:rsid w:val="00527D0A"/>
    <w:rsid w:val="00527D1A"/>
    <w:rsid w:val="00527E3A"/>
    <w:rsid w:val="00527E6B"/>
    <w:rsid w:val="00527EC4"/>
    <w:rsid w:val="0053010A"/>
    <w:rsid w:val="0053010C"/>
    <w:rsid w:val="0053019A"/>
    <w:rsid w:val="005301E0"/>
    <w:rsid w:val="00530333"/>
    <w:rsid w:val="00530344"/>
    <w:rsid w:val="005303EE"/>
    <w:rsid w:val="00530485"/>
    <w:rsid w:val="005305A5"/>
    <w:rsid w:val="005306EB"/>
    <w:rsid w:val="0053073C"/>
    <w:rsid w:val="00530821"/>
    <w:rsid w:val="0053084F"/>
    <w:rsid w:val="0053086E"/>
    <w:rsid w:val="00530925"/>
    <w:rsid w:val="0053094D"/>
    <w:rsid w:val="005309B6"/>
    <w:rsid w:val="00530A5F"/>
    <w:rsid w:val="00530AB0"/>
    <w:rsid w:val="00530ABC"/>
    <w:rsid w:val="00530ACB"/>
    <w:rsid w:val="00530B4D"/>
    <w:rsid w:val="00530B84"/>
    <w:rsid w:val="00530B87"/>
    <w:rsid w:val="00530C9D"/>
    <w:rsid w:val="00530D71"/>
    <w:rsid w:val="00530D80"/>
    <w:rsid w:val="00530E73"/>
    <w:rsid w:val="00530EE7"/>
    <w:rsid w:val="00530F91"/>
    <w:rsid w:val="00531004"/>
    <w:rsid w:val="005310CA"/>
    <w:rsid w:val="005311D1"/>
    <w:rsid w:val="00531215"/>
    <w:rsid w:val="00531242"/>
    <w:rsid w:val="0053125F"/>
    <w:rsid w:val="00531273"/>
    <w:rsid w:val="0053130E"/>
    <w:rsid w:val="005313D3"/>
    <w:rsid w:val="00531449"/>
    <w:rsid w:val="00531538"/>
    <w:rsid w:val="00531547"/>
    <w:rsid w:val="005316F0"/>
    <w:rsid w:val="0053171D"/>
    <w:rsid w:val="005317B4"/>
    <w:rsid w:val="00531803"/>
    <w:rsid w:val="0053188F"/>
    <w:rsid w:val="0053190B"/>
    <w:rsid w:val="0053195A"/>
    <w:rsid w:val="00531999"/>
    <w:rsid w:val="00531AFA"/>
    <w:rsid w:val="00531B19"/>
    <w:rsid w:val="00531BB6"/>
    <w:rsid w:val="00531C73"/>
    <w:rsid w:val="00531D60"/>
    <w:rsid w:val="00531D85"/>
    <w:rsid w:val="00531DF1"/>
    <w:rsid w:val="00531E7A"/>
    <w:rsid w:val="00531F0D"/>
    <w:rsid w:val="00531F3C"/>
    <w:rsid w:val="00531F48"/>
    <w:rsid w:val="00531F7C"/>
    <w:rsid w:val="00531F8E"/>
    <w:rsid w:val="00531F98"/>
    <w:rsid w:val="00531FC4"/>
    <w:rsid w:val="00531FDA"/>
    <w:rsid w:val="0053207E"/>
    <w:rsid w:val="005321BD"/>
    <w:rsid w:val="00532202"/>
    <w:rsid w:val="0053228E"/>
    <w:rsid w:val="00532352"/>
    <w:rsid w:val="005324C2"/>
    <w:rsid w:val="00532595"/>
    <w:rsid w:val="0053271D"/>
    <w:rsid w:val="005328A1"/>
    <w:rsid w:val="00532A27"/>
    <w:rsid w:val="00532BC2"/>
    <w:rsid w:val="00532BF0"/>
    <w:rsid w:val="00532C60"/>
    <w:rsid w:val="00532D99"/>
    <w:rsid w:val="00532DD5"/>
    <w:rsid w:val="00532E14"/>
    <w:rsid w:val="00532E50"/>
    <w:rsid w:val="00532E57"/>
    <w:rsid w:val="0053302E"/>
    <w:rsid w:val="0053303E"/>
    <w:rsid w:val="0053319F"/>
    <w:rsid w:val="005331B5"/>
    <w:rsid w:val="005332A6"/>
    <w:rsid w:val="005332B0"/>
    <w:rsid w:val="00533321"/>
    <w:rsid w:val="0053333D"/>
    <w:rsid w:val="00533449"/>
    <w:rsid w:val="00533456"/>
    <w:rsid w:val="005334F4"/>
    <w:rsid w:val="00533634"/>
    <w:rsid w:val="00533669"/>
    <w:rsid w:val="00533820"/>
    <w:rsid w:val="00533845"/>
    <w:rsid w:val="005338F5"/>
    <w:rsid w:val="0053391B"/>
    <w:rsid w:val="00533A7F"/>
    <w:rsid w:val="00533BD1"/>
    <w:rsid w:val="00533C9F"/>
    <w:rsid w:val="00533DED"/>
    <w:rsid w:val="00533EC6"/>
    <w:rsid w:val="00533F6D"/>
    <w:rsid w:val="00534078"/>
    <w:rsid w:val="0053414F"/>
    <w:rsid w:val="005341DB"/>
    <w:rsid w:val="005341E3"/>
    <w:rsid w:val="00534262"/>
    <w:rsid w:val="005343CF"/>
    <w:rsid w:val="005343F1"/>
    <w:rsid w:val="00534414"/>
    <w:rsid w:val="0053445C"/>
    <w:rsid w:val="00534472"/>
    <w:rsid w:val="005344A1"/>
    <w:rsid w:val="0053450B"/>
    <w:rsid w:val="00534512"/>
    <w:rsid w:val="00534683"/>
    <w:rsid w:val="00534694"/>
    <w:rsid w:val="005347E6"/>
    <w:rsid w:val="0053489D"/>
    <w:rsid w:val="0053492F"/>
    <w:rsid w:val="005349AD"/>
    <w:rsid w:val="00534B35"/>
    <w:rsid w:val="00534B4B"/>
    <w:rsid w:val="00534C4B"/>
    <w:rsid w:val="00534CD0"/>
    <w:rsid w:val="00534D97"/>
    <w:rsid w:val="00534E5A"/>
    <w:rsid w:val="00534F0B"/>
    <w:rsid w:val="00535020"/>
    <w:rsid w:val="005350F0"/>
    <w:rsid w:val="00535113"/>
    <w:rsid w:val="0053511D"/>
    <w:rsid w:val="005351EF"/>
    <w:rsid w:val="00535230"/>
    <w:rsid w:val="005352BD"/>
    <w:rsid w:val="005352ED"/>
    <w:rsid w:val="00535401"/>
    <w:rsid w:val="00535457"/>
    <w:rsid w:val="00535792"/>
    <w:rsid w:val="005357F5"/>
    <w:rsid w:val="005358EE"/>
    <w:rsid w:val="00535996"/>
    <w:rsid w:val="00535A0B"/>
    <w:rsid w:val="00535AE7"/>
    <w:rsid w:val="00535B5C"/>
    <w:rsid w:val="00535B84"/>
    <w:rsid w:val="00535BB1"/>
    <w:rsid w:val="00535C00"/>
    <w:rsid w:val="00535C25"/>
    <w:rsid w:val="00535D0F"/>
    <w:rsid w:val="00535D32"/>
    <w:rsid w:val="00535DDF"/>
    <w:rsid w:val="00535E41"/>
    <w:rsid w:val="00535FB3"/>
    <w:rsid w:val="00535FFE"/>
    <w:rsid w:val="00536088"/>
    <w:rsid w:val="005360FA"/>
    <w:rsid w:val="0053618D"/>
    <w:rsid w:val="00536308"/>
    <w:rsid w:val="00536373"/>
    <w:rsid w:val="00536388"/>
    <w:rsid w:val="0053639F"/>
    <w:rsid w:val="005363E5"/>
    <w:rsid w:val="005363F9"/>
    <w:rsid w:val="005364BE"/>
    <w:rsid w:val="0053653E"/>
    <w:rsid w:val="0053669F"/>
    <w:rsid w:val="005366EA"/>
    <w:rsid w:val="00536755"/>
    <w:rsid w:val="005367A3"/>
    <w:rsid w:val="005367FA"/>
    <w:rsid w:val="00536851"/>
    <w:rsid w:val="00536966"/>
    <w:rsid w:val="0053697C"/>
    <w:rsid w:val="005369EC"/>
    <w:rsid w:val="00536A0E"/>
    <w:rsid w:val="00536A7B"/>
    <w:rsid w:val="00536ACB"/>
    <w:rsid w:val="00536AE7"/>
    <w:rsid w:val="00536B29"/>
    <w:rsid w:val="00536B7E"/>
    <w:rsid w:val="00536BC5"/>
    <w:rsid w:val="00536BCC"/>
    <w:rsid w:val="00536C24"/>
    <w:rsid w:val="00536D0D"/>
    <w:rsid w:val="00536D92"/>
    <w:rsid w:val="005370AA"/>
    <w:rsid w:val="005370BB"/>
    <w:rsid w:val="00537166"/>
    <w:rsid w:val="005371B7"/>
    <w:rsid w:val="0053733D"/>
    <w:rsid w:val="0053733F"/>
    <w:rsid w:val="005373DE"/>
    <w:rsid w:val="005374E1"/>
    <w:rsid w:val="005378BF"/>
    <w:rsid w:val="00537976"/>
    <w:rsid w:val="005379CC"/>
    <w:rsid w:val="00537A59"/>
    <w:rsid w:val="00537CCA"/>
    <w:rsid w:val="00537D29"/>
    <w:rsid w:val="00537D7B"/>
    <w:rsid w:val="00537DC7"/>
    <w:rsid w:val="00537DE6"/>
    <w:rsid w:val="00537E8E"/>
    <w:rsid w:val="00537F66"/>
    <w:rsid w:val="00540208"/>
    <w:rsid w:val="005402C9"/>
    <w:rsid w:val="0054031D"/>
    <w:rsid w:val="0054037F"/>
    <w:rsid w:val="00540392"/>
    <w:rsid w:val="005403AC"/>
    <w:rsid w:val="00540415"/>
    <w:rsid w:val="005406C3"/>
    <w:rsid w:val="0054083A"/>
    <w:rsid w:val="00540975"/>
    <w:rsid w:val="00540A1B"/>
    <w:rsid w:val="00540A8B"/>
    <w:rsid w:val="00540ACA"/>
    <w:rsid w:val="00540B30"/>
    <w:rsid w:val="00540B45"/>
    <w:rsid w:val="00540BAA"/>
    <w:rsid w:val="00540C17"/>
    <w:rsid w:val="00540C29"/>
    <w:rsid w:val="00540C46"/>
    <w:rsid w:val="00540C50"/>
    <w:rsid w:val="00540CE3"/>
    <w:rsid w:val="00540D5B"/>
    <w:rsid w:val="00540E15"/>
    <w:rsid w:val="00540E74"/>
    <w:rsid w:val="00540F99"/>
    <w:rsid w:val="00540FF0"/>
    <w:rsid w:val="0054119B"/>
    <w:rsid w:val="00541273"/>
    <w:rsid w:val="00541403"/>
    <w:rsid w:val="0054145A"/>
    <w:rsid w:val="005414A8"/>
    <w:rsid w:val="00541517"/>
    <w:rsid w:val="00541620"/>
    <w:rsid w:val="00541660"/>
    <w:rsid w:val="00541693"/>
    <w:rsid w:val="00541703"/>
    <w:rsid w:val="00541792"/>
    <w:rsid w:val="005417C8"/>
    <w:rsid w:val="00541895"/>
    <w:rsid w:val="005418DF"/>
    <w:rsid w:val="005418FB"/>
    <w:rsid w:val="0054195C"/>
    <w:rsid w:val="0054196A"/>
    <w:rsid w:val="0054198B"/>
    <w:rsid w:val="005419C4"/>
    <w:rsid w:val="00541AC6"/>
    <w:rsid w:val="00541AED"/>
    <w:rsid w:val="00541B63"/>
    <w:rsid w:val="00541CA6"/>
    <w:rsid w:val="00541D4A"/>
    <w:rsid w:val="00541E4C"/>
    <w:rsid w:val="00541F3E"/>
    <w:rsid w:val="00541F51"/>
    <w:rsid w:val="00541F67"/>
    <w:rsid w:val="00541F92"/>
    <w:rsid w:val="00542012"/>
    <w:rsid w:val="005420FD"/>
    <w:rsid w:val="0054210B"/>
    <w:rsid w:val="0054214B"/>
    <w:rsid w:val="0054231C"/>
    <w:rsid w:val="0054232E"/>
    <w:rsid w:val="0054237E"/>
    <w:rsid w:val="005424B2"/>
    <w:rsid w:val="005426D5"/>
    <w:rsid w:val="005426D6"/>
    <w:rsid w:val="00542756"/>
    <w:rsid w:val="00542951"/>
    <w:rsid w:val="00542AA3"/>
    <w:rsid w:val="00542AC6"/>
    <w:rsid w:val="00542B1C"/>
    <w:rsid w:val="00542C16"/>
    <w:rsid w:val="00542D44"/>
    <w:rsid w:val="00542DDF"/>
    <w:rsid w:val="00542F38"/>
    <w:rsid w:val="00542FC6"/>
    <w:rsid w:val="00542FEF"/>
    <w:rsid w:val="005430DC"/>
    <w:rsid w:val="0054316F"/>
    <w:rsid w:val="00543182"/>
    <w:rsid w:val="005431F4"/>
    <w:rsid w:val="0054337F"/>
    <w:rsid w:val="00543466"/>
    <w:rsid w:val="005434B1"/>
    <w:rsid w:val="00543603"/>
    <w:rsid w:val="0054363C"/>
    <w:rsid w:val="00543755"/>
    <w:rsid w:val="0054384F"/>
    <w:rsid w:val="0054387D"/>
    <w:rsid w:val="005438C0"/>
    <w:rsid w:val="005438D9"/>
    <w:rsid w:val="005438FE"/>
    <w:rsid w:val="005438FF"/>
    <w:rsid w:val="00543923"/>
    <w:rsid w:val="00543A09"/>
    <w:rsid w:val="00543A36"/>
    <w:rsid w:val="00543A7C"/>
    <w:rsid w:val="00543BA4"/>
    <w:rsid w:val="00543BD3"/>
    <w:rsid w:val="00543BFB"/>
    <w:rsid w:val="00543C3F"/>
    <w:rsid w:val="00543D86"/>
    <w:rsid w:val="00543DDC"/>
    <w:rsid w:val="00543E69"/>
    <w:rsid w:val="00543F70"/>
    <w:rsid w:val="00544066"/>
    <w:rsid w:val="00544182"/>
    <w:rsid w:val="005441A3"/>
    <w:rsid w:val="00544317"/>
    <w:rsid w:val="005443AE"/>
    <w:rsid w:val="005443B5"/>
    <w:rsid w:val="005444B8"/>
    <w:rsid w:val="00544500"/>
    <w:rsid w:val="0054457D"/>
    <w:rsid w:val="00544784"/>
    <w:rsid w:val="005447E1"/>
    <w:rsid w:val="0054480C"/>
    <w:rsid w:val="0054482C"/>
    <w:rsid w:val="005448D3"/>
    <w:rsid w:val="005449AA"/>
    <w:rsid w:val="005449AF"/>
    <w:rsid w:val="00544A3D"/>
    <w:rsid w:val="00544C0A"/>
    <w:rsid w:val="00544CCE"/>
    <w:rsid w:val="00544D03"/>
    <w:rsid w:val="00544D13"/>
    <w:rsid w:val="00544D22"/>
    <w:rsid w:val="00544FDB"/>
    <w:rsid w:val="00545076"/>
    <w:rsid w:val="005450C7"/>
    <w:rsid w:val="00545168"/>
    <w:rsid w:val="00545324"/>
    <w:rsid w:val="0054535C"/>
    <w:rsid w:val="00545422"/>
    <w:rsid w:val="00545454"/>
    <w:rsid w:val="005455C4"/>
    <w:rsid w:val="005455CD"/>
    <w:rsid w:val="005456D7"/>
    <w:rsid w:val="005456D8"/>
    <w:rsid w:val="00545748"/>
    <w:rsid w:val="005457D4"/>
    <w:rsid w:val="005458EE"/>
    <w:rsid w:val="0054594D"/>
    <w:rsid w:val="00545B72"/>
    <w:rsid w:val="00545C3C"/>
    <w:rsid w:val="00545CF7"/>
    <w:rsid w:val="00545D23"/>
    <w:rsid w:val="00545D46"/>
    <w:rsid w:val="00545D77"/>
    <w:rsid w:val="00545EAF"/>
    <w:rsid w:val="00545F25"/>
    <w:rsid w:val="00546204"/>
    <w:rsid w:val="0054629A"/>
    <w:rsid w:val="005462C6"/>
    <w:rsid w:val="00546505"/>
    <w:rsid w:val="0054654C"/>
    <w:rsid w:val="00546616"/>
    <w:rsid w:val="005466BC"/>
    <w:rsid w:val="005466F7"/>
    <w:rsid w:val="0054672D"/>
    <w:rsid w:val="00546A48"/>
    <w:rsid w:val="00546C3A"/>
    <w:rsid w:val="00546C64"/>
    <w:rsid w:val="00546CA4"/>
    <w:rsid w:val="00546D0A"/>
    <w:rsid w:val="00546D69"/>
    <w:rsid w:val="00546F57"/>
    <w:rsid w:val="005470AE"/>
    <w:rsid w:val="005472B3"/>
    <w:rsid w:val="005472C3"/>
    <w:rsid w:val="005473CA"/>
    <w:rsid w:val="00547577"/>
    <w:rsid w:val="00547611"/>
    <w:rsid w:val="0054761E"/>
    <w:rsid w:val="00547677"/>
    <w:rsid w:val="00547688"/>
    <w:rsid w:val="005476F9"/>
    <w:rsid w:val="00547783"/>
    <w:rsid w:val="00547875"/>
    <w:rsid w:val="005478E7"/>
    <w:rsid w:val="00547947"/>
    <w:rsid w:val="005479E0"/>
    <w:rsid w:val="00547B47"/>
    <w:rsid w:val="00547D3A"/>
    <w:rsid w:val="00547D6D"/>
    <w:rsid w:val="00547D8C"/>
    <w:rsid w:val="00547DE8"/>
    <w:rsid w:val="00547DED"/>
    <w:rsid w:val="00547E4C"/>
    <w:rsid w:val="00547EA8"/>
    <w:rsid w:val="00547F53"/>
    <w:rsid w:val="00547F5B"/>
    <w:rsid w:val="00547FD7"/>
    <w:rsid w:val="00547FE6"/>
    <w:rsid w:val="00550014"/>
    <w:rsid w:val="00550085"/>
    <w:rsid w:val="005502CE"/>
    <w:rsid w:val="00550338"/>
    <w:rsid w:val="005503BA"/>
    <w:rsid w:val="00550441"/>
    <w:rsid w:val="00550468"/>
    <w:rsid w:val="005504AF"/>
    <w:rsid w:val="0055053A"/>
    <w:rsid w:val="0055057E"/>
    <w:rsid w:val="0055065B"/>
    <w:rsid w:val="00550739"/>
    <w:rsid w:val="005507D1"/>
    <w:rsid w:val="00550823"/>
    <w:rsid w:val="005509C3"/>
    <w:rsid w:val="00550A5E"/>
    <w:rsid w:val="00550A9F"/>
    <w:rsid w:val="00550AB7"/>
    <w:rsid w:val="00550BAF"/>
    <w:rsid w:val="00550C89"/>
    <w:rsid w:val="00550C8C"/>
    <w:rsid w:val="00550CB5"/>
    <w:rsid w:val="00550DDF"/>
    <w:rsid w:val="00550E46"/>
    <w:rsid w:val="00550F54"/>
    <w:rsid w:val="0055117A"/>
    <w:rsid w:val="00551185"/>
    <w:rsid w:val="0055119E"/>
    <w:rsid w:val="00551462"/>
    <w:rsid w:val="005514A4"/>
    <w:rsid w:val="0055157E"/>
    <w:rsid w:val="00551759"/>
    <w:rsid w:val="00551776"/>
    <w:rsid w:val="005517AF"/>
    <w:rsid w:val="0055186F"/>
    <w:rsid w:val="005518C3"/>
    <w:rsid w:val="005519DA"/>
    <w:rsid w:val="00551A52"/>
    <w:rsid w:val="00551ACD"/>
    <w:rsid w:val="00551AE6"/>
    <w:rsid w:val="00551B28"/>
    <w:rsid w:val="00551BD3"/>
    <w:rsid w:val="00551C3F"/>
    <w:rsid w:val="00551CED"/>
    <w:rsid w:val="00551D5E"/>
    <w:rsid w:val="00551DFA"/>
    <w:rsid w:val="00551DFB"/>
    <w:rsid w:val="00551F28"/>
    <w:rsid w:val="0055218A"/>
    <w:rsid w:val="00552293"/>
    <w:rsid w:val="005523D2"/>
    <w:rsid w:val="00552475"/>
    <w:rsid w:val="00552493"/>
    <w:rsid w:val="005524A3"/>
    <w:rsid w:val="0055252E"/>
    <w:rsid w:val="005525D0"/>
    <w:rsid w:val="005525D2"/>
    <w:rsid w:val="00552613"/>
    <w:rsid w:val="0055267A"/>
    <w:rsid w:val="00552704"/>
    <w:rsid w:val="00552794"/>
    <w:rsid w:val="00552958"/>
    <w:rsid w:val="005529AB"/>
    <w:rsid w:val="005529FA"/>
    <w:rsid w:val="00552ACF"/>
    <w:rsid w:val="00552B9A"/>
    <w:rsid w:val="00552C38"/>
    <w:rsid w:val="00552D1D"/>
    <w:rsid w:val="00552DE5"/>
    <w:rsid w:val="00552E56"/>
    <w:rsid w:val="00552FF6"/>
    <w:rsid w:val="005532D6"/>
    <w:rsid w:val="005533B2"/>
    <w:rsid w:val="005533BE"/>
    <w:rsid w:val="005533D6"/>
    <w:rsid w:val="00553442"/>
    <w:rsid w:val="0055344C"/>
    <w:rsid w:val="00553460"/>
    <w:rsid w:val="005534F7"/>
    <w:rsid w:val="0055350C"/>
    <w:rsid w:val="0055353F"/>
    <w:rsid w:val="005535AE"/>
    <w:rsid w:val="005535D7"/>
    <w:rsid w:val="005535DA"/>
    <w:rsid w:val="0055373E"/>
    <w:rsid w:val="0055381D"/>
    <w:rsid w:val="00553828"/>
    <w:rsid w:val="0055387D"/>
    <w:rsid w:val="005538F4"/>
    <w:rsid w:val="00553922"/>
    <w:rsid w:val="005539B8"/>
    <w:rsid w:val="00553A85"/>
    <w:rsid w:val="00553AA6"/>
    <w:rsid w:val="00553B4E"/>
    <w:rsid w:val="00553BC0"/>
    <w:rsid w:val="00553BCC"/>
    <w:rsid w:val="00553C4B"/>
    <w:rsid w:val="00553D07"/>
    <w:rsid w:val="00553E89"/>
    <w:rsid w:val="00553EC1"/>
    <w:rsid w:val="00553F6A"/>
    <w:rsid w:val="00553F84"/>
    <w:rsid w:val="00553F89"/>
    <w:rsid w:val="00553FCD"/>
    <w:rsid w:val="005540D9"/>
    <w:rsid w:val="00554239"/>
    <w:rsid w:val="00554247"/>
    <w:rsid w:val="0055429D"/>
    <w:rsid w:val="005543B3"/>
    <w:rsid w:val="00554443"/>
    <w:rsid w:val="00554755"/>
    <w:rsid w:val="005547EB"/>
    <w:rsid w:val="00554900"/>
    <w:rsid w:val="0055490F"/>
    <w:rsid w:val="005549D1"/>
    <w:rsid w:val="00554AAC"/>
    <w:rsid w:val="00554AB9"/>
    <w:rsid w:val="00554AD1"/>
    <w:rsid w:val="00554C24"/>
    <w:rsid w:val="00554C2B"/>
    <w:rsid w:val="00554C80"/>
    <w:rsid w:val="00554CE4"/>
    <w:rsid w:val="00554CFF"/>
    <w:rsid w:val="00554D92"/>
    <w:rsid w:val="00554E93"/>
    <w:rsid w:val="00554EBC"/>
    <w:rsid w:val="00554FFB"/>
    <w:rsid w:val="0055502F"/>
    <w:rsid w:val="00555032"/>
    <w:rsid w:val="0055504F"/>
    <w:rsid w:val="00555076"/>
    <w:rsid w:val="00555082"/>
    <w:rsid w:val="005550E0"/>
    <w:rsid w:val="005550E4"/>
    <w:rsid w:val="0055522E"/>
    <w:rsid w:val="00555262"/>
    <w:rsid w:val="00555289"/>
    <w:rsid w:val="005552BC"/>
    <w:rsid w:val="005553A9"/>
    <w:rsid w:val="005553B0"/>
    <w:rsid w:val="00555425"/>
    <w:rsid w:val="005554E3"/>
    <w:rsid w:val="0055554B"/>
    <w:rsid w:val="0055574F"/>
    <w:rsid w:val="005557DC"/>
    <w:rsid w:val="00555822"/>
    <w:rsid w:val="00555852"/>
    <w:rsid w:val="005558B1"/>
    <w:rsid w:val="00555964"/>
    <w:rsid w:val="0055599F"/>
    <w:rsid w:val="00555A17"/>
    <w:rsid w:val="00555AC6"/>
    <w:rsid w:val="00555B87"/>
    <w:rsid w:val="00555BD0"/>
    <w:rsid w:val="00555CAD"/>
    <w:rsid w:val="00555D7E"/>
    <w:rsid w:val="00555E0C"/>
    <w:rsid w:val="00555E7E"/>
    <w:rsid w:val="00555E9F"/>
    <w:rsid w:val="00555EA2"/>
    <w:rsid w:val="00555EB8"/>
    <w:rsid w:val="0055605C"/>
    <w:rsid w:val="00556124"/>
    <w:rsid w:val="00556152"/>
    <w:rsid w:val="005561A4"/>
    <w:rsid w:val="005562CB"/>
    <w:rsid w:val="00556391"/>
    <w:rsid w:val="0055642F"/>
    <w:rsid w:val="0055659F"/>
    <w:rsid w:val="0055661A"/>
    <w:rsid w:val="00556642"/>
    <w:rsid w:val="00556659"/>
    <w:rsid w:val="0055669C"/>
    <w:rsid w:val="005568F0"/>
    <w:rsid w:val="005568FD"/>
    <w:rsid w:val="0055690E"/>
    <w:rsid w:val="005569B2"/>
    <w:rsid w:val="005569D0"/>
    <w:rsid w:val="00556A15"/>
    <w:rsid w:val="00556BD1"/>
    <w:rsid w:val="00556C61"/>
    <w:rsid w:val="00556D09"/>
    <w:rsid w:val="00556D2E"/>
    <w:rsid w:val="00556DD0"/>
    <w:rsid w:val="00556E53"/>
    <w:rsid w:val="00556F1B"/>
    <w:rsid w:val="00556F67"/>
    <w:rsid w:val="00556F79"/>
    <w:rsid w:val="00556FE3"/>
    <w:rsid w:val="00556FFD"/>
    <w:rsid w:val="00556FFE"/>
    <w:rsid w:val="0055705A"/>
    <w:rsid w:val="00557068"/>
    <w:rsid w:val="0055707C"/>
    <w:rsid w:val="00557216"/>
    <w:rsid w:val="005572BB"/>
    <w:rsid w:val="00557327"/>
    <w:rsid w:val="005573C4"/>
    <w:rsid w:val="00557486"/>
    <w:rsid w:val="00557568"/>
    <w:rsid w:val="005575EC"/>
    <w:rsid w:val="00557684"/>
    <w:rsid w:val="005576AD"/>
    <w:rsid w:val="0055792A"/>
    <w:rsid w:val="00557931"/>
    <w:rsid w:val="0055795D"/>
    <w:rsid w:val="005579A1"/>
    <w:rsid w:val="005579A7"/>
    <w:rsid w:val="00557C29"/>
    <w:rsid w:val="00557C59"/>
    <w:rsid w:val="00557CB0"/>
    <w:rsid w:val="00557CD5"/>
    <w:rsid w:val="00557E97"/>
    <w:rsid w:val="00557F8C"/>
    <w:rsid w:val="00557FBC"/>
    <w:rsid w:val="00560064"/>
    <w:rsid w:val="00560162"/>
    <w:rsid w:val="00560165"/>
    <w:rsid w:val="0056018C"/>
    <w:rsid w:val="00560269"/>
    <w:rsid w:val="0056026B"/>
    <w:rsid w:val="00560305"/>
    <w:rsid w:val="00560353"/>
    <w:rsid w:val="00560409"/>
    <w:rsid w:val="00560597"/>
    <w:rsid w:val="005605AA"/>
    <w:rsid w:val="005605EF"/>
    <w:rsid w:val="0056065D"/>
    <w:rsid w:val="00560696"/>
    <w:rsid w:val="0056075E"/>
    <w:rsid w:val="00560819"/>
    <w:rsid w:val="005609A2"/>
    <w:rsid w:val="005609E4"/>
    <w:rsid w:val="00560A4D"/>
    <w:rsid w:val="00560AB8"/>
    <w:rsid w:val="00560B9B"/>
    <w:rsid w:val="00560BC6"/>
    <w:rsid w:val="00560BF5"/>
    <w:rsid w:val="00560C0D"/>
    <w:rsid w:val="00560D86"/>
    <w:rsid w:val="00560F83"/>
    <w:rsid w:val="00560FA0"/>
    <w:rsid w:val="005610F3"/>
    <w:rsid w:val="0056131A"/>
    <w:rsid w:val="00561357"/>
    <w:rsid w:val="005617B4"/>
    <w:rsid w:val="005617BE"/>
    <w:rsid w:val="005617FF"/>
    <w:rsid w:val="00561917"/>
    <w:rsid w:val="0056196F"/>
    <w:rsid w:val="005619AD"/>
    <w:rsid w:val="00561AEE"/>
    <w:rsid w:val="00561AF6"/>
    <w:rsid w:val="00561B02"/>
    <w:rsid w:val="00561B07"/>
    <w:rsid w:val="00561CDD"/>
    <w:rsid w:val="00561D15"/>
    <w:rsid w:val="00561DA0"/>
    <w:rsid w:val="00561DC1"/>
    <w:rsid w:val="00561DD7"/>
    <w:rsid w:val="00561E0E"/>
    <w:rsid w:val="00561E2D"/>
    <w:rsid w:val="00561E91"/>
    <w:rsid w:val="005620D2"/>
    <w:rsid w:val="005620F5"/>
    <w:rsid w:val="0056217C"/>
    <w:rsid w:val="005621EF"/>
    <w:rsid w:val="00562287"/>
    <w:rsid w:val="005622C0"/>
    <w:rsid w:val="0056236F"/>
    <w:rsid w:val="005623A6"/>
    <w:rsid w:val="005624E6"/>
    <w:rsid w:val="00562567"/>
    <w:rsid w:val="00562680"/>
    <w:rsid w:val="005626DE"/>
    <w:rsid w:val="005626EF"/>
    <w:rsid w:val="00562765"/>
    <w:rsid w:val="00562775"/>
    <w:rsid w:val="00562928"/>
    <w:rsid w:val="0056293E"/>
    <w:rsid w:val="00562A09"/>
    <w:rsid w:val="00562B7D"/>
    <w:rsid w:val="00562BE5"/>
    <w:rsid w:val="00562C6B"/>
    <w:rsid w:val="00562D71"/>
    <w:rsid w:val="00562D89"/>
    <w:rsid w:val="00562D90"/>
    <w:rsid w:val="00562F2B"/>
    <w:rsid w:val="00563000"/>
    <w:rsid w:val="005630C1"/>
    <w:rsid w:val="005630CB"/>
    <w:rsid w:val="005630E0"/>
    <w:rsid w:val="005631A9"/>
    <w:rsid w:val="005631DA"/>
    <w:rsid w:val="0056337E"/>
    <w:rsid w:val="005633AD"/>
    <w:rsid w:val="005634A4"/>
    <w:rsid w:val="005634FE"/>
    <w:rsid w:val="0056362C"/>
    <w:rsid w:val="005636B5"/>
    <w:rsid w:val="00563746"/>
    <w:rsid w:val="005637DE"/>
    <w:rsid w:val="00563A09"/>
    <w:rsid w:val="00563AD3"/>
    <w:rsid w:val="00563CE2"/>
    <w:rsid w:val="00563D86"/>
    <w:rsid w:val="00563DE4"/>
    <w:rsid w:val="00563E47"/>
    <w:rsid w:val="00563E73"/>
    <w:rsid w:val="00563E81"/>
    <w:rsid w:val="00563F3C"/>
    <w:rsid w:val="00563F4A"/>
    <w:rsid w:val="00563FB9"/>
    <w:rsid w:val="00563FE9"/>
    <w:rsid w:val="00564080"/>
    <w:rsid w:val="0056423A"/>
    <w:rsid w:val="00564357"/>
    <w:rsid w:val="00564407"/>
    <w:rsid w:val="0056454C"/>
    <w:rsid w:val="005645D1"/>
    <w:rsid w:val="005646CE"/>
    <w:rsid w:val="005646E1"/>
    <w:rsid w:val="005646EB"/>
    <w:rsid w:val="0056479F"/>
    <w:rsid w:val="005648AC"/>
    <w:rsid w:val="005648AE"/>
    <w:rsid w:val="00564984"/>
    <w:rsid w:val="00564B8A"/>
    <w:rsid w:val="00564BBF"/>
    <w:rsid w:val="00564BD2"/>
    <w:rsid w:val="00564BD9"/>
    <w:rsid w:val="00564CB8"/>
    <w:rsid w:val="00564EF7"/>
    <w:rsid w:val="00564F03"/>
    <w:rsid w:val="00564F53"/>
    <w:rsid w:val="00565003"/>
    <w:rsid w:val="0056519D"/>
    <w:rsid w:val="005651D0"/>
    <w:rsid w:val="00565283"/>
    <w:rsid w:val="005652F5"/>
    <w:rsid w:val="00565366"/>
    <w:rsid w:val="00565390"/>
    <w:rsid w:val="00565444"/>
    <w:rsid w:val="00565491"/>
    <w:rsid w:val="00565513"/>
    <w:rsid w:val="00565516"/>
    <w:rsid w:val="00565557"/>
    <w:rsid w:val="0056557F"/>
    <w:rsid w:val="00565596"/>
    <w:rsid w:val="00565943"/>
    <w:rsid w:val="0056599B"/>
    <w:rsid w:val="00565A44"/>
    <w:rsid w:val="00565BEB"/>
    <w:rsid w:val="00565CD0"/>
    <w:rsid w:val="00565CE9"/>
    <w:rsid w:val="00565D46"/>
    <w:rsid w:val="00565D90"/>
    <w:rsid w:val="00565DD0"/>
    <w:rsid w:val="00565E0C"/>
    <w:rsid w:val="00565E8B"/>
    <w:rsid w:val="00565EAF"/>
    <w:rsid w:val="00565EC9"/>
    <w:rsid w:val="00565F79"/>
    <w:rsid w:val="0056611A"/>
    <w:rsid w:val="0056612E"/>
    <w:rsid w:val="005662C5"/>
    <w:rsid w:val="00566330"/>
    <w:rsid w:val="005663D9"/>
    <w:rsid w:val="005663FB"/>
    <w:rsid w:val="0056647E"/>
    <w:rsid w:val="00566491"/>
    <w:rsid w:val="00566501"/>
    <w:rsid w:val="005665AC"/>
    <w:rsid w:val="005666AF"/>
    <w:rsid w:val="0056678C"/>
    <w:rsid w:val="005667D1"/>
    <w:rsid w:val="005667E7"/>
    <w:rsid w:val="005668C8"/>
    <w:rsid w:val="00566A30"/>
    <w:rsid w:val="00566A40"/>
    <w:rsid w:val="00566A6A"/>
    <w:rsid w:val="00566A95"/>
    <w:rsid w:val="00566AEB"/>
    <w:rsid w:val="00566AEE"/>
    <w:rsid w:val="00566B30"/>
    <w:rsid w:val="00566B97"/>
    <w:rsid w:val="00566D45"/>
    <w:rsid w:val="00566D95"/>
    <w:rsid w:val="00566DEC"/>
    <w:rsid w:val="00566E7B"/>
    <w:rsid w:val="00566E9D"/>
    <w:rsid w:val="00566EA3"/>
    <w:rsid w:val="00566ED9"/>
    <w:rsid w:val="0056709D"/>
    <w:rsid w:val="00567169"/>
    <w:rsid w:val="00567172"/>
    <w:rsid w:val="00567177"/>
    <w:rsid w:val="00567227"/>
    <w:rsid w:val="00567307"/>
    <w:rsid w:val="00567385"/>
    <w:rsid w:val="005674E5"/>
    <w:rsid w:val="005675A8"/>
    <w:rsid w:val="00567768"/>
    <w:rsid w:val="005678A3"/>
    <w:rsid w:val="005679E9"/>
    <w:rsid w:val="00567BB8"/>
    <w:rsid w:val="00567C26"/>
    <w:rsid w:val="00567CE0"/>
    <w:rsid w:val="00567D04"/>
    <w:rsid w:val="00567D25"/>
    <w:rsid w:val="00567D83"/>
    <w:rsid w:val="00567DE9"/>
    <w:rsid w:val="00567DFF"/>
    <w:rsid w:val="00567EB4"/>
    <w:rsid w:val="00567EBD"/>
    <w:rsid w:val="00567EF3"/>
    <w:rsid w:val="005700BB"/>
    <w:rsid w:val="0057012E"/>
    <w:rsid w:val="0057024B"/>
    <w:rsid w:val="005702D0"/>
    <w:rsid w:val="0057033A"/>
    <w:rsid w:val="00570453"/>
    <w:rsid w:val="0057050E"/>
    <w:rsid w:val="00570513"/>
    <w:rsid w:val="00570704"/>
    <w:rsid w:val="005707A0"/>
    <w:rsid w:val="00570823"/>
    <w:rsid w:val="00570994"/>
    <w:rsid w:val="00570A32"/>
    <w:rsid w:val="00570BC6"/>
    <w:rsid w:val="00570CF6"/>
    <w:rsid w:val="00570D11"/>
    <w:rsid w:val="00570F48"/>
    <w:rsid w:val="0057103D"/>
    <w:rsid w:val="0057117C"/>
    <w:rsid w:val="005712E9"/>
    <w:rsid w:val="005712EC"/>
    <w:rsid w:val="0057166A"/>
    <w:rsid w:val="00571685"/>
    <w:rsid w:val="0057178C"/>
    <w:rsid w:val="005717DE"/>
    <w:rsid w:val="00571857"/>
    <w:rsid w:val="005718EB"/>
    <w:rsid w:val="00571940"/>
    <w:rsid w:val="005719D7"/>
    <w:rsid w:val="00571A66"/>
    <w:rsid w:val="00571BE3"/>
    <w:rsid w:val="00571C6A"/>
    <w:rsid w:val="00571C83"/>
    <w:rsid w:val="00571CB9"/>
    <w:rsid w:val="00571CCC"/>
    <w:rsid w:val="00571DDA"/>
    <w:rsid w:val="00572028"/>
    <w:rsid w:val="0057202B"/>
    <w:rsid w:val="00572056"/>
    <w:rsid w:val="0057233E"/>
    <w:rsid w:val="00572448"/>
    <w:rsid w:val="005724D5"/>
    <w:rsid w:val="005724F1"/>
    <w:rsid w:val="005725CD"/>
    <w:rsid w:val="00572647"/>
    <w:rsid w:val="005726A1"/>
    <w:rsid w:val="005726F0"/>
    <w:rsid w:val="0057281D"/>
    <w:rsid w:val="00572A07"/>
    <w:rsid w:val="00572A18"/>
    <w:rsid w:val="00572AC5"/>
    <w:rsid w:val="00572AE3"/>
    <w:rsid w:val="00572BAD"/>
    <w:rsid w:val="00572BC4"/>
    <w:rsid w:val="00572C19"/>
    <w:rsid w:val="00572C52"/>
    <w:rsid w:val="00572C74"/>
    <w:rsid w:val="00572CBF"/>
    <w:rsid w:val="00572D86"/>
    <w:rsid w:val="00572F0B"/>
    <w:rsid w:val="00572F52"/>
    <w:rsid w:val="005730EC"/>
    <w:rsid w:val="00573115"/>
    <w:rsid w:val="0057322B"/>
    <w:rsid w:val="00573302"/>
    <w:rsid w:val="005733A6"/>
    <w:rsid w:val="005733FC"/>
    <w:rsid w:val="00573495"/>
    <w:rsid w:val="005735C8"/>
    <w:rsid w:val="00573619"/>
    <w:rsid w:val="00573802"/>
    <w:rsid w:val="00573813"/>
    <w:rsid w:val="00573989"/>
    <w:rsid w:val="005739D7"/>
    <w:rsid w:val="00573A54"/>
    <w:rsid w:val="00573D55"/>
    <w:rsid w:val="00573E7A"/>
    <w:rsid w:val="00573F02"/>
    <w:rsid w:val="005741DB"/>
    <w:rsid w:val="00574285"/>
    <w:rsid w:val="00574294"/>
    <w:rsid w:val="00574362"/>
    <w:rsid w:val="005745C0"/>
    <w:rsid w:val="0057461C"/>
    <w:rsid w:val="00574680"/>
    <w:rsid w:val="005746F8"/>
    <w:rsid w:val="00574785"/>
    <w:rsid w:val="00574A1A"/>
    <w:rsid w:val="00574A2D"/>
    <w:rsid w:val="00574B02"/>
    <w:rsid w:val="00574C94"/>
    <w:rsid w:val="00574DD5"/>
    <w:rsid w:val="00574E0C"/>
    <w:rsid w:val="00574E5F"/>
    <w:rsid w:val="00574ED7"/>
    <w:rsid w:val="00574F88"/>
    <w:rsid w:val="00574FEA"/>
    <w:rsid w:val="005750BC"/>
    <w:rsid w:val="00575247"/>
    <w:rsid w:val="00575287"/>
    <w:rsid w:val="005752F3"/>
    <w:rsid w:val="005753BD"/>
    <w:rsid w:val="0057553E"/>
    <w:rsid w:val="00575573"/>
    <w:rsid w:val="005755EF"/>
    <w:rsid w:val="005756C2"/>
    <w:rsid w:val="005756FD"/>
    <w:rsid w:val="00575743"/>
    <w:rsid w:val="00575767"/>
    <w:rsid w:val="005757FE"/>
    <w:rsid w:val="0057582C"/>
    <w:rsid w:val="0057585E"/>
    <w:rsid w:val="005758C1"/>
    <w:rsid w:val="00575A46"/>
    <w:rsid w:val="00575A6D"/>
    <w:rsid w:val="00575ABC"/>
    <w:rsid w:val="00575B30"/>
    <w:rsid w:val="00575BD8"/>
    <w:rsid w:val="00575E7C"/>
    <w:rsid w:val="00575E83"/>
    <w:rsid w:val="00575F7C"/>
    <w:rsid w:val="00575FC3"/>
    <w:rsid w:val="0057600C"/>
    <w:rsid w:val="0057603D"/>
    <w:rsid w:val="00576093"/>
    <w:rsid w:val="00576098"/>
    <w:rsid w:val="005760C1"/>
    <w:rsid w:val="00576102"/>
    <w:rsid w:val="0057612C"/>
    <w:rsid w:val="0057613A"/>
    <w:rsid w:val="0057625E"/>
    <w:rsid w:val="0057632E"/>
    <w:rsid w:val="005763BB"/>
    <w:rsid w:val="005764CF"/>
    <w:rsid w:val="005765A0"/>
    <w:rsid w:val="005765D2"/>
    <w:rsid w:val="0057662C"/>
    <w:rsid w:val="00576634"/>
    <w:rsid w:val="00576664"/>
    <w:rsid w:val="00576747"/>
    <w:rsid w:val="005767CB"/>
    <w:rsid w:val="0057695F"/>
    <w:rsid w:val="005769EF"/>
    <w:rsid w:val="00576B4D"/>
    <w:rsid w:val="00576B83"/>
    <w:rsid w:val="00576B9D"/>
    <w:rsid w:val="00576C68"/>
    <w:rsid w:val="00576D11"/>
    <w:rsid w:val="00576D3D"/>
    <w:rsid w:val="00576D6C"/>
    <w:rsid w:val="00576E53"/>
    <w:rsid w:val="00576E75"/>
    <w:rsid w:val="00576F05"/>
    <w:rsid w:val="00576F7C"/>
    <w:rsid w:val="00576F95"/>
    <w:rsid w:val="00577057"/>
    <w:rsid w:val="00577177"/>
    <w:rsid w:val="00577222"/>
    <w:rsid w:val="005772E1"/>
    <w:rsid w:val="00577524"/>
    <w:rsid w:val="00577633"/>
    <w:rsid w:val="00577712"/>
    <w:rsid w:val="0057773C"/>
    <w:rsid w:val="0057781B"/>
    <w:rsid w:val="0057782C"/>
    <w:rsid w:val="005778F5"/>
    <w:rsid w:val="00577AC8"/>
    <w:rsid w:val="00577AD8"/>
    <w:rsid w:val="00577B30"/>
    <w:rsid w:val="00577C30"/>
    <w:rsid w:val="00577D02"/>
    <w:rsid w:val="00577D05"/>
    <w:rsid w:val="00577D27"/>
    <w:rsid w:val="00577E66"/>
    <w:rsid w:val="00577E75"/>
    <w:rsid w:val="00577EBD"/>
    <w:rsid w:val="00577EF1"/>
    <w:rsid w:val="00577F82"/>
    <w:rsid w:val="005800EF"/>
    <w:rsid w:val="00580143"/>
    <w:rsid w:val="00580177"/>
    <w:rsid w:val="00580189"/>
    <w:rsid w:val="00580292"/>
    <w:rsid w:val="005802DA"/>
    <w:rsid w:val="0058034A"/>
    <w:rsid w:val="005803FB"/>
    <w:rsid w:val="00580439"/>
    <w:rsid w:val="0058044F"/>
    <w:rsid w:val="0058055A"/>
    <w:rsid w:val="005805C6"/>
    <w:rsid w:val="00580614"/>
    <w:rsid w:val="005806C5"/>
    <w:rsid w:val="00580792"/>
    <w:rsid w:val="005807E3"/>
    <w:rsid w:val="00580823"/>
    <w:rsid w:val="0058082D"/>
    <w:rsid w:val="005808D7"/>
    <w:rsid w:val="0058091B"/>
    <w:rsid w:val="0058095E"/>
    <w:rsid w:val="00580B1A"/>
    <w:rsid w:val="00580CE3"/>
    <w:rsid w:val="00580D80"/>
    <w:rsid w:val="00580E8F"/>
    <w:rsid w:val="00580F32"/>
    <w:rsid w:val="00580F59"/>
    <w:rsid w:val="00580F9F"/>
    <w:rsid w:val="0058104F"/>
    <w:rsid w:val="00581136"/>
    <w:rsid w:val="0058116C"/>
    <w:rsid w:val="0058120D"/>
    <w:rsid w:val="0058122F"/>
    <w:rsid w:val="005812A7"/>
    <w:rsid w:val="005812B8"/>
    <w:rsid w:val="00581315"/>
    <w:rsid w:val="00581359"/>
    <w:rsid w:val="005814D9"/>
    <w:rsid w:val="005815B9"/>
    <w:rsid w:val="005815E7"/>
    <w:rsid w:val="0058168D"/>
    <w:rsid w:val="0058178C"/>
    <w:rsid w:val="005817E3"/>
    <w:rsid w:val="00581883"/>
    <w:rsid w:val="00581971"/>
    <w:rsid w:val="005819BF"/>
    <w:rsid w:val="00581A28"/>
    <w:rsid w:val="00581A7A"/>
    <w:rsid w:val="00581A86"/>
    <w:rsid w:val="00581A97"/>
    <w:rsid w:val="00581B01"/>
    <w:rsid w:val="00581B9F"/>
    <w:rsid w:val="00581D3A"/>
    <w:rsid w:val="00581F92"/>
    <w:rsid w:val="00581FBB"/>
    <w:rsid w:val="00582188"/>
    <w:rsid w:val="005821A2"/>
    <w:rsid w:val="005821C5"/>
    <w:rsid w:val="005821D5"/>
    <w:rsid w:val="00582254"/>
    <w:rsid w:val="00582278"/>
    <w:rsid w:val="00582282"/>
    <w:rsid w:val="005822CE"/>
    <w:rsid w:val="0058231D"/>
    <w:rsid w:val="00582546"/>
    <w:rsid w:val="0058255C"/>
    <w:rsid w:val="005825BC"/>
    <w:rsid w:val="00582601"/>
    <w:rsid w:val="00582648"/>
    <w:rsid w:val="0058270C"/>
    <w:rsid w:val="00582830"/>
    <w:rsid w:val="00582910"/>
    <w:rsid w:val="00582992"/>
    <w:rsid w:val="005829CF"/>
    <w:rsid w:val="005829E9"/>
    <w:rsid w:val="00582A03"/>
    <w:rsid w:val="00582A81"/>
    <w:rsid w:val="00582B2A"/>
    <w:rsid w:val="00582BD0"/>
    <w:rsid w:val="00582C8D"/>
    <w:rsid w:val="00582D1F"/>
    <w:rsid w:val="00582F26"/>
    <w:rsid w:val="00582F83"/>
    <w:rsid w:val="00582FAA"/>
    <w:rsid w:val="005830DB"/>
    <w:rsid w:val="005831D0"/>
    <w:rsid w:val="005831E6"/>
    <w:rsid w:val="00583240"/>
    <w:rsid w:val="00583251"/>
    <w:rsid w:val="00583321"/>
    <w:rsid w:val="00583325"/>
    <w:rsid w:val="00583350"/>
    <w:rsid w:val="005833FF"/>
    <w:rsid w:val="0058344F"/>
    <w:rsid w:val="0058346E"/>
    <w:rsid w:val="00583478"/>
    <w:rsid w:val="00583489"/>
    <w:rsid w:val="00583666"/>
    <w:rsid w:val="005836E5"/>
    <w:rsid w:val="00583725"/>
    <w:rsid w:val="00583789"/>
    <w:rsid w:val="005838EA"/>
    <w:rsid w:val="0058394C"/>
    <w:rsid w:val="005839AC"/>
    <w:rsid w:val="00583AED"/>
    <w:rsid w:val="00583B31"/>
    <w:rsid w:val="00583B9B"/>
    <w:rsid w:val="00583C5D"/>
    <w:rsid w:val="00583C9C"/>
    <w:rsid w:val="00583D54"/>
    <w:rsid w:val="00583D5F"/>
    <w:rsid w:val="00583D88"/>
    <w:rsid w:val="00583DA7"/>
    <w:rsid w:val="00583DEA"/>
    <w:rsid w:val="00583E06"/>
    <w:rsid w:val="00583E13"/>
    <w:rsid w:val="00583E30"/>
    <w:rsid w:val="00583EDA"/>
    <w:rsid w:val="00583F99"/>
    <w:rsid w:val="00584086"/>
    <w:rsid w:val="005841A3"/>
    <w:rsid w:val="005841F0"/>
    <w:rsid w:val="005842C7"/>
    <w:rsid w:val="005842CD"/>
    <w:rsid w:val="0058431C"/>
    <w:rsid w:val="005843D0"/>
    <w:rsid w:val="005843DB"/>
    <w:rsid w:val="00584409"/>
    <w:rsid w:val="0058449A"/>
    <w:rsid w:val="005844E3"/>
    <w:rsid w:val="005844F8"/>
    <w:rsid w:val="00584538"/>
    <w:rsid w:val="00584697"/>
    <w:rsid w:val="005846AC"/>
    <w:rsid w:val="005846FD"/>
    <w:rsid w:val="005847E7"/>
    <w:rsid w:val="005848DF"/>
    <w:rsid w:val="005849F6"/>
    <w:rsid w:val="00584A75"/>
    <w:rsid w:val="00584A79"/>
    <w:rsid w:val="00584B59"/>
    <w:rsid w:val="00584BF7"/>
    <w:rsid w:val="00584D2C"/>
    <w:rsid w:val="00584D78"/>
    <w:rsid w:val="00584E69"/>
    <w:rsid w:val="00584EF4"/>
    <w:rsid w:val="00584F11"/>
    <w:rsid w:val="005850C0"/>
    <w:rsid w:val="005850C1"/>
    <w:rsid w:val="00585144"/>
    <w:rsid w:val="005851A4"/>
    <w:rsid w:val="00585211"/>
    <w:rsid w:val="00585227"/>
    <w:rsid w:val="0058522A"/>
    <w:rsid w:val="0058523F"/>
    <w:rsid w:val="00585289"/>
    <w:rsid w:val="00585313"/>
    <w:rsid w:val="00585397"/>
    <w:rsid w:val="0058540E"/>
    <w:rsid w:val="0058541A"/>
    <w:rsid w:val="00585599"/>
    <w:rsid w:val="0058559B"/>
    <w:rsid w:val="005855A4"/>
    <w:rsid w:val="005856ED"/>
    <w:rsid w:val="005857EE"/>
    <w:rsid w:val="0058583F"/>
    <w:rsid w:val="00585843"/>
    <w:rsid w:val="005859F7"/>
    <w:rsid w:val="00585AE9"/>
    <w:rsid w:val="00585B7C"/>
    <w:rsid w:val="00585B7D"/>
    <w:rsid w:val="00585BC5"/>
    <w:rsid w:val="00585D08"/>
    <w:rsid w:val="00585D3F"/>
    <w:rsid w:val="00585D4A"/>
    <w:rsid w:val="00585D6F"/>
    <w:rsid w:val="00585D8B"/>
    <w:rsid w:val="00585DB4"/>
    <w:rsid w:val="00585DD8"/>
    <w:rsid w:val="00585EAB"/>
    <w:rsid w:val="0058601F"/>
    <w:rsid w:val="0058611B"/>
    <w:rsid w:val="005861F2"/>
    <w:rsid w:val="00586231"/>
    <w:rsid w:val="005862FF"/>
    <w:rsid w:val="0058632F"/>
    <w:rsid w:val="005863EB"/>
    <w:rsid w:val="005863ED"/>
    <w:rsid w:val="00586439"/>
    <w:rsid w:val="00586528"/>
    <w:rsid w:val="0058654F"/>
    <w:rsid w:val="005867C0"/>
    <w:rsid w:val="00586882"/>
    <w:rsid w:val="00586965"/>
    <w:rsid w:val="00586991"/>
    <w:rsid w:val="005869FB"/>
    <w:rsid w:val="00586A18"/>
    <w:rsid w:val="00586C2C"/>
    <w:rsid w:val="00586C2F"/>
    <w:rsid w:val="00586E08"/>
    <w:rsid w:val="00586E52"/>
    <w:rsid w:val="00586F23"/>
    <w:rsid w:val="00586F36"/>
    <w:rsid w:val="00586FEC"/>
    <w:rsid w:val="005870BD"/>
    <w:rsid w:val="00587313"/>
    <w:rsid w:val="00587331"/>
    <w:rsid w:val="00587414"/>
    <w:rsid w:val="0058742D"/>
    <w:rsid w:val="0058757D"/>
    <w:rsid w:val="00587858"/>
    <w:rsid w:val="005878F7"/>
    <w:rsid w:val="00587924"/>
    <w:rsid w:val="0058797E"/>
    <w:rsid w:val="005879D2"/>
    <w:rsid w:val="00587A5A"/>
    <w:rsid w:val="00587B3D"/>
    <w:rsid w:val="00587CD3"/>
    <w:rsid w:val="00587CE3"/>
    <w:rsid w:val="00587D5D"/>
    <w:rsid w:val="00587D6B"/>
    <w:rsid w:val="00587D6D"/>
    <w:rsid w:val="00587DFB"/>
    <w:rsid w:val="00587E1E"/>
    <w:rsid w:val="00587FA4"/>
    <w:rsid w:val="005900F3"/>
    <w:rsid w:val="0059010E"/>
    <w:rsid w:val="00590110"/>
    <w:rsid w:val="0059038D"/>
    <w:rsid w:val="00590535"/>
    <w:rsid w:val="00590601"/>
    <w:rsid w:val="00590639"/>
    <w:rsid w:val="0059082C"/>
    <w:rsid w:val="00590882"/>
    <w:rsid w:val="005908F2"/>
    <w:rsid w:val="005908F7"/>
    <w:rsid w:val="00590938"/>
    <w:rsid w:val="00590A8A"/>
    <w:rsid w:val="00590ABD"/>
    <w:rsid w:val="00590BC3"/>
    <w:rsid w:val="00590BF2"/>
    <w:rsid w:val="00590C82"/>
    <w:rsid w:val="00590CE7"/>
    <w:rsid w:val="00590CFB"/>
    <w:rsid w:val="00590D0D"/>
    <w:rsid w:val="00590D55"/>
    <w:rsid w:val="00590E53"/>
    <w:rsid w:val="00590FC3"/>
    <w:rsid w:val="00591186"/>
    <w:rsid w:val="0059118C"/>
    <w:rsid w:val="00591229"/>
    <w:rsid w:val="005913EB"/>
    <w:rsid w:val="0059148D"/>
    <w:rsid w:val="005914AC"/>
    <w:rsid w:val="00591611"/>
    <w:rsid w:val="005917D6"/>
    <w:rsid w:val="00591911"/>
    <w:rsid w:val="00591946"/>
    <w:rsid w:val="005919E9"/>
    <w:rsid w:val="005919FA"/>
    <w:rsid w:val="00591A52"/>
    <w:rsid w:val="00591C22"/>
    <w:rsid w:val="00591D27"/>
    <w:rsid w:val="00591D38"/>
    <w:rsid w:val="00591DFA"/>
    <w:rsid w:val="0059213C"/>
    <w:rsid w:val="00592227"/>
    <w:rsid w:val="00592282"/>
    <w:rsid w:val="005922C0"/>
    <w:rsid w:val="00592378"/>
    <w:rsid w:val="00592465"/>
    <w:rsid w:val="005924B8"/>
    <w:rsid w:val="00592774"/>
    <w:rsid w:val="00592783"/>
    <w:rsid w:val="00592894"/>
    <w:rsid w:val="00592962"/>
    <w:rsid w:val="0059296D"/>
    <w:rsid w:val="005929F3"/>
    <w:rsid w:val="005929F8"/>
    <w:rsid w:val="00592A05"/>
    <w:rsid w:val="00592BF0"/>
    <w:rsid w:val="00592C9A"/>
    <w:rsid w:val="00592CE3"/>
    <w:rsid w:val="00592D71"/>
    <w:rsid w:val="00592DA8"/>
    <w:rsid w:val="00592DBC"/>
    <w:rsid w:val="00592E00"/>
    <w:rsid w:val="00592E5D"/>
    <w:rsid w:val="00592F1E"/>
    <w:rsid w:val="00592F8E"/>
    <w:rsid w:val="00592FCA"/>
    <w:rsid w:val="0059301E"/>
    <w:rsid w:val="0059306F"/>
    <w:rsid w:val="005931A4"/>
    <w:rsid w:val="005931B7"/>
    <w:rsid w:val="005932C6"/>
    <w:rsid w:val="005933AF"/>
    <w:rsid w:val="0059344B"/>
    <w:rsid w:val="0059367C"/>
    <w:rsid w:val="00593684"/>
    <w:rsid w:val="0059369C"/>
    <w:rsid w:val="0059375C"/>
    <w:rsid w:val="00593788"/>
    <w:rsid w:val="0059393C"/>
    <w:rsid w:val="00593A0C"/>
    <w:rsid w:val="00593AAC"/>
    <w:rsid w:val="00593AD5"/>
    <w:rsid w:val="00593AE3"/>
    <w:rsid w:val="00593B2F"/>
    <w:rsid w:val="00593B55"/>
    <w:rsid w:val="00593B8F"/>
    <w:rsid w:val="00593BE2"/>
    <w:rsid w:val="00593C1F"/>
    <w:rsid w:val="00593C90"/>
    <w:rsid w:val="00593CBB"/>
    <w:rsid w:val="00593D5A"/>
    <w:rsid w:val="00593FA7"/>
    <w:rsid w:val="00593FCB"/>
    <w:rsid w:val="005940B2"/>
    <w:rsid w:val="005940BF"/>
    <w:rsid w:val="005940DD"/>
    <w:rsid w:val="005941A2"/>
    <w:rsid w:val="005941D8"/>
    <w:rsid w:val="005942E2"/>
    <w:rsid w:val="00594396"/>
    <w:rsid w:val="005943EC"/>
    <w:rsid w:val="00594434"/>
    <w:rsid w:val="00594462"/>
    <w:rsid w:val="0059447B"/>
    <w:rsid w:val="005944EF"/>
    <w:rsid w:val="0059454B"/>
    <w:rsid w:val="005945C3"/>
    <w:rsid w:val="0059479C"/>
    <w:rsid w:val="00594979"/>
    <w:rsid w:val="00594A7C"/>
    <w:rsid w:val="00594B3D"/>
    <w:rsid w:val="00594B8E"/>
    <w:rsid w:val="00594CC5"/>
    <w:rsid w:val="00594D76"/>
    <w:rsid w:val="00594DE6"/>
    <w:rsid w:val="00594EC5"/>
    <w:rsid w:val="00594FF6"/>
    <w:rsid w:val="0059522C"/>
    <w:rsid w:val="005952CF"/>
    <w:rsid w:val="00595313"/>
    <w:rsid w:val="00595481"/>
    <w:rsid w:val="005954AF"/>
    <w:rsid w:val="005954B6"/>
    <w:rsid w:val="005954D6"/>
    <w:rsid w:val="00595532"/>
    <w:rsid w:val="0059561C"/>
    <w:rsid w:val="00595658"/>
    <w:rsid w:val="0059569D"/>
    <w:rsid w:val="00595734"/>
    <w:rsid w:val="0059586B"/>
    <w:rsid w:val="0059587D"/>
    <w:rsid w:val="00595897"/>
    <w:rsid w:val="0059591D"/>
    <w:rsid w:val="0059597E"/>
    <w:rsid w:val="005959F6"/>
    <w:rsid w:val="00595AA4"/>
    <w:rsid w:val="00595AD0"/>
    <w:rsid w:val="00595AE1"/>
    <w:rsid w:val="00595B03"/>
    <w:rsid w:val="00595BFE"/>
    <w:rsid w:val="00595C10"/>
    <w:rsid w:val="00595C16"/>
    <w:rsid w:val="00595C34"/>
    <w:rsid w:val="00595C65"/>
    <w:rsid w:val="00595C73"/>
    <w:rsid w:val="00595CC5"/>
    <w:rsid w:val="00595D31"/>
    <w:rsid w:val="00595D6B"/>
    <w:rsid w:val="00595D98"/>
    <w:rsid w:val="00595E31"/>
    <w:rsid w:val="00595E46"/>
    <w:rsid w:val="00595E72"/>
    <w:rsid w:val="00595E8F"/>
    <w:rsid w:val="00595F19"/>
    <w:rsid w:val="00595F98"/>
    <w:rsid w:val="00595FC6"/>
    <w:rsid w:val="00596131"/>
    <w:rsid w:val="0059623D"/>
    <w:rsid w:val="00596353"/>
    <w:rsid w:val="00596510"/>
    <w:rsid w:val="00596595"/>
    <w:rsid w:val="00596706"/>
    <w:rsid w:val="00596758"/>
    <w:rsid w:val="005967C6"/>
    <w:rsid w:val="00596934"/>
    <w:rsid w:val="0059694D"/>
    <w:rsid w:val="00596969"/>
    <w:rsid w:val="005969B4"/>
    <w:rsid w:val="00596A09"/>
    <w:rsid w:val="00596A16"/>
    <w:rsid w:val="00596A6B"/>
    <w:rsid w:val="00596C0E"/>
    <w:rsid w:val="00596D72"/>
    <w:rsid w:val="00596DA3"/>
    <w:rsid w:val="00596EBD"/>
    <w:rsid w:val="00596F08"/>
    <w:rsid w:val="00596FDF"/>
    <w:rsid w:val="00597013"/>
    <w:rsid w:val="0059723D"/>
    <w:rsid w:val="00597274"/>
    <w:rsid w:val="00597292"/>
    <w:rsid w:val="005972B4"/>
    <w:rsid w:val="005972E7"/>
    <w:rsid w:val="00597453"/>
    <w:rsid w:val="005974AD"/>
    <w:rsid w:val="005974FF"/>
    <w:rsid w:val="005976E4"/>
    <w:rsid w:val="0059775C"/>
    <w:rsid w:val="00597847"/>
    <w:rsid w:val="005978AD"/>
    <w:rsid w:val="00597941"/>
    <w:rsid w:val="00597988"/>
    <w:rsid w:val="00597A65"/>
    <w:rsid w:val="00597D68"/>
    <w:rsid w:val="00597F28"/>
    <w:rsid w:val="005A005B"/>
    <w:rsid w:val="005A0225"/>
    <w:rsid w:val="005A02EA"/>
    <w:rsid w:val="005A0399"/>
    <w:rsid w:val="005A0509"/>
    <w:rsid w:val="005A053A"/>
    <w:rsid w:val="005A057C"/>
    <w:rsid w:val="005A05BF"/>
    <w:rsid w:val="005A0633"/>
    <w:rsid w:val="005A06AA"/>
    <w:rsid w:val="005A06DB"/>
    <w:rsid w:val="005A0745"/>
    <w:rsid w:val="005A07B8"/>
    <w:rsid w:val="005A089D"/>
    <w:rsid w:val="005A0BD1"/>
    <w:rsid w:val="005A0BF2"/>
    <w:rsid w:val="005A0C26"/>
    <w:rsid w:val="005A0D62"/>
    <w:rsid w:val="005A0D72"/>
    <w:rsid w:val="005A0DD3"/>
    <w:rsid w:val="005A0DFA"/>
    <w:rsid w:val="005A0E9C"/>
    <w:rsid w:val="005A0EBD"/>
    <w:rsid w:val="005A0FDD"/>
    <w:rsid w:val="005A1056"/>
    <w:rsid w:val="005A10BF"/>
    <w:rsid w:val="005A1130"/>
    <w:rsid w:val="005A1174"/>
    <w:rsid w:val="005A127A"/>
    <w:rsid w:val="005A12FF"/>
    <w:rsid w:val="005A135D"/>
    <w:rsid w:val="005A13F7"/>
    <w:rsid w:val="005A1714"/>
    <w:rsid w:val="005A1723"/>
    <w:rsid w:val="005A176C"/>
    <w:rsid w:val="005A17AB"/>
    <w:rsid w:val="005A18C0"/>
    <w:rsid w:val="005A1A33"/>
    <w:rsid w:val="005A1B70"/>
    <w:rsid w:val="005A1D13"/>
    <w:rsid w:val="005A1E34"/>
    <w:rsid w:val="005A1EE4"/>
    <w:rsid w:val="005A1EEB"/>
    <w:rsid w:val="005A1F13"/>
    <w:rsid w:val="005A1F31"/>
    <w:rsid w:val="005A1F87"/>
    <w:rsid w:val="005A1FB2"/>
    <w:rsid w:val="005A20DC"/>
    <w:rsid w:val="005A20EB"/>
    <w:rsid w:val="005A21DC"/>
    <w:rsid w:val="005A2203"/>
    <w:rsid w:val="005A2468"/>
    <w:rsid w:val="005A259C"/>
    <w:rsid w:val="005A26EB"/>
    <w:rsid w:val="005A2704"/>
    <w:rsid w:val="005A280E"/>
    <w:rsid w:val="005A28F9"/>
    <w:rsid w:val="005A2A6C"/>
    <w:rsid w:val="005A2B03"/>
    <w:rsid w:val="005A2CFD"/>
    <w:rsid w:val="005A2D13"/>
    <w:rsid w:val="005A2D6A"/>
    <w:rsid w:val="005A2D95"/>
    <w:rsid w:val="005A2DC8"/>
    <w:rsid w:val="005A2F09"/>
    <w:rsid w:val="005A2FBE"/>
    <w:rsid w:val="005A2FD8"/>
    <w:rsid w:val="005A2FF6"/>
    <w:rsid w:val="005A301A"/>
    <w:rsid w:val="005A321A"/>
    <w:rsid w:val="005A328B"/>
    <w:rsid w:val="005A32F0"/>
    <w:rsid w:val="005A3328"/>
    <w:rsid w:val="005A332D"/>
    <w:rsid w:val="005A342F"/>
    <w:rsid w:val="005A34A2"/>
    <w:rsid w:val="005A3596"/>
    <w:rsid w:val="005A35FE"/>
    <w:rsid w:val="005A36B3"/>
    <w:rsid w:val="005A371A"/>
    <w:rsid w:val="005A3A6D"/>
    <w:rsid w:val="005A3B17"/>
    <w:rsid w:val="005A3BD6"/>
    <w:rsid w:val="005A3C3C"/>
    <w:rsid w:val="005A3C9D"/>
    <w:rsid w:val="005A3DD1"/>
    <w:rsid w:val="005A3FF2"/>
    <w:rsid w:val="005A4022"/>
    <w:rsid w:val="005A4050"/>
    <w:rsid w:val="005A405C"/>
    <w:rsid w:val="005A4164"/>
    <w:rsid w:val="005A429C"/>
    <w:rsid w:val="005A42CD"/>
    <w:rsid w:val="005A43F8"/>
    <w:rsid w:val="005A449B"/>
    <w:rsid w:val="005A44A2"/>
    <w:rsid w:val="005A44E5"/>
    <w:rsid w:val="005A4768"/>
    <w:rsid w:val="005A477A"/>
    <w:rsid w:val="005A47A9"/>
    <w:rsid w:val="005A4819"/>
    <w:rsid w:val="005A4892"/>
    <w:rsid w:val="005A4894"/>
    <w:rsid w:val="005A48C1"/>
    <w:rsid w:val="005A4948"/>
    <w:rsid w:val="005A49EE"/>
    <w:rsid w:val="005A49F7"/>
    <w:rsid w:val="005A4A3D"/>
    <w:rsid w:val="005A4A6C"/>
    <w:rsid w:val="005A4AC2"/>
    <w:rsid w:val="005A4ADD"/>
    <w:rsid w:val="005A4B5B"/>
    <w:rsid w:val="005A4B89"/>
    <w:rsid w:val="005A4BEE"/>
    <w:rsid w:val="005A4C4B"/>
    <w:rsid w:val="005A4CEA"/>
    <w:rsid w:val="005A4D8A"/>
    <w:rsid w:val="005A4DA4"/>
    <w:rsid w:val="005A4E7C"/>
    <w:rsid w:val="005A4F40"/>
    <w:rsid w:val="005A504A"/>
    <w:rsid w:val="005A514F"/>
    <w:rsid w:val="005A51CC"/>
    <w:rsid w:val="005A5207"/>
    <w:rsid w:val="005A528C"/>
    <w:rsid w:val="005A544B"/>
    <w:rsid w:val="005A5559"/>
    <w:rsid w:val="005A5595"/>
    <w:rsid w:val="005A567D"/>
    <w:rsid w:val="005A57E2"/>
    <w:rsid w:val="005A57F3"/>
    <w:rsid w:val="005A5835"/>
    <w:rsid w:val="005A58B8"/>
    <w:rsid w:val="005A58CE"/>
    <w:rsid w:val="005A593A"/>
    <w:rsid w:val="005A5A82"/>
    <w:rsid w:val="005A5AAF"/>
    <w:rsid w:val="005A5B7A"/>
    <w:rsid w:val="005A5C74"/>
    <w:rsid w:val="005A5D43"/>
    <w:rsid w:val="005A5D45"/>
    <w:rsid w:val="005A5D76"/>
    <w:rsid w:val="005A5DAC"/>
    <w:rsid w:val="005A5E1A"/>
    <w:rsid w:val="005A5E60"/>
    <w:rsid w:val="005A5F86"/>
    <w:rsid w:val="005A610A"/>
    <w:rsid w:val="005A6159"/>
    <w:rsid w:val="005A618A"/>
    <w:rsid w:val="005A6290"/>
    <w:rsid w:val="005A6299"/>
    <w:rsid w:val="005A635E"/>
    <w:rsid w:val="005A6381"/>
    <w:rsid w:val="005A63B1"/>
    <w:rsid w:val="005A63D3"/>
    <w:rsid w:val="005A66DB"/>
    <w:rsid w:val="005A679D"/>
    <w:rsid w:val="005A67E7"/>
    <w:rsid w:val="005A686E"/>
    <w:rsid w:val="005A68D9"/>
    <w:rsid w:val="005A6A0C"/>
    <w:rsid w:val="005A6A3B"/>
    <w:rsid w:val="005A6A8B"/>
    <w:rsid w:val="005A6B05"/>
    <w:rsid w:val="005A6B94"/>
    <w:rsid w:val="005A6C08"/>
    <w:rsid w:val="005A6CCA"/>
    <w:rsid w:val="005A6D56"/>
    <w:rsid w:val="005A6DBC"/>
    <w:rsid w:val="005A6E8C"/>
    <w:rsid w:val="005A6F97"/>
    <w:rsid w:val="005A7009"/>
    <w:rsid w:val="005A723C"/>
    <w:rsid w:val="005A7263"/>
    <w:rsid w:val="005A733C"/>
    <w:rsid w:val="005A755A"/>
    <w:rsid w:val="005A759F"/>
    <w:rsid w:val="005A75A7"/>
    <w:rsid w:val="005A7666"/>
    <w:rsid w:val="005A7669"/>
    <w:rsid w:val="005A76F8"/>
    <w:rsid w:val="005A7778"/>
    <w:rsid w:val="005A7971"/>
    <w:rsid w:val="005A7A24"/>
    <w:rsid w:val="005A7A8A"/>
    <w:rsid w:val="005A7B51"/>
    <w:rsid w:val="005A7BC0"/>
    <w:rsid w:val="005A7C6B"/>
    <w:rsid w:val="005A7C9D"/>
    <w:rsid w:val="005A7D44"/>
    <w:rsid w:val="005A7D45"/>
    <w:rsid w:val="005A7D47"/>
    <w:rsid w:val="005B002D"/>
    <w:rsid w:val="005B00AE"/>
    <w:rsid w:val="005B00E9"/>
    <w:rsid w:val="005B024D"/>
    <w:rsid w:val="005B02E4"/>
    <w:rsid w:val="005B0307"/>
    <w:rsid w:val="005B0313"/>
    <w:rsid w:val="005B03E7"/>
    <w:rsid w:val="005B04BF"/>
    <w:rsid w:val="005B057B"/>
    <w:rsid w:val="005B057F"/>
    <w:rsid w:val="005B067E"/>
    <w:rsid w:val="005B069D"/>
    <w:rsid w:val="005B09E3"/>
    <w:rsid w:val="005B0AD8"/>
    <w:rsid w:val="005B0B02"/>
    <w:rsid w:val="005B0CED"/>
    <w:rsid w:val="005B0D7B"/>
    <w:rsid w:val="005B0E11"/>
    <w:rsid w:val="005B0E6E"/>
    <w:rsid w:val="005B0EEA"/>
    <w:rsid w:val="005B0F15"/>
    <w:rsid w:val="005B0F1D"/>
    <w:rsid w:val="005B0FA8"/>
    <w:rsid w:val="005B1041"/>
    <w:rsid w:val="005B10C7"/>
    <w:rsid w:val="005B1115"/>
    <w:rsid w:val="005B125A"/>
    <w:rsid w:val="005B1302"/>
    <w:rsid w:val="005B1504"/>
    <w:rsid w:val="005B1514"/>
    <w:rsid w:val="005B1529"/>
    <w:rsid w:val="005B1545"/>
    <w:rsid w:val="005B15C9"/>
    <w:rsid w:val="005B16AC"/>
    <w:rsid w:val="005B1737"/>
    <w:rsid w:val="005B18FC"/>
    <w:rsid w:val="005B1945"/>
    <w:rsid w:val="005B1A6B"/>
    <w:rsid w:val="005B1A8D"/>
    <w:rsid w:val="005B1BAF"/>
    <w:rsid w:val="005B1BED"/>
    <w:rsid w:val="005B1C68"/>
    <w:rsid w:val="005B1C92"/>
    <w:rsid w:val="005B1C97"/>
    <w:rsid w:val="005B1DAA"/>
    <w:rsid w:val="005B1E6A"/>
    <w:rsid w:val="005B1E98"/>
    <w:rsid w:val="005B1F69"/>
    <w:rsid w:val="005B1FE8"/>
    <w:rsid w:val="005B2056"/>
    <w:rsid w:val="005B212E"/>
    <w:rsid w:val="005B21E8"/>
    <w:rsid w:val="005B221C"/>
    <w:rsid w:val="005B224F"/>
    <w:rsid w:val="005B225B"/>
    <w:rsid w:val="005B22CC"/>
    <w:rsid w:val="005B22F4"/>
    <w:rsid w:val="005B2419"/>
    <w:rsid w:val="005B2474"/>
    <w:rsid w:val="005B25F4"/>
    <w:rsid w:val="005B2835"/>
    <w:rsid w:val="005B2856"/>
    <w:rsid w:val="005B2901"/>
    <w:rsid w:val="005B2993"/>
    <w:rsid w:val="005B2A7A"/>
    <w:rsid w:val="005B2A92"/>
    <w:rsid w:val="005B2B64"/>
    <w:rsid w:val="005B2BB8"/>
    <w:rsid w:val="005B2C88"/>
    <w:rsid w:val="005B2CC8"/>
    <w:rsid w:val="005B2F7E"/>
    <w:rsid w:val="005B2FC7"/>
    <w:rsid w:val="005B301F"/>
    <w:rsid w:val="005B3239"/>
    <w:rsid w:val="005B339A"/>
    <w:rsid w:val="005B33BF"/>
    <w:rsid w:val="005B3450"/>
    <w:rsid w:val="005B34BD"/>
    <w:rsid w:val="005B351B"/>
    <w:rsid w:val="005B35B8"/>
    <w:rsid w:val="005B364A"/>
    <w:rsid w:val="005B37CE"/>
    <w:rsid w:val="005B38C6"/>
    <w:rsid w:val="005B39CD"/>
    <w:rsid w:val="005B3A33"/>
    <w:rsid w:val="005B3A3D"/>
    <w:rsid w:val="005B3B47"/>
    <w:rsid w:val="005B3C6E"/>
    <w:rsid w:val="005B3C8B"/>
    <w:rsid w:val="005B3D6B"/>
    <w:rsid w:val="005B3E96"/>
    <w:rsid w:val="005B3E98"/>
    <w:rsid w:val="005B4044"/>
    <w:rsid w:val="005B4173"/>
    <w:rsid w:val="005B4236"/>
    <w:rsid w:val="005B42E9"/>
    <w:rsid w:val="005B438C"/>
    <w:rsid w:val="005B43B1"/>
    <w:rsid w:val="005B44C0"/>
    <w:rsid w:val="005B4532"/>
    <w:rsid w:val="005B457A"/>
    <w:rsid w:val="005B465F"/>
    <w:rsid w:val="005B4667"/>
    <w:rsid w:val="005B478F"/>
    <w:rsid w:val="005B4845"/>
    <w:rsid w:val="005B486F"/>
    <w:rsid w:val="005B4965"/>
    <w:rsid w:val="005B49C0"/>
    <w:rsid w:val="005B4A51"/>
    <w:rsid w:val="005B4A90"/>
    <w:rsid w:val="005B4AE6"/>
    <w:rsid w:val="005B4AF4"/>
    <w:rsid w:val="005B4D38"/>
    <w:rsid w:val="005B4D44"/>
    <w:rsid w:val="005B4ED4"/>
    <w:rsid w:val="005B4F07"/>
    <w:rsid w:val="005B4F12"/>
    <w:rsid w:val="005B4FCE"/>
    <w:rsid w:val="005B508B"/>
    <w:rsid w:val="005B50C8"/>
    <w:rsid w:val="005B50FD"/>
    <w:rsid w:val="005B51F3"/>
    <w:rsid w:val="005B520E"/>
    <w:rsid w:val="005B5221"/>
    <w:rsid w:val="005B5266"/>
    <w:rsid w:val="005B5382"/>
    <w:rsid w:val="005B5481"/>
    <w:rsid w:val="005B54D6"/>
    <w:rsid w:val="005B559D"/>
    <w:rsid w:val="005B559F"/>
    <w:rsid w:val="005B5611"/>
    <w:rsid w:val="005B568F"/>
    <w:rsid w:val="005B56C1"/>
    <w:rsid w:val="005B5787"/>
    <w:rsid w:val="005B57DD"/>
    <w:rsid w:val="005B57EA"/>
    <w:rsid w:val="005B5895"/>
    <w:rsid w:val="005B5924"/>
    <w:rsid w:val="005B5951"/>
    <w:rsid w:val="005B5A2D"/>
    <w:rsid w:val="005B5AD4"/>
    <w:rsid w:val="005B5BB6"/>
    <w:rsid w:val="005B5BD6"/>
    <w:rsid w:val="005B5CB4"/>
    <w:rsid w:val="005B5CFC"/>
    <w:rsid w:val="005B5D3B"/>
    <w:rsid w:val="005B5DCA"/>
    <w:rsid w:val="005B5DEE"/>
    <w:rsid w:val="005B5E02"/>
    <w:rsid w:val="005B6069"/>
    <w:rsid w:val="005B60C1"/>
    <w:rsid w:val="005B6292"/>
    <w:rsid w:val="005B6376"/>
    <w:rsid w:val="005B63B8"/>
    <w:rsid w:val="005B63EA"/>
    <w:rsid w:val="005B6449"/>
    <w:rsid w:val="005B645A"/>
    <w:rsid w:val="005B6617"/>
    <w:rsid w:val="005B66B9"/>
    <w:rsid w:val="005B66C2"/>
    <w:rsid w:val="005B674E"/>
    <w:rsid w:val="005B6788"/>
    <w:rsid w:val="005B68D1"/>
    <w:rsid w:val="005B6A6B"/>
    <w:rsid w:val="005B6BAF"/>
    <w:rsid w:val="005B6BBE"/>
    <w:rsid w:val="005B6C12"/>
    <w:rsid w:val="005B6C42"/>
    <w:rsid w:val="005B6C9F"/>
    <w:rsid w:val="005B6DD6"/>
    <w:rsid w:val="005B6ED2"/>
    <w:rsid w:val="005B6EFC"/>
    <w:rsid w:val="005B6F2F"/>
    <w:rsid w:val="005B6FDD"/>
    <w:rsid w:val="005B7082"/>
    <w:rsid w:val="005B708E"/>
    <w:rsid w:val="005B7193"/>
    <w:rsid w:val="005B7200"/>
    <w:rsid w:val="005B722C"/>
    <w:rsid w:val="005B7430"/>
    <w:rsid w:val="005B743D"/>
    <w:rsid w:val="005B7443"/>
    <w:rsid w:val="005B74E5"/>
    <w:rsid w:val="005B75CD"/>
    <w:rsid w:val="005B75F8"/>
    <w:rsid w:val="005B7A0D"/>
    <w:rsid w:val="005B7A53"/>
    <w:rsid w:val="005B7B29"/>
    <w:rsid w:val="005B7CB0"/>
    <w:rsid w:val="005B7CF6"/>
    <w:rsid w:val="005B7CFC"/>
    <w:rsid w:val="005B7D87"/>
    <w:rsid w:val="005B7DFC"/>
    <w:rsid w:val="005B7E3B"/>
    <w:rsid w:val="005B7E78"/>
    <w:rsid w:val="005B7EBB"/>
    <w:rsid w:val="005B7EFB"/>
    <w:rsid w:val="005C004A"/>
    <w:rsid w:val="005C005E"/>
    <w:rsid w:val="005C0088"/>
    <w:rsid w:val="005C019D"/>
    <w:rsid w:val="005C01DA"/>
    <w:rsid w:val="005C047D"/>
    <w:rsid w:val="005C0584"/>
    <w:rsid w:val="005C06AB"/>
    <w:rsid w:val="005C073A"/>
    <w:rsid w:val="005C07AE"/>
    <w:rsid w:val="005C0952"/>
    <w:rsid w:val="005C0958"/>
    <w:rsid w:val="005C098C"/>
    <w:rsid w:val="005C09CA"/>
    <w:rsid w:val="005C09D2"/>
    <w:rsid w:val="005C0A38"/>
    <w:rsid w:val="005C0A3E"/>
    <w:rsid w:val="005C0AD8"/>
    <w:rsid w:val="005C0BE7"/>
    <w:rsid w:val="005C0CCE"/>
    <w:rsid w:val="005C0D72"/>
    <w:rsid w:val="005C0D81"/>
    <w:rsid w:val="005C0D84"/>
    <w:rsid w:val="005C0E6E"/>
    <w:rsid w:val="005C107E"/>
    <w:rsid w:val="005C10AC"/>
    <w:rsid w:val="005C114B"/>
    <w:rsid w:val="005C11E7"/>
    <w:rsid w:val="005C1200"/>
    <w:rsid w:val="005C12EC"/>
    <w:rsid w:val="005C138C"/>
    <w:rsid w:val="005C15B7"/>
    <w:rsid w:val="005C16A8"/>
    <w:rsid w:val="005C1800"/>
    <w:rsid w:val="005C1970"/>
    <w:rsid w:val="005C19C2"/>
    <w:rsid w:val="005C1A41"/>
    <w:rsid w:val="005C1C10"/>
    <w:rsid w:val="005C1C13"/>
    <w:rsid w:val="005C1CC2"/>
    <w:rsid w:val="005C1D04"/>
    <w:rsid w:val="005C1D61"/>
    <w:rsid w:val="005C1D63"/>
    <w:rsid w:val="005C1DBF"/>
    <w:rsid w:val="005C1EB8"/>
    <w:rsid w:val="005C1EC7"/>
    <w:rsid w:val="005C1EF7"/>
    <w:rsid w:val="005C1F22"/>
    <w:rsid w:val="005C1FD9"/>
    <w:rsid w:val="005C20D5"/>
    <w:rsid w:val="005C218A"/>
    <w:rsid w:val="005C22B2"/>
    <w:rsid w:val="005C2514"/>
    <w:rsid w:val="005C2675"/>
    <w:rsid w:val="005C26AB"/>
    <w:rsid w:val="005C26CE"/>
    <w:rsid w:val="005C26F0"/>
    <w:rsid w:val="005C26F4"/>
    <w:rsid w:val="005C2749"/>
    <w:rsid w:val="005C275F"/>
    <w:rsid w:val="005C279F"/>
    <w:rsid w:val="005C280A"/>
    <w:rsid w:val="005C2810"/>
    <w:rsid w:val="005C2B94"/>
    <w:rsid w:val="005C2C8D"/>
    <w:rsid w:val="005C2D0D"/>
    <w:rsid w:val="005C2D2B"/>
    <w:rsid w:val="005C2DF9"/>
    <w:rsid w:val="005C2E04"/>
    <w:rsid w:val="005C2FA7"/>
    <w:rsid w:val="005C3086"/>
    <w:rsid w:val="005C30EE"/>
    <w:rsid w:val="005C312F"/>
    <w:rsid w:val="005C3166"/>
    <w:rsid w:val="005C3184"/>
    <w:rsid w:val="005C318A"/>
    <w:rsid w:val="005C31DE"/>
    <w:rsid w:val="005C32E6"/>
    <w:rsid w:val="005C3385"/>
    <w:rsid w:val="005C33F4"/>
    <w:rsid w:val="005C3480"/>
    <w:rsid w:val="005C36C3"/>
    <w:rsid w:val="005C36CB"/>
    <w:rsid w:val="005C36D6"/>
    <w:rsid w:val="005C36DE"/>
    <w:rsid w:val="005C377E"/>
    <w:rsid w:val="005C37B2"/>
    <w:rsid w:val="005C37D9"/>
    <w:rsid w:val="005C38B1"/>
    <w:rsid w:val="005C39FD"/>
    <w:rsid w:val="005C3A7E"/>
    <w:rsid w:val="005C3B5B"/>
    <w:rsid w:val="005C3C6A"/>
    <w:rsid w:val="005C3C78"/>
    <w:rsid w:val="005C3D9F"/>
    <w:rsid w:val="005C3DDC"/>
    <w:rsid w:val="005C3E29"/>
    <w:rsid w:val="005C3F1E"/>
    <w:rsid w:val="005C4070"/>
    <w:rsid w:val="005C4094"/>
    <w:rsid w:val="005C4100"/>
    <w:rsid w:val="005C4249"/>
    <w:rsid w:val="005C42F3"/>
    <w:rsid w:val="005C434D"/>
    <w:rsid w:val="005C43A6"/>
    <w:rsid w:val="005C43DE"/>
    <w:rsid w:val="005C44A0"/>
    <w:rsid w:val="005C44DB"/>
    <w:rsid w:val="005C4621"/>
    <w:rsid w:val="005C463C"/>
    <w:rsid w:val="005C4688"/>
    <w:rsid w:val="005C4710"/>
    <w:rsid w:val="005C473C"/>
    <w:rsid w:val="005C47CA"/>
    <w:rsid w:val="005C4944"/>
    <w:rsid w:val="005C4A86"/>
    <w:rsid w:val="005C4B0C"/>
    <w:rsid w:val="005C4C25"/>
    <w:rsid w:val="005C4C64"/>
    <w:rsid w:val="005C4C8D"/>
    <w:rsid w:val="005C4CBB"/>
    <w:rsid w:val="005C4CD0"/>
    <w:rsid w:val="005C4D40"/>
    <w:rsid w:val="005C4E9A"/>
    <w:rsid w:val="005C4F1F"/>
    <w:rsid w:val="005C5097"/>
    <w:rsid w:val="005C50C3"/>
    <w:rsid w:val="005C50EB"/>
    <w:rsid w:val="005C51B0"/>
    <w:rsid w:val="005C51CE"/>
    <w:rsid w:val="005C51E4"/>
    <w:rsid w:val="005C5274"/>
    <w:rsid w:val="005C52BE"/>
    <w:rsid w:val="005C52EF"/>
    <w:rsid w:val="005C52FA"/>
    <w:rsid w:val="005C538C"/>
    <w:rsid w:val="005C53CF"/>
    <w:rsid w:val="005C5417"/>
    <w:rsid w:val="005C5477"/>
    <w:rsid w:val="005C5507"/>
    <w:rsid w:val="005C5553"/>
    <w:rsid w:val="005C555D"/>
    <w:rsid w:val="005C55AD"/>
    <w:rsid w:val="005C56A4"/>
    <w:rsid w:val="005C580F"/>
    <w:rsid w:val="005C58AA"/>
    <w:rsid w:val="005C58CD"/>
    <w:rsid w:val="005C5978"/>
    <w:rsid w:val="005C59A9"/>
    <w:rsid w:val="005C59DD"/>
    <w:rsid w:val="005C59F0"/>
    <w:rsid w:val="005C59FD"/>
    <w:rsid w:val="005C5AB8"/>
    <w:rsid w:val="005C5B43"/>
    <w:rsid w:val="005C5B57"/>
    <w:rsid w:val="005C5BF7"/>
    <w:rsid w:val="005C5C8F"/>
    <w:rsid w:val="005C5D0A"/>
    <w:rsid w:val="005C5E87"/>
    <w:rsid w:val="005C5F1A"/>
    <w:rsid w:val="005C610D"/>
    <w:rsid w:val="005C6177"/>
    <w:rsid w:val="005C6202"/>
    <w:rsid w:val="005C6225"/>
    <w:rsid w:val="005C6283"/>
    <w:rsid w:val="005C63AF"/>
    <w:rsid w:val="005C63B6"/>
    <w:rsid w:val="005C63EB"/>
    <w:rsid w:val="005C6431"/>
    <w:rsid w:val="005C6678"/>
    <w:rsid w:val="005C66C8"/>
    <w:rsid w:val="005C6916"/>
    <w:rsid w:val="005C6ABC"/>
    <w:rsid w:val="005C6CDA"/>
    <w:rsid w:val="005C6D7D"/>
    <w:rsid w:val="005C6E73"/>
    <w:rsid w:val="005C6F2F"/>
    <w:rsid w:val="005C6F85"/>
    <w:rsid w:val="005C702A"/>
    <w:rsid w:val="005C709D"/>
    <w:rsid w:val="005C714C"/>
    <w:rsid w:val="005C743F"/>
    <w:rsid w:val="005C7462"/>
    <w:rsid w:val="005C75C8"/>
    <w:rsid w:val="005C7653"/>
    <w:rsid w:val="005C7681"/>
    <w:rsid w:val="005C7760"/>
    <w:rsid w:val="005C7858"/>
    <w:rsid w:val="005C796E"/>
    <w:rsid w:val="005C7A78"/>
    <w:rsid w:val="005C7A7F"/>
    <w:rsid w:val="005C7AA9"/>
    <w:rsid w:val="005C7B5D"/>
    <w:rsid w:val="005C7BB8"/>
    <w:rsid w:val="005C7BDD"/>
    <w:rsid w:val="005C7DB5"/>
    <w:rsid w:val="005C7E13"/>
    <w:rsid w:val="005C7E8A"/>
    <w:rsid w:val="005C7EEE"/>
    <w:rsid w:val="005C7FCA"/>
    <w:rsid w:val="005D000A"/>
    <w:rsid w:val="005D009C"/>
    <w:rsid w:val="005D0131"/>
    <w:rsid w:val="005D01FD"/>
    <w:rsid w:val="005D0345"/>
    <w:rsid w:val="005D0347"/>
    <w:rsid w:val="005D0353"/>
    <w:rsid w:val="005D03B9"/>
    <w:rsid w:val="005D0554"/>
    <w:rsid w:val="005D06C1"/>
    <w:rsid w:val="005D0755"/>
    <w:rsid w:val="005D075D"/>
    <w:rsid w:val="005D0887"/>
    <w:rsid w:val="005D08BE"/>
    <w:rsid w:val="005D09EF"/>
    <w:rsid w:val="005D0BC2"/>
    <w:rsid w:val="005D0C72"/>
    <w:rsid w:val="005D0D7C"/>
    <w:rsid w:val="005D0E62"/>
    <w:rsid w:val="005D0F21"/>
    <w:rsid w:val="005D0F84"/>
    <w:rsid w:val="005D105E"/>
    <w:rsid w:val="005D109D"/>
    <w:rsid w:val="005D1205"/>
    <w:rsid w:val="005D1224"/>
    <w:rsid w:val="005D125A"/>
    <w:rsid w:val="005D1272"/>
    <w:rsid w:val="005D130A"/>
    <w:rsid w:val="005D133B"/>
    <w:rsid w:val="005D1411"/>
    <w:rsid w:val="005D144C"/>
    <w:rsid w:val="005D147F"/>
    <w:rsid w:val="005D1546"/>
    <w:rsid w:val="005D154B"/>
    <w:rsid w:val="005D1760"/>
    <w:rsid w:val="005D1891"/>
    <w:rsid w:val="005D1985"/>
    <w:rsid w:val="005D1AC6"/>
    <w:rsid w:val="005D1C11"/>
    <w:rsid w:val="005D1CFF"/>
    <w:rsid w:val="005D1D2F"/>
    <w:rsid w:val="005D1D37"/>
    <w:rsid w:val="005D1DFD"/>
    <w:rsid w:val="005D1E2F"/>
    <w:rsid w:val="005D1EA3"/>
    <w:rsid w:val="005D1F9E"/>
    <w:rsid w:val="005D2014"/>
    <w:rsid w:val="005D20D3"/>
    <w:rsid w:val="005D22A6"/>
    <w:rsid w:val="005D22E9"/>
    <w:rsid w:val="005D23D0"/>
    <w:rsid w:val="005D2405"/>
    <w:rsid w:val="005D251A"/>
    <w:rsid w:val="005D2610"/>
    <w:rsid w:val="005D2611"/>
    <w:rsid w:val="005D28F1"/>
    <w:rsid w:val="005D2941"/>
    <w:rsid w:val="005D2A11"/>
    <w:rsid w:val="005D2A87"/>
    <w:rsid w:val="005D2B9A"/>
    <w:rsid w:val="005D2C0C"/>
    <w:rsid w:val="005D2C98"/>
    <w:rsid w:val="005D2CCB"/>
    <w:rsid w:val="005D2D20"/>
    <w:rsid w:val="005D2E73"/>
    <w:rsid w:val="005D2EBC"/>
    <w:rsid w:val="005D2F86"/>
    <w:rsid w:val="005D2F9A"/>
    <w:rsid w:val="005D2FC3"/>
    <w:rsid w:val="005D3049"/>
    <w:rsid w:val="005D30EA"/>
    <w:rsid w:val="005D3131"/>
    <w:rsid w:val="005D319D"/>
    <w:rsid w:val="005D31E3"/>
    <w:rsid w:val="005D33BD"/>
    <w:rsid w:val="005D344E"/>
    <w:rsid w:val="005D34A0"/>
    <w:rsid w:val="005D350E"/>
    <w:rsid w:val="005D3563"/>
    <w:rsid w:val="005D36F1"/>
    <w:rsid w:val="005D37B9"/>
    <w:rsid w:val="005D37CA"/>
    <w:rsid w:val="005D386C"/>
    <w:rsid w:val="005D38E1"/>
    <w:rsid w:val="005D38F2"/>
    <w:rsid w:val="005D395B"/>
    <w:rsid w:val="005D3A28"/>
    <w:rsid w:val="005D3A77"/>
    <w:rsid w:val="005D3A88"/>
    <w:rsid w:val="005D3A9C"/>
    <w:rsid w:val="005D3B48"/>
    <w:rsid w:val="005D3C5A"/>
    <w:rsid w:val="005D3CD7"/>
    <w:rsid w:val="005D3CE3"/>
    <w:rsid w:val="005D3D01"/>
    <w:rsid w:val="005D3D29"/>
    <w:rsid w:val="005D3D72"/>
    <w:rsid w:val="005D3DE8"/>
    <w:rsid w:val="005D3E52"/>
    <w:rsid w:val="005D3E6E"/>
    <w:rsid w:val="005D3F5F"/>
    <w:rsid w:val="005D3F60"/>
    <w:rsid w:val="005D3FAC"/>
    <w:rsid w:val="005D3FF3"/>
    <w:rsid w:val="005D4034"/>
    <w:rsid w:val="005D4069"/>
    <w:rsid w:val="005D40D5"/>
    <w:rsid w:val="005D413E"/>
    <w:rsid w:val="005D4146"/>
    <w:rsid w:val="005D41E8"/>
    <w:rsid w:val="005D4369"/>
    <w:rsid w:val="005D438F"/>
    <w:rsid w:val="005D4426"/>
    <w:rsid w:val="005D447E"/>
    <w:rsid w:val="005D4575"/>
    <w:rsid w:val="005D45BE"/>
    <w:rsid w:val="005D45ED"/>
    <w:rsid w:val="005D468A"/>
    <w:rsid w:val="005D4799"/>
    <w:rsid w:val="005D47F1"/>
    <w:rsid w:val="005D487E"/>
    <w:rsid w:val="005D48FA"/>
    <w:rsid w:val="005D49C0"/>
    <w:rsid w:val="005D4AC7"/>
    <w:rsid w:val="005D4C2B"/>
    <w:rsid w:val="005D4CFB"/>
    <w:rsid w:val="005D4E10"/>
    <w:rsid w:val="005D4E74"/>
    <w:rsid w:val="005D4FC4"/>
    <w:rsid w:val="005D501B"/>
    <w:rsid w:val="005D5026"/>
    <w:rsid w:val="005D509A"/>
    <w:rsid w:val="005D516C"/>
    <w:rsid w:val="005D524D"/>
    <w:rsid w:val="005D54AB"/>
    <w:rsid w:val="005D54B7"/>
    <w:rsid w:val="005D551A"/>
    <w:rsid w:val="005D55EC"/>
    <w:rsid w:val="005D5610"/>
    <w:rsid w:val="005D5653"/>
    <w:rsid w:val="005D56F6"/>
    <w:rsid w:val="005D570B"/>
    <w:rsid w:val="005D574B"/>
    <w:rsid w:val="005D57AE"/>
    <w:rsid w:val="005D57D2"/>
    <w:rsid w:val="005D5842"/>
    <w:rsid w:val="005D5904"/>
    <w:rsid w:val="005D5A66"/>
    <w:rsid w:val="005D5A76"/>
    <w:rsid w:val="005D5B20"/>
    <w:rsid w:val="005D5B45"/>
    <w:rsid w:val="005D5C39"/>
    <w:rsid w:val="005D5C96"/>
    <w:rsid w:val="005D5CA2"/>
    <w:rsid w:val="005D5CFB"/>
    <w:rsid w:val="005D5DD8"/>
    <w:rsid w:val="005D5F8C"/>
    <w:rsid w:val="005D6036"/>
    <w:rsid w:val="005D6157"/>
    <w:rsid w:val="005D62EC"/>
    <w:rsid w:val="005D63F5"/>
    <w:rsid w:val="005D64A1"/>
    <w:rsid w:val="005D650B"/>
    <w:rsid w:val="005D6682"/>
    <w:rsid w:val="005D6711"/>
    <w:rsid w:val="005D6770"/>
    <w:rsid w:val="005D6796"/>
    <w:rsid w:val="005D693E"/>
    <w:rsid w:val="005D696C"/>
    <w:rsid w:val="005D6995"/>
    <w:rsid w:val="005D6A35"/>
    <w:rsid w:val="005D6A3B"/>
    <w:rsid w:val="005D6A56"/>
    <w:rsid w:val="005D6A63"/>
    <w:rsid w:val="005D6B55"/>
    <w:rsid w:val="005D6BA6"/>
    <w:rsid w:val="005D6C1A"/>
    <w:rsid w:val="005D6D1C"/>
    <w:rsid w:val="005D6DC5"/>
    <w:rsid w:val="005D6E0F"/>
    <w:rsid w:val="005D6E2C"/>
    <w:rsid w:val="005D6EE8"/>
    <w:rsid w:val="005D6F72"/>
    <w:rsid w:val="005D6FD0"/>
    <w:rsid w:val="005D706A"/>
    <w:rsid w:val="005D713E"/>
    <w:rsid w:val="005D7140"/>
    <w:rsid w:val="005D7317"/>
    <w:rsid w:val="005D7384"/>
    <w:rsid w:val="005D73B3"/>
    <w:rsid w:val="005D7421"/>
    <w:rsid w:val="005D75AF"/>
    <w:rsid w:val="005D75E6"/>
    <w:rsid w:val="005D774F"/>
    <w:rsid w:val="005D7986"/>
    <w:rsid w:val="005D7AC4"/>
    <w:rsid w:val="005D7AEB"/>
    <w:rsid w:val="005D7D8A"/>
    <w:rsid w:val="005D7E76"/>
    <w:rsid w:val="005D7EE8"/>
    <w:rsid w:val="005D7F01"/>
    <w:rsid w:val="005D7F2E"/>
    <w:rsid w:val="005D7F8A"/>
    <w:rsid w:val="005E00C7"/>
    <w:rsid w:val="005E010B"/>
    <w:rsid w:val="005E0212"/>
    <w:rsid w:val="005E0262"/>
    <w:rsid w:val="005E0298"/>
    <w:rsid w:val="005E036C"/>
    <w:rsid w:val="005E039E"/>
    <w:rsid w:val="005E045C"/>
    <w:rsid w:val="005E0460"/>
    <w:rsid w:val="005E0470"/>
    <w:rsid w:val="005E04D8"/>
    <w:rsid w:val="005E04FD"/>
    <w:rsid w:val="005E0536"/>
    <w:rsid w:val="005E0540"/>
    <w:rsid w:val="005E05C8"/>
    <w:rsid w:val="005E0656"/>
    <w:rsid w:val="005E06FF"/>
    <w:rsid w:val="005E0763"/>
    <w:rsid w:val="005E076E"/>
    <w:rsid w:val="005E07A9"/>
    <w:rsid w:val="005E08FD"/>
    <w:rsid w:val="005E0994"/>
    <w:rsid w:val="005E0A22"/>
    <w:rsid w:val="005E0A67"/>
    <w:rsid w:val="005E0A84"/>
    <w:rsid w:val="005E0ADA"/>
    <w:rsid w:val="005E0BB2"/>
    <w:rsid w:val="005E0C4D"/>
    <w:rsid w:val="005E0C6C"/>
    <w:rsid w:val="005E0D8A"/>
    <w:rsid w:val="005E1034"/>
    <w:rsid w:val="005E103D"/>
    <w:rsid w:val="005E1060"/>
    <w:rsid w:val="005E1061"/>
    <w:rsid w:val="005E108C"/>
    <w:rsid w:val="005E117D"/>
    <w:rsid w:val="005E123F"/>
    <w:rsid w:val="005E125F"/>
    <w:rsid w:val="005E1263"/>
    <w:rsid w:val="005E12A2"/>
    <w:rsid w:val="005E1468"/>
    <w:rsid w:val="005E14A8"/>
    <w:rsid w:val="005E14CC"/>
    <w:rsid w:val="005E15F1"/>
    <w:rsid w:val="005E1601"/>
    <w:rsid w:val="005E164D"/>
    <w:rsid w:val="005E1707"/>
    <w:rsid w:val="005E1823"/>
    <w:rsid w:val="005E18B1"/>
    <w:rsid w:val="005E19AD"/>
    <w:rsid w:val="005E1A13"/>
    <w:rsid w:val="005E1A25"/>
    <w:rsid w:val="005E1AE3"/>
    <w:rsid w:val="005E1AF9"/>
    <w:rsid w:val="005E1C1F"/>
    <w:rsid w:val="005E1C20"/>
    <w:rsid w:val="005E1C2A"/>
    <w:rsid w:val="005E1C40"/>
    <w:rsid w:val="005E1C83"/>
    <w:rsid w:val="005E1D0D"/>
    <w:rsid w:val="005E1D6E"/>
    <w:rsid w:val="005E1DE6"/>
    <w:rsid w:val="005E1ECC"/>
    <w:rsid w:val="005E1FFA"/>
    <w:rsid w:val="005E2012"/>
    <w:rsid w:val="005E2020"/>
    <w:rsid w:val="005E20B4"/>
    <w:rsid w:val="005E21EB"/>
    <w:rsid w:val="005E223F"/>
    <w:rsid w:val="005E2327"/>
    <w:rsid w:val="005E2354"/>
    <w:rsid w:val="005E2366"/>
    <w:rsid w:val="005E237C"/>
    <w:rsid w:val="005E247F"/>
    <w:rsid w:val="005E24B0"/>
    <w:rsid w:val="005E24B5"/>
    <w:rsid w:val="005E25D0"/>
    <w:rsid w:val="005E2703"/>
    <w:rsid w:val="005E282B"/>
    <w:rsid w:val="005E2927"/>
    <w:rsid w:val="005E29A5"/>
    <w:rsid w:val="005E2A3B"/>
    <w:rsid w:val="005E2AFE"/>
    <w:rsid w:val="005E2B63"/>
    <w:rsid w:val="005E2C79"/>
    <w:rsid w:val="005E2D3A"/>
    <w:rsid w:val="005E2D5D"/>
    <w:rsid w:val="005E2D7F"/>
    <w:rsid w:val="005E2DD1"/>
    <w:rsid w:val="005E2DEA"/>
    <w:rsid w:val="005E2E03"/>
    <w:rsid w:val="005E2E75"/>
    <w:rsid w:val="005E2F37"/>
    <w:rsid w:val="005E3018"/>
    <w:rsid w:val="005E319C"/>
    <w:rsid w:val="005E31CD"/>
    <w:rsid w:val="005E3358"/>
    <w:rsid w:val="005E34CF"/>
    <w:rsid w:val="005E34D9"/>
    <w:rsid w:val="005E3503"/>
    <w:rsid w:val="005E35C3"/>
    <w:rsid w:val="005E3666"/>
    <w:rsid w:val="005E3757"/>
    <w:rsid w:val="005E38C5"/>
    <w:rsid w:val="005E3986"/>
    <w:rsid w:val="005E3A4A"/>
    <w:rsid w:val="005E3AA4"/>
    <w:rsid w:val="005E3B6A"/>
    <w:rsid w:val="005E3D74"/>
    <w:rsid w:val="005E3DB2"/>
    <w:rsid w:val="005E3DBF"/>
    <w:rsid w:val="005E3EA9"/>
    <w:rsid w:val="005E4020"/>
    <w:rsid w:val="005E4035"/>
    <w:rsid w:val="005E40C5"/>
    <w:rsid w:val="005E412D"/>
    <w:rsid w:val="005E4214"/>
    <w:rsid w:val="005E4265"/>
    <w:rsid w:val="005E427E"/>
    <w:rsid w:val="005E42E9"/>
    <w:rsid w:val="005E43A1"/>
    <w:rsid w:val="005E43F5"/>
    <w:rsid w:val="005E445C"/>
    <w:rsid w:val="005E44F5"/>
    <w:rsid w:val="005E450C"/>
    <w:rsid w:val="005E4560"/>
    <w:rsid w:val="005E4643"/>
    <w:rsid w:val="005E482B"/>
    <w:rsid w:val="005E487B"/>
    <w:rsid w:val="005E487E"/>
    <w:rsid w:val="005E49B8"/>
    <w:rsid w:val="005E4A12"/>
    <w:rsid w:val="005E4B64"/>
    <w:rsid w:val="005E4C96"/>
    <w:rsid w:val="005E4D2E"/>
    <w:rsid w:val="005E4DBC"/>
    <w:rsid w:val="005E4DCD"/>
    <w:rsid w:val="005E4E7E"/>
    <w:rsid w:val="005E4EF0"/>
    <w:rsid w:val="005E4F2E"/>
    <w:rsid w:val="005E4FA7"/>
    <w:rsid w:val="005E5067"/>
    <w:rsid w:val="005E50A1"/>
    <w:rsid w:val="005E50F4"/>
    <w:rsid w:val="005E5144"/>
    <w:rsid w:val="005E51AD"/>
    <w:rsid w:val="005E5250"/>
    <w:rsid w:val="005E52B0"/>
    <w:rsid w:val="005E5341"/>
    <w:rsid w:val="005E548F"/>
    <w:rsid w:val="005E554B"/>
    <w:rsid w:val="005E55A5"/>
    <w:rsid w:val="005E560D"/>
    <w:rsid w:val="005E5657"/>
    <w:rsid w:val="005E5742"/>
    <w:rsid w:val="005E58D7"/>
    <w:rsid w:val="005E5957"/>
    <w:rsid w:val="005E596A"/>
    <w:rsid w:val="005E5A19"/>
    <w:rsid w:val="005E5B8C"/>
    <w:rsid w:val="005E5C4B"/>
    <w:rsid w:val="005E5CBA"/>
    <w:rsid w:val="005E5CF8"/>
    <w:rsid w:val="005E5DB8"/>
    <w:rsid w:val="005E5E5F"/>
    <w:rsid w:val="005E5EE7"/>
    <w:rsid w:val="005E5F2F"/>
    <w:rsid w:val="005E5FF5"/>
    <w:rsid w:val="005E6035"/>
    <w:rsid w:val="005E60CF"/>
    <w:rsid w:val="005E6129"/>
    <w:rsid w:val="005E6256"/>
    <w:rsid w:val="005E6313"/>
    <w:rsid w:val="005E6318"/>
    <w:rsid w:val="005E6393"/>
    <w:rsid w:val="005E64D2"/>
    <w:rsid w:val="005E6595"/>
    <w:rsid w:val="005E66B0"/>
    <w:rsid w:val="005E68B2"/>
    <w:rsid w:val="005E6A29"/>
    <w:rsid w:val="005E6AE9"/>
    <w:rsid w:val="005E6B04"/>
    <w:rsid w:val="005E6BC9"/>
    <w:rsid w:val="005E6C03"/>
    <w:rsid w:val="005E6CD9"/>
    <w:rsid w:val="005E6D08"/>
    <w:rsid w:val="005E6D51"/>
    <w:rsid w:val="005E6D99"/>
    <w:rsid w:val="005E6EA8"/>
    <w:rsid w:val="005E6F35"/>
    <w:rsid w:val="005E702C"/>
    <w:rsid w:val="005E714E"/>
    <w:rsid w:val="005E7150"/>
    <w:rsid w:val="005E715C"/>
    <w:rsid w:val="005E7161"/>
    <w:rsid w:val="005E7311"/>
    <w:rsid w:val="005E73EC"/>
    <w:rsid w:val="005E7409"/>
    <w:rsid w:val="005E7501"/>
    <w:rsid w:val="005E755C"/>
    <w:rsid w:val="005E77A8"/>
    <w:rsid w:val="005E78B9"/>
    <w:rsid w:val="005E7910"/>
    <w:rsid w:val="005E792B"/>
    <w:rsid w:val="005E79B0"/>
    <w:rsid w:val="005E7A27"/>
    <w:rsid w:val="005E7ADC"/>
    <w:rsid w:val="005E7B6D"/>
    <w:rsid w:val="005E7B79"/>
    <w:rsid w:val="005E7BD0"/>
    <w:rsid w:val="005E7BE4"/>
    <w:rsid w:val="005E7C47"/>
    <w:rsid w:val="005E7C7F"/>
    <w:rsid w:val="005E7CD2"/>
    <w:rsid w:val="005E7D46"/>
    <w:rsid w:val="005E7D97"/>
    <w:rsid w:val="005E7DE6"/>
    <w:rsid w:val="005E7E9B"/>
    <w:rsid w:val="005E7F7D"/>
    <w:rsid w:val="005F0213"/>
    <w:rsid w:val="005F04F2"/>
    <w:rsid w:val="005F0600"/>
    <w:rsid w:val="005F0794"/>
    <w:rsid w:val="005F07B1"/>
    <w:rsid w:val="005F07C6"/>
    <w:rsid w:val="005F07CB"/>
    <w:rsid w:val="005F0861"/>
    <w:rsid w:val="005F089B"/>
    <w:rsid w:val="005F091B"/>
    <w:rsid w:val="005F0962"/>
    <w:rsid w:val="005F0981"/>
    <w:rsid w:val="005F09F4"/>
    <w:rsid w:val="005F0A78"/>
    <w:rsid w:val="005F0B0C"/>
    <w:rsid w:val="005F0B70"/>
    <w:rsid w:val="005F0BCB"/>
    <w:rsid w:val="005F0BE4"/>
    <w:rsid w:val="005F0C08"/>
    <w:rsid w:val="005F0CF5"/>
    <w:rsid w:val="005F0E7C"/>
    <w:rsid w:val="005F1017"/>
    <w:rsid w:val="005F10F3"/>
    <w:rsid w:val="005F1118"/>
    <w:rsid w:val="005F1327"/>
    <w:rsid w:val="005F13CE"/>
    <w:rsid w:val="005F1463"/>
    <w:rsid w:val="005F155A"/>
    <w:rsid w:val="005F17FB"/>
    <w:rsid w:val="005F18E6"/>
    <w:rsid w:val="005F1983"/>
    <w:rsid w:val="005F19C7"/>
    <w:rsid w:val="005F1BC2"/>
    <w:rsid w:val="005F1D63"/>
    <w:rsid w:val="005F1DE7"/>
    <w:rsid w:val="005F1E16"/>
    <w:rsid w:val="005F1E2C"/>
    <w:rsid w:val="005F1E94"/>
    <w:rsid w:val="005F1EC4"/>
    <w:rsid w:val="005F1EF2"/>
    <w:rsid w:val="005F203F"/>
    <w:rsid w:val="005F20BE"/>
    <w:rsid w:val="005F20F1"/>
    <w:rsid w:val="005F21EE"/>
    <w:rsid w:val="005F21F6"/>
    <w:rsid w:val="005F2245"/>
    <w:rsid w:val="005F227D"/>
    <w:rsid w:val="005F2311"/>
    <w:rsid w:val="005F2377"/>
    <w:rsid w:val="005F237D"/>
    <w:rsid w:val="005F2593"/>
    <w:rsid w:val="005F261D"/>
    <w:rsid w:val="005F2768"/>
    <w:rsid w:val="005F27F9"/>
    <w:rsid w:val="005F2875"/>
    <w:rsid w:val="005F28FF"/>
    <w:rsid w:val="005F29A4"/>
    <w:rsid w:val="005F29E5"/>
    <w:rsid w:val="005F2A56"/>
    <w:rsid w:val="005F2A68"/>
    <w:rsid w:val="005F2A9A"/>
    <w:rsid w:val="005F2A9D"/>
    <w:rsid w:val="005F2CBC"/>
    <w:rsid w:val="005F2CFD"/>
    <w:rsid w:val="005F2D0D"/>
    <w:rsid w:val="005F2D84"/>
    <w:rsid w:val="005F2E57"/>
    <w:rsid w:val="005F2ED4"/>
    <w:rsid w:val="005F2EF3"/>
    <w:rsid w:val="005F2F19"/>
    <w:rsid w:val="005F3031"/>
    <w:rsid w:val="005F3239"/>
    <w:rsid w:val="005F3246"/>
    <w:rsid w:val="005F3359"/>
    <w:rsid w:val="005F3414"/>
    <w:rsid w:val="005F344F"/>
    <w:rsid w:val="005F34EC"/>
    <w:rsid w:val="005F361E"/>
    <w:rsid w:val="005F37AC"/>
    <w:rsid w:val="005F37EC"/>
    <w:rsid w:val="005F3942"/>
    <w:rsid w:val="005F3B79"/>
    <w:rsid w:val="005F3C23"/>
    <w:rsid w:val="005F3D48"/>
    <w:rsid w:val="005F3E5C"/>
    <w:rsid w:val="005F3FA5"/>
    <w:rsid w:val="005F40CA"/>
    <w:rsid w:val="005F40F7"/>
    <w:rsid w:val="005F4151"/>
    <w:rsid w:val="005F41B8"/>
    <w:rsid w:val="005F4285"/>
    <w:rsid w:val="005F42D7"/>
    <w:rsid w:val="005F4356"/>
    <w:rsid w:val="005F4373"/>
    <w:rsid w:val="005F4488"/>
    <w:rsid w:val="005F45B0"/>
    <w:rsid w:val="005F48BD"/>
    <w:rsid w:val="005F4945"/>
    <w:rsid w:val="005F494C"/>
    <w:rsid w:val="005F4978"/>
    <w:rsid w:val="005F49EC"/>
    <w:rsid w:val="005F4A49"/>
    <w:rsid w:val="005F4BCD"/>
    <w:rsid w:val="005F4CF2"/>
    <w:rsid w:val="005F4D84"/>
    <w:rsid w:val="005F4DD3"/>
    <w:rsid w:val="005F4E6C"/>
    <w:rsid w:val="005F4E84"/>
    <w:rsid w:val="005F4EAF"/>
    <w:rsid w:val="005F4F6A"/>
    <w:rsid w:val="005F4FBE"/>
    <w:rsid w:val="005F4FEA"/>
    <w:rsid w:val="005F504E"/>
    <w:rsid w:val="005F5063"/>
    <w:rsid w:val="005F50C5"/>
    <w:rsid w:val="005F50F2"/>
    <w:rsid w:val="005F51E6"/>
    <w:rsid w:val="005F53D7"/>
    <w:rsid w:val="005F5549"/>
    <w:rsid w:val="005F5611"/>
    <w:rsid w:val="005F56B8"/>
    <w:rsid w:val="005F56EC"/>
    <w:rsid w:val="005F5754"/>
    <w:rsid w:val="005F57F9"/>
    <w:rsid w:val="005F5951"/>
    <w:rsid w:val="005F59B6"/>
    <w:rsid w:val="005F59E1"/>
    <w:rsid w:val="005F5A31"/>
    <w:rsid w:val="005F5B16"/>
    <w:rsid w:val="005F5B3E"/>
    <w:rsid w:val="005F5C67"/>
    <w:rsid w:val="005F5C8B"/>
    <w:rsid w:val="005F5CA8"/>
    <w:rsid w:val="005F5CED"/>
    <w:rsid w:val="005F5E49"/>
    <w:rsid w:val="005F5F94"/>
    <w:rsid w:val="005F6125"/>
    <w:rsid w:val="005F6147"/>
    <w:rsid w:val="005F614F"/>
    <w:rsid w:val="005F6186"/>
    <w:rsid w:val="005F620F"/>
    <w:rsid w:val="005F62D7"/>
    <w:rsid w:val="005F6371"/>
    <w:rsid w:val="005F64D1"/>
    <w:rsid w:val="005F6508"/>
    <w:rsid w:val="005F6693"/>
    <w:rsid w:val="005F66CB"/>
    <w:rsid w:val="005F679B"/>
    <w:rsid w:val="005F6832"/>
    <w:rsid w:val="005F6857"/>
    <w:rsid w:val="005F6B77"/>
    <w:rsid w:val="005F6BC2"/>
    <w:rsid w:val="005F6BD4"/>
    <w:rsid w:val="005F6CE1"/>
    <w:rsid w:val="005F6D06"/>
    <w:rsid w:val="005F6D15"/>
    <w:rsid w:val="005F6D89"/>
    <w:rsid w:val="005F6DAD"/>
    <w:rsid w:val="005F6E58"/>
    <w:rsid w:val="005F6ED6"/>
    <w:rsid w:val="005F6F11"/>
    <w:rsid w:val="005F6F56"/>
    <w:rsid w:val="005F6F7C"/>
    <w:rsid w:val="005F6FA4"/>
    <w:rsid w:val="005F703E"/>
    <w:rsid w:val="005F72C2"/>
    <w:rsid w:val="005F72C8"/>
    <w:rsid w:val="005F7325"/>
    <w:rsid w:val="005F7326"/>
    <w:rsid w:val="005F73D1"/>
    <w:rsid w:val="005F75C7"/>
    <w:rsid w:val="005F76BA"/>
    <w:rsid w:val="005F773E"/>
    <w:rsid w:val="005F77E2"/>
    <w:rsid w:val="005F7A3D"/>
    <w:rsid w:val="005F7C24"/>
    <w:rsid w:val="005F7D47"/>
    <w:rsid w:val="005F7E0D"/>
    <w:rsid w:val="005F7F42"/>
    <w:rsid w:val="005F7F8B"/>
    <w:rsid w:val="00600019"/>
    <w:rsid w:val="0060005C"/>
    <w:rsid w:val="00600084"/>
    <w:rsid w:val="00600139"/>
    <w:rsid w:val="0060022D"/>
    <w:rsid w:val="006002E1"/>
    <w:rsid w:val="00600401"/>
    <w:rsid w:val="00600468"/>
    <w:rsid w:val="00600483"/>
    <w:rsid w:val="0060050C"/>
    <w:rsid w:val="006006B0"/>
    <w:rsid w:val="00600857"/>
    <w:rsid w:val="006008C6"/>
    <w:rsid w:val="006008D6"/>
    <w:rsid w:val="00600968"/>
    <w:rsid w:val="006009D8"/>
    <w:rsid w:val="00600A61"/>
    <w:rsid w:val="00600D23"/>
    <w:rsid w:val="00600D5C"/>
    <w:rsid w:val="00600DBC"/>
    <w:rsid w:val="00600E61"/>
    <w:rsid w:val="00600ED9"/>
    <w:rsid w:val="00600F47"/>
    <w:rsid w:val="0060108D"/>
    <w:rsid w:val="00601099"/>
    <w:rsid w:val="00601133"/>
    <w:rsid w:val="00601159"/>
    <w:rsid w:val="00601171"/>
    <w:rsid w:val="006012A9"/>
    <w:rsid w:val="006012DA"/>
    <w:rsid w:val="006012DD"/>
    <w:rsid w:val="006013D1"/>
    <w:rsid w:val="0060141C"/>
    <w:rsid w:val="0060145D"/>
    <w:rsid w:val="006014D6"/>
    <w:rsid w:val="0060150B"/>
    <w:rsid w:val="0060150E"/>
    <w:rsid w:val="00601526"/>
    <w:rsid w:val="00601576"/>
    <w:rsid w:val="006016C2"/>
    <w:rsid w:val="006016DC"/>
    <w:rsid w:val="00601738"/>
    <w:rsid w:val="00601783"/>
    <w:rsid w:val="006017E6"/>
    <w:rsid w:val="006018B6"/>
    <w:rsid w:val="006019A6"/>
    <w:rsid w:val="00601A1C"/>
    <w:rsid w:val="00601AF1"/>
    <w:rsid w:val="00601B15"/>
    <w:rsid w:val="00601B3E"/>
    <w:rsid w:val="00601B77"/>
    <w:rsid w:val="00601D50"/>
    <w:rsid w:val="00601D82"/>
    <w:rsid w:val="00601DA1"/>
    <w:rsid w:val="00601E08"/>
    <w:rsid w:val="00601E0E"/>
    <w:rsid w:val="00601EDC"/>
    <w:rsid w:val="00601F69"/>
    <w:rsid w:val="00602014"/>
    <w:rsid w:val="0060208D"/>
    <w:rsid w:val="006020AB"/>
    <w:rsid w:val="00602100"/>
    <w:rsid w:val="006021B9"/>
    <w:rsid w:val="0060225C"/>
    <w:rsid w:val="00602350"/>
    <w:rsid w:val="0060237C"/>
    <w:rsid w:val="006024C4"/>
    <w:rsid w:val="00602626"/>
    <w:rsid w:val="00602682"/>
    <w:rsid w:val="0060268B"/>
    <w:rsid w:val="00602713"/>
    <w:rsid w:val="006027C6"/>
    <w:rsid w:val="00602912"/>
    <w:rsid w:val="006029E0"/>
    <w:rsid w:val="00602B67"/>
    <w:rsid w:val="00602C0B"/>
    <w:rsid w:val="00602C16"/>
    <w:rsid w:val="00602D1E"/>
    <w:rsid w:val="00602D24"/>
    <w:rsid w:val="00602D67"/>
    <w:rsid w:val="00602E1A"/>
    <w:rsid w:val="00602E33"/>
    <w:rsid w:val="00602E61"/>
    <w:rsid w:val="00602F2D"/>
    <w:rsid w:val="00602F4C"/>
    <w:rsid w:val="006030B1"/>
    <w:rsid w:val="0060310D"/>
    <w:rsid w:val="00603112"/>
    <w:rsid w:val="00603185"/>
    <w:rsid w:val="00603200"/>
    <w:rsid w:val="00603261"/>
    <w:rsid w:val="0060328D"/>
    <w:rsid w:val="006032B1"/>
    <w:rsid w:val="006032C7"/>
    <w:rsid w:val="006034A2"/>
    <w:rsid w:val="006034DA"/>
    <w:rsid w:val="0060354E"/>
    <w:rsid w:val="00603564"/>
    <w:rsid w:val="0060359D"/>
    <w:rsid w:val="006035D5"/>
    <w:rsid w:val="00603636"/>
    <w:rsid w:val="00603698"/>
    <w:rsid w:val="006036C7"/>
    <w:rsid w:val="0060374A"/>
    <w:rsid w:val="0060379E"/>
    <w:rsid w:val="006037D8"/>
    <w:rsid w:val="0060384A"/>
    <w:rsid w:val="00603899"/>
    <w:rsid w:val="006039B2"/>
    <w:rsid w:val="00603A10"/>
    <w:rsid w:val="00603A34"/>
    <w:rsid w:val="00603A3B"/>
    <w:rsid w:val="00603C5C"/>
    <w:rsid w:val="00603CD5"/>
    <w:rsid w:val="00603CE4"/>
    <w:rsid w:val="00603CF5"/>
    <w:rsid w:val="00603D3F"/>
    <w:rsid w:val="00603D49"/>
    <w:rsid w:val="00603F84"/>
    <w:rsid w:val="00603FE9"/>
    <w:rsid w:val="00604032"/>
    <w:rsid w:val="006040C5"/>
    <w:rsid w:val="00604197"/>
    <w:rsid w:val="006042C0"/>
    <w:rsid w:val="006042CC"/>
    <w:rsid w:val="0060436E"/>
    <w:rsid w:val="006043B1"/>
    <w:rsid w:val="00604431"/>
    <w:rsid w:val="006045C7"/>
    <w:rsid w:val="006046A3"/>
    <w:rsid w:val="00604841"/>
    <w:rsid w:val="00604885"/>
    <w:rsid w:val="006048F6"/>
    <w:rsid w:val="00604949"/>
    <w:rsid w:val="00604A25"/>
    <w:rsid w:val="00604A38"/>
    <w:rsid w:val="00604A73"/>
    <w:rsid w:val="00604AC9"/>
    <w:rsid w:val="00604AF4"/>
    <w:rsid w:val="00604C1F"/>
    <w:rsid w:val="00604C8E"/>
    <w:rsid w:val="00604D3D"/>
    <w:rsid w:val="00604D6D"/>
    <w:rsid w:val="00604F29"/>
    <w:rsid w:val="00604FCE"/>
    <w:rsid w:val="00605016"/>
    <w:rsid w:val="0060506E"/>
    <w:rsid w:val="00605084"/>
    <w:rsid w:val="00605127"/>
    <w:rsid w:val="006051EE"/>
    <w:rsid w:val="0060524C"/>
    <w:rsid w:val="00605314"/>
    <w:rsid w:val="00605453"/>
    <w:rsid w:val="006054C2"/>
    <w:rsid w:val="0060564D"/>
    <w:rsid w:val="006056CA"/>
    <w:rsid w:val="00605748"/>
    <w:rsid w:val="0060574E"/>
    <w:rsid w:val="006057AE"/>
    <w:rsid w:val="00605851"/>
    <w:rsid w:val="00605871"/>
    <w:rsid w:val="00605882"/>
    <w:rsid w:val="00605A11"/>
    <w:rsid w:val="00605A62"/>
    <w:rsid w:val="00605B25"/>
    <w:rsid w:val="00605CEC"/>
    <w:rsid w:val="00605D16"/>
    <w:rsid w:val="00605F16"/>
    <w:rsid w:val="00605F69"/>
    <w:rsid w:val="00605FE2"/>
    <w:rsid w:val="006060DB"/>
    <w:rsid w:val="0060613D"/>
    <w:rsid w:val="0060615A"/>
    <w:rsid w:val="00606199"/>
    <w:rsid w:val="0060624C"/>
    <w:rsid w:val="0060627A"/>
    <w:rsid w:val="0060628E"/>
    <w:rsid w:val="00606291"/>
    <w:rsid w:val="006063DB"/>
    <w:rsid w:val="00606408"/>
    <w:rsid w:val="006065BB"/>
    <w:rsid w:val="00606648"/>
    <w:rsid w:val="00606849"/>
    <w:rsid w:val="00606888"/>
    <w:rsid w:val="00606889"/>
    <w:rsid w:val="0060689C"/>
    <w:rsid w:val="00606954"/>
    <w:rsid w:val="00606A04"/>
    <w:rsid w:val="00606A36"/>
    <w:rsid w:val="00606A90"/>
    <w:rsid w:val="00606AFD"/>
    <w:rsid w:val="00606BC0"/>
    <w:rsid w:val="00606BF1"/>
    <w:rsid w:val="00606CEB"/>
    <w:rsid w:val="00606DA3"/>
    <w:rsid w:val="00606EBC"/>
    <w:rsid w:val="00606EF5"/>
    <w:rsid w:val="00606F63"/>
    <w:rsid w:val="00606F88"/>
    <w:rsid w:val="00606FD4"/>
    <w:rsid w:val="00606FE9"/>
    <w:rsid w:val="00607081"/>
    <w:rsid w:val="0060709F"/>
    <w:rsid w:val="00607113"/>
    <w:rsid w:val="00607119"/>
    <w:rsid w:val="00607196"/>
    <w:rsid w:val="0060720A"/>
    <w:rsid w:val="00607278"/>
    <w:rsid w:val="006072A0"/>
    <w:rsid w:val="006072F5"/>
    <w:rsid w:val="006074B5"/>
    <w:rsid w:val="006074C7"/>
    <w:rsid w:val="006075D4"/>
    <w:rsid w:val="0060770D"/>
    <w:rsid w:val="00607738"/>
    <w:rsid w:val="0060779D"/>
    <w:rsid w:val="006078F7"/>
    <w:rsid w:val="006079AA"/>
    <w:rsid w:val="00607A87"/>
    <w:rsid w:val="00607ADC"/>
    <w:rsid w:val="00607B09"/>
    <w:rsid w:val="00607BFC"/>
    <w:rsid w:val="00607E68"/>
    <w:rsid w:val="00607F88"/>
    <w:rsid w:val="00607F9A"/>
    <w:rsid w:val="00610033"/>
    <w:rsid w:val="00610037"/>
    <w:rsid w:val="00610057"/>
    <w:rsid w:val="0061009A"/>
    <w:rsid w:val="006100D4"/>
    <w:rsid w:val="006101C9"/>
    <w:rsid w:val="0061026C"/>
    <w:rsid w:val="006102CD"/>
    <w:rsid w:val="00610303"/>
    <w:rsid w:val="00610427"/>
    <w:rsid w:val="006104DF"/>
    <w:rsid w:val="00610545"/>
    <w:rsid w:val="00610662"/>
    <w:rsid w:val="0061070C"/>
    <w:rsid w:val="00610731"/>
    <w:rsid w:val="006108E0"/>
    <w:rsid w:val="00610956"/>
    <w:rsid w:val="00610979"/>
    <w:rsid w:val="00610993"/>
    <w:rsid w:val="00610A1E"/>
    <w:rsid w:val="00610B18"/>
    <w:rsid w:val="00610B3A"/>
    <w:rsid w:val="00610B43"/>
    <w:rsid w:val="00610BEB"/>
    <w:rsid w:val="00610C8F"/>
    <w:rsid w:val="00610C91"/>
    <w:rsid w:val="00610D50"/>
    <w:rsid w:val="00610D62"/>
    <w:rsid w:val="00610D9F"/>
    <w:rsid w:val="00610E10"/>
    <w:rsid w:val="00610E5D"/>
    <w:rsid w:val="00610FAD"/>
    <w:rsid w:val="0061100B"/>
    <w:rsid w:val="00611179"/>
    <w:rsid w:val="006112D5"/>
    <w:rsid w:val="0061134C"/>
    <w:rsid w:val="00611387"/>
    <w:rsid w:val="0061153E"/>
    <w:rsid w:val="00611573"/>
    <w:rsid w:val="0061165A"/>
    <w:rsid w:val="0061165C"/>
    <w:rsid w:val="006116A1"/>
    <w:rsid w:val="0061172D"/>
    <w:rsid w:val="006117D9"/>
    <w:rsid w:val="006118FF"/>
    <w:rsid w:val="006119C9"/>
    <w:rsid w:val="00611AC7"/>
    <w:rsid w:val="00611AD5"/>
    <w:rsid w:val="00611B3B"/>
    <w:rsid w:val="00611B8F"/>
    <w:rsid w:val="00611C06"/>
    <w:rsid w:val="00611D78"/>
    <w:rsid w:val="00611EB2"/>
    <w:rsid w:val="00611EDF"/>
    <w:rsid w:val="00611F1A"/>
    <w:rsid w:val="00611FAB"/>
    <w:rsid w:val="00612004"/>
    <w:rsid w:val="006120A3"/>
    <w:rsid w:val="006120D2"/>
    <w:rsid w:val="0061212B"/>
    <w:rsid w:val="00612138"/>
    <w:rsid w:val="00612178"/>
    <w:rsid w:val="006121A4"/>
    <w:rsid w:val="006121BE"/>
    <w:rsid w:val="006121F1"/>
    <w:rsid w:val="006121FB"/>
    <w:rsid w:val="00612201"/>
    <w:rsid w:val="006122E3"/>
    <w:rsid w:val="006123D4"/>
    <w:rsid w:val="006124B3"/>
    <w:rsid w:val="00612506"/>
    <w:rsid w:val="00612584"/>
    <w:rsid w:val="00612614"/>
    <w:rsid w:val="00612643"/>
    <w:rsid w:val="0061281B"/>
    <w:rsid w:val="006128E5"/>
    <w:rsid w:val="00612943"/>
    <w:rsid w:val="0061295B"/>
    <w:rsid w:val="006129F1"/>
    <w:rsid w:val="00612A02"/>
    <w:rsid w:val="00612A5E"/>
    <w:rsid w:val="00612A97"/>
    <w:rsid w:val="00612B09"/>
    <w:rsid w:val="00612B21"/>
    <w:rsid w:val="00612BC3"/>
    <w:rsid w:val="00612C50"/>
    <w:rsid w:val="00612CB7"/>
    <w:rsid w:val="00612DF1"/>
    <w:rsid w:val="00612E64"/>
    <w:rsid w:val="00612EBA"/>
    <w:rsid w:val="00612FC6"/>
    <w:rsid w:val="00613039"/>
    <w:rsid w:val="006131F5"/>
    <w:rsid w:val="00613363"/>
    <w:rsid w:val="0061337A"/>
    <w:rsid w:val="0061337E"/>
    <w:rsid w:val="006133B0"/>
    <w:rsid w:val="00613421"/>
    <w:rsid w:val="00613439"/>
    <w:rsid w:val="00613444"/>
    <w:rsid w:val="006134D1"/>
    <w:rsid w:val="006135A2"/>
    <w:rsid w:val="006135B0"/>
    <w:rsid w:val="006135ED"/>
    <w:rsid w:val="00613619"/>
    <w:rsid w:val="00613727"/>
    <w:rsid w:val="0061380C"/>
    <w:rsid w:val="00613AB0"/>
    <w:rsid w:val="00613BE0"/>
    <w:rsid w:val="00613CA3"/>
    <w:rsid w:val="00613D17"/>
    <w:rsid w:val="00613D7B"/>
    <w:rsid w:val="00613DEE"/>
    <w:rsid w:val="00613E00"/>
    <w:rsid w:val="00613EE8"/>
    <w:rsid w:val="00613FC3"/>
    <w:rsid w:val="00614357"/>
    <w:rsid w:val="00614373"/>
    <w:rsid w:val="006144FD"/>
    <w:rsid w:val="0061453D"/>
    <w:rsid w:val="00614545"/>
    <w:rsid w:val="0061456E"/>
    <w:rsid w:val="0061459B"/>
    <w:rsid w:val="006145F5"/>
    <w:rsid w:val="00614648"/>
    <w:rsid w:val="00614734"/>
    <w:rsid w:val="00614838"/>
    <w:rsid w:val="00614863"/>
    <w:rsid w:val="00614869"/>
    <w:rsid w:val="00614873"/>
    <w:rsid w:val="006148A9"/>
    <w:rsid w:val="0061490C"/>
    <w:rsid w:val="00614992"/>
    <w:rsid w:val="006149C4"/>
    <w:rsid w:val="00614BAC"/>
    <w:rsid w:val="00614BF7"/>
    <w:rsid w:val="00614D92"/>
    <w:rsid w:val="00614DFC"/>
    <w:rsid w:val="00614E37"/>
    <w:rsid w:val="00614ED2"/>
    <w:rsid w:val="00615048"/>
    <w:rsid w:val="0061505B"/>
    <w:rsid w:val="006150C0"/>
    <w:rsid w:val="00615140"/>
    <w:rsid w:val="00615260"/>
    <w:rsid w:val="00615363"/>
    <w:rsid w:val="00615513"/>
    <w:rsid w:val="006156FC"/>
    <w:rsid w:val="00615706"/>
    <w:rsid w:val="0061571C"/>
    <w:rsid w:val="0061574D"/>
    <w:rsid w:val="00615778"/>
    <w:rsid w:val="00615819"/>
    <w:rsid w:val="00615849"/>
    <w:rsid w:val="006158B0"/>
    <w:rsid w:val="006158C3"/>
    <w:rsid w:val="00615A24"/>
    <w:rsid w:val="00615A4C"/>
    <w:rsid w:val="00615A8C"/>
    <w:rsid w:val="00615B44"/>
    <w:rsid w:val="00615B7E"/>
    <w:rsid w:val="00615F63"/>
    <w:rsid w:val="00616091"/>
    <w:rsid w:val="006161B3"/>
    <w:rsid w:val="0061625E"/>
    <w:rsid w:val="00616441"/>
    <w:rsid w:val="0061657B"/>
    <w:rsid w:val="006165A7"/>
    <w:rsid w:val="006166C3"/>
    <w:rsid w:val="006167A0"/>
    <w:rsid w:val="00616813"/>
    <w:rsid w:val="00616919"/>
    <w:rsid w:val="0061692A"/>
    <w:rsid w:val="006169C5"/>
    <w:rsid w:val="00616A47"/>
    <w:rsid w:val="00616AD1"/>
    <w:rsid w:val="00616C71"/>
    <w:rsid w:val="00616C91"/>
    <w:rsid w:val="00616CB1"/>
    <w:rsid w:val="00616CD5"/>
    <w:rsid w:val="00616E50"/>
    <w:rsid w:val="00616E5A"/>
    <w:rsid w:val="00616EC4"/>
    <w:rsid w:val="00616EEC"/>
    <w:rsid w:val="00616EF6"/>
    <w:rsid w:val="006170CB"/>
    <w:rsid w:val="0061711F"/>
    <w:rsid w:val="00617199"/>
    <w:rsid w:val="00617280"/>
    <w:rsid w:val="0061753E"/>
    <w:rsid w:val="00617565"/>
    <w:rsid w:val="006176B3"/>
    <w:rsid w:val="006176E8"/>
    <w:rsid w:val="00617748"/>
    <w:rsid w:val="006177B4"/>
    <w:rsid w:val="006177C1"/>
    <w:rsid w:val="0061787C"/>
    <w:rsid w:val="006178F0"/>
    <w:rsid w:val="00617963"/>
    <w:rsid w:val="006179CF"/>
    <w:rsid w:val="006179D1"/>
    <w:rsid w:val="006179FA"/>
    <w:rsid w:val="00617A9F"/>
    <w:rsid w:val="00617B20"/>
    <w:rsid w:val="00617BC1"/>
    <w:rsid w:val="00617C52"/>
    <w:rsid w:val="00617CF0"/>
    <w:rsid w:val="00617E26"/>
    <w:rsid w:val="00617F11"/>
    <w:rsid w:val="00617F17"/>
    <w:rsid w:val="00617F66"/>
    <w:rsid w:val="00620014"/>
    <w:rsid w:val="006200A9"/>
    <w:rsid w:val="006201D5"/>
    <w:rsid w:val="006201E4"/>
    <w:rsid w:val="00620213"/>
    <w:rsid w:val="00620240"/>
    <w:rsid w:val="0062027B"/>
    <w:rsid w:val="00620356"/>
    <w:rsid w:val="006203AF"/>
    <w:rsid w:val="006204F0"/>
    <w:rsid w:val="006204FF"/>
    <w:rsid w:val="00620500"/>
    <w:rsid w:val="006205A9"/>
    <w:rsid w:val="006205C1"/>
    <w:rsid w:val="00620656"/>
    <w:rsid w:val="00620694"/>
    <w:rsid w:val="006206DA"/>
    <w:rsid w:val="006206FF"/>
    <w:rsid w:val="006208FB"/>
    <w:rsid w:val="006209B4"/>
    <w:rsid w:val="00620A48"/>
    <w:rsid w:val="00620AB6"/>
    <w:rsid w:val="00620ACF"/>
    <w:rsid w:val="00620B20"/>
    <w:rsid w:val="00620B8A"/>
    <w:rsid w:val="00620BCF"/>
    <w:rsid w:val="00620C6E"/>
    <w:rsid w:val="00620CA2"/>
    <w:rsid w:val="00620CA9"/>
    <w:rsid w:val="00620D8D"/>
    <w:rsid w:val="00620F44"/>
    <w:rsid w:val="00621067"/>
    <w:rsid w:val="00621140"/>
    <w:rsid w:val="006212FB"/>
    <w:rsid w:val="0062140E"/>
    <w:rsid w:val="006214AB"/>
    <w:rsid w:val="00621635"/>
    <w:rsid w:val="0062164F"/>
    <w:rsid w:val="00621702"/>
    <w:rsid w:val="00621816"/>
    <w:rsid w:val="0062190D"/>
    <w:rsid w:val="00621937"/>
    <w:rsid w:val="00621950"/>
    <w:rsid w:val="006219A3"/>
    <w:rsid w:val="006219A4"/>
    <w:rsid w:val="006219E4"/>
    <w:rsid w:val="00621A40"/>
    <w:rsid w:val="00621AA6"/>
    <w:rsid w:val="00621B1A"/>
    <w:rsid w:val="00621B88"/>
    <w:rsid w:val="00621BCB"/>
    <w:rsid w:val="00621C17"/>
    <w:rsid w:val="00621D94"/>
    <w:rsid w:val="00621DA8"/>
    <w:rsid w:val="00621EFC"/>
    <w:rsid w:val="00621FCC"/>
    <w:rsid w:val="006220E1"/>
    <w:rsid w:val="006220F7"/>
    <w:rsid w:val="00622172"/>
    <w:rsid w:val="00622190"/>
    <w:rsid w:val="0062220B"/>
    <w:rsid w:val="00622257"/>
    <w:rsid w:val="0062225E"/>
    <w:rsid w:val="006222F6"/>
    <w:rsid w:val="006223BA"/>
    <w:rsid w:val="00622514"/>
    <w:rsid w:val="00622531"/>
    <w:rsid w:val="006225A1"/>
    <w:rsid w:val="00622659"/>
    <w:rsid w:val="0062271F"/>
    <w:rsid w:val="006227F2"/>
    <w:rsid w:val="006229B1"/>
    <w:rsid w:val="006229E3"/>
    <w:rsid w:val="00622A18"/>
    <w:rsid w:val="00622ABF"/>
    <w:rsid w:val="00622B5E"/>
    <w:rsid w:val="00622BC8"/>
    <w:rsid w:val="00622BF8"/>
    <w:rsid w:val="00622C1D"/>
    <w:rsid w:val="00622CAE"/>
    <w:rsid w:val="00622D31"/>
    <w:rsid w:val="00622D96"/>
    <w:rsid w:val="00622E24"/>
    <w:rsid w:val="00622E9D"/>
    <w:rsid w:val="00622F28"/>
    <w:rsid w:val="00622F5F"/>
    <w:rsid w:val="00622F82"/>
    <w:rsid w:val="00622F99"/>
    <w:rsid w:val="00623097"/>
    <w:rsid w:val="006230DF"/>
    <w:rsid w:val="00623112"/>
    <w:rsid w:val="0062318D"/>
    <w:rsid w:val="0062341E"/>
    <w:rsid w:val="00623453"/>
    <w:rsid w:val="0062352E"/>
    <w:rsid w:val="0062353B"/>
    <w:rsid w:val="00623557"/>
    <w:rsid w:val="006235B4"/>
    <w:rsid w:val="006235E7"/>
    <w:rsid w:val="0062372B"/>
    <w:rsid w:val="00623735"/>
    <w:rsid w:val="006237F0"/>
    <w:rsid w:val="00623822"/>
    <w:rsid w:val="00623945"/>
    <w:rsid w:val="00623A7E"/>
    <w:rsid w:val="00623B39"/>
    <w:rsid w:val="00623BD0"/>
    <w:rsid w:val="00623C0A"/>
    <w:rsid w:val="00623CE2"/>
    <w:rsid w:val="00623E49"/>
    <w:rsid w:val="00623E89"/>
    <w:rsid w:val="00623EDA"/>
    <w:rsid w:val="00623F81"/>
    <w:rsid w:val="00623F91"/>
    <w:rsid w:val="00624041"/>
    <w:rsid w:val="00624072"/>
    <w:rsid w:val="006241BF"/>
    <w:rsid w:val="006241C0"/>
    <w:rsid w:val="00624221"/>
    <w:rsid w:val="006242DA"/>
    <w:rsid w:val="00624401"/>
    <w:rsid w:val="0062447B"/>
    <w:rsid w:val="00624495"/>
    <w:rsid w:val="006244BE"/>
    <w:rsid w:val="006244E2"/>
    <w:rsid w:val="00624514"/>
    <w:rsid w:val="0062459F"/>
    <w:rsid w:val="006246B0"/>
    <w:rsid w:val="0062470A"/>
    <w:rsid w:val="00624857"/>
    <w:rsid w:val="006248D5"/>
    <w:rsid w:val="00624A2C"/>
    <w:rsid w:val="00624A30"/>
    <w:rsid w:val="00624ADA"/>
    <w:rsid w:val="00624B17"/>
    <w:rsid w:val="00624BC4"/>
    <w:rsid w:val="00624BFE"/>
    <w:rsid w:val="00624C9B"/>
    <w:rsid w:val="00624CC4"/>
    <w:rsid w:val="00624D46"/>
    <w:rsid w:val="00624DFB"/>
    <w:rsid w:val="00624E9C"/>
    <w:rsid w:val="00624ED5"/>
    <w:rsid w:val="00624EF6"/>
    <w:rsid w:val="00625216"/>
    <w:rsid w:val="0062530F"/>
    <w:rsid w:val="0062532F"/>
    <w:rsid w:val="006253DA"/>
    <w:rsid w:val="00625461"/>
    <w:rsid w:val="006256B9"/>
    <w:rsid w:val="006258DE"/>
    <w:rsid w:val="00625937"/>
    <w:rsid w:val="00625980"/>
    <w:rsid w:val="006259AD"/>
    <w:rsid w:val="006259CA"/>
    <w:rsid w:val="00625A65"/>
    <w:rsid w:val="00625D36"/>
    <w:rsid w:val="00625D40"/>
    <w:rsid w:val="00625DE2"/>
    <w:rsid w:val="00625E1D"/>
    <w:rsid w:val="00625E33"/>
    <w:rsid w:val="00625EC9"/>
    <w:rsid w:val="00625F12"/>
    <w:rsid w:val="00625FD2"/>
    <w:rsid w:val="00626218"/>
    <w:rsid w:val="00626228"/>
    <w:rsid w:val="0062624A"/>
    <w:rsid w:val="006262A9"/>
    <w:rsid w:val="00626342"/>
    <w:rsid w:val="006263DA"/>
    <w:rsid w:val="0062654A"/>
    <w:rsid w:val="0062656B"/>
    <w:rsid w:val="0062669B"/>
    <w:rsid w:val="006266AE"/>
    <w:rsid w:val="0062670B"/>
    <w:rsid w:val="00626861"/>
    <w:rsid w:val="006268E6"/>
    <w:rsid w:val="00626915"/>
    <w:rsid w:val="0062693F"/>
    <w:rsid w:val="0062699C"/>
    <w:rsid w:val="00626A27"/>
    <w:rsid w:val="00626ADD"/>
    <w:rsid w:val="00626B80"/>
    <w:rsid w:val="00626BF4"/>
    <w:rsid w:val="00626C67"/>
    <w:rsid w:val="00626C7E"/>
    <w:rsid w:val="00626CC5"/>
    <w:rsid w:val="00626D41"/>
    <w:rsid w:val="00626D98"/>
    <w:rsid w:val="00626D9A"/>
    <w:rsid w:val="00626FFB"/>
    <w:rsid w:val="00627153"/>
    <w:rsid w:val="006271C6"/>
    <w:rsid w:val="00627239"/>
    <w:rsid w:val="0062724B"/>
    <w:rsid w:val="006272CD"/>
    <w:rsid w:val="00627330"/>
    <w:rsid w:val="006273E6"/>
    <w:rsid w:val="0062751D"/>
    <w:rsid w:val="00627584"/>
    <w:rsid w:val="00627585"/>
    <w:rsid w:val="006275DC"/>
    <w:rsid w:val="006276A3"/>
    <w:rsid w:val="0062781E"/>
    <w:rsid w:val="006278C2"/>
    <w:rsid w:val="006278EA"/>
    <w:rsid w:val="006279EB"/>
    <w:rsid w:val="00627B70"/>
    <w:rsid w:val="00627B7C"/>
    <w:rsid w:val="00627C96"/>
    <w:rsid w:val="00627D65"/>
    <w:rsid w:val="00627EB1"/>
    <w:rsid w:val="00627EBC"/>
    <w:rsid w:val="00627EE2"/>
    <w:rsid w:val="00627F18"/>
    <w:rsid w:val="00627FA7"/>
    <w:rsid w:val="00630184"/>
    <w:rsid w:val="006301B3"/>
    <w:rsid w:val="006301C1"/>
    <w:rsid w:val="006301DD"/>
    <w:rsid w:val="00630222"/>
    <w:rsid w:val="006302A1"/>
    <w:rsid w:val="00630307"/>
    <w:rsid w:val="0063034C"/>
    <w:rsid w:val="0063049F"/>
    <w:rsid w:val="006305B2"/>
    <w:rsid w:val="006306FA"/>
    <w:rsid w:val="00630737"/>
    <w:rsid w:val="0063077E"/>
    <w:rsid w:val="006307BF"/>
    <w:rsid w:val="00630A0B"/>
    <w:rsid w:val="00630B3F"/>
    <w:rsid w:val="00630B9C"/>
    <w:rsid w:val="00630BA2"/>
    <w:rsid w:val="00630C35"/>
    <w:rsid w:val="00630CB9"/>
    <w:rsid w:val="00630DD3"/>
    <w:rsid w:val="00630E05"/>
    <w:rsid w:val="00630E49"/>
    <w:rsid w:val="00630E4C"/>
    <w:rsid w:val="00631039"/>
    <w:rsid w:val="00631074"/>
    <w:rsid w:val="00631103"/>
    <w:rsid w:val="006311B0"/>
    <w:rsid w:val="006311E0"/>
    <w:rsid w:val="006314CA"/>
    <w:rsid w:val="00631501"/>
    <w:rsid w:val="006315C5"/>
    <w:rsid w:val="0063186D"/>
    <w:rsid w:val="00631965"/>
    <w:rsid w:val="006319F6"/>
    <w:rsid w:val="00631A9D"/>
    <w:rsid w:val="00631B6E"/>
    <w:rsid w:val="00631B9B"/>
    <w:rsid w:val="00631D05"/>
    <w:rsid w:val="00631D89"/>
    <w:rsid w:val="00631E09"/>
    <w:rsid w:val="00631E78"/>
    <w:rsid w:val="00631F1D"/>
    <w:rsid w:val="00632073"/>
    <w:rsid w:val="00632242"/>
    <w:rsid w:val="0063229B"/>
    <w:rsid w:val="00632493"/>
    <w:rsid w:val="006324CB"/>
    <w:rsid w:val="00632556"/>
    <w:rsid w:val="0063255F"/>
    <w:rsid w:val="00632694"/>
    <w:rsid w:val="006326DC"/>
    <w:rsid w:val="00632713"/>
    <w:rsid w:val="0063284F"/>
    <w:rsid w:val="00632913"/>
    <w:rsid w:val="00632A6C"/>
    <w:rsid w:val="00632AB9"/>
    <w:rsid w:val="00632C86"/>
    <w:rsid w:val="00632CDF"/>
    <w:rsid w:val="00632DD9"/>
    <w:rsid w:val="00632E5E"/>
    <w:rsid w:val="00632F11"/>
    <w:rsid w:val="00632F18"/>
    <w:rsid w:val="0063306D"/>
    <w:rsid w:val="00633079"/>
    <w:rsid w:val="006330E8"/>
    <w:rsid w:val="00633157"/>
    <w:rsid w:val="006332C3"/>
    <w:rsid w:val="006332FD"/>
    <w:rsid w:val="0063330F"/>
    <w:rsid w:val="00633438"/>
    <w:rsid w:val="0063344C"/>
    <w:rsid w:val="0063349F"/>
    <w:rsid w:val="006335A7"/>
    <w:rsid w:val="006335F9"/>
    <w:rsid w:val="006335FF"/>
    <w:rsid w:val="00633612"/>
    <w:rsid w:val="006337F3"/>
    <w:rsid w:val="006337FD"/>
    <w:rsid w:val="0063382D"/>
    <w:rsid w:val="00633890"/>
    <w:rsid w:val="0063396F"/>
    <w:rsid w:val="00633A0E"/>
    <w:rsid w:val="00633A29"/>
    <w:rsid w:val="00633D42"/>
    <w:rsid w:val="00633EA4"/>
    <w:rsid w:val="00633EB7"/>
    <w:rsid w:val="00633F02"/>
    <w:rsid w:val="00633FA8"/>
    <w:rsid w:val="00633FF7"/>
    <w:rsid w:val="00634057"/>
    <w:rsid w:val="0063414D"/>
    <w:rsid w:val="00634155"/>
    <w:rsid w:val="00634181"/>
    <w:rsid w:val="00634228"/>
    <w:rsid w:val="00634289"/>
    <w:rsid w:val="006343AE"/>
    <w:rsid w:val="00634421"/>
    <w:rsid w:val="00634423"/>
    <w:rsid w:val="0063447C"/>
    <w:rsid w:val="00634499"/>
    <w:rsid w:val="006344CA"/>
    <w:rsid w:val="006344D6"/>
    <w:rsid w:val="006344F7"/>
    <w:rsid w:val="006346AA"/>
    <w:rsid w:val="006346CD"/>
    <w:rsid w:val="00634719"/>
    <w:rsid w:val="00634866"/>
    <w:rsid w:val="00634867"/>
    <w:rsid w:val="00634914"/>
    <w:rsid w:val="00634918"/>
    <w:rsid w:val="0063499C"/>
    <w:rsid w:val="006349B3"/>
    <w:rsid w:val="00634A2E"/>
    <w:rsid w:val="00634C6F"/>
    <w:rsid w:val="00634C85"/>
    <w:rsid w:val="00634D92"/>
    <w:rsid w:val="00634DF4"/>
    <w:rsid w:val="00634E81"/>
    <w:rsid w:val="00634E86"/>
    <w:rsid w:val="00634EB2"/>
    <w:rsid w:val="00635024"/>
    <w:rsid w:val="00635089"/>
    <w:rsid w:val="006350FC"/>
    <w:rsid w:val="00635115"/>
    <w:rsid w:val="006351B6"/>
    <w:rsid w:val="00635200"/>
    <w:rsid w:val="00635208"/>
    <w:rsid w:val="00635224"/>
    <w:rsid w:val="00635302"/>
    <w:rsid w:val="006354D7"/>
    <w:rsid w:val="00635534"/>
    <w:rsid w:val="0063554E"/>
    <w:rsid w:val="006356D8"/>
    <w:rsid w:val="0063589E"/>
    <w:rsid w:val="0063595E"/>
    <w:rsid w:val="00635998"/>
    <w:rsid w:val="006359BE"/>
    <w:rsid w:val="006359F3"/>
    <w:rsid w:val="00635A2E"/>
    <w:rsid w:val="00635A88"/>
    <w:rsid w:val="00635AAA"/>
    <w:rsid w:val="00635ABD"/>
    <w:rsid w:val="00635AFF"/>
    <w:rsid w:val="00635B09"/>
    <w:rsid w:val="00635B21"/>
    <w:rsid w:val="00635B49"/>
    <w:rsid w:val="00635B64"/>
    <w:rsid w:val="00635B9E"/>
    <w:rsid w:val="00635BC2"/>
    <w:rsid w:val="00635BEF"/>
    <w:rsid w:val="00635C18"/>
    <w:rsid w:val="00635C6F"/>
    <w:rsid w:val="00635D07"/>
    <w:rsid w:val="00635D50"/>
    <w:rsid w:val="00635D76"/>
    <w:rsid w:val="00635DA5"/>
    <w:rsid w:val="00635DE7"/>
    <w:rsid w:val="00635E64"/>
    <w:rsid w:val="00635F8C"/>
    <w:rsid w:val="0063603E"/>
    <w:rsid w:val="00636067"/>
    <w:rsid w:val="006360B6"/>
    <w:rsid w:val="00636128"/>
    <w:rsid w:val="006361EB"/>
    <w:rsid w:val="0063622B"/>
    <w:rsid w:val="006363AA"/>
    <w:rsid w:val="006364E1"/>
    <w:rsid w:val="00636757"/>
    <w:rsid w:val="00636777"/>
    <w:rsid w:val="0063690B"/>
    <w:rsid w:val="006369C8"/>
    <w:rsid w:val="00636A0E"/>
    <w:rsid w:val="00636AED"/>
    <w:rsid w:val="00636C70"/>
    <w:rsid w:val="00636D79"/>
    <w:rsid w:val="00636EFC"/>
    <w:rsid w:val="00636F41"/>
    <w:rsid w:val="00636F73"/>
    <w:rsid w:val="00636F97"/>
    <w:rsid w:val="0063704A"/>
    <w:rsid w:val="0063704B"/>
    <w:rsid w:val="00637156"/>
    <w:rsid w:val="00637190"/>
    <w:rsid w:val="006372C7"/>
    <w:rsid w:val="00637414"/>
    <w:rsid w:val="00637486"/>
    <w:rsid w:val="006374B0"/>
    <w:rsid w:val="00637504"/>
    <w:rsid w:val="006375A1"/>
    <w:rsid w:val="006375AB"/>
    <w:rsid w:val="00637646"/>
    <w:rsid w:val="006376F8"/>
    <w:rsid w:val="006378A6"/>
    <w:rsid w:val="00637952"/>
    <w:rsid w:val="006379BD"/>
    <w:rsid w:val="00637A24"/>
    <w:rsid w:val="00637A7D"/>
    <w:rsid w:val="00637AAF"/>
    <w:rsid w:val="00637B35"/>
    <w:rsid w:val="00637C76"/>
    <w:rsid w:val="00637C92"/>
    <w:rsid w:val="00637CF3"/>
    <w:rsid w:val="00637D24"/>
    <w:rsid w:val="00637D36"/>
    <w:rsid w:val="00637D7C"/>
    <w:rsid w:val="00637D7D"/>
    <w:rsid w:val="00637E42"/>
    <w:rsid w:val="00637FF9"/>
    <w:rsid w:val="006400AC"/>
    <w:rsid w:val="00640170"/>
    <w:rsid w:val="00640226"/>
    <w:rsid w:val="00640250"/>
    <w:rsid w:val="00640264"/>
    <w:rsid w:val="00640294"/>
    <w:rsid w:val="00640373"/>
    <w:rsid w:val="006403F1"/>
    <w:rsid w:val="006404EF"/>
    <w:rsid w:val="00640530"/>
    <w:rsid w:val="0064068E"/>
    <w:rsid w:val="006406A9"/>
    <w:rsid w:val="00640750"/>
    <w:rsid w:val="0064078B"/>
    <w:rsid w:val="006407A9"/>
    <w:rsid w:val="006407D5"/>
    <w:rsid w:val="006409DA"/>
    <w:rsid w:val="00640A2C"/>
    <w:rsid w:val="00640A39"/>
    <w:rsid w:val="00640B5B"/>
    <w:rsid w:val="00640BDE"/>
    <w:rsid w:val="00640C49"/>
    <w:rsid w:val="00640C55"/>
    <w:rsid w:val="00640C81"/>
    <w:rsid w:val="00640D2F"/>
    <w:rsid w:val="00640D70"/>
    <w:rsid w:val="00640DC2"/>
    <w:rsid w:val="00640E08"/>
    <w:rsid w:val="00640E59"/>
    <w:rsid w:val="00640E7B"/>
    <w:rsid w:val="00640EE8"/>
    <w:rsid w:val="00640F46"/>
    <w:rsid w:val="00640F4C"/>
    <w:rsid w:val="00640F63"/>
    <w:rsid w:val="00640F8F"/>
    <w:rsid w:val="00640FDA"/>
    <w:rsid w:val="00640FE2"/>
    <w:rsid w:val="0064112E"/>
    <w:rsid w:val="006411A1"/>
    <w:rsid w:val="006411A9"/>
    <w:rsid w:val="00641229"/>
    <w:rsid w:val="0064137D"/>
    <w:rsid w:val="00641384"/>
    <w:rsid w:val="006413CA"/>
    <w:rsid w:val="006414EA"/>
    <w:rsid w:val="006415AD"/>
    <w:rsid w:val="006415BB"/>
    <w:rsid w:val="0064162D"/>
    <w:rsid w:val="006417E7"/>
    <w:rsid w:val="00641831"/>
    <w:rsid w:val="006418D3"/>
    <w:rsid w:val="0064190E"/>
    <w:rsid w:val="0064199D"/>
    <w:rsid w:val="00641A85"/>
    <w:rsid w:val="00641AF8"/>
    <w:rsid w:val="00641B09"/>
    <w:rsid w:val="00641B4D"/>
    <w:rsid w:val="00641D0B"/>
    <w:rsid w:val="00641D34"/>
    <w:rsid w:val="00641D7E"/>
    <w:rsid w:val="00641FCF"/>
    <w:rsid w:val="006420A7"/>
    <w:rsid w:val="0064210B"/>
    <w:rsid w:val="006421BC"/>
    <w:rsid w:val="006421CD"/>
    <w:rsid w:val="006422A3"/>
    <w:rsid w:val="006422D7"/>
    <w:rsid w:val="006423D4"/>
    <w:rsid w:val="00642580"/>
    <w:rsid w:val="006425DF"/>
    <w:rsid w:val="00642611"/>
    <w:rsid w:val="00642838"/>
    <w:rsid w:val="0064287E"/>
    <w:rsid w:val="006428E3"/>
    <w:rsid w:val="006428E6"/>
    <w:rsid w:val="006428FE"/>
    <w:rsid w:val="006429E9"/>
    <w:rsid w:val="00642A11"/>
    <w:rsid w:val="00642A56"/>
    <w:rsid w:val="00642A7A"/>
    <w:rsid w:val="00642AD7"/>
    <w:rsid w:val="00642B50"/>
    <w:rsid w:val="00642BEF"/>
    <w:rsid w:val="00642C5D"/>
    <w:rsid w:val="00642C7C"/>
    <w:rsid w:val="00642D37"/>
    <w:rsid w:val="00642D45"/>
    <w:rsid w:val="00642D54"/>
    <w:rsid w:val="00642DC2"/>
    <w:rsid w:val="00642F5F"/>
    <w:rsid w:val="00643058"/>
    <w:rsid w:val="00643160"/>
    <w:rsid w:val="006431A0"/>
    <w:rsid w:val="006431A9"/>
    <w:rsid w:val="00643216"/>
    <w:rsid w:val="00643353"/>
    <w:rsid w:val="0064338B"/>
    <w:rsid w:val="0064341C"/>
    <w:rsid w:val="00643458"/>
    <w:rsid w:val="0064347F"/>
    <w:rsid w:val="00643556"/>
    <w:rsid w:val="00643584"/>
    <w:rsid w:val="006435BA"/>
    <w:rsid w:val="006436A1"/>
    <w:rsid w:val="00643709"/>
    <w:rsid w:val="0064379C"/>
    <w:rsid w:val="00643A86"/>
    <w:rsid w:val="00643AB4"/>
    <w:rsid w:val="00643B09"/>
    <w:rsid w:val="00643B26"/>
    <w:rsid w:val="00643BC5"/>
    <w:rsid w:val="00643C08"/>
    <w:rsid w:val="00643C69"/>
    <w:rsid w:val="00643CA9"/>
    <w:rsid w:val="00644092"/>
    <w:rsid w:val="006440DE"/>
    <w:rsid w:val="0064427A"/>
    <w:rsid w:val="006442B0"/>
    <w:rsid w:val="006443CC"/>
    <w:rsid w:val="0064449C"/>
    <w:rsid w:val="006444CB"/>
    <w:rsid w:val="006444FD"/>
    <w:rsid w:val="00644537"/>
    <w:rsid w:val="00644A7B"/>
    <w:rsid w:val="00644AB8"/>
    <w:rsid w:val="00644B5B"/>
    <w:rsid w:val="00644C8E"/>
    <w:rsid w:val="00644E73"/>
    <w:rsid w:val="00644EAF"/>
    <w:rsid w:val="00644EC8"/>
    <w:rsid w:val="00644F3D"/>
    <w:rsid w:val="006450A4"/>
    <w:rsid w:val="00645173"/>
    <w:rsid w:val="00645403"/>
    <w:rsid w:val="00645480"/>
    <w:rsid w:val="0064557F"/>
    <w:rsid w:val="00645692"/>
    <w:rsid w:val="0064579B"/>
    <w:rsid w:val="006457B9"/>
    <w:rsid w:val="00645862"/>
    <w:rsid w:val="006459C7"/>
    <w:rsid w:val="006459EE"/>
    <w:rsid w:val="00645A48"/>
    <w:rsid w:val="00645AAB"/>
    <w:rsid w:val="00645AD0"/>
    <w:rsid w:val="00645B88"/>
    <w:rsid w:val="00645C60"/>
    <w:rsid w:val="00645CBE"/>
    <w:rsid w:val="00645D5E"/>
    <w:rsid w:val="00645D82"/>
    <w:rsid w:val="00645EF8"/>
    <w:rsid w:val="00646192"/>
    <w:rsid w:val="00646374"/>
    <w:rsid w:val="006464E3"/>
    <w:rsid w:val="006464EF"/>
    <w:rsid w:val="0064658F"/>
    <w:rsid w:val="00646641"/>
    <w:rsid w:val="006466C1"/>
    <w:rsid w:val="006467F4"/>
    <w:rsid w:val="0064680B"/>
    <w:rsid w:val="0064689A"/>
    <w:rsid w:val="0064695A"/>
    <w:rsid w:val="0064696B"/>
    <w:rsid w:val="006469B9"/>
    <w:rsid w:val="00646A8E"/>
    <w:rsid w:val="00646BEA"/>
    <w:rsid w:val="00646C0C"/>
    <w:rsid w:val="00646C45"/>
    <w:rsid w:val="00646D70"/>
    <w:rsid w:val="00646E19"/>
    <w:rsid w:val="00646F53"/>
    <w:rsid w:val="00647002"/>
    <w:rsid w:val="00647017"/>
    <w:rsid w:val="006471F3"/>
    <w:rsid w:val="0064721F"/>
    <w:rsid w:val="006472E4"/>
    <w:rsid w:val="006472E8"/>
    <w:rsid w:val="006473CF"/>
    <w:rsid w:val="0064748E"/>
    <w:rsid w:val="006474CC"/>
    <w:rsid w:val="006474CF"/>
    <w:rsid w:val="00647568"/>
    <w:rsid w:val="00647628"/>
    <w:rsid w:val="00647713"/>
    <w:rsid w:val="00647849"/>
    <w:rsid w:val="00647857"/>
    <w:rsid w:val="006478E1"/>
    <w:rsid w:val="0064791F"/>
    <w:rsid w:val="00647966"/>
    <w:rsid w:val="006479FA"/>
    <w:rsid w:val="00647A31"/>
    <w:rsid w:val="00647A7F"/>
    <w:rsid w:val="00647AA3"/>
    <w:rsid w:val="00647B7A"/>
    <w:rsid w:val="00647B7F"/>
    <w:rsid w:val="00647BDB"/>
    <w:rsid w:val="00647C50"/>
    <w:rsid w:val="00647CEC"/>
    <w:rsid w:val="00647EC1"/>
    <w:rsid w:val="00647EC7"/>
    <w:rsid w:val="00647F69"/>
    <w:rsid w:val="00647FC7"/>
    <w:rsid w:val="0065001A"/>
    <w:rsid w:val="0065004F"/>
    <w:rsid w:val="0065011A"/>
    <w:rsid w:val="00650130"/>
    <w:rsid w:val="0065017A"/>
    <w:rsid w:val="006501FC"/>
    <w:rsid w:val="006502ED"/>
    <w:rsid w:val="00650450"/>
    <w:rsid w:val="006504B6"/>
    <w:rsid w:val="0065053E"/>
    <w:rsid w:val="00650566"/>
    <w:rsid w:val="00650664"/>
    <w:rsid w:val="00650667"/>
    <w:rsid w:val="0065071D"/>
    <w:rsid w:val="00650725"/>
    <w:rsid w:val="00650773"/>
    <w:rsid w:val="006507E5"/>
    <w:rsid w:val="00650837"/>
    <w:rsid w:val="006508A3"/>
    <w:rsid w:val="0065093A"/>
    <w:rsid w:val="00650AFE"/>
    <w:rsid w:val="00650B6C"/>
    <w:rsid w:val="00650C46"/>
    <w:rsid w:val="00650CB9"/>
    <w:rsid w:val="00650E16"/>
    <w:rsid w:val="00650E3D"/>
    <w:rsid w:val="00650F22"/>
    <w:rsid w:val="00650F34"/>
    <w:rsid w:val="00651045"/>
    <w:rsid w:val="006510BE"/>
    <w:rsid w:val="006510F4"/>
    <w:rsid w:val="00651110"/>
    <w:rsid w:val="006511C5"/>
    <w:rsid w:val="006512C2"/>
    <w:rsid w:val="0065140B"/>
    <w:rsid w:val="0065162A"/>
    <w:rsid w:val="00651858"/>
    <w:rsid w:val="006518C4"/>
    <w:rsid w:val="00651942"/>
    <w:rsid w:val="0065198F"/>
    <w:rsid w:val="006519AB"/>
    <w:rsid w:val="00651A59"/>
    <w:rsid w:val="00651A73"/>
    <w:rsid w:val="00651AB4"/>
    <w:rsid w:val="00651B9D"/>
    <w:rsid w:val="00651C59"/>
    <w:rsid w:val="00651D66"/>
    <w:rsid w:val="00651D7D"/>
    <w:rsid w:val="00651E4B"/>
    <w:rsid w:val="00651F51"/>
    <w:rsid w:val="00651F6F"/>
    <w:rsid w:val="00651F81"/>
    <w:rsid w:val="0065201E"/>
    <w:rsid w:val="006520AB"/>
    <w:rsid w:val="006520DC"/>
    <w:rsid w:val="0065211D"/>
    <w:rsid w:val="006522DC"/>
    <w:rsid w:val="00652375"/>
    <w:rsid w:val="0065242F"/>
    <w:rsid w:val="00652679"/>
    <w:rsid w:val="00652721"/>
    <w:rsid w:val="00652729"/>
    <w:rsid w:val="0065273E"/>
    <w:rsid w:val="0065274D"/>
    <w:rsid w:val="006527AF"/>
    <w:rsid w:val="0065285E"/>
    <w:rsid w:val="00652893"/>
    <w:rsid w:val="006528B0"/>
    <w:rsid w:val="0065293A"/>
    <w:rsid w:val="00652944"/>
    <w:rsid w:val="006529B7"/>
    <w:rsid w:val="00652BAD"/>
    <w:rsid w:val="00652BF4"/>
    <w:rsid w:val="00652C52"/>
    <w:rsid w:val="00652DB9"/>
    <w:rsid w:val="00652E72"/>
    <w:rsid w:val="00652ED8"/>
    <w:rsid w:val="00652FB7"/>
    <w:rsid w:val="0065306D"/>
    <w:rsid w:val="00653082"/>
    <w:rsid w:val="006530A1"/>
    <w:rsid w:val="006530C2"/>
    <w:rsid w:val="006530F7"/>
    <w:rsid w:val="0065314C"/>
    <w:rsid w:val="00653204"/>
    <w:rsid w:val="006532A7"/>
    <w:rsid w:val="006532B5"/>
    <w:rsid w:val="00653366"/>
    <w:rsid w:val="006534AC"/>
    <w:rsid w:val="0065355E"/>
    <w:rsid w:val="006535AC"/>
    <w:rsid w:val="006535B0"/>
    <w:rsid w:val="0065366E"/>
    <w:rsid w:val="0065369D"/>
    <w:rsid w:val="006536BB"/>
    <w:rsid w:val="00653826"/>
    <w:rsid w:val="00653934"/>
    <w:rsid w:val="00653935"/>
    <w:rsid w:val="006539BC"/>
    <w:rsid w:val="006539D2"/>
    <w:rsid w:val="006539DC"/>
    <w:rsid w:val="006539F0"/>
    <w:rsid w:val="00653BED"/>
    <w:rsid w:val="00653C3F"/>
    <w:rsid w:val="00653D34"/>
    <w:rsid w:val="00653F6B"/>
    <w:rsid w:val="00654078"/>
    <w:rsid w:val="006540FB"/>
    <w:rsid w:val="00654175"/>
    <w:rsid w:val="0065421A"/>
    <w:rsid w:val="00654245"/>
    <w:rsid w:val="006542A0"/>
    <w:rsid w:val="006542AD"/>
    <w:rsid w:val="006544A7"/>
    <w:rsid w:val="006545A5"/>
    <w:rsid w:val="0065461C"/>
    <w:rsid w:val="00654720"/>
    <w:rsid w:val="00654779"/>
    <w:rsid w:val="00654846"/>
    <w:rsid w:val="00654851"/>
    <w:rsid w:val="006548C6"/>
    <w:rsid w:val="00654939"/>
    <w:rsid w:val="0065495D"/>
    <w:rsid w:val="006549A4"/>
    <w:rsid w:val="00654A1F"/>
    <w:rsid w:val="00654E02"/>
    <w:rsid w:val="00654E54"/>
    <w:rsid w:val="00654FA1"/>
    <w:rsid w:val="0065510A"/>
    <w:rsid w:val="0065521D"/>
    <w:rsid w:val="00655268"/>
    <w:rsid w:val="006552EB"/>
    <w:rsid w:val="00655315"/>
    <w:rsid w:val="00655409"/>
    <w:rsid w:val="0065547A"/>
    <w:rsid w:val="0065550A"/>
    <w:rsid w:val="00655571"/>
    <w:rsid w:val="00655591"/>
    <w:rsid w:val="006555D2"/>
    <w:rsid w:val="006555F7"/>
    <w:rsid w:val="006559B9"/>
    <w:rsid w:val="00655AEC"/>
    <w:rsid w:val="00655B75"/>
    <w:rsid w:val="00655BBD"/>
    <w:rsid w:val="00655BFA"/>
    <w:rsid w:val="00655C62"/>
    <w:rsid w:val="00655C97"/>
    <w:rsid w:val="00655CFA"/>
    <w:rsid w:val="00655D9A"/>
    <w:rsid w:val="00655D9C"/>
    <w:rsid w:val="00655E3D"/>
    <w:rsid w:val="00655E84"/>
    <w:rsid w:val="00655E93"/>
    <w:rsid w:val="00655EAB"/>
    <w:rsid w:val="00655ED3"/>
    <w:rsid w:val="00655F35"/>
    <w:rsid w:val="00655FE7"/>
    <w:rsid w:val="0065602B"/>
    <w:rsid w:val="0065604C"/>
    <w:rsid w:val="00656076"/>
    <w:rsid w:val="00656089"/>
    <w:rsid w:val="006562F9"/>
    <w:rsid w:val="00656473"/>
    <w:rsid w:val="00656975"/>
    <w:rsid w:val="00656B1D"/>
    <w:rsid w:val="00656BB7"/>
    <w:rsid w:val="00656C3D"/>
    <w:rsid w:val="00656CB9"/>
    <w:rsid w:val="00656CC9"/>
    <w:rsid w:val="00656D64"/>
    <w:rsid w:val="00656DF6"/>
    <w:rsid w:val="00656E1C"/>
    <w:rsid w:val="00656F8A"/>
    <w:rsid w:val="00656FE6"/>
    <w:rsid w:val="00657091"/>
    <w:rsid w:val="006570CC"/>
    <w:rsid w:val="006573F9"/>
    <w:rsid w:val="0065753B"/>
    <w:rsid w:val="0065758F"/>
    <w:rsid w:val="0065767F"/>
    <w:rsid w:val="00657682"/>
    <w:rsid w:val="00657793"/>
    <w:rsid w:val="00657811"/>
    <w:rsid w:val="00657848"/>
    <w:rsid w:val="00657990"/>
    <w:rsid w:val="006579CA"/>
    <w:rsid w:val="00657BFB"/>
    <w:rsid w:val="00657D91"/>
    <w:rsid w:val="00657E01"/>
    <w:rsid w:val="00657E6A"/>
    <w:rsid w:val="00657FB4"/>
    <w:rsid w:val="0066005A"/>
    <w:rsid w:val="00660297"/>
    <w:rsid w:val="006602FF"/>
    <w:rsid w:val="006603CC"/>
    <w:rsid w:val="00660407"/>
    <w:rsid w:val="00660465"/>
    <w:rsid w:val="00660496"/>
    <w:rsid w:val="006605A0"/>
    <w:rsid w:val="0066065B"/>
    <w:rsid w:val="006606E2"/>
    <w:rsid w:val="006606F2"/>
    <w:rsid w:val="00660723"/>
    <w:rsid w:val="00660724"/>
    <w:rsid w:val="0066074A"/>
    <w:rsid w:val="006607AB"/>
    <w:rsid w:val="006607FD"/>
    <w:rsid w:val="006608A0"/>
    <w:rsid w:val="00660AA1"/>
    <w:rsid w:val="00660AD1"/>
    <w:rsid w:val="00660C50"/>
    <w:rsid w:val="00660C99"/>
    <w:rsid w:val="00660D02"/>
    <w:rsid w:val="00660ED6"/>
    <w:rsid w:val="00660EDB"/>
    <w:rsid w:val="00660F14"/>
    <w:rsid w:val="00661000"/>
    <w:rsid w:val="006610FE"/>
    <w:rsid w:val="0066114F"/>
    <w:rsid w:val="00661223"/>
    <w:rsid w:val="006613AD"/>
    <w:rsid w:val="00661697"/>
    <w:rsid w:val="006616EB"/>
    <w:rsid w:val="006616F4"/>
    <w:rsid w:val="006616F6"/>
    <w:rsid w:val="0066171F"/>
    <w:rsid w:val="006617F6"/>
    <w:rsid w:val="00661975"/>
    <w:rsid w:val="00661989"/>
    <w:rsid w:val="00661B36"/>
    <w:rsid w:val="00661B6C"/>
    <w:rsid w:val="00661BD0"/>
    <w:rsid w:val="00661C21"/>
    <w:rsid w:val="00661CFB"/>
    <w:rsid w:val="00661DE2"/>
    <w:rsid w:val="00661F2C"/>
    <w:rsid w:val="00661FCD"/>
    <w:rsid w:val="00662135"/>
    <w:rsid w:val="00662186"/>
    <w:rsid w:val="006621DD"/>
    <w:rsid w:val="0066227A"/>
    <w:rsid w:val="006622E7"/>
    <w:rsid w:val="00662312"/>
    <w:rsid w:val="006623DC"/>
    <w:rsid w:val="006624B4"/>
    <w:rsid w:val="0066252B"/>
    <w:rsid w:val="0066253A"/>
    <w:rsid w:val="0066260B"/>
    <w:rsid w:val="0066269B"/>
    <w:rsid w:val="006626DA"/>
    <w:rsid w:val="0066274F"/>
    <w:rsid w:val="006627A1"/>
    <w:rsid w:val="00662820"/>
    <w:rsid w:val="006628F3"/>
    <w:rsid w:val="006629CA"/>
    <w:rsid w:val="00662A60"/>
    <w:rsid w:val="00662B38"/>
    <w:rsid w:val="00662C67"/>
    <w:rsid w:val="00662F2E"/>
    <w:rsid w:val="0066307A"/>
    <w:rsid w:val="00663140"/>
    <w:rsid w:val="00663149"/>
    <w:rsid w:val="006631A8"/>
    <w:rsid w:val="006631CB"/>
    <w:rsid w:val="0066320D"/>
    <w:rsid w:val="00663232"/>
    <w:rsid w:val="00663248"/>
    <w:rsid w:val="006632E0"/>
    <w:rsid w:val="0066334D"/>
    <w:rsid w:val="0066335C"/>
    <w:rsid w:val="0066336B"/>
    <w:rsid w:val="00663459"/>
    <w:rsid w:val="00663561"/>
    <w:rsid w:val="0066363B"/>
    <w:rsid w:val="006637C9"/>
    <w:rsid w:val="006637F9"/>
    <w:rsid w:val="006638DF"/>
    <w:rsid w:val="0066391B"/>
    <w:rsid w:val="0066393E"/>
    <w:rsid w:val="00663A00"/>
    <w:rsid w:val="00663A14"/>
    <w:rsid w:val="00663B13"/>
    <w:rsid w:val="00663B2D"/>
    <w:rsid w:val="00663BD0"/>
    <w:rsid w:val="00663CD9"/>
    <w:rsid w:val="00663D6E"/>
    <w:rsid w:val="00663E4A"/>
    <w:rsid w:val="00663E65"/>
    <w:rsid w:val="00663EB2"/>
    <w:rsid w:val="00663F3C"/>
    <w:rsid w:val="00663F3E"/>
    <w:rsid w:val="006640F7"/>
    <w:rsid w:val="00664122"/>
    <w:rsid w:val="0066417E"/>
    <w:rsid w:val="006641AF"/>
    <w:rsid w:val="00664211"/>
    <w:rsid w:val="00664271"/>
    <w:rsid w:val="006642B4"/>
    <w:rsid w:val="006643C2"/>
    <w:rsid w:val="006645E9"/>
    <w:rsid w:val="006647C7"/>
    <w:rsid w:val="00664809"/>
    <w:rsid w:val="0066480E"/>
    <w:rsid w:val="0066481A"/>
    <w:rsid w:val="00664954"/>
    <w:rsid w:val="006649C7"/>
    <w:rsid w:val="006649CE"/>
    <w:rsid w:val="00664A5A"/>
    <w:rsid w:val="00664A6E"/>
    <w:rsid w:val="00664AD7"/>
    <w:rsid w:val="00664BB1"/>
    <w:rsid w:val="00664CF1"/>
    <w:rsid w:val="00664EED"/>
    <w:rsid w:val="00664FEE"/>
    <w:rsid w:val="00664FF3"/>
    <w:rsid w:val="0066506F"/>
    <w:rsid w:val="006650BA"/>
    <w:rsid w:val="00665126"/>
    <w:rsid w:val="006651AD"/>
    <w:rsid w:val="00665419"/>
    <w:rsid w:val="0066542A"/>
    <w:rsid w:val="00665433"/>
    <w:rsid w:val="00665477"/>
    <w:rsid w:val="006654D9"/>
    <w:rsid w:val="006655CB"/>
    <w:rsid w:val="006655F1"/>
    <w:rsid w:val="00665665"/>
    <w:rsid w:val="00665944"/>
    <w:rsid w:val="0066597B"/>
    <w:rsid w:val="00665AB6"/>
    <w:rsid w:val="00665B31"/>
    <w:rsid w:val="00665BB3"/>
    <w:rsid w:val="00665BE6"/>
    <w:rsid w:val="00665DA5"/>
    <w:rsid w:val="00665E5B"/>
    <w:rsid w:val="00665E74"/>
    <w:rsid w:val="00665F69"/>
    <w:rsid w:val="0066606D"/>
    <w:rsid w:val="006660B2"/>
    <w:rsid w:val="006661D8"/>
    <w:rsid w:val="0066627C"/>
    <w:rsid w:val="006662A6"/>
    <w:rsid w:val="006662AA"/>
    <w:rsid w:val="006662DD"/>
    <w:rsid w:val="0066638D"/>
    <w:rsid w:val="00666423"/>
    <w:rsid w:val="006664BF"/>
    <w:rsid w:val="0066659D"/>
    <w:rsid w:val="006665DC"/>
    <w:rsid w:val="0066664A"/>
    <w:rsid w:val="00666674"/>
    <w:rsid w:val="0066672B"/>
    <w:rsid w:val="006668A7"/>
    <w:rsid w:val="006668FE"/>
    <w:rsid w:val="0066695E"/>
    <w:rsid w:val="00666A02"/>
    <w:rsid w:val="00666B91"/>
    <w:rsid w:val="00666BC8"/>
    <w:rsid w:val="00666C23"/>
    <w:rsid w:val="00666C7F"/>
    <w:rsid w:val="00666D8B"/>
    <w:rsid w:val="00666E34"/>
    <w:rsid w:val="00666F3D"/>
    <w:rsid w:val="00667003"/>
    <w:rsid w:val="00667189"/>
    <w:rsid w:val="006671F4"/>
    <w:rsid w:val="00667327"/>
    <w:rsid w:val="006673B6"/>
    <w:rsid w:val="006673E5"/>
    <w:rsid w:val="00667450"/>
    <w:rsid w:val="0066745C"/>
    <w:rsid w:val="006674F6"/>
    <w:rsid w:val="00667662"/>
    <w:rsid w:val="00667787"/>
    <w:rsid w:val="006677F1"/>
    <w:rsid w:val="00667852"/>
    <w:rsid w:val="006678C4"/>
    <w:rsid w:val="006678D5"/>
    <w:rsid w:val="0066793B"/>
    <w:rsid w:val="00667994"/>
    <w:rsid w:val="006679B9"/>
    <w:rsid w:val="00667B4E"/>
    <w:rsid w:val="00667B55"/>
    <w:rsid w:val="00667BC6"/>
    <w:rsid w:val="00667C0A"/>
    <w:rsid w:val="00667C48"/>
    <w:rsid w:val="00667D90"/>
    <w:rsid w:val="00667E0B"/>
    <w:rsid w:val="00667E76"/>
    <w:rsid w:val="00667EA4"/>
    <w:rsid w:val="00667F6B"/>
    <w:rsid w:val="00667F80"/>
    <w:rsid w:val="00667FC5"/>
    <w:rsid w:val="00667FCC"/>
    <w:rsid w:val="0067008D"/>
    <w:rsid w:val="006700DD"/>
    <w:rsid w:val="006700E5"/>
    <w:rsid w:val="00670160"/>
    <w:rsid w:val="006701AA"/>
    <w:rsid w:val="00670217"/>
    <w:rsid w:val="00670367"/>
    <w:rsid w:val="00670383"/>
    <w:rsid w:val="00670623"/>
    <w:rsid w:val="006706CD"/>
    <w:rsid w:val="0067086E"/>
    <w:rsid w:val="00670942"/>
    <w:rsid w:val="00670A1A"/>
    <w:rsid w:val="00670B48"/>
    <w:rsid w:val="00670B8C"/>
    <w:rsid w:val="00670CB4"/>
    <w:rsid w:val="00670D2F"/>
    <w:rsid w:val="00670DDD"/>
    <w:rsid w:val="00670DF3"/>
    <w:rsid w:val="00670EC3"/>
    <w:rsid w:val="00670F41"/>
    <w:rsid w:val="00670FBE"/>
    <w:rsid w:val="00671046"/>
    <w:rsid w:val="0067108B"/>
    <w:rsid w:val="0067147B"/>
    <w:rsid w:val="0067151B"/>
    <w:rsid w:val="0067168A"/>
    <w:rsid w:val="00671726"/>
    <w:rsid w:val="0067198E"/>
    <w:rsid w:val="00671A74"/>
    <w:rsid w:val="00671B05"/>
    <w:rsid w:val="00671B63"/>
    <w:rsid w:val="00671C46"/>
    <w:rsid w:val="00671D8C"/>
    <w:rsid w:val="00671DD2"/>
    <w:rsid w:val="00671EAA"/>
    <w:rsid w:val="0067207D"/>
    <w:rsid w:val="006720B9"/>
    <w:rsid w:val="00672174"/>
    <w:rsid w:val="00672243"/>
    <w:rsid w:val="00672275"/>
    <w:rsid w:val="0067227C"/>
    <w:rsid w:val="00672384"/>
    <w:rsid w:val="00672399"/>
    <w:rsid w:val="006723BA"/>
    <w:rsid w:val="00672406"/>
    <w:rsid w:val="00672624"/>
    <w:rsid w:val="00672640"/>
    <w:rsid w:val="006727B0"/>
    <w:rsid w:val="00672835"/>
    <w:rsid w:val="0067287F"/>
    <w:rsid w:val="00672900"/>
    <w:rsid w:val="00672923"/>
    <w:rsid w:val="00672975"/>
    <w:rsid w:val="006729DB"/>
    <w:rsid w:val="00672A33"/>
    <w:rsid w:val="00672A55"/>
    <w:rsid w:val="00672A6E"/>
    <w:rsid w:val="00672C07"/>
    <w:rsid w:val="00672C73"/>
    <w:rsid w:val="00672C98"/>
    <w:rsid w:val="00672D45"/>
    <w:rsid w:val="00672D8D"/>
    <w:rsid w:val="00672DE0"/>
    <w:rsid w:val="00672E97"/>
    <w:rsid w:val="00672F25"/>
    <w:rsid w:val="00672FE6"/>
    <w:rsid w:val="0067302E"/>
    <w:rsid w:val="006731F1"/>
    <w:rsid w:val="006732BA"/>
    <w:rsid w:val="00673308"/>
    <w:rsid w:val="00673396"/>
    <w:rsid w:val="006733D5"/>
    <w:rsid w:val="00673411"/>
    <w:rsid w:val="00673730"/>
    <w:rsid w:val="006737D7"/>
    <w:rsid w:val="006738B8"/>
    <w:rsid w:val="006738EF"/>
    <w:rsid w:val="006738F4"/>
    <w:rsid w:val="00673902"/>
    <w:rsid w:val="0067390A"/>
    <w:rsid w:val="00673A91"/>
    <w:rsid w:val="00673C44"/>
    <w:rsid w:val="00673C65"/>
    <w:rsid w:val="00673C75"/>
    <w:rsid w:val="00673C7C"/>
    <w:rsid w:val="00673CBF"/>
    <w:rsid w:val="00673D59"/>
    <w:rsid w:val="00673DBF"/>
    <w:rsid w:val="00673DC1"/>
    <w:rsid w:val="00673F07"/>
    <w:rsid w:val="00673F1B"/>
    <w:rsid w:val="00673FE6"/>
    <w:rsid w:val="006741AB"/>
    <w:rsid w:val="006742C6"/>
    <w:rsid w:val="0067444F"/>
    <w:rsid w:val="00674641"/>
    <w:rsid w:val="006746A1"/>
    <w:rsid w:val="00674864"/>
    <w:rsid w:val="006748BB"/>
    <w:rsid w:val="0067490E"/>
    <w:rsid w:val="0067497E"/>
    <w:rsid w:val="0067499E"/>
    <w:rsid w:val="006749E0"/>
    <w:rsid w:val="006749E5"/>
    <w:rsid w:val="00674A4E"/>
    <w:rsid w:val="00674B1E"/>
    <w:rsid w:val="00674BFC"/>
    <w:rsid w:val="00674C98"/>
    <w:rsid w:val="00674CBC"/>
    <w:rsid w:val="00674D93"/>
    <w:rsid w:val="00674DAF"/>
    <w:rsid w:val="00674E2B"/>
    <w:rsid w:val="00674EAB"/>
    <w:rsid w:val="00674EF6"/>
    <w:rsid w:val="00674F1D"/>
    <w:rsid w:val="00675231"/>
    <w:rsid w:val="006752FD"/>
    <w:rsid w:val="0067538E"/>
    <w:rsid w:val="00675399"/>
    <w:rsid w:val="006753AA"/>
    <w:rsid w:val="00675434"/>
    <w:rsid w:val="00675452"/>
    <w:rsid w:val="00675482"/>
    <w:rsid w:val="006754FA"/>
    <w:rsid w:val="00675568"/>
    <w:rsid w:val="00675754"/>
    <w:rsid w:val="00675B0B"/>
    <w:rsid w:val="00675D56"/>
    <w:rsid w:val="00675DA0"/>
    <w:rsid w:val="00675DB3"/>
    <w:rsid w:val="00675E14"/>
    <w:rsid w:val="00675FBA"/>
    <w:rsid w:val="00675FCF"/>
    <w:rsid w:val="0067602F"/>
    <w:rsid w:val="0067621A"/>
    <w:rsid w:val="00676315"/>
    <w:rsid w:val="00676391"/>
    <w:rsid w:val="006763FB"/>
    <w:rsid w:val="00676407"/>
    <w:rsid w:val="0067641D"/>
    <w:rsid w:val="0067643A"/>
    <w:rsid w:val="006764CF"/>
    <w:rsid w:val="006765D7"/>
    <w:rsid w:val="00676615"/>
    <w:rsid w:val="00676728"/>
    <w:rsid w:val="0067677B"/>
    <w:rsid w:val="006767C3"/>
    <w:rsid w:val="006768F9"/>
    <w:rsid w:val="00676AEF"/>
    <w:rsid w:val="00676B17"/>
    <w:rsid w:val="00676B6A"/>
    <w:rsid w:val="00676BB3"/>
    <w:rsid w:val="00676DDD"/>
    <w:rsid w:val="00676DFA"/>
    <w:rsid w:val="00676E13"/>
    <w:rsid w:val="00676F8B"/>
    <w:rsid w:val="006770B7"/>
    <w:rsid w:val="00677278"/>
    <w:rsid w:val="006773B0"/>
    <w:rsid w:val="006775EA"/>
    <w:rsid w:val="006776DB"/>
    <w:rsid w:val="006776E7"/>
    <w:rsid w:val="006776F1"/>
    <w:rsid w:val="0067773E"/>
    <w:rsid w:val="0067779B"/>
    <w:rsid w:val="006777F8"/>
    <w:rsid w:val="0067797D"/>
    <w:rsid w:val="00677A53"/>
    <w:rsid w:val="00677A5A"/>
    <w:rsid w:val="00677A76"/>
    <w:rsid w:val="00677B38"/>
    <w:rsid w:val="00677B71"/>
    <w:rsid w:val="00677BB0"/>
    <w:rsid w:val="00677BDD"/>
    <w:rsid w:val="00677CEA"/>
    <w:rsid w:val="00677D2D"/>
    <w:rsid w:val="00677D4A"/>
    <w:rsid w:val="00677D55"/>
    <w:rsid w:val="00677F34"/>
    <w:rsid w:val="00677F42"/>
    <w:rsid w:val="00677F4E"/>
    <w:rsid w:val="00677F8A"/>
    <w:rsid w:val="00677FC4"/>
    <w:rsid w:val="00680132"/>
    <w:rsid w:val="0068015D"/>
    <w:rsid w:val="006802C8"/>
    <w:rsid w:val="006802FA"/>
    <w:rsid w:val="00680377"/>
    <w:rsid w:val="0068037D"/>
    <w:rsid w:val="006803BE"/>
    <w:rsid w:val="0068045D"/>
    <w:rsid w:val="00680550"/>
    <w:rsid w:val="006805B0"/>
    <w:rsid w:val="00680793"/>
    <w:rsid w:val="0068087B"/>
    <w:rsid w:val="0068094F"/>
    <w:rsid w:val="00680A67"/>
    <w:rsid w:val="00680AF3"/>
    <w:rsid w:val="00680AFF"/>
    <w:rsid w:val="00680B2A"/>
    <w:rsid w:val="00680BB7"/>
    <w:rsid w:val="00680BC7"/>
    <w:rsid w:val="00680C30"/>
    <w:rsid w:val="00680D1C"/>
    <w:rsid w:val="00680D77"/>
    <w:rsid w:val="00680EA0"/>
    <w:rsid w:val="00680F41"/>
    <w:rsid w:val="00680F68"/>
    <w:rsid w:val="00680FC4"/>
    <w:rsid w:val="00680FC6"/>
    <w:rsid w:val="00680FE8"/>
    <w:rsid w:val="006810D7"/>
    <w:rsid w:val="006810F8"/>
    <w:rsid w:val="00681198"/>
    <w:rsid w:val="006811EA"/>
    <w:rsid w:val="00681340"/>
    <w:rsid w:val="00681347"/>
    <w:rsid w:val="00681379"/>
    <w:rsid w:val="006813CD"/>
    <w:rsid w:val="00681451"/>
    <w:rsid w:val="006814BE"/>
    <w:rsid w:val="00681639"/>
    <w:rsid w:val="0068163F"/>
    <w:rsid w:val="00681683"/>
    <w:rsid w:val="006816C6"/>
    <w:rsid w:val="00681705"/>
    <w:rsid w:val="00681862"/>
    <w:rsid w:val="00681937"/>
    <w:rsid w:val="00681986"/>
    <w:rsid w:val="00681A4A"/>
    <w:rsid w:val="00681A80"/>
    <w:rsid w:val="00681B5C"/>
    <w:rsid w:val="00681B79"/>
    <w:rsid w:val="00681C89"/>
    <w:rsid w:val="00681CA1"/>
    <w:rsid w:val="00681CE6"/>
    <w:rsid w:val="00681CF6"/>
    <w:rsid w:val="00681D5E"/>
    <w:rsid w:val="00681E03"/>
    <w:rsid w:val="00681E27"/>
    <w:rsid w:val="00681E99"/>
    <w:rsid w:val="00681EBE"/>
    <w:rsid w:val="00681F39"/>
    <w:rsid w:val="00681F62"/>
    <w:rsid w:val="00682204"/>
    <w:rsid w:val="00682260"/>
    <w:rsid w:val="006822B0"/>
    <w:rsid w:val="00682391"/>
    <w:rsid w:val="006823BB"/>
    <w:rsid w:val="0068255F"/>
    <w:rsid w:val="00682600"/>
    <w:rsid w:val="006826BA"/>
    <w:rsid w:val="00682706"/>
    <w:rsid w:val="0068272F"/>
    <w:rsid w:val="0068276C"/>
    <w:rsid w:val="00682827"/>
    <w:rsid w:val="00682943"/>
    <w:rsid w:val="00682968"/>
    <w:rsid w:val="0068297E"/>
    <w:rsid w:val="00682986"/>
    <w:rsid w:val="00682A66"/>
    <w:rsid w:val="00682A80"/>
    <w:rsid w:val="00682B47"/>
    <w:rsid w:val="00682BE7"/>
    <w:rsid w:val="00682CAC"/>
    <w:rsid w:val="00682CC0"/>
    <w:rsid w:val="00682E61"/>
    <w:rsid w:val="00682F9E"/>
    <w:rsid w:val="00682FE9"/>
    <w:rsid w:val="006830DE"/>
    <w:rsid w:val="0068313F"/>
    <w:rsid w:val="006832B7"/>
    <w:rsid w:val="006832C8"/>
    <w:rsid w:val="006832DC"/>
    <w:rsid w:val="006832E2"/>
    <w:rsid w:val="00683331"/>
    <w:rsid w:val="006834A2"/>
    <w:rsid w:val="0068356C"/>
    <w:rsid w:val="006835A1"/>
    <w:rsid w:val="0068362F"/>
    <w:rsid w:val="006836B3"/>
    <w:rsid w:val="006836D5"/>
    <w:rsid w:val="006836EE"/>
    <w:rsid w:val="00683713"/>
    <w:rsid w:val="0068373C"/>
    <w:rsid w:val="006837B9"/>
    <w:rsid w:val="00683856"/>
    <w:rsid w:val="00683945"/>
    <w:rsid w:val="00683AB2"/>
    <w:rsid w:val="00683AED"/>
    <w:rsid w:val="00683B26"/>
    <w:rsid w:val="00683B40"/>
    <w:rsid w:val="00683BB3"/>
    <w:rsid w:val="00683C4D"/>
    <w:rsid w:val="00683C79"/>
    <w:rsid w:val="00683DB2"/>
    <w:rsid w:val="00683EAC"/>
    <w:rsid w:val="00683EAD"/>
    <w:rsid w:val="00683F17"/>
    <w:rsid w:val="00683FE4"/>
    <w:rsid w:val="00683FEF"/>
    <w:rsid w:val="00684095"/>
    <w:rsid w:val="0068409B"/>
    <w:rsid w:val="0068412E"/>
    <w:rsid w:val="0068417A"/>
    <w:rsid w:val="006841D2"/>
    <w:rsid w:val="00684241"/>
    <w:rsid w:val="00684290"/>
    <w:rsid w:val="006842E8"/>
    <w:rsid w:val="0068431F"/>
    <w:rsid w:val="00684387"/>
    <w:rsid w:val="0068450E"/>
    <w:rsid w:val="00684524"/>
    <w:rsid w:val="00684588"/>
    <w:rsid w:val="006845CC"/>
    <w:rsid w:val="00684624"/>
    <w:rsid w:val="0068462C"/>
    <w:rsid w:val="006847C6"/>
    <w:rsid w:val="006847DF"/>
    <w:rsid w:val="00684851"/>
    <w:rsid w:val="0068489C"/>
    <w:rsid w:val="00684998"/>
    <w:rsid w:val="00684B0D"/>
    <w:rsid w:val="00684B7D"/>
    <w:rsid w:val="00684BD8"/>
    <w:rsid w:val="00684C01"/>
    <w:rsid w:val="00684CA1"/>
    <w:rsid w:val="00684D47"/>
    <w:rsid w:val="00684D67"/>
    <w:rsid w:val="00684D8E"/>
    <w:rsid w:val="0068500D"/>
    <w:rsid w:val="0068505B"/>
    <w:rsid w:val="00685063"/>
    <w:rsid w:val="006850DF"/>
    <w:rsid w:val="00685164"/>
    <w:rsid w:val="00685186"/>
    <w:rsid w:val="00685221"/>
    <w:rsid w:val="00685243"/>
    <w:rsid w:val="006852B7"/>
    <w:rsid w:val="006852D2"/>
    <w:rsid w:val="00685365"/>
    <w:rsid w:val="006853A0"/>
    <w:rsid w:val="00685512"/>
    <w:rsid w:val="00685514"/>
    <w:rsid w:val="006855FB"/>
    <w:rsid w:val="00685603"/>
    <w:rsid w:val="006857C9"/>
    <w:rsid w:val="006858C5"/>
    <w:rsid w:val="00685912"/>
    <w:rsid w:val="0068592F"/>
    <w:rsid w:val="006859B3"/>
    <w:rsid w:val="00685A16"/>
    <w:rsid w:val="00685AFA"/>
    <w:rsid w:val="00685BB8"/>
    <w:rsid w:val="00685DCA"/>
    <w:rsid w:val="00685DCD"/>
    <w:rsid w:val="00685E0E"/>
    <w:rsid w:val="00685E74"/>
    <w:rsid w:val="00685F14"/>
    <w:rsid w:val="00685F3F"/>
    <w:rsid w:val="00686008"/>
    <w:rsid w:val="00686015"/>
    <w:rsid w:val="0068608C"/>
    <w:rsid w:val="00686127"/>
    <w:rsid w:val="006862FF"/>
    <w:rsid w:val="0068634E"/>
    <w:rsid w:val="006863CB"/>
    <w:rsid w:val="00686405"/>
    <w:rsid w:val="006865E7"/>
    <w:rsid w:val="00686628"/>
    <w:rsid w:val="006866C4"/>
    <w:rsid w:val="006866EA"/>
    <w:rsid w:val="00686764"/>
    <w:rsid w:val="00686841"/>
    <w:rsid w:val="0068687F"/>
    <w:rsid w:val="00686981"/>
    <w:rsid w:val="006869ED"/>
    <w:rsid w:val="00686A06"/>
    <w:rsid w:val="00686A2B"/>
    <w:rsid w:val="00686A2E"/>
    <w:rsid w:val="00686B22"/>
    <w:rsid w:val="00686B68"/>
    <w:rsid w:val="00686C37"/>
    <w:rsid w:val="00686DA2"/>
    <w:rsid w:val="00686EAB"/>
    <w:rsid w:val="006870A2"/>
    <w:rsid w:val="006870FF"/>
    <w:rsid w:val="006871AE"/>
    <w:rsid w:val="00687285"/>
    <w:rsid w:val="0068736E"/>
    <w:rsid w:val="006873BD"/>
    <w:rsid w:val="0068741B"/>
    <w:rsid w:val="006874B6"/>
    <w:rsid w:val="006877AB"/>
    <w:rsid w:val="00687867"/>
    <w:rsid w:val="00687875"/>
    <w:rsid w:val="00687899"/>
    <w:rsid w:val="006878D5"/>
    <w:rsid w:val="0068795B"/>
    <w:rsid w:val="00687AA4"/>
    <w:rsid w:val="00687B2E"/>
    <w:rsid w:val="00687C0F"/>
    <w:rsid w:val="00687D66"/>
    <w:rsid w:val="00687DBC"/>
    <w:rsid w:val="00687E2A"/>
    <w:rsid w:val="00687E40"/>
    <w:rsid w:val="00687F53"/>
    <w:rsid w:val="00687FB3"/>
    <w:rsid w:val="00690111"/>
    <w:rsid w:val="006901B9"/>
    <w:rsid w:val="006901E7"/>
    <w:rsid w:val="00690335"/>
    <w:rsid w:val="006903E9"/>
    <w:rsid w:val="006903EB"/>
    <w:rsid w:val="00690547"/>
    <w:rsid w:val="0069054C"/>
    <w:rsid w:val="006905F9"/>
    <w:rsid w:val="0069081E"/>
    <w:rsid w:val="006908D7"/>
    <w:rsid w:val="006908DE"/>
    <w:rsid w:val="00690915"/>
    <w:rsid w:val="00690BD4"/>
    <w:rsid w:val="00690CE5"/>
    <w:rsid w:val="00690D82"/>
    <w:rsid w:val="00690DAB"/>
    <w:rsid w:val="00690E0A"/>
    <w:rsid w:val="00690E98"/>
    <w:rsid w:val="00690FFD"/>
    <w:rsid w:val="006911A3"/>
    <w:rsid w:val="006911FB"/>
    <w:rsid w:val="006912DF"/>
    <w:rsid w:val="006913BE"/>
    <w:rsid w:val="0069146F"/>
    <w:rsid w:val="0069148D"/>
    <w:rsid w:val="006914EA"/>
    <w:rsid w:val="006915E7"/>
    <w:rsid w:val="00691705"/>
    <w:rsid w:val="0069170C"/>
    <w:rsid w:val="0069176A"/>
    <w:rsid w:val="0069176D"/>
    <w:rsid w:val="006917FD"/>
    <w:rsid w:val="00691831"/>
    <w:rsid w:val="0069195C"/>
    <w:rsid w:val="00691B09"/>
    <w:rsid w:val="00691C4F"/>
    <w:rsid w:val="00691D72"/>
    <w:rsid w:val="00691DA4"/>
    <w:rsid w:val="00691E13"/>
    <w:rsid w:val="00691E56"/>
    <w:rsid w:val="006921D6"/>
    <w:rsid w:val="00692248"/>
    <w:rsid w:val="006922EF"/>
    <w:rsid w:val="00692357"/>
    <w:rsid w:val="0069235B"/>
    <w:rsid w:val="00692411"/>
    <w:rsid w:val="00692413"/>
    <w:rsid w:val="0069246A"/>
    <w:rsid w:val="00692480"/>
    <w:rsid w:val="006924CB"/>
    <w:rsid w:val="006924F2"/>
    <w:rsid w:val="006925A9"/>
    <w:rsid w:val="006925F5"/>
    <w:rsid w:val="00692602"/>
    <w:rsid w:val="0069260D"/>
    <w:rsid w:val="006926D2"/>
    <w:rsid w:val="0069272B"/>
    <w:rsid w:val="006927FF"/>
    <w:rsid w:val="00692844"/>
    <w:rsid w:val="0069286E"/>
    <w:rsid w:val="0069289A"/>
    <w:rsid w:val="00692A7C"/>
    <w:rsid w:val="00692AE0"/>
    <w:rsid w:val="00692B2C"/>
    <w:rsid w:val="00692B73"/>
    <w:rsid w:val="00692B9B"/>
    <w:rsid w:val="00692C0C"/>
    <w:rsid w:val="00692D1A"/>
    <w:rsid w:val="00692D51"/>
    <w:rsid w:val="00692DB6"/>
    <w:rsid w:val="00692FC2"/>
    <w:rsid w:val="00692FEF"/>
    <w:rsid w:val="0069308F"/>
    <w:rsid w:val="006930C1"/>
    <w:rsid w:val="006930F3"/>
    <w:rsid w:val="0069316B"/>
    <w:rsid w:val="00693171"/>
    <w:rsid w:val="0069321B"/>
    <w:rsid w:val="00693381"/>
    <w:rsid w:val="0069338F"/>
    <w:rsid w:val="006933C7"/>
    <w:rsid w:val="006933FF"/>
    <w:rsid w:val="006934CD"/>
    <w:rsid w:val="006934EC"/>
    <w:rsid w:val="00693508"/>
    <w:rsid w:val="006936C2"/>
    <w:rsid w:val="006936CA"/>
    <w:rsid w:val="0069380A"/>
    <w:rsid w:val="00693852"/>
    <w:rsid w:val="0069385F"/>
    <w:rsid w:val="0069389B"/>
    <w:rsid w:val="00693A55"/>
    <w:rsid w:val="00693A56"/>
    <w:rsid w:val="00693AF1"/>
    <w:rsid w:val="00693B3B"/>
    <w:rsid w:val="00693C31"/>
    <w:rsid w:val="00693C79"/>
    <w:rsid w:val="00693D13"/>
    <w:rsid w:val="00693E83"/>
    <w:rsid w:val="00693EEE"/>
    <w:rsid w:val="00693F3E"/>
    <w:rsid w:val="00694059"/>
    <w:rsid w:val="006940F9"/>
    <w:rsid w:val="0069414D"/>
    <w:rsid w:val="006941D2"/>
    <w:rsid w:val="006941F7"/>
    <w:rsid w:val="00694303"/>
    <w:rsid w:val="00694346"/>
    <w:rsid w:val="00694357"/>
    <w:rsid w:val="0069436D"/>
    <w:rsid w:val="0069437A"/>
    <w:rsid w:val="0069441B"/>
    <w:rsid w:val="006944E1"/>
    <w:rsid w:val="00694529"/>
    <w:rsid w:val="0069456C"/>
    <w:rsid w:val="00694641"/>
    <w:rsid w:val="0069488F"/>
    <w:rsid w:val="00694B18"/>
    <w:rsid w:val="00694BCA"/>
    <w:rsid w:val="00694BD4"/>
    <w:rsid w:val="00694C3C"/>
    <w:rsid w:val="00694CA9"/>
    <w:rsid w:val="00694EA4"/>
    <w:rsid w:val="00694EC1"/>
    <w:rsid w:val="00694EE9"/>
    <w:rsid w:val="00694FA6"/>
    <w:rsid w:val="0069506C"/>
    <w:rsid w:val="006950AE"/>
    <w:rsid w:val="006950E7"/>
    <w:rsid w:val="00695130"/>
    <w:rsid w:val="006951CF"/>
    <w:rsid w:val="006951DC"/>
    <w:rsid w:val="00695273"/>
    <w:rsid w:val="0069528D"/>
    <w:rsid w:val="0069536D"/>
    <w:rsid w:val="006954C1"/>
    <w:rsid w:val="00695606"/>
    <w:rsid w:val="00695689"/>
    <w:rsid w:val="0069573C"/>
    <w:rsid w:val="0069574B"/>
    <w:rsid w:val="00695857"/>
    <w:rsid w:val="006958B4"/>
    <w:rsid w:val="006958D7"/>
    <w:rsid w:val="00695929"/>
    <w:rsid w:val="00695B3E"/>
    <w:rsid w:val="00695B80"/>
    <w:rsid w:val="00695D26"/>
    <w:rsid w:val="00695D29"/>
    <w:rsid w:val="00695D79"/>
    <w:rsid w:val="00695E5E"/>
    <w:rsid w:val="00695EB7"/>
    <w:rsid w:val="00695F70"/>
    <w:rsid w:val="00695FC9"/>
    <w:rsid w:val="00695FD9"/>
    <w:rsid w:val="0069605D"/>
    <w:rsid w:val="0069608D"/>
    <w:rsid w:val="0069623C"/>
    <w:rsid w:val="006962CA"/>
    <w:rsid w:val="006962EE"/>
    <w:rsid w:val="0069652B"/>
    <w:rsid w:val="00696602"/>
    <w:rsid w:val="00696654"/>
    <w:rsid w:val="00696670"/>
    <w:rsid w:val="006966B3"/>
    <w:rsid w:val="006966FE"/>
    <w:rsid w:val="006967D7"/>
    <w:rsid w:val="0069684B"/>
    <w:rsid w:val="00696929"/>
    <w:rsid w:val="006969CD"/>
    <w:rsid w:val="00696A29"/>
    <w:rsid w:val="00696C38"/>
    <w:rsid w:val="00696C5A"/>
    <w:rsid w:val="00696D1D"/>
    <w:rsid w:val="00696D81"/>
    <w:rsid w:val="00696EA4"/>
    <w:rsid w:val="00696EAD"/>
    <w:rsid w:val="00697040"/>
    <w:rsid w:val="006970A4"/>
    <w:rsid w:val="006970CD"/>
    <w:rsid w:val="0069718B"/>
    <w:rsid w:val="00697322"/>
    <w:rsid w:val="00697554"/>
    <w:rsid w:val="00697598"/>
    <w:rsid w:val="00697685"/>
    <w:rsid w:val="00697707"/>
    <w:rsid w:val="0069770A"/>
    <w:rsid w:val="006978D5"/>
    <w:rsid w:val="00697954"/>
    <w:rsid w:val="0069799B"/>
    <w:rsid w:val="006979E9"/>
    <w:rsid w:val="00697A46"/>
    <w:rsid w:val="00697A6B"/>
    <w:rsid w:val="00697B47"/>
    <w:rsid w:val="00697BD1"/>
    <w:rsid w:val="00697C49"/>
    <w:rsid w:val="00697C9B"/>
    <w:rsid w:val="00697CA7"/>
    <w:rsid w:val="00697E3A"/>
    <w:rsid w:val="00697E5B"/>
    <w:rsid w:val="00697E5C"/>
    <w:rsid w:val="00697FD8"/>
    <w:rsid w:val="00697FEF"/>
    <w:rsid w:val="006A0022"/>
    <w:rsid w:val="006A0109"/>
    <w:rsid w:val="006A011E"/>
    <w:rsid w:val="006A0145"/>
    <w:rsid w:val="006A0212"/>
    <w:rsid w:val="006A028D"/>
    <w:rsid w:val="006A04B4"/>
    <w:rsid w:val="006A05ED"/>
    <w:rsid w:val="006A066E"/>
    <w:rsid w:val="006A079D"/>
    <w:rsid w:val="006A0808"/>
    <w:rsid w:val="006A080E"/>
    <w:rsid w:val="006A081F"/>
    <w:rsid w:val="006A082F"/>
    <w:rsid w:val="006A0873"/>
    <w:rsid w:val="006A08F9"/>
    <w:rsid w:val="006A09CF"/>
    <w:rsid w:val="006A0A28"/>
    <w:rsid w:val="006A0ACD"/>
    <w:rsid w:val="006A0AED"/>
    <w:rsid w:val="006A0B27"/>
    <w:rsid w:val="006A0B45"/>
    <w:rsid w:val="006A0C8F"/>
    <w:rsid w:val="006A0D09"/>
    <w:rsid w:val="006A0DBB"/>
    <w:rsid w:val="006A0DD9"/>
    <w:rsid w:val="006A0F4D"/>
    <w:rsid w:val="006A10DA"/>
    <w:rsid w:val="006A10F9"/>
    <w:rsid w:val="006A1113"/>
    <w:rsid w:val="006A114F"/>
    <w:rsid w:val="006A1157"/>
    <w:rsid w:val="006A1246"/>
    <w:rsid w:val="006A1280"/>
    <w:rsid w:val="006A1344"/>
    <w:rsid w:val="006A140B"/>
    <w:rsid w:val="006A14E6"/>
    <w:rsid w:val="006A1733"/>
    <w:rsid w:val="006A1764"/>
    <w:rsid w:val="006A176E"/>
    <w:rsid w:val="006A17EC"/>
    <w:rsid w:val="006A1856"/>
    <w:rsid w:val="006A1866"/>
    <w:rsid w:val="006A1BAA"/>
    <w:rsid w:val="006A1BCD"/>
    <w:rsid w:val="006A1C0A"/>
    <w:rsid w:val="006A1C5C"/>
    <w:rsid w:val="006A1C88"/>
    <w:rsid w:val="006A1E01"/>
    <w:rsid w:val="006A1E76"/>
    <w:rsid w:val="006A1EF0"/>
    <w:rsid w:val="006A1F89"/>
    <w:rsid w:val="006A1F8D"/>
    <w:rsid w:val="006A1FA1"/>
    <w:rsid w:val="006A2049"/>
    <w:rsid w:val="006A20B4"/>
    <w:rsid w:val="006A2135"/>
    <w:rsid w:val="006A2203"/>
    <w:rsid w:val="006A225A"/>
    <w:rsid w:val="006A2348"/>
    <w:rsid w:val="006A2479"/>
    <w:rsid w:val="006A251B"/>
    <w:rsid w:val="006A277E"/>
    <w:rsid w:val="006A2785"/>
    <w:rsid w:val="006A27C2"/>
    <w:rsid w:val="006A2981"/>
    <w:rsid w:val="006A2984"/>
    <w:rsid w:val="006A29B6"/>
    <w:rsid w:val="006A29CF"/>
    <w:rsid w:val="006A2A0F"/>
    <w:rsid w:val="006A2A2F"/>
    <w:rsid w:val="006A2AD8"/>
    <w:rsid w:val="006A2BCB"/>
    <w:rsid w:val="006A2BE0"/>
    <w:rsid w:val="006A2D95"/>
    <w:rsid w:val="006A2E82"/>
    <w:rsid w:val="006A2F08"/>
    <w:rsid w:val="006A2FA9"/>
    <w:rsid w:val="006A2FC1"/>
    <w:rsid w:val="006A2FEA"/>
    <w:rsid w:val="006A30A1"/>
    <w:rsid w:val="006A30FC"/>
    <w:rsid w:val="006A3100"/>
    <w:rsid w:val="006A31CB"/>
    <w:rsid w:val="006A3226"/>
    <w:rsid w:val="006A32C3"/>
    <w:rsid w:val="006A3334"/>
    <w:rsid w:val="006A3473"/>
    <w:rsid w:val="006A3667"/>
    <w:rsid w:val="006A3773"/>
    <w:rsid w:val="006A37FE"/>
    <w:rsid w:val="006A381B"/>
    <w:rsid w:val="006A39FF"/>
    <w:rsid w:val="006A3A80"/>
    <w:rsid w:val="006A3B09"/>
    <w:rsid w:val="006A3BAE"/>
    <w:rsid w:val="006A3C32"/>
    <w:rsid w:val="006A3C59"/>
    <w:rsid w:val="006A3EBA"/>
    <w:rsid w:val="006A3F2E"/>
    <w:rsid w:val="006A3FD2"/>
    <w:rsid w:val="006A403E"/>
    <w:rsid w:val="006A4070"/>
    <w:rsid w:val="006A40D7"/>
    <w:rsid w:val="006A40DE"/>
    <w:rsid w:val="006A43B5"/>
    <w:rsid w:val="006A4432"/>
    <w:rsid w:val="006A4761"/>
    <w:rsid w:val="006A477E"/>
    <w:rsid w:val="006A47DD"/>
    <w:rsid w:val="006A47EB"/>
    <w:rsid w:val="006A48DD"/>
    <w:rsid w:val="006A4903"/>
    <w:rsid w:val="006A493D"/>
    <w:rsid w:val="006A4A1A"/>
    <w:rsid w:val="006A4A8F"/>
    <w:rsid w:val="006A4ABC"/>
    <w:rsid w:val="006A4B40"/>
    <w:rsid w:val="006A4BE8"/>
    <w:rsid w:val="006A4BFC"/>
    <w:rsid w:val="006A4D0E"/>
    <w:rsid w:val="006A4D22"/>
    <w:rsid w:val="006A4D3A"/>
    <w:rsid w:val="006A4E28"/>
    <w:rsid w:val="006A4F50"/>
    <w:rsid w:val="006A50FB"/>
    <w:rsid w:val="006A5323"/>
    <w:rsid w:val="006A53D1"/>
    <w:rsid w:val="006A543F"/>
    <w:rsid w:val="006A5450"/>
    <w:rsid w:val="006A552A"/>
    <w:rsid w:val="006A553E"/>
    <w:rsid w:val="006A5561"/>
    <w:rsid w:val="006A559D"/>
    <w:rsid w:val="006A5613"/>
    <w:rsid w:val="006A564A"/>
    <w:rsid w:val="006A5681"/>
    <w:rsid w:val="006A5849"/>
    <w:rsid w:val="006A5911"/>
    <w:rsid w:val="006A5916"/>
    <w:rsid w:val="006A5A08"/>
    <w:rsid w:val="006A5A29"/>
    <w:rsid w:val="006A5A8B"/>
    <w:rsid w:val="006A5C84"/>
    <w:rsid w:val="006A5CDD"/>
    <w:rsid w:val="006A5D6D"/>
    <w:rsid w:val="006A5DB6"/>
    <w:rsid w:val="006A5DCC"/>
    <w:rsid w:val="006A5DF9"/>
    <w:rsid w:val="006A5E14"/>
    <w:rsid w:val="006A5E48"/>
    <w:rsid w:val="006A5F64"/>
    <w:rsid w:val="006A6000"/>
    <w:rsid w:val="006A601F"/>
    <w:rsid w:val="006A610B"/>
    <w:rsid w:val="006A616C"/>
    <w:rsid w:val="006A6176"/>
    <w:rsid w:val="006A61E6"/>
    <w:rsid w:val="006A625C"/>
    <w:rsid w:val="006A6275"/>
    <w:rsid w:val="006A62CA"/>
    <w:rsid w:val="006A62F3"/>
    <w:rsid w:val="006A640E"/>
    <w:rsid w:val="006A65DD"/>
    <w:rsid w:val="006A66A0"/>
    <w:rsid w:val="006A67B1"/>
    <w:rsid w:val="006A67FA"/>
    <w:rsid w:val="006A6974"/>
    <w:rsid w:val="006A69D2"/>
    <w:rsid w:val="006A6AED"/>
    <w:rsid w:val="006A6CAD"/>
    <w:rsid w:val="006A6CE7"/>
    <w:rsid w:val="006A6E11"/>
    <w:rsid w:val="006A6EBD"/>
    <w:rsid w:val="006A6EEE"/>
    <w:rsid w:val="006A6F4E"/>
    <w:rsid w:val="006A7020"/>
    <w:rsid w:val="006A7144"/>
    <w:rsid w:val="006A71C8"/>
    <w:rsid w:val="006A72F1"/>
    <w:rsid w:val="006A7318"/>
    <w:rsid w:val="006A7585"/>
    <w:rsid w:val="006A7611"/>
    <w:rsid w:val="006A7708"/>
    <w:rsid w:val="006A7787"/>
    <w:rsid w:val="006A77A7"/>
    <w:rsid w:val="006A77CC"/>
    <w:rsid w:val="006A77DB"/>
    <w:rsid w:val="006A78DF"/>
    <w:rsid w:val="006A78F4"/>
    <w:rsid w:val="006A794B"/>
    <w:rsid w:val="006A794F"/>
    <w:rsid w:val="006A79D5"/>
    <w:rsid w:val="006A7C13"/>
    <w:rsid w:val="006A7E4F"/>
    <w:rsid w:val="006A7F4C"/>
    <w:rsid w:val="006B01CF"/>
    <w:rsid w:val="006B0263"/>
    <w:rsid w:val="006B02BE"/>
    <w:rsid w:val="006B04BB"/>
    <w:rsid w:val="006B0624"/>
    <w:rsid w:val="006B063A"/>
    <w:rsid w:val="006B06A2"/>
    <w:rsid w:val="006B06D6"/>
    <w:rsid w:val="006B0753"/>
    <w:rsid w:val="006B07CD"/>
    <w:rsid w:val="006B0869"/>
    <w:rsid w:val="006B0891"/>
    <w:rsid w:val="006B089F"/>
    <w:rsid w:val="006B08EE"/>
    <w:rsid w:val="006B091B"/>
    <w:rsid w:val="006B09AD"/>
    <w:rsid w:val="006B09CE"/>
    <w:rsid w:val="006B0A34"/>
    <w:rsid w:val="006B0B18"/>
    <w:rsid w:val="006B0C1C"/>
    <w:rsid w:val="006B0C45"/>
    <w:rsid w:val="006B0CE9"/>
    <w:rsid w:val="006B0D0B"/>
    <w:rsid w:val="006B0D0C"/>
    <w:rsid w:val="006B0D53"/>
    <w:rsid w:val="006B0DB0"/>
    <w:rsid w:val="006B0E64"/>
    <w:rsid w:val="006B0F6F"/>
    <w:rsid w:val="006B0FFC"/>
    <w:rsid w:val="006B112F"/>
    <w:rsid w:val="006B11DD"/>
    <w:rsid w:val="006B12FC"/>
    <w:rsid w:val="006B134B"/>
    <w:rsid w:val="006B13E1"/>
    <w:rsid w:val="006B15C1"/>
    <w:rsid w:val="006B165C"/>
    <w:rsid w:val="006B167D"/>
    <w:rsid w:val="006B16F1"/>
    <w:rsid w:val="006B1A24"/>
    <w:rsid w:val="006B1B8C"/>
    <w:rsid w:val="006B1C28"/>
    <w:rsid w:val="006B1C79"/>
    <w:rsid w:val="006B1DC2"/>
    <w:rsid w:val="006B1EBD"/>
    <w:rsid w:val="006B1F60"/>
    <w:rsid w:val="006B20BF"/>
    <w:rsid w:val="006B22C2"/>
    <w:rsid w:val="006B22FD"/>
    <w:rsid w:val="006B2427"/>
    <w:rsid w:val="006B2456"/>
    <w:rsid w:val="006B2467"/>
    <w:rsid w:val="006B2475"/>
    <w:rsid w:val="006B2544"/>
    <w:rsid w:val="006B25C8"/>
    <w:rsid w:val="006B2614"/>
    <w:rsid w:val="006B2678"/>
    <w:rsid w:val="006B268F"/>
    <w:rsid w:val="006B26BF"/>
    <w:rsid w:val="006B271C"/>
    <w:rsid w:val="006B2742"/>
    <w:rsid w:val="006B2756"/>
    <w:rsid w:val="006B28C5"/>
    <w:rsid w:val="006B2925"/>
    <w:rsid w:val="006B2A51"/>
    <w:rsid w:val="006B2A91"/>
    <w:rsid w:val="006B2B00"/>
    <w:rsid w:val="006B2B08"/>
    <w:rsid w:val="006B2BB3"/>
    <w:rsid w:val="006B2BF9"/>
    <w:rsid w:val="006B2DD9"/>
    <w:rsid w:val="006B2E29"/>
    <w:rsid w:val="006B2E46"/>
    <w:rsid w:val="006B2F4F"/>
    <w:rsid w:val="006B314C"/>
    <w:rsid w:val="006B3199"/>
    <w:rsid w:val="006B331B"/>
    <w:rsid w:val="006B33A9"/>
    <w:rsid w:val="006B33B8"/>
    <w:rsid w:val="006B345F"/>
    <w:rsid w:val="006B34D9"/>
    <w:rsid w:val="006B36EE"/>
    <w:rsid w:val="006B37D6"/>
    <w:rsid w:val="006B390F"/>
    <w:rsid w:val="006B3A29"/>
    <w:rsid w:val="006B3A35"/>
    <w:rsid w:val="006B3A52"/>
    <w:rsid w:val="006B3AE7"/>
    <w:rsid w:val="006B3AEC"/>
    <w:rsid w:val="006B3B20"/>
    <w:rsid w:val="006B3C0B"/>
    <w:rsid w:val="006B3C89"/>
    <w:rsid w:val="006B3D13"/>
    <w:rsid w:val="006B3E32"/>
    <w:rsid w:val="006B3E54"/>
    <w:rsid w:val="006B4012"/>
    <w:rsid w:val="006B4259"/>
    <w:rsid w:val="006B431C"/>
    <w:rsid w:val="006B4398"/>
    <w:rsid w:val="006B43A9"/>
    <w:rsid w:val="006B43C3"/>
    <w:rsid w:val="006B4423"/>
    <w:rsid w:val="006B44C3"/>
    <w:rsid w:val="006B4520"/>
    <w:rsid w:val="006B461E"/>
    <w:rsid w:val="006B464B"/>
    <w:rsid w:val="006B4703"/>
    <w:rsid w:val="006B4822"/>
    <w:rsid w:val="006B4874"/>
    <w:rsid w:val="006B4893"/>
    <w:rsid w:val="006B489A"/>
    <w:rsid w:val="006B4978"/>
    <w:rsid w:val="006B49CA"/>
    <w:rsid w:val="006B49E1"/>
    <w:rsid w:val="006B4A99"/>
    <w:rsid w:val="006B4AA4"/>
    <w:rsid w:val="006B4AE9"/>
    <w:rsid w:val="006B4B3C"/>
    <w:rsid w:val="006B4BDB"/>
    <w:rsid w:val="006B4C16"/>
    <w:rsid w:val="006B4C45"/>
    <w:rsid w:val="006B4C8B"/>
    <w:rsid w:val="006B4D32"/>
    <w:rsid w:val="006B4EC2"/>
    <w:rsid w:val="006B4EF4"/>
    <w:rsid w:val="006B5052"/>
    <w:rsid w:val="006B513C"/>
    <w:rsid w:val="006B5234"/>
    <w:rsid w:val="006B5335"/>
    <w:rsid w:val="006B5399"/>
    <w:rsid w:val="006B5448"/>
    <w:rsid w:val="006B54DC"/>
    <w:rsid w:val="006B5564"/>
    <w:rsid w:val="006B56FA"/>
    <w:rsid w:val="006B5736"/>
    <w:rsid w:val="006B580D"/>
    <w:rsid w:val="006B5889"/>
    <w:rsid w:val="006B595B"/>
    <w:rsid w:val="006B5975"/>
    <w:rsid w:val="006B597B"/>
    <w:rsid w:val="006B59DC"/>
    <w:rsid w:val="006B5C17"/>
    <w:rsid w:val="006B5D06"/>
    <w:rsid w:val="006B5DAB"/>
    <w:rsid w:val="006B5DEC"/>
    <w:rsid w:val="006B5E49"/>
    <w:rsid w:val="006B5E56"/>
    <w:rsid w:val="006B5E72"/>
    <w:rsid w:val="006B61E1"/>
    <w:rsid w:val="006B61EF"/>
    <w:rsid w:val="006B620A"/>
    <w:rsid w:val="006B639F"/>
    <w:rsid w:val="006B63A2"/>
    <w:rsid w:val="006B6557"/>
    <w:rsid w:val="006B6760"/>
    <w:rsid w:val="006B69A1"/>
    <w:rsid w:val="006B69FA"/>
    <w:rsid w:val="006B6A70"/>
    <w:rsid w:val="006B6AA8"/>
    <w:rsid w:val="006B6C40"/>
    <w:rsid w:val="006B6CAA"/>
    <w:rsid w:val="006B6D35"/>
    <w:rsid w:val="006B6D70"/>
    <w:rsid w:val="006B6F83"/>
    <w:rsid w:val="006B6FD0"/>
    <w:rsid w:val="006B7065"/>
    <w:rsid w:val="006B7069"/>
    <w:rsid w:val="006B70B7"/>
    <w:rsid w:val="006B711E"/>
    <w:rsid w:val="006B71B1"/>
    <w:rsid w:val="006B7237"/>
    <w:rsid w:val="006B72E2"/>
    <w:rsid w:val="006B7330"/>
    <w:rsid w:val="006B7436"/>
    <w:rsid w:val="006B74B2"/>
    <w:rsid w:val="006B7644"/>
    <w:rsid w:val="006B76BA"/>
    <w:rsid w:val="006B777E"/>
    <w:rsid w:val="006B7877"/>
    <w:rsid w:val="006B793F"/>
    <w:rsid w:val="006B79CE"/>
    <w:rsid w:val="006B7A63"/>
    <w:rsid w:val="006B7AF7"/>
    <w:rsid w:val="006B7E21"/>
    <w:rsid w:val="006B7EBC"/>
    <w:rsid w:val="006B7F0A"/>
    <w:rsid w:val="006C001D"/>
    <w:rsid w:val="006C00A3"/>
    <w:rsid w:val="006C0228"/>
    <w:rsid w:val="006C027C"/>
    <w:rsid w:val="006C037C"/>
    <w:rsid w:val="006C03CB"/>
    <w:rsid w:val="006C03FD"/>
    <w:rsid w:val="006C0460"/>
    <w:rsid w:val="006C04B8"/>
    <w:rsid w:val="006C0632"/>
    <w:rsid w:val="006C06B9"/>
    <w:rsid w:val="006C070A"/>
    <w:rsid w:val="006C083B"/>
    <w:rsid w:val="006C0850"/>
    <w:rsid w:val="006C090B"/>
    <w:rsid w:val="006C0A9C"/>
    <w:rsid w:val="006C0C39"/>
    <w:rsid w:val="006C0CCD"/>
    <w:rsid w:val="006C0CD0"/>
    <w:rsid w:val="006C0E1B"/>
    <w:rsid w:val="006C0E64"/>
    <w:rsid w:val="006C0E8A"/>
    <w:rsid w:val="006C1042"/>
    <w:rsid w:val="006C1160"/>
    <w:rsid w:val="006C1164"/>
    <w:rsid w:val="006C12F2"/>
    <w:rsid w:val="006C134B"/>
    <w:rsid w:val="006C1371"/>
    <w:rsid w:val="006C1380"/>
    <w:rsid w:val="006C1598"/>
    <w:rsid w:val="006C160B"/>
    <w:rsid w:val="006C1806"/>
    <w:rsid w:val="006C1840"/>
    <w:rsid w:val="006C189A"/>
    <w:rsid w:val="006C18A5"/>
    <w:rsid w:val="006C18B3"/>
    <w:rsid w:val="006C18CF"/>
    <w:rsid w:val="006C1944"/>
    <w:rsid w:val="006C1A52"/>
    <w:rsid w:val="006C1B17"/>
    <w:rsid w:val="006C1BB3"/>
    <w:rsid w:val="006C1BBA"/>
    <w:rsid w:val="006C1C54"/>
    <w:rsid w:val="006C1C75"/>
    <w:rsid w:val="006C1D6F"/>
    <w:rsid w:val="006C1DF8"/>
    <w:rsid w:val="006C1E70"/>
    <w:rsid w:val="006C1EC1"/>
    <w:rsid w:val="006C1FA1"/>
    <w:rsid w:val="006C1FCA"/>
    <w:rsid w:val="006C21A2"/>
    <w:rsid w:val="006C22A7"/>
    <w:rsid w:val="006C2316"/>
    <w:rsid w:val="006C234E"/>
    <w:rsid w:val="006C2390"/>
    <w:rsid w:val="006C23AE"/>
    <w:rsid w:val="006C24E7"/>
    <w:rsid w:val="006C2553"/>
    <w:rsid w:val="006C257B"/>
    <w:rsid w:val="006C2603"/>
    <w:rsid w:val="006C2630"/>
    <w:rsid w:val="006C26AF"/>
    <w:rsid w:val="006C277D"/>
    <w:rsid w:val="006C2891"/>
    <w:rsid w:val="006C28AF"/>
    <w:rsid w:val="006C2923"/>
    <w:rsid w:val="006C292E"/>
    <w:rsid w:val="006C295A"/>
    <w:rsid w:val="006C2BBE"/>
    <w:rsid w:val="006C2BE2"/>
    <w:rsid w:val="006C2C37"/>
    <w:rsid w:val="006C2C4D"/>
    <w:rsid w:val="006C2C6B"/>
    <w:rsid w:val="006C2C86"/>
    <w:rsid w:val="006C2D02"/>
    <w:rsid w:val="006C2D6E"/>
    <w:rsid w:val="006C2F65"/>
    <w:rsid w:val="006C2FB9"/>
    <w:rsid w:val="006C3065"/>
    <w:rsid w:val="006C30B9"/>
    <w:rsid w:val="006C3107"/>
    <w:rsid w:val="006C3420"/>
    <w:rsid w:val="006C34BB"/>
    <w:rsid w:val="006C358F"/>
    <w:rsid w:val="006C364D"/>
    <w:rsid w:val="006C3676"/>
    <w:rsid w:val="006C370B"/>
    <w:rsid w:val="006C3766"/>
    <w:rsid w:val="006C3794"/>
    <w:rsid w:val="006C37A2"/>
    <w:rsid w:val="006C37CD"/>
    <w:rsid w:val="006C39F4"/>
    <w:rsid w:val="006C3A1F"/>
    <w:rsid w:val="006C3A78"/>
    <w:rsid w:val="006C3B6A"/>
    <w:rsid w:val="006C3B91"/>
    <w:rsid w:val="006C3BBB"/>
    <w:rsid w:val="006C3C00"/>
    <w:rsid w:val="006C3C76"/>
    <w:rsid w:val="006C3D8C"/>
    <w:rsid w:val="006C3DC9"/>
    <w:rsid w:val="006C3E0E"/>
    <w:rsid w:val="006C3E2C"/>
    <w:rsid w:val="006C4029"/>
    <w:rsid w:val="006C42AF"/>
    <w:rsid w:val="006C42B9"/>
    <w:rsid w:val="006C4332"/>
    <w:rsid w:val="006C433B"/>
    <w:rsid w:val="006C4683"/>
    <w:rsid w:val="006C468C"/>
    <w:rsid w:val="006C46A1"/>
    <w:rsid w:val="006C46E5"/>
    <w:rsid w:val="006C47DD"/>
    <w:rsid w:val="006C48D8"/>
    <w:rsid w:val="006C49D1"/>
    <w:rsid w:val="006C49D6"/>
    <w:rsid w:val="006C49E8"/>
    <w:rsid w:val="006C49F7"/>
    <w:rsid w:val="006C4AE9"/>
    <w:rsid w:val="006C4AF3"/>
    <w:rsid w:val="006C4B25"/>
    <w:rsid w:val="006C4BA6"/>
    <w:rsid w:val="006C4BB3"/>
    <w:rsid w:val="006C4BE1"/>
    <w:rsid w:val="006C4C1B"/>
    <w:rsid w:val="006C4C47"/>
    <w:rsid w:val="006C4C4D"/>
    <w:rsid w:val="006C4C67"/>
    <w:rsid w:val="006C4D48"/>
    <w:rsid w:val="006C4DE0"/>
    <w:rsid w:val="006C4E64"/>
    <w:rsid w:val="006C4EBC"/>
    <w:rsid w:val="006C4F1B"/>
    <w:rsid w:val="006C509C"/>
    <w:rsid w:val="006C511B"/>
    <w:rsid w:val="006C5179"/>
    <w:rsid w:val="006C5400"/>
    <w:rsid w:val="006C5426"/>
    <w:rsid w:val="006C5568"/>
    <w:rsid w:val="006C557C"/>
    <w:rsid w:val="006C5622"/>
    <w:rsid w:val="006C5735"/>
    <w:rsid w:val="006C577A"/>
    <w:rsid w:val="006C5B09"/>
    <w:rsid w:val="006C5B70"/>
    <w:rsid w:val="006C5C82"/>
    <w:rsid w:val="006C5D42"/>
    <w:rsid w:val="006C5E66"/>
    <w:rsid w:val="006C5F81"/>
    <w:rsid w:val="006C6066"/>
    <w:rsid w:val="006C612B"/>
    <w:rsid w:val="006C6176"/>
    <w:rsid w:val="006C61AF"/>
    <w:rsid w:val="006C6299"/>
    <w:rsid w:val="006C63FE"/>
    <w:rsid w:val="006C640B"/>
    <w:rsid w:val="006C6461"/>
    <w:rsid w:val="006C66FE"/>
    <w:rsid w:val="006C6822"/>
    <w:rsid w:val="006C688C"/>
    <w:rsid w:val="006C68C3"/>
    <w:rsid w:val="006C68E6"/>
    <w:rsid w:val="006C695E"/>
    <w:rsid w:val="006C69F7"/>
    <w:rsid w:val="006C6A80"/>
    <w:rsid w:val="006C6B45"/>
    <w:rsid w:val="006C6BD9"/>
    <w:rsid w:val="006C6C51"/>
    <w:rsid w:val="006C6D86"/>
    <w:rsid w:val="006C6E7C"/>
    <w:rsid w:val="006C6F43"/>
    <w:rsid w:val="006C7022"/>
    <w:rsid w:val="006C7129"/>
    <w:rsid w:val="006C71BB"/>
    <w:rsid w:val="006C7313"/>
    <w:rsid w:val="006C76B6"/>
    <w:rsid w:val="006C770D"/>
    <w:rsid w:val="006C77F6"/>
    <w:rsid w:val="006C7818"/>
    <w:rsid w:val="006C783D"/>
    <w:rsid w:val="006C78B1"/>
    <w:rsid w:val="006C792F"/>
    <w:rsid w:val="006C7BC9"/>
    <w:rsid w:val="006C7D00"/>
    <w:rsid w:val="006C7D9B"/>
    <w:rsid w:val="006C7E1B"/>
    <w:rsid w:val="006C7E59"/>
    <w:rsid w:val="006C7E8B"/>
    <w:rsid w:val="006C7E8C"/>
    <w:rsid w:val="006D00B5"/>
    <w:rsid w:val="006D011C"/>
    <w:rsid w:val="006D0228"/>
    <w:rsid w:val="006D0299"/>
    <w:rsid w:val="006D03A1"/>
    <w:rsid w:val="006D03CF"/>
    <w:rsid w:val="006D04A2"/>
    <w:rsid w:val="006D06A5"/>
    <w:rsid w:val="006D0718"/>
    <w:rsid w:val="006D0772"/>
    <w:rsid w:val="006D07DE"/>
    <w:rsid w:val="006D08B1"/>
    <w:rsid w:val="006D09E2"/>
    <w:rsid w:val="006D09F4"/>
    <w:rsid w:val="006D0A9E"/>
    <w:rsid w:val="006D0BB0"/>
    <w:rsid w:val="006D0BBA"/>
    <w:rsid w:val="006D0BE5"/>
    <w:rsid w:val="006D0C4C"/>
    <w:rsid w:val="006D0CA2"/>
    <w:rsid w:val="006D0CE4"/>
    <w:rsid w:val="006D0CEB"/>
    <w:rsid w:val="006D0D1D"/>
    <w:rsid w:val="006D0DC0"/>
    <w:rsid w:val="006D0E02"/>
    <w:rsid w:val="006D0E60"/>
    <w:rsid w:val="006D0EF9"/>
    <w:rsid w:val="006D1057"/>
    <w:rsid w:val="006D1293"/>
    <w:rsid w:val="006D1503"/>
    <w:rsid w:val="006D150E"/>
    <w:rsid w:val="006D1623"/>
    <w:rsid w:val="006D1646"/>
    <w:rsid w:val="006D16C7"/>
    <w:rsid w:val="006D17BE"/>
    <w:rsid w:val="006D1859"/>
    <w:rsid w:val="006D193E"/>
    <w:rsid w:val="006D1948"/>
    <w:rsid w:val="006D19D2"/>
    <w:rsid w:val="006D1A5E"/>
    <w:rsid w:val="006D1A73"/>
    <w:rsid w:val="006D1B4B"/>
    <w:rsid w:val="006D1B71"/>
    <w:rsid w:val="006D1C75"/>
    <w:rsid w:val="006D1CE0"/>
    <w:rsid w:val="006D1D9E"/>
    <w:rsid w:val="006D1E27"/>
    <w:rsid w:val="006D1E3A"/>
    <w:rsid w:val="006D1ECB"/>
    <w:rsid w:val="006D20F8"/>
    <w:rsid w:val="006D2122"/>
    <w:rsid w:val="006D222B"/>
    <w:rsid w:val="006D2338"/>
    <w:rsid w:val="006D24A9"/>
    <w:rsid w:val="006D24B5"/>
    <w:rsid w:val="006D252B"/>
    <w:rsid w:val="006D267D"/>
    <w:rsid w:val="006D26B0"/>
    <w:rsid w:val="006D28BB"/>
    <w:rsid w:val="006D2911"/>
    <w:rsid w:val="006D29CA"/>
    <w:rsid w:val="006D29F2"/>
    <w:rsid w:val="006D2A65"/>
    <w:rsid w:val="006D2C9E"/>
    <w:rsid w:val="006D2CC0"/>
    <w:rsid w:val="006D2CCB"/>
    <w:rsid w:val="006D2D39"/>
    <w:rsid w:val="006D2E71"/>
    <w:rsid w:val="006D2E7F"/>
    <w:rsid w:val="006D2EFA"/>
    <w:rsid w:val="006D2FFB"/>
    <w:rsid w:val="006D30A5"/>
    <w:rsid w:val="006D30B3"/>
    <w:rsid w:val="006D30DB"/>
    <w:rsid w:val="006D3168"/>
    <w:rsid w:val="006D31E1"/>
    <w:rsid w:val="006D31E8"/>
    <w:rsid w:val="006D332B"/>
    <w:rsid w:val="006D3353"/>
    <w:rsid w:val="006D3372"/>
    <w:rsid w:val="006D3447"/>
    <w:rsid w:val="006D3449"/>
    <w:rsid w:val="006D3613"/>
    <w:rsid w:val="006D366E"/>
    <w:rsid w:val="006D383E"/>
    <w:rsid w:val="006D398E"/>
    <w:rsid w:val="006D39A5"/>
    <w:rsid w:val="006D3A0E"/>
    <w:rsid w:val="006D3AF6"/>
    <w:rsid w:val="006D3BB0"/>
    <w:rsid w:val="006D3BF9"/>
    <w:rsid w:val="006D3C51"/>
    <w:rsid w:val="006D3C6D"/>
    <w:rsid w:val="006D3CBA"/>
    <w:rsid w:val="006D3CCC"/>
    <w:rsid w:val="006D3CD6"/>
    <w:rsid w:val="006D3F47"/>
    <w:rsid w:val="006D3FDA"/>
    <w:rsid w:val="006D400D"/>
    <w:rsid w:val="006D4089"/>
    <w:rsid w:val="006D4254"/>
    <w:rsid w:val="006D4295"/>
    <w:rsid w:val="006D4414"/>
    <w:rsid w:val="006D44DE"/>
    <w:rsid w:val="006D4595"/>
    <w:rsid w:val="006D46B0"/>
    <w:rsid w:val="006D46FD"/>
    <w:rsid w:val="006D4726"/>
    <w:rsid w:val="006D4753"/>
    <w:rsid w:val="006D47A2"/>
    <w:rsid w:val="006D4885"/>
    <w:rsid w:val="006D494A"/>
    <w:rsid w:val="006D4A9A"/>
    <w:rsid w:val="006D4BE2"/>
    <w:rsid w:val="006D4CE3"/>
    <w:rsid w:val="006D4E72"/>
    <w:rsid w:val="006D4EAA"/>
    <w:rsid w:val="006D4F39"/>
    <w:rsid w:val="006D4FE8"/>
    <w:rsid w:val="006D50A2"/>
    <w:rsid w:val="006D51D0"/>
    <w:rsid w:val="006D520F"/>
    <w:rsid w:val="006D5333"/>
    <w:rsid w:val="006D54D2"/>
    <w:rsid w:val="006D552B"/>
    <w:rsid w:val="006D5605"/>
    <w:rsid w:val="006D561C"/>
    <w:rsid w:val="006D57E5"/>
    <w:rsid w:val="006D57FD"/>
    <w:rsid w:val="006D58CF"/>
    <w:rsid w:val="006D5920"/>
    <w:rsid w:val="006D592E"/>
    <w:rsid w:val="006D5A3B"/>
    <w:rsid w:val="006D5A98"/>
    <w:rsid w:val="006D5A99"/>
    <w:rsid w:val="006D5B73"/>
    <w:rsid w:val="006D5BDF"/>
    <w:rsid w:val="006D5CDE"/>
    <w:rsid w:val="006D5CF2"/>
    <w:rsid w:val="006D5DF4"/>
    <w:rsid w:val="006D5E2C"/>
    <w:rsid w:val="006D5E58"/>
    <w:rsid w:val="006D5EE7"/>
    <w:rsid w:val="006D5F04"/>
    <w:rsid w:val="006D5F24"/>
    <w:rsid w:val="006D5FBA"/>
    <w:rsid w:val="006D6082"/>
    <w:rsid w:val="006D60AE"/>
    <w:rsid w:val="006D60E5"/>
    <w:rsid w:val="006D61A8"/>
    <w:rsid w:val="006D6262"/>
    <w:rsid w:val="006D6354"/>
    <w:rsid w:val="006D6364"/>
    <w:rsid w:val="006D6371"/>
    <w:rsid w:val="006D6489"/>
    <w:rsid w:val="006D64AD"/>
    <w:rsid w:val="006D6657"/>
    <w:rsid w:val="006D670D"/>
    <w:rsid w:val="006D6749"/>
    <w:rsid w:val="006D68B8"/>
    <w:rsid w:val="006D6964"/>
    <w:rsid w:val="006D6977"/>
    <w:rsid w:val="006D697F"/>
    <w:rsid w:val="006D69FB"/>
    <w:rsid w:val="006D6BA1"/>
    <w:rsid w:val="006D6BBF"/>
    <w:rsid w:val="006D6BFC"/>
    <w:rsid w:val="006D6C4A"/>
    <w:rsid w:val="006D6C7C"/>
    <w:rsid w:val="006D6CDC"/>
    <w:rsid w:val="006D6DE8"/>
    <w:rsid w:val="006D6E1E"/>
    <w:rsid w:val="006D6E7A"/>
    <w:rsid w:val="006D6FA3"/>
    <w:rsid w:val="006D7021"/>
    <w:rsid w:val="006D7180"/>
    <w:rsid w:val="006D71B7"/>
    <w:rsid w:val="006D74EA"/>
    <w:rsid w:val="006D7520"/>
    <w:rsid w:val="006D7529"/>
    <w:rsid w:val="006D7564"/>
    <w:rsid w:val="006D7611"/>
    <w:rsid w:val="006D7756"/>
    <w:rsid w:val="006D787A"/>
    <w:rsid w:val="006D78A9"/>
    <w:rsid w:val="006D7958"/>
    <w:rsid w:val="006D795C"/>
    <w:rsid w:val="006D79C4"/>
    <w:rsid w:val="006D79D6"/>
    <w:rsid w:val="006D7A52"/>
    <w:rsid w:val="006D7A90"/>
    <w:rsid w:val="006D7B93"/>
    <w:rsid w:val="006D7C05"/>
    <w:rsid w:val="006D7CAE"/>
    <w:rsid w:val="006D7E0F"/>
    <w:rsid w:val="006D7E71"/>
    <w:rsid w:val="006D7E9B"/>
    <w:rsid w:val="006D7EE2"/>
    <w:rsid w:val="006E0032"/>
    <w:rsid w:val="006E0053"/>
    <w:rsid w:val="006E0097"/>
    <w:rsid w:val="006E01EC"/>
    <w:rsid w:val="006E02BF"/>
    <w:rsid w:val="006E0336"/>
    <w:rsid w:val="006E03C8"/>
    <w:rsid w:val="006E0405"/>
    <w:rsid w:val="006E050C"/>
    <w:rsid w:val="006E05A6"/>
    <w:rsid w:val="006E0765"/>
    <w:rsid w:val="006E076F"/>
    <w:rsid w:val="006E08F6"/>
    <w:rsid w:val="006E0920"/>
    <w:rsid w:val="006E0973"/>
    <w:rsid w:val="006E0A67"/>
    <w:rsid w:val="006E0AF8"/>
    <w:rsid w:val="006E0BD8"/>
    <w:rsid w:val="006E0C1C"/>
    <w:rsid w:val="006E0C30"/>
    <w:rsid w:val="006E0C38"/>
    <w:rsid w:val="006E0C85"/>
    <w:rsid w:val="006E101C"/>
    <w:rsid w:val="006E11C3"/>
    <w:rsid w:val="006E12DF"/>
    <w:rsid w:val="006E13FA"/>
    <w:rsid w:val="006E1407"/>
    <w:rsid w:val="006E1464"/>
    <w:rsid w:val="006E149E"/>
    <w:rsid w:val="006E153F"/>
    <w:rsid w:val="006E154F"/>
    <w:rsid w:val="006E1835"/>
    <w:rsid w:val="006E183B"/>
    <w:rsid w:val="006E1931"/>
    <w:rsid w:val="006E193B"/>
    <w:rsid w:val="006E19B3"/>
    <w:rsid w:val="006E1A09"/>
    <w:rsid w:val="006E1BBC"/>
    <w:rsid w:val="006E1CA9"/>
    <w:rsid w:val="006E1D3B"/>
    <w:rsid w:val="006E1D8E"/>
    <w:rsid w:val="006E1DFF"/>
    <w:rsid w:val="006E1E66"/>
    <w:rsid w:val="006E1E98"/>
    <w:rsid w:val="006E1EA9"/>
    <w:rsid w:val="006E1F87"/>
    <w:rsid w:val="006E1F89"/>
    <w:rsid w:val="006E1FC2"/>
    <w:rsid w:val="006E2034"/>
    <w:rsid w:val="006E21BA"/>
    <w:rsid w:val="006E234B"/>
    <w:rsid w:val="006E2398"/>
    <w:rsid w:val="006E23C4"/>
    <w:rsid w:val="006E250A"/>
    <w:rsid w:val="006E2510"/>
    <w:rsid w:val="006E25CD"/>
    <w:rsid w:val="006E2690"/>
    <w:rsid w:val="006E2722"/>
    <w:rsid w:val="006E273D"/>
    <w:rsid w:val="006E273E"/>
    <w:rsid w:val="006E2870"/>
    <w:rsid w:val="006E299C"/>
    <w:rsid w:val="006E29D4"/>
    <w:rsid w:val="006E29FB"/>
    <w:rsid w:val="006E2C23"/>
    <w:rsid w:val="006E2D42"/>
    <w:rsid w:val="006E2D7A"/>
    <w:rsid w:val="006E2E8B"/>
    <w:rsid w:val="006E2F5E"/>
    <w:rsid w:val="006E30E5"/>
    <w:rsid w:val="006E30E8"/>
    <w:rsid w:val="006E3246"/>
    <w:rsid w:val="006E3271"/>
    <w:rsid w:val="006E3275"/>
    <w:rsid w:val="006E3355"/>
    <w:rsid w:val="006E33A8"/>
    <w:rsid w:val="006E3448"/>
    <w:rsid w:val="006E3476"/>
    <w:rsid w:val="006E34F5"/>
    <w:rsid w:val="006E35D7"/>
    <w:rsid w:val="006E35F0"/>
    <w:rsid w:val="006E3645"/>
    <w:rsid w:val="006E36E7"/>
    <w:rsid w:val="006E36EA"/>
    <w:rsid w:val="006E3A16"/>
    <w:rsid w:val="006E3A70"/>
    <w:rsid w:val="006E3BA3"/>
    <w:rsid w:val="006E3C0F"/>
    <w:rsid w:val="006E3C3B"/>
    <w:rsid w:val="006E3C72"/>
    <w:rsid w:val="006E3C85"/>
    <w:rsid w:val="006E3CAD"/>
    <w:rsid w:val="006E3DEB"/>
    <w:rsid w:val="006E3ECB"/>
    <w:rsid w:val="006E3FB3"/>
    <w:rsid w:val="006E3FFB"/>
    <w:rsid w:val="006E403E"/>
    <w:rsid w:val="006E405C"/>
    <w:rsid w:val="006E411F"/>
    <w:rsid w:val="006E428D"/>
    <w:rsid w:val="006E42AD"/>
    <w:rsid w:val="006E42F0"/>
    <w:rsid w:val="006E43A5"/>
    <w:rsid w:val="006E4479"/>
    <w:rsid w:val="006E4545"/>
    <w:rsid w:val="006E4550"/>
    <w:rsid w:val="006E4572"/>
    <w:rsid w:val="006E45E2"/>
    <w:rsid w:val="006E45E5"/>
    <w:rsid w:val="006E479D"/>
    <w:rsid w:val="006E4853"/>
    <w:rsid w:val="006E4A18"/>
    <w:rsid w:val="006E4A43"/>
    <w:rsid w:val="006E4AC3"/>
    <w:rsid w:val="006E4ACD"/>
    <w:rsid w:val="006E4C21"/>
    <w:rsid w:val="006E4C56"/>
    <w:rsid w:val="006E4CF9"/>
    <w:rsid w:val="006E4D3E"/>
    <w:rsid w:val="006E4DDE"/>
    <w:rsid w:val="006E4DF2"/>
    <w:rsid w:val="006E4E54"/>
    <w:rsid w:val="006E4F17"/>
    <w:rsid w:val="006E5259"/>
    <w:rsid w:val="006E529B"/>
    <w:rsid w:val="006E535E"/>
    <w:rsid w:val="006E542E"/>
    <w:rsid w:val="006E544C"/>
    <w:rsid w:val="006E5475"/>
    <w:rsid w:val="006E54CF"/>
    <w:rsid w:val="006E54E1"/>
    <w:rsid w:val="006E5509"/>
    <w:rsid w:val="006E55BC"/>
    <w:rsid w:val="006E55EA"/>
    <w:rsid w:val="006E561F"/>
    <w:rsid w:val="006E56A1"/>
    <w:rsid w:val="006E5822"/>
    <w:rsid w:val="006E5838"/>
    <w:rsid w:val="006E5973"/>
    <w:rsid w:val="006E599F"/>
    <w:rsid w:val="006E59B7"/>
    <w:rsid w:val="006E59D9"/>
    <w:rsid w:val="006E59DE"/>
    <w:rsid w:val="006E5A4B"/>
    <w:rsid w:val="006E5ABC"/>
    <w:rsid w:val="006E5B56"/>
    <w:rsid w:val="006E5CBF"/>
    <w:rsid w:val="006E5D7B"/>
    <w:rsid w:val="006E5D90"/>
    <w:rsid w:val="006E5DC4"/>
    <w:rsid w:val="006E5DF3"/>
    <w:rsid w:val="006E5E13"/>
    <w:rsid w:val="006E5E9D"/>
    <w:rsid w:val="006E5F0C"/>
    <w:rsid w:val="006E6036"/>
    <w:rsid w:val="006E6076"/>
    <w:rsid w:val="006E611F"/>
    <w:rsid w:val="006E61C3"/>
    <w:rsid w:val="006E6291"/>
    <w:rsid w:val="006E631E"/>
    <w:rsid w:val="006E638B"/>
    <w:rsid w:val="006E63FA"/>
    <w:rsid w:val="006E64FC"/>
    <w:rsid w:val="006E660A"/>
    <w:rsid w:val="006E666A"/>
    <w:rsid w:val="006E668E"/>
    <w:rsid w:val="006E67AB"/>
    <w:rsid w:val="006E6861"/>
    <w:rsid w:val="006E6A43"/>
    <w:rsid w:val="006E6A75"/>
    <w:rsid w:val="006E6DF9"/>
    <w:rsid w:val="006E6F60"/>
    <w:rsid w:val="006E6FDD"/>
    <w:rsid w:val="006E70F4"/>
    <w:rsid w:val="006E70FF"/>
    <w:rsid w:val="006E71A5"/>
    <w:rsid w:val="006E720F"/>
    <w:rsid w:val="006E7400"/>
    <w:rsid w:val="006E746B"/>
    <w:rsid w:val="006E750E"/>
    <w:rsid w:val="006E77E8"/>
    <w:rsid w:val="006E7903"/>
    <w:rsid w:val="006E7997"/>
    <w:rsid w:val="006E79F9"/>
    <w:rsid w:val="006E7A91"/>
    <w:rsid w:val="006E7AA6"/>
    <w:rsid w:val="006E7B6E"/>
    <w:rsid w:val="006E7D7B"/>
    <w:rsid w:val="006E7EEA"/>
    <w:rsid w:val="006F0196"/>
    <w:rsid w:val="006F01E4"/>
    <w:rsid w:val="006F023B"/>
    <w:rsid w:val="006F025C"/>
    <w:rsid w:val="006F039B"/>
    <w:rsid w:val="006F0523"/>
    <w:rsid w:val="006F05CD"/>
    <w:rsid w:val="006F06C5"/>
    <w:rsid w:val="006F0784"/>
    <w:rsid w:val="006F0785"/>
    <w:rsid w:val="006F0872"/>
    <w:rsid w:val="006F0910"/>
    <w:rsid w:val="006F0953"/>
    <w:rsid w:val="006F0962"/>
    <w:rsid w:val="006F0A37"/>
    <w:rsid w:val="006F0A75"/>
    <w:rsid w:val="006F0B54"/>
    <w:rsid w:val="006F0C15"/>
    <w:rsid w:val="006F0C7D"/>
    <w:rsid w:val="006F0CBC"/>
    <w:rsid w:val="006F0D2F"/>
    <w:rsid w:val="006F0E20"/>
    <w:rsid w:val="006F0E3B"/>
    <w:rsid w:val="006F0F11"/>
    <w:rsid w:val="006F0FDF"/>
    <w:rsid w:val="006F100F"/>
    <w:rsid w:val="006F11E8"/>
    <w:rsid w:val="006F1319"/>
    <w:rsid w:val="006F137D"/>
    <w:rsid w:val="006F13BF"/>
    <w:rsid w:val="006F14EA"/>
    <w:rsid w:val="006F156B"/>
    <w:rsid w:val="006F15B7"/>
    <w:rsid w:val="006F15D4"/>
    <w:rsid w:val="006F164B"/>
    <w:rsid w:val="006F165A"/>
    <w:rsid w:val="006F16C0"/>
    <w:rsid w:val="006F1840"/>
    <w:rsid w:val="006F184D"/>
    <w:rsid w:val="006F1889"/>
    <w:rsid w:val="006F19AF"/>
    <w:rsid w:val="006F1A65"/>
    <w:rsid w:val="006F1B5E"/>
    <w:rsid w:val="006F1B92"/>
    <w:rsid w:val="006F1C52"/>
    <w:rsid w:val="006F1E67"/>
    <w:rsid w:val="006F1ED6"/>
    <w:rsid w:val="006F1F05"/>
    <w:rsid w:val="006F1F32"/>
    <w:rsid w:val="006F1F5F"/>
    <w:rsid w:val="006F207A"/>
    <w:rsid w:val="006F2147"/>
    <w:rsid w:val="006F221A"/>
    <w:rsid w:val="006F2248"/>
    <w:rsid w:val="006F22B2"/>
    <w:rsid w:val="006F22CD"/>
    <w:rsid w:val="006F25F0"/>
    <w:rsid w:val="006F2745"/>
    <w:rsid w:val="006F2765"/>
    <w:rsid w:val="006F281A"/>
    <w:rsid w:val="006F2845"/>
    <w:rsid w:val="006F286F"/>
    <w:rsid w:val="006F28D6"/>
    <w:rsid w:val="006F2967"/>
    <w:rsid w:val="006F2A92"/>
    <w:rsid w:val="006F2B5B"/>
    <w:rsid w:val="006F2B76"/>
    <w:rsid w:val="006F2BF4"/>
    <w:rsid w:val="006F2D3F"/>
    <w:rsid w:val="006F2D8D"/>
    <w:rsid w:val="006F2DD7"/>
    <w:rsid w:val="006F2DE1"/>
    <w:rsid w:val="006F2E72"/>
    <w:rsid w:val="006F2E96"/>
    <w:rsid w:val="006F2ECC"/>
    <w:rsid w:val="006F2ED9"/>
    <w:rsid w:val="006F2EDA"/>
    <w:rsid w:val="006F30E4"/>
    <w:rsid w:val="006F3128"/>
    <w:rsid w:val="006F3136"/>
    <w:rsid w:val="006F3152"/>
    <w:rsid w:val="006F3176"/>
    <w:rsid w:val="006F3338"/>
    <w:rsid w:val="006F34CF"/>
    <w:rsid w:val="006F3504"/>
    <w:rsid w:val="006F3517"/>
    <w:rsid w:val="006F357F"/>
    <w:rsid w:val="006F35D0"/>
    <w:rsid w:val="006F363E"/>
    <w:rsid w:val="006F36E9"/>
    <w:rsid w:val="006F3785"/>
    <w:rsid w:val="006F3884"/>
    <w:rsid w:val="006F39BB"/>
    <w:rsid w:val="006F39F9"/>
    <w:rsid w:val="006F3A4E"/>
    <w:rsid w:val="006F3A72"/>
    <w:rsid w:val="006F3B76"/>
    <w:rsid w:val="006F3B83"/>
    <w:rsid w:val="006F3C38"/>
    <w:rsid w:val="006F3CBA"/>
    <w:rsid w:val="006F3CFA"/>
    <w:rsid w:val="006F3D98"/>
    <w:rsid w:val="006F3E5C"/>
    <w:rsid w:val="006F3FC0"/>
    <w:rsid w:val="006F4064"/>
    <w:rsid w:val="006F4171"/>
    <w:rsid w:val="006F41E4"/>
    <w:rsid w:val="006F41E8"/>
    <w:rsid w:val="006F420F"/>
    <w:rsid w:val="006F4297"/>
    <w:rsid w:val="006F42BA"/>
    <w:rsid w:val="006F42C6"/>
    <w:rsid w:val="006F42D0"/>
    <w:rsid w:val="006F43FF"/>
    <w:rsid w:val="006F45AD"/>
    <w:rsid w:val="006F46BF"/>
    <w:rsid w:val="006F46C9"/>
    <w:rsid w:val="006F4CC9"/>
    <w:rsid w:val="006F4D1E"/>
    <w:rsid w:val="006F4E25"/>
    <w:rsid w:val="006F4E82"/>
    <w:rsid w:val="006F4E9F"/>
    <w:rsid w:val="006F4EC5"/>
    <w:rsid w:val="006F4EEC"/>
    <w:rsid w:val="006F500F"/>
    <w:rsid w:val="006F5046"/>
    <w:rsid w:val="006F5124"/>
    <w:rsid w:val="006F51EE"/>
    <w:rsid w:val="006F523F"/>
    <w:rsid w:val="006F526C"/>
    <w:rsid w:val="006F5278"/>
    <w:rsid w:val="006F52A0"/>
    <w:rsid w:val="006F5355"/>
    <w:rsid w:val="006F535C"/>
    <w:rsid w:val="006F5439"/>
    <w:rsid w:val="006F580C"/>
    <w:rsid w:val="006F5822"/>
    <w:rsid w:val="006F5849"/>
    <w:rsid w:val="006F5880"/>
    <w:rsid w:val="006F5893"/>
    <w:rsid w:val="006F589E"/>
    <w:rsid w:val="006F58E4"/>
    <w:rsid w:val="006F5977"/>
    <w:rsid w:val="006F5A71"/>
    <w:rsid w:val="006F5B2E"/>
    <w:rsid w:val="006F5B89"/>
    <w:rsid w:val="006F5BAC"/>
    <w:rsid w:val="006F5BC2"/>
    <w:rsid w:val="006F5BD3"/>
    <w:rsid w:val="006F5C09"/>
    <w:rsid w:val="006F5C88"/>
    <w:rsid w:val="006F5DBD"/>
    <w:rsid w:val="006F5DD7"/>
    <w:rsid w:val="006F5DD9"/>
    <w:rsid w:val="006F5E9F"/>
    <w:rsid w:val="006F5F2F"/>
    <w:rsid w:val="006F5F46"/>
    <w:rsid w:val="006F5FCF"/>
    <w:rsid w:val="006F5FEC"/>
    <w:rsid w:val="006F6083"/>
    <w:rsid w:val="006F608C"/>
    <w:rsid w:val="006F60B6"/>
    <w:rsid w:val="006F6163"/>
    <w:rsid w:val="006F626F"/>
    <w:rsid w:val="006F63F1"/>
    <w:rsid w:val="006F64AD"/>
    <w:rsid w:val="006F65CC"/>
    <w:rsid w:val="006F66B1"/>
    <w:rsid w:val="006F6936"/>
    <w:rsid w:val="006F696E"/>
    <w:rsid w:val="006F699E"/>
    <w:rsid w:val="006F69A4"/>
    <w:rsid w:val="006F6B21"/>
    <w:rsid w:val="006F6D00"/>
    <w:rsid w:val="006F6DA7"/>
    <w:rsid w:val="006F6DC7"/>
    <w:rsid w:val="006F6DF9"/>
    <w:rsid w:val="006F6EB4"/>
    <w:rsid w:val="006F6EBD"/>
    <w:rsid w:val="006F6EF7"/>
    <w:rsid w:val="006F7148"/>
    <w:rsid w:val="006F718E"/>
    <w:rsid w:val="006F722F"/>
    <w:rsid w:val="006F7253"/>
    <w:rsid w:val="006F7281"/>
    <w:rsid w:val="006F74BF"/>
    <w:rsid w:val="006F75C0"/>
    <w:rsid w:val="006F75CD"/>
    <w:rsid w:val="006F75EB"/>
    <w:rsid w:val="006F75F6"/>
    <w:rsid w:val="006F76FF"/>
    <w:rsid w:val="006F774A"/>
    <w:rsid w:val="006F777A"/>
    <w:rsid w:val="006F77C7"/>
    <w:rsid w:val="006F77F6"/>
    <w:rsid w:val="006F7863"/>
    <w:rsid w:val="006F78A4"/>
    <w:rsid w:val="006F78B7"/>
    <w:rsid w:val="006F7935"/>
    <w:rsid w:val="006F7D78"/>
    <w:rsid w:val="006F7EA5"/>
    <w:rsid w:val="006F7EE8"/>
    <w:rsid w:val="006F7F09"/>
    <w:rsid w:val="006F7FB2"/>
    <w:rsid w:val="006F7FE5"/>
    <w:rsid w:val="006F7FF6"/>
    <w:rsid w:val="007000E3"/>
    <w:rsid w:val="0070012F"/>
    <w:rsid w:val="0070013D"/>
    <w:rsid w:val="0070020B"/>
    <w:rsid w:val="00700236"/>
    <w:rsid w:val="0070023F"/>
    <w:rsid w:val="007002CE"/>
    <w:rsid w:val="0070036A"/>
    <w:rsid w:val="00700384"/>
    <w:rsid w:val="00700395"/>
    <w:rsid w:val="007005D5"/>
    <w:rsid w:val="007005D7"/>
    <w:rsid w:val="007005FD"/>
    <w:rsid w:val="00700671"/>
    <w:rsid w:val="00700690"/>
    <w:rsid w:val="007007F9"/>
    <w:rsid w:val="0070084C"/>
    <w:rsid w:val="00700938"/>
    <w:rsid w:val="00700AA4"/>
    <w:rsid w:val="00700AC4"/>
    <w:rsid w:val="00700B19"/>
    <w:rsid w:val="00700B46"/>
    <w:rsid w:val="00700C49"/>
    <w:rsid w:val="00700C64"/>
    <w:rsid w:val="00700D4D"/>
    <w:rsid w:val="00700D85"/>
    <w:rsid w:val="00700E25"/>
    <w:rsid w:val="00700E48"/>
    <w:rsid w:val="00700F2B"/>
    <w:rsid w:val="00700FC0"/>
    <w:rsid w:val="0070107E"/>
    <w:rsid w:val="007010EE"/>
    <w:rsid w:val="0070111C"/>
    <w:rsid w:val="00701192"/>
    <w:rsid w:val="007012C3"/>
    <w:rsid w:val="007012D0"/>
    <w:rsid w:val="007013AD"/>
    <w:rsid w:val="00701525"/>
    <w:rsid w:val="007015B3"/>
    <w:rsid w:val="007015CF"/>
    <w:rsid w:val="00701618"/>
    <w:rsid w:val="00701620"/>
    <w:rsid w:val="00701621"/>
    <w:rsid w:val="007016F5"/>
    <w:rsid w:val="0070172C"/>
    <w:rsid w:val="0070180E"/>
    <w:rsid w:val="00701869"/>
    <w:rsid w:val="007018E5"/>
    <w:rsid w:val="00701960"/>
    <w:rsid w:val="0070198A"/>
    <w:rsid w:val="00701AC3"/>
    <w:rsid w:val="00701B84"/>
    <w:rsid w:val="00701C7E"/>
    <w:rsid w:val="00701D20"/>
    <w:rsid w:val="00701DFD"/>
    <w:rsid w:val="00701E04"/>
    <w:rsid w:val="00701E51"/>
    <w:rsid w:val="00701F77"/>
    <w:rsid w:val="00701FD2"/>
    <w:rsid w:val="00701FFD"/>
    <w:rsid w:val="0070205A"/>
    <w:rsid w:val="007020C6"/>
    <w:rsid w:val="00702230"/>
    <w:rsid w:val="0070224C"/>
    <w:rsid w:val="007023F8"/>
    <w:rsid w:val="0070240F"/>
    <w:rsid w:val="007024FB"/>
    <w:rsid w:val="007024FC"/>
    <w:rsid w:val="0070267F"/>
    <w:rsid w:val="00702693"/>
    <w:rsid w:val="007026E5"/>
    <w:rsid w:val="0070281F"/>
    <w:rsid w:val="00702866"/>
    <w:rsid w:val="00702B96"/>
    <w:rsid w:val="00702BD6"/>
    <w:rsid w:val="00702C35"/>
    <w:rsid w:val="00702C92"/>
    <w:rsid w:val="00702D51"/>
    <w:rsid w:val="00702D55"/>
    <w:rsid w:val="00702D72"/>
    <w:rsid w:val="00702D7E"/>
    <w:rsid w:val="00702F5E"/>
    <w:rsid w:val="00702FEA"/>
    <w:rsid w:val="0070308C"/>
    <w:rsid w:val="00703183"/>
    <w:rsid w:val="007031A3"/>
    <w:rsid w:val="00703294"/>
    <w:rsid w:val="007032D4"/>
    <w:rsid w:val="00703374"/>
    <w:rsid w:val="007033CB"/>
    <w:rsid w:val="007033E3"/>
    <w:rsid w:val="00703405"/>
    <w:rsid w:val="007034CF"/>
    <w:rsid w:val="007035A9"/>
    <w:rsid w:val="00703704"/>
    <w:rsid w:val="00703775"/>
    <w:rsid w:val="007037F8"/>
    <w:rsid w:val="00703860"/>
    <w:rsid w:val="00703998"/>
    <w:rsid w:val="007039F7"/>
    <w:rsid w:val="00703A4D"/>
    <w:rsid w:val="00703A7B"/>
    <w:rsid w:val="00703BC8"/>
    <w:rsid w:val="00703BD0"/>
    <w:rsid w:val="00703CB6"/>
    <w:rsid w:val="00703CF3"/>
    <w:rsid w:val="00703D9B"/>
    <w:rsid w:val="00703DF2"/>
    <w:rsid w:val="00703F13"/>
    <w:rsid w:val="00703F7D"/>
    <w:rsid w:val="00704012"/>
    <w:rsid w:val="007040BA"/>
    <w:rsid w:val="0070420E"/>
    <w:rsid w:val="0070422E"/>
    <w:rsid w:val="00704276"/>
    <w:rsid w:val="00704291"/>
    <w:rsid w:val="007042D5"/>
    <w:rsid w:val="00704318"/>
    <w:rsid w:val="0070453D"/>
    <w:rsid w:val="007045F2"/>
    <w:rsid w:val="00704624"/>
    <w:rsid w:val="00704693"/>
    <w:rsid w:val="007046CF"/>
    <w:rsid w:val="00704781"/>
    <w:rsid w:val="00704897"/>
    <w:rsid w:val="007049A1"/>
    <w:rsid w:val="00704A2F"/>
    <w:rsid w:val="00704A50"/>
    <w:rsid w:val="00704A74"/>
    <w:rsid w:val="00704A82"/>
    <w:rsid w:val="00704B3C"/>
    <w:rsid w:val="00704B72"/>
    <w:rsid w:val="00704BD0"/>
    <w:rsid w:val="00704F08"/>
    <w:rsid w:val="00704FE3"/>
    <w:rsid w:val="00704FF6"/>
    <w:rsid w:val="00705052"/>
    <w:rsid w:val="00705078"/>
    <w:rsid w:val="0070522E"/>
    <w:rsid w:val="007052AB"/>
    <w:rsid w:val="00705329"/>
    <w:rsid w:val="007053F5"/>
    <w:rsid w:val="0070547A"/>
    <w:rsid w:val="00705484"/>
    <w:rsid w:val="007054C5"/>
    <w:rsid w:val="007054DA"/>
    <w:rsid w:val="0070562E"/>
    <w:rsid w:val="0070563F"/>
    <w:rsid w:val="00705861"/>
    <w:rsid w:val="00705920"/>
    <w:rsid w:val="0070598E"/>
    <w:rsid w:val="0070598F"/>
    <w:rsid w:val="007059F4"/>
    <w:rsid w:val="00705A67"/>
    <w:rsid w:val="00705AA3"/>
    <w:rsid w:val="00705B16"/>
    <w:rsid w:val="00705B60"/>
    <w:rsid w:val="00705C5C"/>
    <w:rsid w:val="00705C6E"/>
    <w:rsid w:val="00705D4B"/>
    <w:rsid w:val="00705DD0"/>
    <w:rsid w:val="00705E66"/>
    <w:rsid w:val="00705E8A"/>
    <w:rsid w:val="00705E8C"/>
    <w:rsid w:val="00705EF9"/>
    <w:rsid w:val="00705EFB"/>
    <w:rsid w:val="00705FEA"/>
    <w:rsid w:val="0070602E"/>
    <w:rsid w:val="007060A7"/>
    <w:rsid w:val="00706324"/>
    <w:rsid w:val="00706376"/>
    <w:rsid w:val="00706416"/>
    <w:rsid w:val="0070654F"/>
    <w:rsid w:val="00706574"/>
    <w:rsid w:val="00706598"/>
    <w:rsid w:val="007065AB"/>
    <w:rsid w:val="007066E7"/>
    <w:rsid w:val="00706718"/>
    <w:rsid w:val="00706785"/>
    <w:rsid w:val="00706911"/>
    <w:rsid w:val="00706A45"/>
    <w:rsid w:val="00706ACC"/>
    <w:rsid w:val="00706AEF"/>
    <w:rsid w:val="00706B32"/>
    <w:rsid w:val="00706BDD"/>
    <w:rsid w:val="00706C1D"/>
    <w:rsid w:val="00706C37"/>
    <w:rsid w:val="00706C9F"/>
    <w:rsid w:val="00706CFA"/>
    <w:rsid w:val="00706CFF"/>
    <w:rsid w:val="00706D84"/>
    <w:rsid w:val="00706DB3"/>
    <w:rsid w:val="00706F41"/>
    <w:rsid w:val="00706F94"/>
    <w:rsid w:val="00706FA5"/>
    <w:rsid w:val="0070709A"/>
    <w:rsid w:val="007070DF"/>
    <w:rsid w:val="007070F9"/>
    <w:rsid w:val="00707133"/>
    <w:rsid w:val="0070716A"/>
    <w:rsid w:val="00707319"/>
    <w:rsid w:val="0070731D"/>
    <w:rsid w:val="00707420"/>
    <w:rsid w:val="00707525"/>
    <w:rsid w:val="00707585"/>
    <w:rsid w:val="0070764C"/>
    <w:rsid w:val="00707653"/>
    <w:rsid w:val="00707700"/>
    <w:rsid w:val="00707942"/>
    <w:rsid w:val="00707A6F"/>
    <w:rsid w:val="00707B2A"/>
    <w:rsid w:val="00707B9F"/>
    <w:rsid w:val="00707E4C"/>
    <w:rsid w:val="00707EB0"/>
    <w:rsid w:val="00707ED3"/>
    <w:rsid w:val="00707ED6"/>
    <w:rsid w:val="00707F80"/>
    <w:rsid w:val="00710085"/>
    <w:rsid w:val="0071018E"/>
    <w:rsid w:val="00710209"/>
    <w:rsid w:val="00710326"/>
    <w:rsid w:val="0071043C"/>
    <w:rsid w:val="00710523"/>
    <w:rsid w:val="007105B2"/>
    <w:rsid w:val="007106DE"/>
    <w:rsid w:val="0071073C"/>
    <w:rsid w:val="007109A9"/>
    <w:rsid w:val="00710A04"/>
    <w:rsid w:val="00710A35"/>
    <w:rsid w:val="00710AA6"/>
    <w:rsid w:val="00710BDD"/>
    <w:rsid w:val="00710C4E"/>
    <w:rsid w:val="00710CC3"/>
    <w:rsid w:val="00710D47"/>
    <w:rsid w:val="00710E4D"/>
    <w:rsid w:val="00710F12"/>
    <w:rsid w:val="00710FAF"/>
    <w:rsid w:val="0071102A"/>
    <w:rsid w:val="0071117C"/>
    <w:rsid w:val="007111D8"/>
    <w:rsid w:val="007111F6"/>
    <w:rsid w:val="00711288"/>
    <w:rsid w:val="007113CD"/>
    <w:rsid w:val="007113F2"/>
    <w:rsid w:val="0071140F"/>
    <w:rsid w:val="00711499"/>
    <w:rsid w:val="007114BF"/>
    <w:rsid w:val="0071152B"/>
    <w:rsid w:val="00711539"/>
    <w:rsid w:val="00711570"/>
    <w:rsid w:val="007115BC"/>
    <w:rsid w:val="0071166C"/>
    <w:rsid w:val="007116CA"/>
    <w:rsid w:val="00711734"/>
    <w:rsid w:val="007117FF"/>
    <w:rsid w:val="0071181F"/>
    <w:rsid w:val="007118C1"/>
    <w:rsid w:val="00711990"/>
    <w:rsid w:val="007119EE"/>
    <w:rsid w:val="007119F0"/>
    <w:rsid w:val="00711A73"/>
    <w:rsid w:val="00711B23"/>
    <w:rsid w:val="00711B7D"/>
    <w:rsid w:val="00711C06"/>
    <w:rsid w:val="00711C2D"/>
    <w:rsid w:val="00711DD2"/>
    <w:rsid w:val="00711F2F"/>
    <w:rsid w:val="00711FAC"/>
    <w:rsid w:val="00712014"/>
    <w:rsid w:val="00712042"/>
    <w:rsid w:val="0071217A"/>
    <w:rsid w:val="00712205"/>
    <w:rsid w:val="0071227A"/>
    <w:rsid w:val="00712293"/>
    <w:rsid w:val="007122F7"/>
    <w:rsid w:val="00712372"/>
    <w:rsid w:val="00712521"/>
    <w:rsid w:val="00712626"/>
    <w:rsid w:val="007126BE"/>
    <w:rsid w:val="00712811"/>
    <w:rsid w:val="0071283C"/>
    <w:rsid w:val="0071296B"/>
    <w:rsid w:val="007129E3"/>
    <w:rsid w:val="00712A2F"/>
    <w:rsid w:val="00712A67"/>
    <w:rsid w:val="00712D80"/>
    <w:rsid w:val="00712DAC"/>
    <w:rsid w:val="00712E25"/>
    <w:rsid w:val="00712E2E"/>
    <w:rsid w:val="00712FA9"/>
    <w:rsid w:val="00712FDB"/>
    <w:rsid w:val="00713121"/>
    <w:rsid w:val="00713285"/>
    <w:rsid w:val="007132EE"/>
    <w:rsid w:val="00713358"/>
    <w:rsid w:val="0071336E"/>
    <w:rsid w:val="007134A6"/>
    <w:rsid w:val="007135FA"/>
    <w:rsid w:val="00713669"/>
    <w:rsid w:val="007136BB"/>
    <w:rsid w:val="007136C2"/>
    <w:rsid w:val="00713840"/>
    <w:rsid w:val="00713853"/>
    <w:rsid w:val="00713894"/>
    <w:rsid w:val="00713900"/>
    <w:rsid w:val="007139F7"/>
    <w:rsid w:val="00713A30"/>
    <w:rsid w:val="00713CDF"/>
    <w:rsid w:val="00713D5C"/>
    <w:rsid w:val="00713E3F"/>
    <w:rsid w:val="00713E9E"/>
    <w:rsid w:val="00713ECA"/>
    <w:rsid w:val="00713F2A"/>
    <w:rsid w:val="00713FC6"/>
    <w:rsid w:val="0071407E"/>
    <w:rsid w:val="0071409C"/>
    <w:rsid w:val="00714116"/>
    <w:rsid w:val="007141D0"/>
    <w:rsid w:val="007141DB"/>
    <w:rsid w:val="0071421B"/>
    <w:rsid w:val="007144CD"/>
    <w:rsid w:val="007144E8"/>
    <w:rsid w:val="007144EF"/>
    <w:rsid w:val="00714655"/>
    <w:rsid w:val="0071468D"/>
    <w:rsid w:val="007146E6"/>
    <w:rsid w:val="00714733"/>
    <w:rsid w:val="00714803"/>
    <w:rsid w:val="0071487E"/>
    <w:rsid w:val="007148DE"/>
    <w:rsid w:val="00714B4B"/>
    <w:rsid w:val="00714CA4"/>
    <w:rsid w:val="00715029"/>
    <w:rsid w:val="0071526A"/>
    <w:rsid w:val="007152A2"/>
    <w:rsid w:val="007152A6"/>
    <w:rsid w:val="00715470"/>
    <w:rsid w:val="00715479"/>
    <w:rsid w:val="0071548C"/>
    <w:rsid w:val="007155D4"/>
    <w:rsid w:val="007155FE"/>
    <w:rsid w:val="0071571B"/>
    <w:rsid w:val="00715779"/>
    <w:rsid w:val="007157CF"/>
    <w:rsid w:val="00715AD7"/>
    <w:rsid w:val="00715CBB"/>
    <w:rsid w:val="00715DF1"/>
    <w:rsid w:val="00715E94"/>
    <w:rsid w:val="00715F0A"/>
    <w:rsid w:val="00715FAC"/>
    <w:rsid w:val="007160A3"/>
    <w:rsid w:val="007161EA"/>
    <w:rsid w:val="00716203"/>
    <w:rsid w:val="00716204"/>
    <w:rsid w:val="0071630E"/>
    <w:rsid w:val="00716480"/>
    <w:rsid w:val="00716534"/>
    <w:rsid w:val="0071653E"/>
    <w:rsid w:val="007165D0"/>
    <w:rsid w:val="007166D9"/>
    <w:rsid w:val="007166F8"/>
    <w:rsid w:val="00716784"/>
    <w:rsid w:val="0071686D"/>
    <w:rsid w:val="00716887"/>
    <w:rsid w:val="007168CA"/>
    <w:rsid w:val="00716916"/>
    <w:rsid w:val="007169DC"/>
    <w:rsid w:val="00716A77"/>
    <w:rsid w:val="00716B2B"/>
    <w:rsid w:val="00716B4C"/>
    <w:rsid w:val="00716C33"/>
    <w:rsid w:val="00716C5B"/>
    <w:rsid w:val="00716C61"/>
    <w:rsid w:val="00716C83"/>
    <w:rsid w:val="00716C96"/>
    <w:rsid w:val="00716D0F"/>
    <w:rsid w:val="00716E72"/>
    <w:rsid w:val="00716EEA"/>
    <w:rsid w:val="00716F46"/>
    <w:rsid w:val="00716FE5"/>
    <w:rsid w:val="0071700D"/>
    <w:rsid w:val="0071700F"/>
    <w:rsid w:val="00717059"/>
    <w:rsid w:val="0071706B"/>
    <w:rsid w:val="007171CC"/>
    <w:rsid w:val="007171E4"/>
    <w:rsid w:val="00717294"/>
    <w:rsid w:val="007172BB"/>
    <w:rsid w:val="00717453"/>
    <w:rsid w:val="007174B0"/>
    <w:rsid w:val="007174E1"/>
    <w:rsid w:val="007174EC"/>
    <w:rsid w:val="00717500"/>
    <w:rsid w:val="0071750B"/>
    <w:rsid w:val="00717535"/>
    <w:rsid w:val="0071759C"/>
    <w:rsid w:val="007175D7"/>
    <w:rsid w:val="00717613"/>
    <w:rsid w:val="007176A8"/>
    <w:rsid w:val="007178EA"/>
    <w:rsid w:val="0071791E"/>
    <w:rsid w:val="0071794D"/>
    <w:rsid w:val="00717A37"/>
    <w:rsid w:val="00717AAE"/>
    <w:rsid w:val="00717AE8"/>
    <w:rsid w:val="00717BD6"/>
    <w:rsid w:val="00717BED"/>
    <w:rsid w:val="00717C39"/>
    <w:rsid w:val="00717CA7"/>
    <w:rsid w:val="00717DD4"/>
    <w:rsid w:val="00717F49"/>
    <w:rsid w:val="00717F79"/>
    <w:rsid w:val="00720036"/>
    <w:rsid w:val="0072010D"/>
    <w:rsid w:val="00720264"/>
    <w:rsid w:val="00720267"/>
    <w:rsid w:val="00720316"/>
    <w:rsid w:val="007203EC"/>
    <w:rsid w:val="00720425"/>
    <w:rsid w:val="007204A2"/>
    <w:rsid w:val="0072050A"/>
    <w:rsid w:val="007205C2"/>
    <w:rsid w:val="0072074B"/>
    <w:rsid w:val="0072084D"/>
    <w:rsid w:val="007209DC"/>
    <w:rsid w:val="00720A0C"/>
    <w:rsid w:val="00720A49"/>
    <w:rsid w:val="00720B3E"/>
    <w:rsid w:val="00720BF4"/>
    <w:rsid w:val="00720DEB"/>
    <w:rsid w:val="00720FAA"/>
    <w:rsid w:val="0072111A"/>
    <w:rsid w:val="007211A5"/>
    <w:rsid w:val="007212B5"/>
    <w:rsid w:val="007214C9"/>
    <w:rsid w:val="0072153F"/>
    <w:rsid w:val="0072161E"/>
    <w:rsid w:val="00721764"/>
    <w:rsid w:val="007217BC"/>
    <w:rsid w:val="00721805"/>
    <w:rsid w:val="00721913"/>
    <w:rsid w:val="007219CC"/>
    <w:rsid w:val="00721A0E"/>
    <w:rsid w:val="00721BB1"/>
    <w:rsid w:val="00721C2E"/>
    <w:rsid w:val="00721C68"/>
    <w:rsid w:val="00721E03"/>
    <w:rsid w:val="00721E38"/>
    <w:rsid w:val="00721E66"/>
    <w:rsid w:val="00722127"/>
    <w:rsid w:val="007221AC"/>
    <w:rsid w:val="0072221A"/>
    <w:rsid w:val="00722290"/>
    <w:rsid w:val="00722316"/>
    <w:rsid w:val="00722345"/>
    <w:rsid w:val="0072245E"/>
    <w:rsid w:val="00722563"/>
    <w:rsid w:val="0072256E"/>
    <w:rsid w:val="00722591"/>
    <w:rsid w:val="00722806"/>
    <w:rsid w:val="0072282A"/>
    <w:rsid w:val="0072282D"/>
    <w:rsid w:val="007228F8"/>
    <w:rsid w:val="007229FD"/>
    <w:rsid w:val="00722A69"/>
    <w:rsid w:val="00722A8D"/>
    <w:rsid w:val="00722AA8"/>
    <w:rsid w:val="00722B06"/>
    <w:rsid w:val="00722B95"/>
    <w:rsid w:val="00722BA5"/>
    <w:rsid w:val="00722C4A"/>
    <w:rsid w:val="00722C8A"/>
    <w:rsid w:val="00722CC3"/>
    <w:rsid w:val="00722E03"/>
    <w:rsid w:val="00722E20"/>
    <w:rsid w:val="00722E63"/>
    <w:rsid w:val="00722EF3"/>
    <w:rsid w:val="00722FCC"/>
    <w:rsid w:val="00723006"/>
    <w:rsid w:val="00723053"/>
    <w:rsid w:val="007230FE"/>
    <w:rsid w:val="0072312B"/>
    <w:rsid w:val="00723283"/>
    <w:rsid w:val="00723309"/>
    <w:rsid w:val="0072347A"/>
    <w:rsid w:val="00723570"/>
    <w:rsid w:val="007235D9"/>
    <w:rsid w:val="00723843"/>
    <w:rsid w:val="00723883"/>
    <w:rsid w:val="007238B0"/>
    <w:rsid w:val="00723914"/>
    <w:rsid w:val="007239A5"/>
    <w:rsid w:val="00723B30"/>
    <w:rsid w:val="00723BE8"/>
    <w:rsid w:val="00723C7D"/>
    <w:rsid w:val="00723DE7"/>
    <w:rsid w:val="00723ED0"/>
    <w:rsid w:val="00723F3A"/>
    <w:rsid w:val="00723FD8"/>
    <w:rsid w:val="0072404A"/>
    <w:rsid w:val="007241A5"/>
    <w:rsid w:val="0072423B"/>
    <w:rsid w:val="00724342"/>
    <w:rsid w:val="00724413"/>
    <w:rsid w:val="0072443E"/>
    <w:rsid w:val="007245BA"/>
    <w:rsid w:val="0072464F"/>
    <w:rsid w:val="00724680"/>
    <w:rsid w:val="007246F0"/>
    <w:rsid w:val="007248B4"/>
    <w:rsid w:val="007248B9"/>
    <w:rsid w:val="00724904"/>
    <w:rsid w:val="0072494A"/>
    <w:rsid w:val="00724A15"/>
    <w:rsid w:val="00724A69"/>
    <w:rsid w:val="00724AEF"/>
    <w:rsid w:val="00724C0B"/>
    <w:rsid w:val="00724CE2"/>
    <w:rsid w:val="00724CE5"/>
    <w:rsid w:val="00724E16"/>
    <w:rsid w:val="00724EBE"/>
    <w:rsid w:val="007250EE"/>
    <w:rsid w:val="00725268"/>
    <w:rsid w:val="00725535"/>
    <w:rsid w:val="0072557B"/>
    <w:rsid w:val="00725728"/>
    <w:rsid w:val="0072573E"/>
    <w:rsid w:val="00725798"/>
    <w:rsid w:val="0072587B"/>
    <w:rsid w:val="007258F6"/>
    <w:rsid w:val="007259E9"/>
    <w:rsid w:val="00725A1A"/>
    <w:rsid w:val="00725A43"/>
    <w:rsid w:val="00725AF3"/>
    <w:rsid w:val="00725B02"/>
    <w:rsid w:val="00725B05"/>
    <w:rsid w:val="00725B12"/>
    <w:rsid w:val="00725B56"/>
    <w:rsid w:val="00725B86"/>
    <w:rsid w:val="00725C22"/>
    <w:rsid w:val="00725D36"/>
    <w:rsid w:val="00725EC8"/>
    <w:rsid w:val="00725F26"/>
    <w:rsid w:val="00725F2D"/>
    <w:rsid w:val="00725F3F"/>
    <w:rsid w:val="00725F4A"/>
    <w:rsid w:val="00726006"/>
    <w:rsid w:val="007260B5"/>
    <w:rsid w:val="007260E2"/>
    <w:rsid w:val="00726129"/>
    <w:rsid w:val="00726144"/>
    <w:rsid w:val="00726281"/>
    <w:rsid w:val="0072639A"/>
    <w:rsid w:val="007263DE"/>
    <w:rsid w:val="0072657E"/>
    <w:rsid w:val="00726691"/>
    <w:rsid w:val="007266E3"/>
    <w:rsid w:val="007266F4"/>
    <w:rsid w:val="00726722"/>
    <w:rsid w:val="007267EA"/>
    <w:rsid w:val="00726906"/>
    <w:rsid w:val="0072692A"/>
    <w:rsid w:val="00726A97"/>
    <w:rsid w:val="00726AE7"/>
    <w:rsid w:val="00726B20"/>
    <w:rsid w:val="00726B27"/>
    <w:rsid w:val="00726B46"/>
    <w:rsid w:val="00726BE9"/>
    <w:rsid w:val="00726E2D"/>
    <w:rsid w:val="00726EA1"/>
    <w:rsid w:val="00726F7E"/>
    <w:rsid w:val="00727044"/>
    <w:rsid w:val="007270C0"/>
    <w:rsid w:val="007271A0"/>
    <w:rsid w:val="007271B1"/>
    <w:rsid w:val="007271C1"/>
    <w:rsid w:val="007272D4"/>
    <w:rsid w:val="00727656"/>
    <w:rsid w:val="00727703"/>
    <w:rsid w:val="007277D5"/>
    <w:rsid w:val="007277EE"/>
    <w:rsid w:val="0072785D"/>
    <w:rsid w:val="00727864"/>
    <w:rsid w:val="007278AA"/>
    <w:rsid w:val="00727985"/>
    <w:rsid w:val="00727A39"/>
    <w:rsid w:val="00727AC6"/>
    <w:rsid w:val="00727B44"/>
    <w:rsid w:val="00727B48"/>
    <w:rsid w:val="00727B55"/>
    <w:rsid w:val="00727E30"/>
    <w:rsid w:val="00727E4B"/>
    <w:rsid w:val="00727E80"/>
    <w:rsid w:val="00727ED2"/>
    <w:rsid w:val="00727EE9"/>
    <w:rsid w:val="00727F78"/>
    <w:rsid w:val="00730066"/>
    <w:rsid w:val="007300A7"/>
    <w:rsid w:val="007300BB"/>
    <w:rsid w:val="00730144"/>
    <w:rsid w:val="007301CD"/>
    <w:rsid w:val="007301E0"/>
    <w:rsid w:val="007302C7"/>
    <w:rsid w:val="007302EB"/>
    <w:rsid w:val="007304A5"/>
    <w:rsid w:val="00730519"/>
    <w:rsid w:val="00730538"/>
    <w:rsid w:val="007305C7"/>
    <w:rsid w:val="00730665"/>
    <w:rsid w:val="007306F6"/>
    <w:rsid w:val="00730823"/>
    <w:rsid w:val="00730A0A"/>
    <w:rsid w:val="00730A50"/>
    <w:rsid w:val="00730A58"/>
    <w:rsid w:val="00730B0A"/>
    <w:rsid w:val="00730B51"/>
    <w:rsid w:val="00730C85"/>
    <w:rsid w:val="00730D77"/>
    <w:rsid w:val="00730E2D"/>
    <w:rsid w:val="00730E6E"/>
    <w:rsid w:val="00730E7B"/>
    <w:rsid w:val="00730EA1"/>
    <w:rsid w:val="00730F02"/>
    <w:rsid w:val="00730F6B"/>
    <w:rsid w:val="00730F8F"/>
    <w:rsid w:val="00730F97"/>
    <w:rsid w:val="00731001"/>
    <w:rsid w:val="00731083"/>
    <w:rsid w:val="007310B7"/>
    <w:rsid w:val="007310BA"/>
    <w:rsid w:val="0073111E"/>
    <w:rsid w:val="0073114C"/>
    <w:rsid w:val="00731173"/>
    <w:rsid w:val="0073119B"/>
    <w:rsid w:val="007311C3"/>
    <w:rsid w:val="00731269"/>
    <w:rsid w:val="007312ED"/>
    <w:rsid w:val="00731418"/>
    <w:rsid w:val="00731464"/>
    <w:rsid w:val="0073152D"/>
    <w:rsid w:val="007315C8"/>
    <w:rsid w:val="0073162F"/>
    <w:rsid w:val="00731633"/>
    <w:rsid w:val="00731643"/>
    <w:rsid w:val="00731668"/>
    <w:rsid w:val="007316F5"/>
    <w:rsid w:val="007317A9"/>
    <w:rsid w:val="007319B1"/>
    <w:rsid w:val="00731A9A"/>
    <w:rsid w:val="00731AC1"/>
    <w:rsid w:val="00731AFC"/>
    <w:rsid w:val="00731B73"/>
    <w:rsid w:val="00731BE6"/>
    <w:rsid w:val="00731C54"/>
    <w:rsid w:val="00731C55"/>
    <w:rsid w:val="00731D12"/>
    <w:rsid w:val="00731E7C"/>
    <w:rsid w:val="00731E89"/>
    <w:rsid w:val="00731E9B"/>
    <w:rsid w:val="00731F80"/>
    <w:rsid w:val="007320AD"/>
    <w:rsid w:val="007320E7"/>
    <w:rsid w:val="0073222E"/>
    <w:rsid w:val="0073224F"/>
    <w:rsid w:val="00732322"/>
    <w:rsid w:val="007323F4"/>
    <w:rsid w:val="00732472"/>
    <w:rsid w:val="00732479"/>
    <w:rsid w:val="00732493"/>
    <w:rsid w:val="00732552"/>
    <w:rsid w:val="007326B0"/>
    <w:rsid w:val="00732762"/>
    <w:rsid w:val="007328F7"/>
    <w:rsid w:val="00732920"/>
    <w:rsid w:val="00732A7A"/>
    <w:rsid w:val="00732AB0"/>
    <w:rsid w:val="00732AB1"/>
    <w:rsid w:val="00732ADC"/>
    <w:rsid w:val="00732B4C"/>
    <w:rsid w:val="00732B82"/>
    <w:rsid w:val="00732BD1"/>
    <w:rsid w:val="00732C23"/>
    <w:rsid w:val="00732CF5"/>
    <w:rsid w:val="00732CF6"/>
    <w:rsid w:val="00732D12"/>
    <w:rsid w:val="00732D23"/>
    <w:rsid w:val="00732DA0"/>
    <w:rsid w:val="00732E5E"/>
    <w:rsid w:val="00732E67"/>
    <w:rsid w:val="00732E85"/>
    <w:rsid w:val="00732EC8"/>
    <w:rsid w:val="00732FAE"/>
    <w:rsid w:val="00732FEF"/>
    <w:rsid w:val="00733003"/>
    <w:rsid w:val="0073300E"/>
    <w:rsid w:val="007330C6"/>
    <w:rsid w:val="00733180"/>
    <w:rsid w:val="00733275"/>
    <w:rsid w:val="007332EA"/>
    <w:rsid w:val="0073330D"/>
    <w:rsid w:val="00733337"/>
    <w:rsid w:val="0073337F"/>
    <w:rsid w:val="007334AF"/>
    <w:rsid w:val="0073354D"/>
    <w:rsid w:val="0073357F"/>
    <w:rsid w:val="007336AA"/>
    <w:rsid w:val="007336E2"/>
    <w:rsid w:val="00733940"/>
    <w:rsid w:val="007339BC"/>
    <w:rsid w:val="007339E6"/>
    <w:rsid w:val="00733B05"/>
    <w:rsid w:val="00733BE8"/>
    <w:rsid w:val="00733C15"/>
    <w:rsid w:val="00733C42"/>
    <w:rsid w:val="00733D86"/>
    <w:rsid w:val="00733DD2"/>
    <w:rsid w:val="00733E34"/>
    <w:rsid w:val="00733ECA"/>
    <w:rsid w:val="00733F10"/>
    <w:rsid w:val="007340D4"/>
    <w:rsid w:val="00734194"/>
    <w:rsid w:val="007341D3"/>
    <w:rsid w:val="00734259"/>
    <w:rsid w:val="0073426E"/>
    <w:rsid w:val="007342D4"/>
    <w:rsid w:val="007342F4"/>
    <w:rsid w:val="00734309"/>
    <w:rsid w:val="0073435B"/>
    <w:rsid w:val="00734383"/>
    <w:rsid w:val="00734417"/>
    <w:rsid w:val="0073444D"/>
    <w:rsid w:val="0073457A"/>
    <w:rsid w:val="007345E6"/>
    <w:rsid w:val="00734630"/>
    <w:rsid w:val="00734644"/>
    <w:rsid w:val="00734686"/>
    <w:rsid w:val="0073469D"/>
    <w:rsid w:val="0073473A"/>
    <w:rsid w:val="007347B3"/>
    <w:rsid w:val="007348F7"/>
    <w:rsid w:val="00734AC0"/>
    <w:rsid w:val="00734C4F"/>
    <w:rsid w:val="00734D3E"/>
    <w:rsid w:val="00734D60"/>
    <w:rsid w:val="00734DEF"/>
    <w:rsid w:val="00734E50"/>
    <w:rsid w:val="00734E6F"/>
    <w:rsid w:val="00734E99"/>
    <w:rsid w:val="00734ECC"/>
    <w:rsid w:val="00734FD0"/>
    <w:rsid w:val="00734FE8"/>
    <w:rsid w:val="00735110"/>
    <w:rsid w:val="0073519E"/>
    <w:rsid w:val="007351F8"/>
    <w:rsid w:val="00735496"/>
    <w:rsid w:val="007354C9"/>
    <w:rsid w:val="00735716"/>
    <w:rsid w:val="0073582F"/>
    <w:rsid w:val="00735835"/>
    <w:rsid w:val="00735838"/>
    <w:rsid w:val="00735894"/>
    <w:rsid w:val="007359BA"/>
    <w:rsid w:val="00735B4C"/>
    <w:rsid w:val="00735CCF"/>
    <w:rsid w:val="00735D16"/>
    <w:rsid w:val="00735DCC"/>
    <w:rsid w:val="00736022"/>
    <w:rsid w:val="007360A7"/>
    <w:rsid w:val="00736314"/>
    <w:rsid w:val="00736448"/>
    <w:rsid w:val="00736612"/>
    <w:rsid w:val="0073665D"/>
    <w:rsid w:val="0073673F"/>
    <w:rsid w:val="00736786"/>
    <w:rsid w:val="007368FC"/>
    <w:rsid w:val="007369B9"/>
    <w:rsid w:val="00736A70"/>
    <w:rsid w:val="00736AAB"/>
    <w:rsid w:val="00736ADB"/>
    <w:rsid w:val="00736B8A"/>
    <w:rsid w:val="00736BBC"/>
    <w:rsid w:val="00736D04"/>
    <w:rsid w:val="00736EF9"/>
    <w:rsid w:val="00736F00"/>
    <w:rsid w:val="00736F80"/>
    <w:rsid w:val="0073702C"/>
    <w:rsid w:val="007370A7"/>
    <w:rsid w:val="007370CB"/>
    <w:rsid w:val="0073711E"/>
    <w:rsid w:val="00737144"/>
    <w:rsid w:val="0073715F"/>
    <w:rsid w:val="00737232"/>
    <w:rsid w:val="00737308"/>
    <w:rsid w:val="007373F0"/>
    <w:rsid w:val="00737475"/>
    <w:rsid w:val="00737732"/>
    <w:rsid w:val="00737829"/>
    <w:rsid w:val="007378B7"/>
    <w:rsid w:val="0073797B"/>
    <w:rsid w:val="00737AE4"/>
    <w:rsid w:val="00737C03"/>
    <w:rsid w:val="00737C42"/>
    <w:rsid w:val="00737D0A"/>
    <w:rsid w:val="00737D49"/>
    <w:rsid w:val="00737E9A"/>
    <w:rsid w:val="00737F2A"/>
    <w:rsid w:val="00740121"/>
    <w:rsid w:val="007402CE"/>
    <w:rsid w:val="0074032C"/>
    <w:rsid w:val="007403AB"/>
    <w:rsid w:val="007403D7"/>
    <w:rsid w:val="007403E9"/>
    <w:rsid w:val="007404AF"/>
    <w:rsid w:val="007405DE"/>
    <w:rsid w:val="007405FA"/>
    <w:rsid w:val="0074066C"/>
    <w:rsid w:val="007406E7"/>
    <w:rsid w:val="007407C2"/>
    <w:rsid w:val="007408BD"/>
    <w:rsid w:val="00740AED"/>
    <w:rsid w:val="00740AFB"/>
    <w:rsid w:val="00740C2F"/>
    <w:rsid w:val="00740D3B"/>
    <w:rsid w:val="00740D5C"/>
    <w:rsid w:val="00740DC3"/>
    <w:rsid w:val="00740E42"/>
    <w:rsid w:val="00740EB8"/>
    <w:rsid w:val="00740F19"/>
    <w:rsid w:val="00740FD7"/>
    <w:rsid w:val="0074101A"/>
    <w:rsid w:val="00741056"/>
    <w:rsid w:val="007410E2"/>
    <w:rsid w:val="00741198"/>
    <w:rsid w:val="00741284"/>
    <w:rsid w:val="007413B2"/>
    <w:rsid w:val="007415AD"/>
    <w:rsid w:val="007416E9"/>
    <w:rsid w:val="00741724"/>
    <w:rsid w:val="00741725"/>
    <w:rsid w:val="00741950"/>
    <w:rsid w:val="00741988"/>
    <w:rsid w:val="007419BD"/>
    <w:rsid w:val="00741AB7"/>
    <w:rsid w:val="00741AC7"/>
    <w:rsid w:val="00741B6D"/>
    <w:rsid w:val="00741E95"/>
    <w:rsid w:val="00741F97"/>
    <w:rsid w:val="00741FFE"/>
    <w:rsid w:val="0074203B"/>
    <w:rsid w:val="007420B7"/>
    <w:rsid w:val="007420DB"/>
    <w:rsid w:val="00742143"/>
    <w:rsid w:val="007421FA"/>
    <w:rsid w:val="00742224"/>
    <w:rsid w:val="00742287"/>
    <w:rsid w:val="00742293"/>
    <w:rsid w:val="0074240A"/>
    <w:rsid w:val="007424B2"/>
    <w:rsid w:val="007425D4"/>
    <w:rsid w:val="0074266E"/>
    <w:rsid w:val="007426D3"/>
    <w:rsid w:val="0074277E"/>
    <w:rsid w:val="007427D2"/>
    <w:rsid w:val="007427FF"/>
    <w:rsid w:val="00742844"/>
    <w:rsid w:val="0074290C"/>
    <w:rsid w:val="00742A16"/>
    <w:rsid w:val="00742AE0"/>
    <w:rsid w:val="00742B1A"/>
    <w:rsid w:val="00742B7C"/>
    <w:rsid w:val="00742BAA"/>
    <w:rsid w:val="00742BC4"/>
    <w:rsid w:val="00742C6C"/>
    <w:rsid w:val="00742C8A"/>
    <w:rsid w:val="00742C97"/>
    <w:rsid w:val="00742D86"/>
    <w:rsid w:val="00742DC4"/>
    <w:rsid w:val="00743231"/>
    <w:rsid w:val="007432FC"/>
    <w:rsid w:val="00743503"/>
    <w:rsid w:val="00743516"/>
    <w:rsid w:val="007435AC"/>
    <w:rsid w:val="0074364D"/>
    <w:rsid w:val="0074367B"/>
    <w:rsid w:val="007436B4"/>
    <w:rsid w:val="007436BC"/>
    <w:rsid w:val="007438A2"/>
    <w:rsid w:val="007438DA"/>
    <w:rsid w:val="00743A88"/>
    <w:rsid w:val="00743B16"/>
    <w:rsid w:val="00743C28"/>
    <w:rsid w:val="00743D2E"/>
    <w:rsid w:val="00743DF7"/>
    <w:rsid w:val="00743E7C"/>
    <w:rsid w:val="00743F70"/>
    <w:rsid w:val="00743FF1"/>
    <w:rsid w:val="00744054"/>
    <w:rsid w:val="0074409D"/>
    <w:rsid w:val="00744103"/>
    <w:rsid w:val="00744177"/>
    <w:rsid w:val="0074418F"/>
    <w:rsid w:val="007443CF"/>
    <w:rsid w:val="00744442"/>
    <w:rsid w:val="00744502"/>
    <w:rsid w:val="00744699"/>
    <w:rsid w:val="00744717"/>
    <w:rsid w:val="007448C5"/>
    <w:rsid w:val="007448D6"/>
    <w:rsid w:val="007449A7"/>
    <w:rsid w:val="00744A81"/>
    <w:rsid w:val="00744A8C"/>
    <w:rsid w:val="00744AFF"/>
    <w:rsid w:val="00744E09"/>
    <w:rsid w:val="00744E25"/>
    <w:rsid w:val="0074508A"/>
    <w:rsid w:val="007450B7"/>
    <w:rsid w:val="0074517D"/>
    <w:rsid w:val="007451B4"/>
    <w:rsid w:val="00745268"/>
    <w:rsid w:val="0074539B"/>
    <w:rsid w:val="00745466"/>
    <w:rsid w:val="00745593"/>
    <w:rsid w:val="00745645"/>
    <w:rsid w:val="00745682"/>
    <w:rsid w:val="007457D7"/>
    <w:rsid w:val="00745815"/>
    <w:rsid w:val="00745A3C"/>
    <w:rsid w:val="00745ABC"/>
    <w:rsid w:val="00745B0F"/>
    <w:rsid w:val="00745C31"/>
    <w:rsid w:val="00745D3A"/>
    <w:rsid w:val="00745D4E"/>
    <w:rsid w:val="00745D5F"/>
    <w:rsid w:val="00745E9B"/>
    <w:rsid w:val="00745FB0"/>
    <w:rsid w:val="0074601E"/>
    <w:rsid w:val="00746218"/>
    <w:rsid w:val="0074624A"/>
    <w:rsid w:val="0074626F"/>
    <w:rsid w:val="00746294"/>
    <w:rsid w:val="007462FA"/>
    <w:rsid w:val="00746420"/>
    <w:rsid w:val="00746438"/>
    <w:rsid w:val="00746494"/>
    <w:rsid w:val="00746589"/>
    <w:rsid w:val="0074663B"/>
    <w:rsid w:val="007466FF"/>
    <w:rsid w:val="007468F7"/>
    <w:rsid w:val="00746941"/>
    <w:rsid w:val="00746965"/>
    <w:rsid w:val="0074698B"/>
    <w:rsid w:val="00746A0E"/>
    <w:rsid w:val="00746A1A"/>
    <w:rsid w:val="00746BF8"/>
    <w:rsid w:val="00746E17"/>
    <w:rsid w:val="00746E2F"/>
    <w:rsid w:val="00746E4A"/>
    <w:rsid w:val="00746E7F"/>
    <w:rsid w:val="00746F32"/>
    <w:rsid w:val="00746F82"/>
    <w:rsid w:val="007470C7"/>
    <w:rsid w:val="00747237"/>
    <w:rsid w:val="00747275"/>
    <w:rsid w:val="00747325"/>
    <w:rsid w:val="00747345"/>
    <w:rsid w:val="00747357"/>
    <w:rsid w:val="00747411"/>
    <w:rsid w:val="00747568"/>
    <w:rsid w:val="007476F2"/>
    <w:rsid w:val="00747939"/>
    <w:rsid w:val="007479B3"/>
    <w:rsid w:val="00747A33"/>
    <w:rsid w:val="00747C84"/>
    <w:rsid w:val="00747CC5"/>
    <w:rsid w:val="00747CF6"/>
    <w:rsid w:val="00747EAB"/>
    <w:rsid w:val="00747ECA"/>
    <w:rsid w:val="00747F3A"/>
    <w:rsid w:val="00747F48"/>
    <w:rsid w:val="007500AB"/>
    <w:rsid w:val="007500AC"/>
    <w:rsid w:val="00750235"/>
    <w:rsid w:val="00750410"/>
    <w:rsid w:val="00750479"/>
    <w:rsid w:val="00750575"/>
    <w:rsid w:val="007505A5"/>
    <w:rsid w:val="007506EE"/>
    <w:rsid w:val="00750763"/>
    <w:rsid w:val="00750800"/>
    <w:rsid w:val="0075087A"/>
    <w:rsid w:val="0075090B"/>
    <w:rsid w:val="00750AE6"/>
    <w:rsid w:val="00750B65"/>
    <w:rsid w:val="00750BC9"/>
    <w:rsid w:val="00750C5D"/>
    <w:rsid w:val="00750C7D"/>
    <w:rsid w:val="00750CF7"/>
    <w:rsid w:val="00750D23"/>
    <w:rsid w:val="00750E10"/>
    <w:rsid w:val="00751158"/>
    <w:rsid w:val="007511B5"/>
    <w:rsid w:val="007511E1"/>
    <w:rsid w:val="0075128D"/>
    <w:rsid w:val="007512A2"/>
    <w:rsid w:val="007512FD"/>
    <w:rsid w:val="00751387"/>
    <w:rsid w:val="007513BD"/>
    <w:rsid w:val="00751418"/>
    <w:rsid w:val="0075141F"/>
    <w:rsid w:val="00751432"/>
    <w:rsid w:val="007514A0"/>
    <w:rsid w:val="007514C9"/>
    <w:rsid w:val="007514DE"/>
    <w:rsid w:val="0075152F"/>
    <w:rsid w:val="00751666"/>
    <w:rsid w:val="00751709"/>
    <w:rsid w:val="007517F0"/>
    <w:rsid w:val="007519F3"/>
    <w:rsid w:val="00751A3D"/>
    <w:rsid w:val="00751AE6"/>
    <w:rsid w:val="00751AE8"/>
    <w:rsid w:val="00751D42"/>
    <w:rsid w:val="00751DBA"/>
    <w:rsid w:val="00751E4F"/>
    <w:rsid w:val="00751E93"/>
    <w:rsid w:val="00751EB5"/>
    <w:rsid w:val="00751F6A"/>
    <w:rsid w:val="00751F87"/>
    <w:rsid w:val="00751FAC"/>
    <w:rsid w:val="00751FD5"/>
    <w:rsid w:val="00752022"/>
    <w:rsid w:val="007520E9"/>
    <w:rsid w:val="0075218D"/>
    <w:rsid w:val="00752273"/>
    <w:rsid w:val="0075229A"/>
    <w:rsid w:val="0075229E"/>
    <w:rsid w:val="007522CB"/>
    <w:rsid w:val="007522FC"/>
    <w:rsid w:val="0075250B"/>
    <w:rsid w:val="00752562"/>
    <w:rsid w:val="007525AD"/>
    <w:rsid w:val="007525DD"/>
    <w:rsid w:val="007526D9"/>
    <w:rsid w:val="0075273D"/>
    <w:rsid w:val="00752879"/>
    <w:rsid w:val="007528E3"/>
    <w:rsid w:val="00752930"/>
    <w:rsid w:val="0075294C"/>
    <w:rsid w:val="0075298A"/>
    <w:rsid w:val="00752A72"/>
    <w:rsid w:val="00752B02"/>
    <w:rsid w:val="00752BEA"/>
    <w:rsid w:val="00752D20"/>
    <w:rsid w:val="00752DC1"/>
    <w:rsid w:val="00752F7A"/>
    <w:rsid w:val="00753075"/>
    <w:rsid w:val="00753123"/>
    <w:rsid w:val="007531EF"/>
    <w:rsid w:val="007532D8"/>
    <w:rsid w:val="00753312"/>
    <w:rsid w:val="0075333A"/>
    <w:rsid w:val="007535E5"/>
    <w:rsid w:val="00753643"/>
    <w:rsid w:val="0075365C"/>
    <w:rsid w:val="007536C1"/>
    <w:rsid w:val="00753733"/>
    <w:rsid w:val="007537B1"/>
    <w:rsid w:val="007537C0"/>
    <w:rsid w:val="0075390E"/>
    <w:rsid w:val="0075392E"/>
    <w:rsid w:val="007539B8"/>
    <w:rsid w:val="007539CD"/>
    <w:rsid w:val="00753A1A"/>
    <w:rsid w:val="00753BE1"/>
    <w:rsid w:val="00753DD8"/>
    <w:rsid w:val="00753DEE"/>
    <w:rsid w:val="00753ED5"/>
    <w:rsid w:val="00753F83"/>
    <w:rsid w:val="00753F9E"/>
    <w:rsid w:val="00754043"/>
    <w:rsid w:val="0075405A"/>
    <w:rsid w:val="00754134"/>
    <w:rsid w:val="007541B3"/>
    <w:rsid w:val="007544A6"/>
    <w:rsid w:val="0075452D"/>
    <w:rsid w:val="0075459E"/>
    <w:rsid w:val="007546FA"/>
    <w:rsid w:val="00754759"/>
    <w:rsid w:val="00754893"/>
    <w:rsid w:val="00754993"/>
    <w:rsid w:val="007549B1"/>
    <w:rsid w:val="007549D0"/>
    <w:rsid w:val="00754ACB"/>
    <w:rsid w:val="00754B4F"/>
    <w:rsid w:val="00754BBB"/>
    <w:rsid w:val="00754C12"/>
    <w:rsid w:val="00754C5F"/>
    <w:rsid w:val="00754D06"/>
    <w:rsid w:val="00754E10"/>
    <w:rsid w:val="00754ECE"/>
    <w:rsid w:val="00754F45"/>
    <w:rsid w:val="00754F78"/>
    <w:rsid w:val="0075516E"/>
    <w:rsid w:val="0075526E"/>
    <w:rsid w:val="00755310"/>
    <w:rsid w:val="0075558D"/>
    <w:rsid w:val="007555FC"/>
    <w:rsid w:val="00755697"/>
    <w:rsid w:val="0075569F"/>
    <w:rsid w:val="00755839"/>
    <w:rsid w:val="00755840"/>
    <w:rsid w:val="007558EB"/>
    <w:rsid w:val="007558F6"/>
    <w:rsid w:val="00755AF3"/>
    <w:rsid w:val="00755B4C"/>
    <w:rsid w:val="00755D43"/>
    <w:rsid w:val="00755E8A"/>
    <w:rsid w:val="00755F05"/>
    <w:rsid w:val="00755F7B"/>
    <w:rsid w:val="00755FC0"/>
    <w:rsid w:val="0075600C"/>
    <w:rsid w:val="00756100"/>
    <w:rsid w:val="0075613D"/>
    <w:rsid w:val="007562C7"/>
    <w:rsid w:val="007562D0"/>
    <w:rsid w:val="007562E0"/>
    <w:rsid w:val="007563F2"/>
    <w:rsid w:val="00756569"/>
    <w:rsid w:val="0075658B"/>
    <w:rsid w:val="0075692C"/>
    <w:rsid w:val="00756A79"/>
    <w:rsid w:val="00756AD0"/>
    <w:rsid w:val="00756CA2"/>
    <w:rsid w:val="00756D20"/>
    <w:rsid w:val="00756D34"/>
    <w:rsid w:val="00756DDA"/>
    <w:rsid w:val="00756E1E"/>
    <w:rsid w:val="00756EB3"/>
    <w:rsid w:val="00756EDF"/>
    <w:rsid w:val="00756EF8"/>
    <w:rsid w:val="00756F3F"/>
    <w:rsid w:val="00756FB5"/>
    <w:rsid w:val="00757018"/>
    <w:rsid w:val="00757104"/>
    <w:rsid w:val="007572DE"/>
    <w:rsid w:val="00757362"/>
    <w:rsid w:val="007573A5"/>
    <w:rsid w:val="007574E4"/>
    <w:rsid w:val="00757503"/>
    <w:rsid w:val="0075758A"/>
    <w:rsid w:val="007575D5"/>
    <w:rsid w:val="0075762F"/>
    <w:rsid w:val="007579F4"/>
    <w:rsid w:val="00757A48"/>
    <w:rsid w:val="00757A85"/>
    <w:rsid w:val="00757BE6"/>
    <w:rsid w:val="00757DBE"/>
    <w:rsid w:val="00757F13"/>
    <w:rsid w:val="00757FE6"/>
    <w:rsid w:val="0076000F"/>
    <w:rsid w:val="00760055"/>
    <w:rsid w:val="00760167"/>
    <w:rsid w:val="00760277"/>
    <w:rsid w:val="00760282"/>
    <w:rsid w:val="00760295"/>
    <w:rsid w:val="007603FF"/>
    <w:rsid w:val="007604DB"/>
    <w:rsid w:val="0076062E"/>
    <w:rsid w:val="007606AB"/>
    <w:rsid w:val="007606CA"/>
    <w:rsid w:val="00760700"/>
    <w:rsid w:val="00760731"/>
    <w:rsid w:val="007608B9"/>
    <w:rsid w:val="0076094F"/>
    <w:rsid w:val="00760955"/>
    <w:rsid w:val="0076099C"/>
    <w:rsid w:val="00760A26"/>
    <w:rsid w:val="00760CAF"/>
    <w:rsid w:val="00760E4C"/>
    <w:rsid w:val="00760E86"/>
    <w:rsid w:val="00760EF2"/>
    <w:rsid w:val="00760EF3"/>
    <w:rsid w:val="00760F78"/>
    <w:rsid w:val="00760F98"/>
    <w:rsid w:val="0076102C"/>
    <w:rsid w:val="007611CF"/>
    <w:rsid w:val="00761212"/>
    <w:rsid w:val="0076122C"/>
    <w:rsid w:val="007612D8"/>
    <w:rsid w:val="007612E5"/>
    <w:rsid w:val="00761392"/>
    <w:rsid w:val="00761499"/>
    <w:rsid w:val="007614C7"/>
    <w:rsid w:val="007616C5"/>
    <w:rsid w:val="0076172F"/>
    <w:rsid w:val="00761760"/>
    <w:rsid w:val="007617B3"/>
    <w:rsid w:val="007617D2"/>
    <w:rsid w:val="0076184E"/>
    <w:rsid w:val="0076189C"/>
    <w:rsid w:val="00761ABB"/>
    <w:rsid w:val="00761B10"/>
    <w:rsid w:val="00761BC6"/>
    <w:rsid w:val="00761C67"/>
    <w:rsid w:val="00761C78"/>
    <w:rsid w:val="00761CC3"/>
    <w:rsid w:val="00761D77"/>
    <w:rsid w:val="00761DEB"/>
    <w:rsid w:val="00761E55"/>
    <w:rsid w:val="00761E7E"/>
    <w:rsid w:val="00761F85"/>
    <w:rsid w:val="00761FF2"/>
    <w:rsid w:val="0076205C"/>
    <w:rsid w:val="007620A4"/>
    <w:rsid w:val="00762164"/>
    <w:rsid w:val="007621B2"/>
    <w:rsid w:val="007621C0"/>
    <w:rsid w:val="00762200"/>
    <w:rsid w:val="0076237C"/>
    <w:rsid w:val="00762398"/>
    <w:rsid w:val="00762514"/>
    <w:rsid w:val="0076262E"/>
    <w:rsid w:val="0076264B"/>
    <w:rsid w:val="0076269E"/>
    <w:rsid w:val="007626AF"/>
    <w:rsid w:val="007627CE"/>
    <w:rsid w:val="0076291A"/>
    <w:rsid w:val="0076292A"/>
    <w:rsid w:val="00762DB2"/>
    <w:rsid w:val="00762E7F"/>
    <w:rsid w:val="00762FA0"/>
    <w:rsid w:val="00763017"/>
    <w:rsid w:val="00763029"/>
    <w:rsid w:val="00763111"/>
    <w:rsid w:val="007631AA"/>
    <w:rsid w:val="007632E1"/>
    <w:rsid w:val="00763313"/>
    <w:rsid w:val="00763324"/>
    <w:rsid w:val="00763325"/>
    <w:rsid w:val="00763461"/>
    <w:rsid w:val="00763498"/>
    <w:rsid w:val="007634D2"/>
    <w:rsid w:val="00763538"/>
    <w:rsid w:val="00763593"/>
    <w:rsid w:val="007635CC"/>
    <w:rsid w:val="00763661"/>
    <w:rsid w:val="0076371E"/>
    <w:rsid w:val="00763733"/>
    <w:rsid w:val="00763741"/>
    <w:rsid w:val="0076375B"/>
    <w:rsid w:val="00763905"/>
    <w:rsid w:val="00763921"/>
    <w:rsid w:val="00763B4C"/>
    <w:rsid w:val="00763BFA"/>
    <w:rsid w:val="00763C43"/>
    <w:rsid w:val="00763E44"/>
    <w:rsid w:val="00763EF8"/>
    <w:rsid w:val="00763F1D"/>
    <w:rsid w:val="00763F26"/>
    <w:rsid w:val="00763F33"/>
    <w:rsid w:val="00763FFD"/>
    <w:rsid w:val="00764108"/>
    <w:rsid w:val="0076418E"/>
    <w:rsid w:val="00764367"/>
    <w:rsid w:val="00764381"/>
    <w:rsid w:val="007643E3"/>
    <w:rsid w:val="007644D9"/>
    <w:rsid w:val="00764551"/>
    <w:rsid w:val="00764556"/>
    <w:rsid w:val="00764702"/>
    <w:rsid w:val="0076473C"/>
    <w:rsid w:val="00764774"/>
    <w:rsid w:val="0076480C"/>
    <w:rsid w:val="00764826"/>
    <w:rsid w:val="00764895"/>
    <w:rsid w:val="0076489A"/>
    <w:rsid w:val="0076489C"/>
    <w:rsid w:val="007648E1"/>
    <w:rsid w:val="0076498C"/>
    <w:rsid w:val="00764A1F"/>
    <w:rsid w:val="00764A50"/>
    <w:rsid w:val="00764A59"/>
    <w:rsid w:val="00764B4A"/>
    <w:rsid w:val="00764B59"/>
    <w:rsid w:val="00764C89"/>
    <w:rsid w:val="00764D71"/>
    <w:rsid w:val="00764D83"/>
    <w:rsid w:val="00764DCF"/>
    <w:rsid w:val="00764E3B"/>
    <w:rsid w:val="00764E3C"/>
    <w:rsid w:val="00764E63"/>
    <w:rsid w:val="00764E79"/>
    <w:rsid w:val="00764F0C"/>
    <w:rsid w:val="00765094"/>
    <w:rsid w:val="007650FE"/>
    <w:rsid w:val="00765245"/>
    <w:rsid w:val="00765279"/>
    <w:rsid w:val="00765354"/>
    <w:rsid w:val="00765581"/>
    <w:rsid w:val="007655B7"/>
    <w:rsid w:val="007656AE"/>
    <w:rsid w:val="00765771"/>
    <w:rsid w:val="007657A6"/>
    <w:rsid w:val="00765808"/>
    <w:rsid w:val="007658FE"/>
    <w:rsid w:val="00765907"/>
    <w:rsid w:val="007659D8"/>
    <w:rsid w:val="00765B7A"/>
    <w:rsid w:val="00765B89"/>
    <w:rsid w:val="00765C3D"/>
    <w:rsid w:val="00765CA2"/>
    <w:rsid w:val="00765CF5"/>
    <w:rsid w:val="00765D15"/>
    <w:rsid w:val="00765E19"/>
    <w:rsid w:val="00765E6B"/>
    <w:rsid w:val="00765EA2"/>
    <w:rsid w:val="00765EB5"/>
    <w:rsid w:val="00765EEE"/>
    <w:rsid w:val="00765EFD"/>
    <w:rsid w:val="0076602C"/>
    <w:rsid w:val="0076620E"/>
    <w:rsid w:val="00766399"/>
    <w:rsid w:val="0076641A"/>
    <w:rsid w:val="0076647B"/>
    <w:rsid w:val="007664AA"/>
    <w:rsid w:val="007664BD"/>
    <w:rsid w:val="007664BF"/>
    <w:rsid w:val="00766505"/>
    <w:rsid w:val="0076650A"/>
    <w:rsid w:val="00766517"/>
    <w:rsid w:val="00766599"/>
    <w:rsid w:val="00766637"/>
    <w:rsid w:val="00766752"/>
    <w:rsid w:val="00766785"/>
    <w:rsid w:val="007667BD"/>
    <w:rsid w:val="007669EA"/>
    <w:rsid w:val="00766A9B"/>
    <w:rsid w:val="00766C55"/>
    <w:rsid w:val="00766C5E"/>
    <w:rsid w:val="00766DE2"/>
    <w:rsid w:val="00766DFC"/>
    <w:rsid w:val="00766F08"/>
    <w:rsid w:val="00766FA3"/>
    <w:rsid w:val="0076700E"/>
    <w:rsid w:val="0076708E"/>
    <w:rsid w:val="007670E3"/>
    <w:rsid w:val="00767295"/>
    <w:rsid w:val="007672B4"/>
    <w:rsid w:val="007673C5"/>
    <w:rsid w:val="007673F1"/>
    <w:rsid w:val="0076756F"/>
    <w:rsid w:val="00767679"/>
    <w:rsid w:val="007676CA"/>
    <w:rsid w:val="00767840"/>
    <w:rsid w:val="007679B6"/>
    <w:rsid w:val="007679E2"/>
    <w:rsid w:val="007679E7"/>
    <w:rsid w:val="00767AE8"/>
    <w:rsid w:val="00767B4F"/>
    <w:rsid w:val="00767B81"/>
    <w:rsid w:val="00767B97"/>
    <w:rsid w:val="00767BD6"/>
    <w:rsid w:val="00767D16"/>
    <w:rsid w:val="00767D2F"/>
    <w:rsid w:val="00767D78"/>
    <w:rsid w:val="00767E22"/>
    <w:rsid w:val="00767F8A"/>
    <w:rsid w:val="00770065"/>
    <w:rsid w:val="007700F0"/>
    <w:rsid w:val="00770108"/>
    <w:rsid w:val="007701C3"/>
    <w:rsid w:val="007701CA"/>
    <w:rsid w:val="007701E1"/>
    <w:rsid w:val="00770339"/>
    <w:rsid w:val="0077033F"/>
    <w:rsid w:val="00770448"/>
    <w:rsid w:val="00770569"/>
    <w:rsid w:val="007706E8"/>
    <w:rsid w:val="007707E9"/>
    <w:rsid w:val="0077089F"/>
    <w:rsid w:val="007708C0"/>
    <w:rsid w:val="007708FA"/>
    <w:rsid w:val="00770995"/>
    <w:rsid w:val="007709BB"/>
    <w:rsid w:val="00770A05"/>
    <w:rsid w:val="00770A31"/>
    <w:rsid w:val="00770C94"/>
    <w:rsid w:val="00770CBC"/>
    <w:rsid w:val="00770CDC"/>
    <w:rsid w:val="00770CF0"/>
    <w:rsid w:val="00770DA7"/>
    <w:rsid w:val="00770EC3"/>
    <w:rsid w:val="0077102B"/>
    <w:rsid w:val="00771072"/>
    <w:rsid w:val="0077112C"/>
    <w:rsid w:val="00771131"/>
    <w:rsid w:val="0077121E"/>
    <w:rsid w:val="00771246"/>
    <w:rsid w:val="007712A0"/>
    <w:rsid w:val="007712BD"/>
    <w:rsid w:val="007712D5"/>
    <w:rsid w:val="00771311"/>
    <w:rsid w:val="0077146F"/>
    <w:rsid w:val="00771571"/>
    <w:rsid w:val="007717C4"/>
    <w:rsid w:val="0077184F"/>
    <w:rsid w:val="0077186F"/>
    <w:rsid w:val="00771988"/>
    <w:rsid w:val="00771999"/>
    <w:rsid w:val="007719AD"/>
    <w:rsid w:val="00771A2F"/>
    <w:rsid w:val="00771A36"/>
    <w:rsid w:val="00771A7A"/>
    <w:rsid w:val="00771C09"/>
    <w:rsid w:val="00771D38"/>
    <w:rsid w:val="00771EA2"/>
    <w:rsid w:val="00771F32"/>
    <w:rsid w:val="00771F35"/>
    <w:rsid w:val="00771F3F"/>
    <w:rsid w:val="00771F98"/>
    <w:rsid w:val="00771FC9"/>
    <w:rsid w:val="00772021"/>
    <w:rsid w:val="00772120"/>
    <w:rsid w:val="007722B2"/>
    <w:rsid w:val="00772391"/>
    <w:rsid w:val="007723FE"/>
    <w:rsid w:val="0077243C"/>
    <w:rsid w:val="00772452"/>
    <w:rsid w:val="00772486"/>
    <w:rsid w:val="007724F4"/>
    <w:rsid w:val="00772602"/>
    <w:rsid w:val="0077277C"/>
    <w:rsid w:val="00772821"/>
    <w:rsid w:val="007728E7"/>
    <w:rsid w:val="007728FF"/>
    <w:rsid w:val="00772911"/>
    <w:rsid w:val="0077297F"/>
    <w:rsid w:val="00772A9C"/>
    <w:rsid w:val="00772BBA"/>
    <w:rsid w:val="00772DB4"/>
    <w:rsid w:val="00772DF3"/>
    <w:rsid w:val="00772F80"/>
    <w:rsid w:val="00773054"/>
    <w:rsid w:val="00773072"/>
    <w:rsid w:val="00773259"/>
    <w:rsid w:val="0077330F"/>
    <w:rsid w:val="007733B7"/>
    <w:rsid w:val="00773452"/>
    <w:rsid w:val="00773490"/>
    <w:rsid w:val="007735DE"/>
    <w:rsid w:val="007736DE"/>
    <w:rsid w:val="007737C9"/>
    <w:rsid w:val="00773857"/>
    <w:rsid w:val="007738DD"/>
    <w:rsid w:val="007738ED"/>
    <w:rsid w:val="007739A7"/>
    <w:rsid w:val="00773A14"/>
    <w:rsid w:val="00773A24"/>
    <w:rsid w:val="00773AD9"/>
    <w:rsid w:val="00773B8E"/>
    <w:rsid w:val="00773CEA"/>
    <w:rsid w:val="00773D02"/>
    <w:rsid w:val="00773E3F"/>
    <w:rsid w:val="007740A7"/>
    <w:rsid w:val="007740C4"/>
    <w:rsid w:val="0077418E"/>
    <w:rsid w:val="007741A8"/>
    <w:rsid w:val="007741F1"/>
    <w:rsid w:val="00774274"/>
    <w:rsid w:val="0077434F"/>
    <w:rsid w:val="0077445C"/>
    <w:rsid w:val="00774532"/>
    <w:rsid w:val="00774567"/>
    <w:rsid w:val="007745CB"/>
    <w:rsid w:val="007745FE"/>
    <w:rsid w:val="00774739"/>
    <w:rsid w:val="0077486C"/>
    <w:rsid w:val="0077491F"/>
    <w:rsid w:val="0077493A"/>
    <w:rsid w:val="00774997"/>
    <w:rsid w:val="007749F4"/>
    <w:rsid w:val="00774AC9"/>
    <w:rsid w:val="00774CA0"/>
    <w:rsid w:val="00774D06"/>
    <w:rsid w:val="00774D23"/>
    <w:rsid w:val="00774D87"/>
    <w:rsid w:val="00774DF6"/>
    <w:rsid w:val="00774FD0"/>
    <w:rsid w:val="00775113"/>
    <w:rsid w:val="00775233"/>
    <w:rsid w:val="00775287"/>
    <w:rsid w:val="007752A2"/>
    <w:rsid w:val="007752F4"/>
    <w:rsid w:val="007752F9"/>
    <w:rsid w:val="0077530E"/>
    <w:rsid w:val="0077533C"/>
    <w:rsid w:val="00775366"/>
    <w:rsid w:val="0077536B"/>
    <w:rsid w:val="007753FD"/>
    <w:rsid w:val="0077545B"/>
    <w:rsid w:val="0077545C"/>
    <w:rsid w:val="007754F2"/>
    <w:rsid w:val="007754FB"/>
    <w:rsid w:val="00775519"/>
    <w:rsid w:val="0077567A"/>
    <w:rsid w:val="00775726"/>
    <w:rsid w:val="00775814"/>
    <w:rsid w:val="00775863"/>
    <w:rsid w:val="00775991"/>
    <w:rsid w:val="00775A15"/>
    <w:rsid w:val="00775A21"/>
    <w:rsid w:val="00775AB3"/>
    <w:rsid w:val="00775BEF"/>
    <w:rsid w:val="00775DD9"/>
    <w:rsid w:val="00775DF4"/>
    <w:rsid w:val="00775E16"/>
    <w:rsid w:val="00775E68"/>
    <w:rsid w:val="00775F31"/>
    <w:rsid w:val="00775FE9"/>
    <w:rsid w:val="00776159"/>
    <w:rsid w:val="007761AC"/>
    <w:rsid w:val="0077634D"/>
    <w:rsid w:val="0077639A"/>
    <w:rsid w:val="00776482"/>
    <w:rsid w:val="0077648A"/>
    <w:rsid w:val="007765A3"/>
    <w:rsid w:val="00776643"/>
    <w:rsid w:val="00776659"/>
    <w:rsid w:val="007766AA"/>
    <w:rsid w:val="00776702"/>
    <w:rsid w:val="00776710"/>
    <w:rsid w:val="00776889"/>
    <w:rsid w:val="007768A9"/>
    <w:rsid w:val="0077697F"/>
    <w:rsid w:val="00776B38"/>
    <w:rsid w:val="00776BC9"/>
    <w:rsid w:val="00776BD6"/>
    <w:rsid w:val="00776C28"/>
    <w:rsid w:val="00776C9B"/>
    <w:rsid w:val="00776CED"/>
    <w:rsid w:val="00776D54"/>
    <w:rsid w:val="00776DDF"/>
    <w:rsid w:val="00776F51"/>
    <w:rsid w:val="00776F9B"/>
    <w:rsid w:val="00776FDB"/>
    <w:rsid w:val="0077718F"/>
    <w:rsid w:val="007771F2"/>
    <w:rsid w:val="00777253"/>
    <w:rsid w:val="0077729F"/>
    <w:rsid w:val="0077740C"/>
    <w:rsid w:val="00777458"/>
    <w:rsid w:val="007774A8"/>
    <w:rsid w:val="007775DA"/>
    <w:rsid w:val="00777620"/>
    <w:rsid w:val="007776F4"/>
    <w:rsid w:val="007777B5"/>
    <w:rsid w:val="007777C2"/>
    <w:rsid w:val="007778AE"/>
    <w:rsid w:val="007778CA"/>
    <w:rsid w:val="00777959"/>
    <w:rsid w:val="00777963"/>
    <w:rsid w:val="0077797E"/>
    <w:rsid w:val="00777A97"/>
    <w:rsid w:val="00777E3C"/>
    <w:rsid w:val="00777E6D"/>
    <w:rsid w:val="00777E7F"/>
    <w:rsid w:val="00777E8D"/>
    <w:rsid w:val="00777F8C"/>
    <w:rsid w:val="00780126"/>
    <w:rsid w:val="0078017D"/>
    <w:rsid w:val="00780247"/>
    <w:rsid w:val="0078026B"/>
    <w:rsid w:val="0078028C"/>
    <w:rsid w:val="007802EB"/>
    <w:rsid w:val="00780397"/>
    <w:rsid w:val="00780430"/>
    <w:rsid w:val="007804DF"/>
    <w:rsid w:val="007805F2"/>
    <w:rsid w:val="007807AC"/>
    <w:rsid w:val="00780922"/>
    <w:rsid w:val="0078093A"/>
    <w:rsid w:val="00780A07"/>
    <w:rsid w:val="00780ABD"/>
    <w:rsid w:val="00780ACF"/>
    <w:rsid w:val="00780B7A"/>
    <w:rsid w:val="00780C00"/>
    <w:rsid w:val="00780E01"/>
    <w:rsid w:val="00780E7D"/>
    <w:rsid w:val="00780E89"/>
    <w:rsid w:val="00780F0C"/>
    <w:rsid w:val="00780F56"/>
    <w:rsid w:val="0078114A"/>
    <w:rsid w:val="00781181"/>
    <w:rsid w:val="007811DF"/>
    <w:rsid w:val="0078120B"/>
    <w:rsid w:val="00781223"/>
    <w:rsid w:val="0078123E"/>
    <w:rsid w:val="00781270"/>
    <w:rsid w:val="00781389"/>
    <w:rsid w:val="007813AC"/>
    <w:rsid w:val="00781455"/>
    <w:rsid w:val="007814F4"/>
    <w:rsid w:val="00781676"/>
    <w:rsid w:val="007817BE"/>
    <w:rsid w:val="007818AE"/>
    <w:rsid w:val="00781912"/>
    <w:rsid w:val="00781935"/>
    <w:rsid w:val="00781A3B"/>
    <w:rsid w:val="00781AAE"/>
    <w:rsid w:val="00781AB3"/>
    <w:rsid w:val="00781AB8"/>
    <w:rsid w:val="00781B00"/>
    <w:rsid w:val="00781B2B"/>
    <w:rsid w:val="00781B52"/>
    <w:rsid w:val="00781B95"/>
    <w:rsid w:val="00781CB6"/>
    <w:rsid w:val="00781CFB"/>
    <w:rsid w:val="00781D90"/>
    <w:rsid w:val="00781FD6"/>
    <w:rsid w:val="00782094"/>
    <w:rsid w:val="00782099"/>
    <w:rsid w:val="00782237"/>
    <w:rsid w:val="0078229E"/>
    <w:rsid w:val="00782322"/>
    <w:rsid w:val="0078244E"/>
    <w:rsid w:val="00782472"/>
    <w:rsid w:val="00782491"/>
    <w:rsid w:val="007824C5"/>
    <w:rsid w:val="00782642"/>
    <w:rsid w:val="007826D8"/>
    <w:rsid w:val="00782808"/>
    <w:rsid w:val="00782841"/>
    <w:rsid w:val="007828B1"/>
    <w:rsid w:val="00782B99"/>
    <w:rsid w:val="00782BF7"/>
    <w:rsid w:val="00782C44"/>
    <w:rsid w:val="00782C8F"/>
    <w:rsid w:val="00782CA1"/>
    <w:rsid w:val="00782D1D"/>
    <w:rsid w:val="00782D47"/>
    <w:rsid w:val="00782D71"/>
    <w:rsid w:val="00782F6E"/>
    <w:rsid w:val="00783014"/>
    <w:rsid w:val="0078305B"/>
    <w:rsid w:val="007830BF"/>
    <w:rsid w:val="00783120"/>
    <w:rsid w:val="0078318B"/>
    <w:rsid w:val="00783237"/>
    <w:rsid w:val="00783292"/>
    <w:rsid w:val="007832A5"/>
    <w:rsid w:val="007832A6"/>
    <w:rsid w:val="007834BE"/>
    <w:rsid w:val="007834D4"/>
    <w:rsid w:val="007835B7"/>
    <w:rsid w:val="007835C0"/>
    <w:rsid w:val="007836DF"/>
    <w:rsid w:val="0078391F"/>
    <w:rsid w:val="00783987"/>
    <w:rsid w:val="00783A27"/>
    <w:rsid w:val="00783ACE"/>
    <w:rsid w:val="00783AF8"/>
    <w:rsid w:val="00783B09"/>
    <w:rsid w:val="00783B0E"/>
    <w:rsid w:val="00783B36"/>
    <w:rsid w:val="00783D33"/>
    <w:rsid w:val="00783D63"/>
    <w:rsid w:val="00783F0E"/>
    <w:rsid w:val="00783F27"/>
    <w:rsid w:val="00783F34"/>
    <w:rsid w:val="00783FE8"/>
    <w:rsid w:val="0078402B"/>
    <w:rsid w:val="007840F1"/>
    <w:rsid w:val="00784192"/>
    <w:rsid w:val="007841DF"/>
    <w:rsid w:val="007841F8"/>
    <w:rsid w:val="00784337"/>
    <w:rsid w:val="00784355"/>
    <w:rsid w:val="007844B9"/>
    <w:rsid w:val="00784505"/>
    <w:rsid w:val="007845E9"/>
    <w:rsid w:val="00784603"/>
    <w:rsid w:val="0078463F"/>
    <w:rsid w:val="0078467E"/>
    <w:rsid w:val="00784720"/>
    <w:rsid w:val="0078477E"/>
    <w:rsid w:val="00784783"/>
    <w:rsid w:val="007847F9"/>
    <w:rsid w:val="0078487A"/>
    <w:rsid w:val="0078490E"/>
    <w:rsid w:val="00784A04"/>
    <w:rsid w:val="00784B0A"/>
    <w:rsid w:val="00784D66"/>
    <w:rsid w:val="00784D8F"/>
    <w:rsid w:val="00784DB0"/>
    <w:rsid w:val="00784DC0"/>
    <w:rsid w:val="00784DC9"/>
    <w:rsid w:val="00784E7D"/>
    <w:rsid w:val="00784F23"/>
    <w:rsid w:val="00784F96"/>
    <w:rsid w:val="00784FF9"/>
    <w:rsid w:val="00784FFD"/>
    <w:rsid w:val="007852AC"/>
    <w:rsid w:val="007852B4"/>
    <w:rsid w:val="007852D0"/>
    <w:rsid w:val="007853DE"/>
    <w:rsid w:val="00785570"/>
    <w:rsid w:val="00785658"/>
    <w:rsid w:val="0078566D"/>
    <w:rsid w:val="0078576C"/>
    <w:rsid w:val="00785810"/>
    <w:rsid w:val="00785B38"/>
    <w:rsid w:val="00785B69"/>
    <w:rsid w:val="00785C37"/>
    <w:rsid w:val="00785C84"/>
    <w:rsid w:val="00785D2F"/>
    <w:rsid w:val="00785EBA"/>
    <w:rsid w:val="00785FDA"/>
    <w:rsid w:val="00785FE9"/>
    <w:rsid w:val="00786190"/>
    <w:rsid w:val="007861CD"/>
    <w:rsid w:val="00786228"/>
    <w:rsid w:val="00786234"/>
    <w:rsid w:val="00786241"/>
    <w:rsid w:val="0078626E"/>
    <w:rsid w:val="00786272"/>
    <w:rsid w:val="007863DD"/>
    <w:rsid w:val="00786421"/>
    <w:rsid w:val="00786445"/>
    <w:rsid w:val="00786456"/>
    <w:rsid w:val="007864C9"/>
    <w:rsid w:val="007864D8"/>
    <w:rsid w:val="007864FB"/>
    <w:rsid w:val="00786548"/>
    <w:rsid w:val="007865E3"/>
    <w:rsid w:val="007866F2"/>
    <w:rsid w:val="00786721"/>
    <w:rsid w:val="00786739"/>
    <w:rsid w:val="007867A8"/>
    <w:rsid w:val="007869F5"/>
    <w:rsid w:val="007869FC"/>
    <w:rsid w:val="00786A50"/>
    <w:rsid w:val="00786AA4"/>
    <w:rsid w:val="00786BA6"/>
    <w:rsid w:val="00786C4F"/>
    <w:rsid w:val="00786D71"/>
    <w:rsid w:val="00786E12"/>
    <w:rsid w:val="00786F37"/>
    <w:rsid w:val="00786F8D"/>
    <w:rsid w:val="0078708B"/>
    <w:rsid w:val="0078708E"/>
    <w:rsid w:val="007870C0"/>
    <w:rsid w:val="00787205"/>
    <w:rsid w:val="0078737C"/>
    <w:rsid w:val="0078745A"/>
    <w:rsid w:val="00787510"/>
    <w:rsid w:val="00787548"/>
    <w:rsid w:val="00787673"/>
    <w:rsid w:val="0078767A"/>
    <w:rsid w:val="007876CE"/>
    <w:rsid w:val="00787825"/>
    <w:rsid w:val="007878BF"/>
    <w:rsid w:val="007878CE"/>
    <w:rsid w:val="0078796E"/>
    <w:rsid w:val="00787A0A"/>
    <w:rsid w:val="00787B02"/>
    <w:rsid w:val="00787C81"/>
    <w:rsid w:val="00787CAB"/>
    <w:rsid w:val="00787CB2"/>
    <w:rsid w:val="00787D63"/>
    <w:rsid w:val="00787DE0"/>
    <w:rsid w:val="00787EB8"/>
    <w:rsid w:val="00787F65"/>
    <w:rsid w:val="00787FEE"/>
    <w:rsid w:val="0079002F"/>
    <w:rsid w:val="00790058"/>
    <w:rsid w:val="007900B5"/>
    <w:rsid w:val="007900D1"/>
    <w:rsid w:val="00790166"/>
    <w:rsid w:val="00790167"/>
    <w:rsid w:val="007901EF"/>
    <w:rsid w:val="00790240"/>
    <w:rsid w:val="0079024C"/>
    <w:rsid w:val="007902AA"/>
    <w:rsid w:val="007902CB"/>
    <w:rsid w:val="00790361"/>
    <w:rsid w:val="0079039B"/>
    <w:rsid w:val="007903B7"/>
    <w:rsid w:val="00790402"/>
    <w:rsid w:val="00790447"/>
    <w:rsid w:val="00790452"/>
    <w:rsid w:val="00790548"/>
    <w:rsid w:val="0079057E"/>
    <w:rsid w:val="00790586"/>
    <w:rsid w:val="007905A6"/>
    <w:rsid w:val="007905D6"/>
    <w:rsid w:val="007906C6"/>
    <w:rsid w:val="0079073B"/>
    <w:rsid w:val="007907D9"/>
    <w:rsid w:val="007907EF"/>
    <w:rsid w:val="00790809"/>
    <w:rsid w:val="00790864"/>
    <w:rsid w:val="00790880"/>
    <w:rsid w:val="007908D9"/>
    <w:rsid w:val="00790A9C"/>
    <w:rsid w:val="00790B3E"/>
    <w:rsid w:val="00790BFB"/>
    <w:rsid w:val="00790C71"/>
    <w:rsid w:val="00790F09"/>
    <w:rsid w:val="00790FCE"/>
    <w:rsid w:val="007910A8"/>
    <w:rsid w:val="0079127F"/>
    <w:rsid w:val="0079143E"/>
    <w:rsid w:val="0079148B"/>
    <w:rsid w:val="00791493"/>
    <w:rsid w:val="007914A2"/>
    <w:rsid w:val="00791519"/>
    <w:rsid w:val="00791547"/>
    <w:rsid w:val="00791557"/>
    <w:rsid w:val="00791621"/>
    <w:rsid w:val="0079165C"/>
    <w:rsid w:val="007916C2"/>
    <w:rsid w:val="007916C8"/>
    <w:rsid w:val="00791754"/>
    <w:rsid w:val="00791914"/>
    <w:rsid w:val="0079198F"/>
    <w:rsid w:val="00791A1C"/>
    <w:rsid w:val="00791B35"/>
    <w:rsid w:val="00791B53"/>
    <w:rsid w:val="00791BDC"/>
    <w:rsid w:val="00791CA9"/>
    <w:rsid w:val="00791CB4"/>
    <w:rsid w:val="00791CF8"/>
    <w:rsid w:val="00791D70"/>
    <w:rsid w:val="00791DCD"/>
    <w:rsid w:val="00791F0D"/>
    <w:rsid w:val="00791FA7"/>
    <w:rsid w:val="00791FD2"/>
    <w:rsid w:val="00792057"/>
    <w:rsid w:val="00792197"/>
    <w:rsid w:val="00792246"/>
    <w:rsid w:val="007922CB"/>
    <w:rsid w:val="0079239F"/>
    <w:rsid w:val="00792427"/>
    <w:rsid w:val="00792491"/>
    <w:rsid w:val="007924F5"/>
    <w:rsid w:val="007928A6"/>
    <w:rsid w:val="007928D0"/>
    <w:rsid w:val="00792941"/>
    <w:rsid w:val="0079296F"/>
    <w:rsid w:val="00792A48"/>
    <w:rsid w:val="00792A9E"/>
    <w:rsid w:val="00792B43"/>
    <w:rsid w:val="00792BCA"/>
    <w:rsid w:val="00792BEC"/>
    <w:rsid w:val="00792C55"/>
    <w:rsid w:val="00792E54"/>
    <w:rsid w:val="00792E64"/>
    <w:rsid w:val="00792EDD"/>
    <w:rsid w:val="00792FB4"/>
    <w:rsid w:val="00793036"/>
    <w:rsid w:val="00793083"/>
    <w:rsid w:val="0079308F"/>
    <w:rsid w:val="00793129"/>
    <w:rsid w:val="00793142"/>
    <w:rsid w:val="007931E1"/>
    <w:rsid w:val="0079322D"/>
    <w:rsid w:val="0079327F"/>
    <w:rsid w:val="00793361"/>
    <w:rsid w:val="00793440"/>
    <w:rsid w:val="0079362B"/>
    <w:rsid w:val="007936AA"/>
    <w:rsid w:val="00793719"/>
    <w:rsid w:val="00793748"/>
    <w:rsid w:val="00793807"/>
    <w:rsid w:val="00793903"/>
    <w:rsid w:val="00793950"/>
    <w:rsid w:val="00793A16"/>
    <w:rsid w:val="00793A29"/>
    <w:rsid w:val="00793C29"/>
    <w:rsid w:val="00793C3D"/>
    <w:rsid w:val="00793CEC"/>
    <w:rsid w:val="00793D16"/>
    <w:rsid w:val="00793D95"/>
    <w:rsid w:val="00794020"/>
    <w:rsid w:val="0079402A"/>
    <w:rsid w:val="00794065"/>
    <w:rsid w:val="007940B2"/>
    <w:rsid w:val="007940D8"/>
    <w:rsid w:val="00794108"/>
    <w:rsid w:val="007943DA"/>
    <w:rsid w:val="00794572"/>
    <w:rsid w:val="007945B8"/>
    <w:rsid w:val="007945C7"/>
    <w:rsid w:val="00794654"/>
    <w:rsid w:val="007946A2"/>
    <w:rsid w:val="007946D8"/>
    <w:rsid w:val="0079474F"/>
    <w:rsid w:val="00794877"/>
    <w:rsid w:val="007948BD"/>
    <w:rsid w:val="00794ACD"/>
    <w:rsid w:val="00794B82"/>
    <w:rsid w:val="00794B94"/>
    <w:rsid w:val="00794CD6"/>
    <w:rsid w:val="00794D87"/>
    <w:rsid w:val="00794D8F"/>
    <w:rsid w:val="00794DF7"/>
    <w:rsid w:val="00794E3D"/>
    <w:rsid w:val="00794FBD"/>
    <w:rsid w:val="00794FE3"/>
    <w:rsid w:val="007950E6"/>
    <w:rsid w:val="00795113"/>
    <w:rsid w:val="00795147"/>
    <w:rsid w:val="00795214"/>
    <w:rsid w:val="0079527B"/>
    <w:rsid w:val="00795381"/>
    <w:rsid w:val="007953C2"/>
    <w:rsid w:val="00795417"/>
    <w:rsid w:val="00795476"/>
    <w:rsid w:val="007954AD"/>
    <w:rsid w:val="00795506"/>
    <w:rsid w:val="00795518"/>
    <w:rsid w:val="0079556C"/>
    <w:rsid w:val="007955BC"/>
    <w:rsid w:val="007956F6"/>
    <w:rsid w:val="00795721"/>
    <w:rsid w:val="00795881"/>
    <w:rsid w:val="00795918"/>
    <w:rsid w:val="00795A9B"/>
    <w:rsid w:val="00795AC0"/>
    <w:rsid w:val="00795B89"/>
    <w:rsid w:val="00795BCC"/>
    <w:rsid w:val="00795BFE"/>
    <w:rsid w:val="00795C08"/>
    <w:rsid w:val="00795CB8"/>
    <w:rsid w:val="00795D7A"/>
    <w:rsid w:val="00795DD0"/>
    <w:rsid w:val="00795E3E"/>
    <w:rsid w:val="00795EF7"/>
    <w:rsid w:val="00795FD4"/>
    <w:rsid w:val="007960A2"/>
    <w:rsid w:val="007960B4"/>
    <w:rsid w:val="0079613E"/>
    <w:rsid w:val="007961D9"/>
    <w:rsid w:val="0079628D"/>
    <w:rsid w:val="007962D5"/>
    <w:rsid w:val="007964AF"/>
    <w:rsid w:val="0079668D"/>
    <w:rsid w:val="007966B0"/>
    <w:rsid w:val="007966E4"/>
    <w:rsid w:val="007967E3"/>
    <w:rsid w:val="00796859"/>
    <w:rsid w:val="00796A6D"/>
    <w:rsid w:val="00796A8B"/>
    <w:rsid w:val="00796ADF"/>
    <w:rsid w:val="00796AE9"/>
    <w:rsid w:val="00796B75"/>
    <w:rsid w:val="00796BE4"/>
    <w:rsid w:val="00796DEC"/>
    <w:rsid w:val="00796EF9"/>
    <w:rsid w:val="0079706B"/>
    <w:rsid w:val="007970CD"/>
    <w:rsid w:val="007970D2"/>
    <w:rsid w:val="007970F9"/>
    <w:rsid w:val="00797141"/>
    <w:rsid w:val="0079722F"/>
    <w:rsid w:val="0079743A"/>
    <w:rsid w:val="00797510"/>
    <w:rsid w:val="0079752A"/>
    <w:rsid w:val="007975F5"/>
    <w:rsid w:val="007976E2"/>
    <w:rsid w:val="007978F6"/>
    <w:rsid w:val="0079793B"/>
    <w:rsid w:val="007979D2"/>
    <w:rsid w:val="007979DA"/>
    <w:rsid w:val="00797A88"/>
    <w:rsid w:val="00797A9A"/>
    <w:rsid w:val="00797ACB"/>
    <w:rsid w:val="00797B09"/>
    <w:rsid w:val="00797BF4"/>
    <w:rsid w:val="00797C03"/>
    <w:rsid w:val="00797C62"/>
    <w:rsid w:val="00797D60"/>
    <w:rsid w:val="00797F95"/>
    <w:rsid w:val="007A0011"/>
    <w:rsid w:val="007A0082"/>
    <w:rsid w:val="007A00AB"/>
    <w:rsid w:val="007A0131"/>
    <w:rsid w:val="007A032C"/>
    <w:rsid w:val="007A0533"/>
    <w:rsid w:val="007A0577"/>
    <w:rsid w:val="007A0786"/>
    <w:rsid w:val="007A08B2"/>
    <w:rsid w:val="007A09A4"/>
    <w:rsid w:val="007A09EA"/>
    <w:rsid w:val="007A0B32"/>
    <w:rsid w:val="007A0B5B"/>
    <w:rsid w:val="007A0B94"/>
    <w:rsid w:val="007A0BE6"/>
    <w:rsid w:val="007A0C00"/>
    <w:rsid w:val="007A0FF0"/>
    <w:rsid w:val="007A0FFB"/>
    <w:rsid w:val="007A10A7"/>
    <w:rsid w:val="007A10B7"/>
    <w:rsid w:val="007A1234"/>
    <w:rsid w:val="007A12C6"/>
    <w:rsid w:val="007A1307"/>
    <w:rsid w:val="007A1386"/>
    <w:rsid w:val="007A13F6"/>
    <w:rsid w:val="007A1420"/>
    <w:rsid w:val="007A1720"/>
    <w:rsid w:val="007A18C6"/>
    <w:rsid w:val="007A1974"/>
    <w:rsid w:val="007A19CD"/>
    <w:rsid w:val="007A1A74"/>
    <w:rsid w:val="007A1AD9"/>
    <w:rsid w:val="007A1ADC"/>
    <w:rsid w:val="007A1B0D"/>
    <w:rsid w:val="007A1B4A"/>
    <w:rsid w:val="007A1B4C"/>
    <w:rsid w:val="007A1CB1"/>
    <w:rsid w:val="007A1CD7"/>
    <w:rsid w:val="007A1CE4"/>
    <w:rsid w:val="007A1D0A"/>
    <w:rsid w:val="007A1E4B"/>
    <w:rsid w:val="007A1F3D"/>
    <w:rsid w:val="007A20C8"/>
    <w:rsid w:val="007A20D9"/>
    <w:rsid w:val="007A2156"/>
    <w:rsid w:val="007A21FD"/>
    <w:rsid w:val="007A229D"/>
    <w:rsid w:val="007A2361"/>
    <w:rsid w:val="007A2397"/>
    <w:rsid w:val="007A23C9"/>
    <w:rsid w:val="007A23CD"/>
    <w:rsid w:val="007A2418"/>
    <w:rsid w:val="007A244D"/>
    <w:rsid w:val="007A248B"/>
    <w:rsid w:val="007A24F1"/>
    <w:rsid w:val="007A2518"/>
    <w:rsid w:val="007A2561"/>
    <w:rsid w:val="007A25EE"/>
    <w:rsid w:val="007A26AE"/>
    <w:rsid w:val="007A2704"/>
    <w:rsid w:val="007A27E4"/>
    <w:rsid w:val="007A289E"/>
    <w:rsid w:val="007A2913"/>
    <w:rsid w:val="007A2917"/>
    <w:rsid w:val="007A29EF"/>
    <w:rsid w:val="007A2B78"/>
    <w:rsid w:val="007A2BFC"/>
    <w:rsid w:val="007A2D4B"/>
    <w:rsid w:val="007A2DBE"/>
    <w:rsid w:val="007A2E54"/>
    <w:rsid w:val="007A2E85"/>
    <w:rsid w:val="007A2E88"/>
    <w:rsid w:val="007A2F42"/>
    <w:rsid w:val="007A2FCA"/>
    <w:rsid w:val="007A303F"/>
    <w:rsid w:val="007A3191"/>
    <w:rsid w:val="007A3198"/>
    <w:rsid w:val="007A31A5"/>
    <w:rsid w:val="007A323A"/>
    <w:rsid w:val="007A3281"/>
    <w:rsid w:val="007A33FB"/>
    <w:rsid w:val="007A3495"/>
    <w:rsid w:val="007A351A"/>
    <w:rsid w:val="007A353C"/>
    <w:rsid w:val="007A3569"/>
    <w:rsid w:val="007A3695"/>
    <w:rsid w:val="007A369F"/>
    <w:rsid w:val="007A36FD"/>
    <w:rsid w:val="007A373C"/>
    <w:rsid w:val="007A383C"/>
    <w:rsid w:val="007A3880"/>
    <w:rsid w:val="007A38A9"/>
    <w:rsid w:val="007A39CB"/>
    <w:rsid w:val="007A3B6A"/>
    <w:rsid w:val="007A3BC3"/>
    <w:rsid w:val="007A3C2D"/>
    <w:rsid w:val="007A3C90"/>
    <w:rsid w:val="007A3D4E"/>
    <w:rsid w:val="007A3D85"/>
    <w:rsid w:val="007A3D96"/>
    <w:rsid w:val="007A3F3F"/>
    <w:rsid w:val="007A418B"/>
    <w:rsid w:val="007A41C5"/>
    <w:rsid w:val="007A41D6"/>
    <w:rsid w:val="007A4239"/>
    <w:rsid w:val="007A4282"/>
    <w:rsid w:val="007A439D"/>
    <w:rsid w:val="007A4463"/>
    <w:rsid w:val="007A45AA"/>
    <w:rsid w:val="007A45C9"/>
    <w:rsid w:val="007A466A"/>
    <w:rsid w:val="007A4689"/>
    <w:rsid w:val="007A47C6"/>
    <w:rsid w:val="007A47FD"/>
    <w:rsid w:val="007A485D"/>
    <w:rsid w:val="007A48E3"/>
    <w:rsid w:val="007A4959"/>
    <w:rsid w:val="007A49D4"/>
    <w:rsid w:val="007A4A81"/>
    <w:rsid w:val="007A4D13"/>
    <w:rsid w:val="007A4DA6"/>
    <w:rsid w:val="007A4DB3"/>
    <w:rsid w:val="007A4DC5"/>
    <w:rsid w:val="007A4DC8"/>
    <w:rsid w:val="007A4DD4"/>
    <w:rsid w:val="007A4E60"/>
    <w:rsid w:val="007A4F11"/>
    <w:rsid w:val="007A4FAC"/>
    <w:rsid w:val="007A4FDD"/>
    <w:rsid w:val="007A5051"/>
    <w:rsid w:val="007A50EA"/>
    <w:rsid w:val="007A50F3"/>
    <w:rsid w:val="007A5115"/>
    <w:rsid w:val="007A522B"/>
    <w:rsid w:val="007A524E"/>
    <w:rsid w:val="007A524F"/>
    <w:rsid w:val="007A5267"/>
    <w:rsid w:val="007A52CF"/>
    <w:rsid w:val="007A52D5"/>
    <w:rsid w:val="007A5376"/>
    <w:rsid w:val="007A537B"/>
    <w:rsid w:val="007A5384"/>
    <w:rsid w:val="007A5493"/>
    <w:rsid w:val="007A5562"/>
    <w:rsid w:val="007A55F1"/>
    <w:rsid w:val="007A5611"/>
    <w:rsid w:val="007A56BA"/>
    <w:rsid w:val="007A57B9"/>
    <w:rsid w:val="007A57BB"/>
    <w:rsid w:val="007A57F9"/>
    <w:rsid w:val="007A59AE"/>
    <w:rsid w:val="007A5A93"/>
    <w:rsid w:val="007A5AE6"/>
    <w:rsid w:val="007A5B28"/>
    <w:rsid w:val="007A5B53"/>
    <w:rsid w:val="007A5CF6"/>
    <w:rsid w:val="007A5D4A"/>
    <w:rsid w:val="007A5D9A"/>
    <w:rsid w:val="007A5E61"/>
    <w:rsid w:val="007A5F06"/>
    <w:rsid w:val="007A5F31"/>
    <w:rsid w:val="007A6092"/>
    <w:rsid w:val="007A6170"/>
    <w:rsid w:val="007A61C2"/>
    <w:rsid w:val="007A6272"/>
    <w:rsid w:val="007A62FB"/>
    <w:rsid w:val="007A6392"/>
    <w:rsid w:val="007A640D"/>
    <w:rsid w:val="007A65E5"/>
    <w:rsid w:val="007A66E1"/>
    <w:rsid w:val="007A676F"/>
    <w:rsid w:val="007A6833"/>
    <w:rsid w:val="007A686F"/>
    <w:rsid w:val="007A6904"/>
    <w:rsid w:val="007A698E"/>
    <w:rsid w:val="007A6A0A"/>
    <w:rsid w:val="007A6A2A"/>
    <w:rsid w:val="007A6B3C"/>
    <w:rsid w:val="007A6C08"/>
    <w:rsid w:val="007A6C3E"/>
    <w:rsid w:val="007A6C4B"/>
    <w:rsid w:val="007A6F33"/>
    <w:rsid w:val="007A6F89"/>
    <w:rsid w:val="007A6FA4"/>
    <w:rsid w:val="007A7128"/>
    <w:rsid w:val="007A72A4"/>
    <w:rsid w:val="007A72AF"/>
    <w:rsid w:val="007A72BC"/>
    <w:rsid w:val="007A732B"/>
    <w:rsid w:val="007A7344"/>
    <w:rsid w:val="007A7350"/>
    <w:rsid w:val="007A7351"/>
    <w:rsid w:val="007A738D"/>
    <w:rsid w:val="007A7429"/>
    <w:rsid w:val="007A742B"/>
    <w:rsid w:val="007A74B8"/>
    <w:rsid w:val="007A756B"/>
    <w:rsid w:val="007A7597"/>
    <w:rsid w:val="007A75A6"/>
    <w:rsid w:val="007A7667"/>
    <w:rsid w:val="007A766F"/>
    <w:rsid w:val="007A770F"/>
    <w:rsid w:val="007A7849"/>
    <w:rsid w:val="007A7905"/>
    <w:rsid w:val="007A7915"/>
    <w:rsid w:val="007A79D7"/>
    <w:rsid w:val="007A7A25"/>
    <w:rsid w:val="007A7BC6"/>
    <w:rsid w:val="007A7D72"/>
    <w:rsid w:val="007A7E43"/>
    <w:rsid w:val="007A7F0D"/>
    <w:rsid w:val="007A7F5C"/>
    <w:rsid w:val="007B0006"/>
    <w:rsid w:val="007B006B"/>
    <w:rsid w:val="007B0315"/>
    <w:rsid w:val="007B0341"/>
    <w:rsid w:val="007B0349"/>
    <w:rsid w:val="007B03A1"/>
    <w:rsid w:val="007B03C6"/>
    <w:rsid w:val="007B0455"/>
    <w:rsid w:val="007B052D"/>
    <w:rsid w:val="007B0669"/>
    <w:rsid w:val="007B0670"/>
    <w:rsid w:val="007B0678"/>
    <w:rsid w:val="007B06A2"/>
    <w:rsid w:val="007B075D"/>
    <w:rsid w:val="007B07EA"/>
    <w:rsid w:val="007B0807"/>
    <w:rsid w:val="007B084A"/>
    <w:rsid w:val="007B08B1"/>
    <w:rsid w:val="007B093F"/>
    <w:rsid w:val="007B0973"/>
    <w:rsid w:val="007B09F1"/>
    <w:rsid w:val="007B0A2F"/>
    <w:rsid w:val="007B0BB6"/>
    <w:rsid w:val="007B0F03"/>
    <w:rsid w:val="007B0F61"/>
    <w:rsid w:val="007B0F9B"/>
    <w:rsid w:val="007B0FE4"/>
    <w:rsid w:val="007B0FFB"/>
    <w:rsid w:val="007B1000"/>
    <w:rsid w:val="007B1003"/>
    <w:rsid w:val="007B1016"/>
    <w:rsid w:val="007B10C0"/>
    <w:rsid w:val="007B11CF"/>
    <w:rsid w:val="007B12DD"/>
    <w:rsid w:val="007B1321"/>
    <w:rsid w:val="007B13EA"/>
    <w:rsid w:val="007B1516"/>
    <w:rsid w:val="007B1539"/>
    <w:rsid w:val="007B1592"/>
    <w:rsid w:val="007B1627"/>
    <w:rsid w:val="007B166C"/>
    <w:rsid w:val="007B16B5"/>
    <w:rsid w:val="007B17B0"/>
    <w:rsid w:val="007B1809"/>
    <w:rsid w:val="007B18DB"/>
    <w:rsid w:val="007B1A90"/>
    <w:rsid w:val="007B1C1D"/>
    <w:rsid w:val="007B1C49"/>
    <w:rsid w:val="007B1C96"/>
    <w:rsid w:val="007B1E70"/>
    <w:rsid w:val="007B1E9D"/>
    <w:rsid w:val="007B1EDE"/>
    <w:rsid w:val="007B1EF8"/>
    <w:rsid w:val="007B1F02"/>
    <w:rsid w:val="007B1F2E"/>
    <w:rsid w:val="007B1F5E"/>
    <w:rsid w:val="007B1F9B"/>
    <w:rsid w:val="007B1F9C"/>
    <w:rsid w:val="007B2107"/>
    <w:rsid w:val="007B215D"/>
    <w:rsid w:val="007B21D4"/>
    <w:rsid w:val="007B22CD"/>
    <w:rsid w:val="007B2381"/>
    <w:rsid w:val="007B2388"/>
    <w:rsid w:val="007B241B"/>
    <w:rsid w:val="007B250D"/>
    <w:rsid w:val="007B26A0"/>
    <w:rsid w:val="007B27E9"/>
    <w:rsid w:val="007B2884"/>
    <w:rsid w:val="007B2A87"/>
    <w:rsid w:val="007B2B83"/>
    <w:rsid w:val="007B2BEA"/>
    <w:rsid w:val="007B2C6A"/>
    <w:rsid w:val="007B2DA4"/>
    <w:rsid w:val="007B2E81"/>
    <w:rsid w:val="007B2EC4"/>
    <w:rsid w:val="007B2EEB"/>
    <w:rsid w:val="007B302C"/>
    <w:rsid w:val="007B352E"/>
    <w:rsid w:val="007B3649"/>
    <w:rsid w:val="007B3678"/>
    <w:rsid w:val="007B36CB"/>
    <w:rsid w:val="007B36FF"/>
    <w:rsid w:val="007B37A5"/>
    <w:rsid w:val="007B37D2"/>
    <w:rsid w:val="007B380E"/>
    <w:rsid w:val="007B3834"/>
    <w:rsid w:val="007B3991"/>
    <w:rsid w:val="007B3B57"/>
    <w:rsid w:val="007B3C24"/>
    <w:rsid w:val="007B3C68"/>
    <w:rsid w:val="007B3C6F"/>
    <w:rsid w:val="007B3D29"/>
    <w:rsid w:val="007B3D3A"/>
    <w:rsid w:val="007B3D70"/>
    <w:rsid w:val="007B3E1F"/>
    <w:rsid w:val="007B3E77"/>
    <w:rsid w:val="007B3E9F"/>
    <w:rsid w:val="007B3F31"/>
    <w:rsid w:val="007B3F43"/>
    <w:rsid w:val="007B3F9A"/>
    <w:rsid w:val="007B3FA2"/>
    <w:rsid w:val="007B4076"/>
    <w:rsid w:val="007B4166"/>
    <w:rsid w:val="007B41F7"/>
    <w:rsid w:val="007B4278"/>
    <w:rsid w:val="007B4300"/>
    <w:rsid w:val="007B43D3"/>
    <w:rsid w:val="007B4518"/>
    <w:rsid w:val="007B4522"/>
    <w:rsid w:val="007B471D"/>
    <w:rsid w:val="007B47BD"/>
    <w:rsid w:val="007B48C0"/>
    <w:rsid w:val="007B4937"/>
    <w:rsid w:val="007B4CFF"/>
    <w:rsid w:val="007B4D1B"/>
    <w:rsid w:val="007B4DE6"/>
    <w:rsid w:val="007B4E20"/>
    <w:rsid w:val="007B4EA2"/>
    <w:rsid w:val="007B4EE7"/>
    <w:rsid w:val="007B4F45"/>
    <w:rsid w:val="007B4F7C"/>
    <w:rsid w:val="007B50B2"/>
    <w:rsid w:val="007B50EF"/>
    <w:rsid w:val="007B5153"/>
    <w:rsid w:val="007B519F"/>
    <w:rsid w:val="007B52C6"/>
    <w:rsid w:val="007B5354"/>
    <w:rsid w:val="007B53AC"/>
    <w:rsid w:val="007B53FC"/>
    <w:rsid w:val="007B553F"/>
    <w:rsid w:val="007B5596"/>
    <w:rsid w:val="007B55C3"/>
    <w:rsid w:val="007B564E"/>
    <w:rsid w:val="007B56F3"/>
    <w:rsid w:val="007B5754"/>
    <w:rsid w:val="007B575E"/>
    <w:rsid w:val="007B5761"/>
    <w:rsid w:val="007B5814"/>
    <w:rsid w:val="007B5831"/>
    <w:rsid w:val="007B5877"/>
    <w:rsid w:val="007B58D2"/>
    <w:rsid w:val="007B5992"/>
    <w:rsid w:val="007B5B15"/>
    <w:rsid w:val="007B5BE3"/>
    <w:rsid w:val="007B5D28"/>
    <w:rsid w:val="007B5DEF"/>
    <w:rsid w:val="007B5DF7"/>
    <w:rsid w:val="007B5E21"/>
    <w:rsid w:val="007B5F32"/>
    <w:rsid w:val="007B5F68"/>
    <w:rsid w:val="007B5FB1"/>
    <w:rsid w:val="007B60CC"/>
    <w:rsid w:val="007B6131"/>
    <w:rsid w:val="007B63BB"/>
    <w:rsid w:val="007B6416"/>
    <w:rsid w:val="007B6424"/>
    <w:rsid w:val="007B655F"/>
    <w:rsid w:val="007B65DA"/>
    <w:rsid w:val="007B665F"/>
    <w:rsid w:val="007B66A4"/>
    <w:rsid w:val="007B671E"/>
    <w:rsid w:val="007B6759"/>
    <w:rsid w:val="007B694F"/>
    <w:rsid w:val="007B6A47"/>
    <w:rsid w:val="007B6B13"/>
    <w:rsid w:val="007B6B5B"/>
    <w:rsid w:val="007B6C15"/>
    <w:rsid w:val="007B6D41"/>
    <w:rsid w:val="007B6E2E"/>
    <w:rsid w:val="007B6F05"/>
    <w:rsid w:val="007B703C"/>
    <w:rsid w:val="007B70A3"/>
    <w:rsid w:val="007B70E0"/>
    <w:rsid w:val="007B714B"/>
    <w:rsid w:val="007B7155"/>
    <w:rsid w:val="007B740F"/>
    <w:rsid w:val="007B7410"/>
    <w:rsid w:val="007B7412"/>
    <w:rsid w:val="007B74E1"/>
    <w:rsid w:val="007B7503"/>
    <w:rsid w:val="007B756A"/>
    <w:rsid w:val="007B75AF"/>
    <w:rsid w:val="007B7604"/>
    <w:rsid w:val="007B767A"/>
    <w:rsid w:val="007B77EA"/>
    <w:rsid w:val="007B7842"/>
    <w:rsid w:val="007B784F"/>
    <w:rsid w:val="007B7864"/>
    <w:rsid w:val="007B7A4E"/>
    <w:rsid w:val="007B7CC9"/>
    <w:rsid w:val="007B7D3A"/>
    <w:rsid w:val="007B7D75"/>
    <w:rsid w:val="007B7DA7"/>
    <w:rsid w:val="007B7E67"/>
    <w:rsid w:val="007B7F54"/>
    <w:rsid w:val="007C0041"/>
    <w:rsid w:val="007C0130"/>
    <w:rsid w:val="007C0167"/>
    <w:rsid w:val="007C0178"/>
    <w:rsid w:val="007C0260"/>
    <w:rsid w:val="007C0440"/>
    <w:rsid w:val="007C04A5"/>
    <w:rsid w:val="007C05C6"/>
    <w:rsid w:val="007C07D5"/>
    <w:rsid w:val="007C0879"/>
    <w:rsid w:val="007C092F"/>
    <w:rsid w:val="007C09B0"/>
    <w:rsid w:val="007C0A43"/>
    <w:rsid w:val="007C0A7D"/>
    <w:rsid w:val="007C0AE0"/>
    <w:rsid w:val="007C0CBF"/>
    <w:rsid w:val="007C0CDE"/>
    <w:rsid w:val="007C0CDF"/>
    <w:rsid w:val="007C0D08"/>
    <w:rsid w:val="007C0D96"/>
    <w:rsid w:val="007C0DD3"/>
    <w:rsid w:val="007C0EDB"/>
    <w:rsid w:val="007C0F9D"/>
    <w:rsid w:val="007C10D6"/>
    <w:rsid w:val="007C11A5"/>
    <w:rsid w:val="007C1333"/>
    <w:rsid w:val="007C135C"/>
    <w:rsid w:val="007C13EF"/>
    <w:rsid w:val="007C149A"/>
    <w:rsid w:val="007C14D2"/>
    <w:rsid w:val="007C172B"/>
    <w:rsid w:val="007C17EE"/>
    <w:rsid w:val="007C19B4"/>
    <w:rsid w:val="007C19CF"/>
    <w:rsid w:val="007C1A0D"/>
    <w:rsid w:val="007C1A6D"/>
    <w:rsid w:val="007C1AD7"/>
    <w:rsid w:val="007C1B05"/>
    <w:rsid w:val="007C1BE2"/>
    <w:rsid w:val="007C1C03"/>
    <w:rsid w:val="007C1D57"/>
    <w:rsid w:val="007C1E1C"/>
    <w:rsid w:val="007C1E28"/>
    <w:rsid w:val="007C1E5B"/>
    <w:rsid w:val="007C1F29"/>
    <w:rsid w:val="007C201B"/>
    <w:rsid w:val="007C210A"/>
    <w:rsid w:val="007C21E1"/>
    <w:rsid w:val="007C23B3"/>
    <w:rsid w:val="007C23FA"/>
    <w:rsid w:val="007C2423"/>
    <w:rsid w:val="007C2491"/>
    <w:rsid w:val="007C24BD"/>
    <w:rsid w:val="007C27C4"/>
    <w:rsid w:val="007C2825"/>
    <w:rsid w:val="007C29AA"/>
    <w:rsid w:val="007C2A55"/>
    <w:rsid w:val="007C2B34"/>
    <w:rsid w:val="007C2BD9"/>
    <w:rsid w:val="007C2D4C"/>
    <w:rsid w:val="007C2D8E"/>
    <w:rsid w:val="007C2E2A"/>
    <w:rsid w:val="007C2E49"/>
    <w:rsid w:val="007C2FB4"/>
    <w:rsid w:val="007C304F"/>
    <w:rsid w:val="007C325D"/>
    <w:rsid w:val="007C33FA"/>
    <w:rsid w:val="007C35C4"/>
    <w:rsid w:val="007C36C6"/>
    <w:rsid w:val="007C375E"/>
    <w:rsid w:val="007C383F"/>
    <w:rsid w:val="007C386A"/>
    <w:rsid w:val="007C39F2"/>
    <w:rsid w:val="007C3A3B"/>
    <w:rsid w:val="007C3B34"/>
    <w:rsid w:val="007C3C85"/>
    <w:rsid w:val="007C3C8A"/>
    <w:rsid w:val="007C3D93"/>
    <w:rsid w:val="007C3DB9"/>
    <w:rsid w:val="007C3EC4"/>
    <w:rsid w:val="007C3ECC"/>
    <w:rsid w:val="007C409F"/>
    <w:rsid w:val="007C4214"/>
    <w:rsid w:val="007C4254"/>
    <w:rsid w:val="007C428A"/>
    <w:rsid w:val="007C42C5"/>
    <w:rsid w:val="007C437E"/>
    <w:rsid w:val="007C445D"/>
    <w:rsid w:val="007C4551"/>
    <w:rsid w:val="007C45B5"/>
    <w:rsid w:val="007C4608"/>
    <w:rsid w:val="007C478F"/>
    <w:rsid w:val="007C4866"/>
    <w:rsid w:val="007C48B7"/>
    <w:rsid w:val="007C48B8"/>
    <w:rsid w:val="007C496F"/>
    <w:rsid w:val="007C49BF"/>
    <w:rsid w:val="007C4AC1"/>
    <w:rsid w:val="007C4B18"/>
    <w:rsid w:val="007C4B22"/>
    <w:rsid w:val="007C4B6E"/>
    <w:rsid w:val="007C4C6A"/>
    <w:rsid w:val="007C4D38"/>
    <w:rsid w:val="007C4D78"/>
    <w:rsid w:val="007C4DAD"/>
    <w:rsid w:val="007C4E21"/>
    <w:rsid w:val="007C4E32"/>
    <w:rsid w:val="007C4EBB"/>
    <w:rsid w:val="007C4EC3"/>
    <w:rsid w:val="007C4EF1"/>
    <w:rsid w:val="007C4F15"/>
    <w:rsid w:val="007C4F91"/>
    <w:rsid w:val="007C5079"/>
    <w:rsid w:val="007C50BE"/>
    <w:rsid w:val="007C510F"/>
    <w:rsid w:val="007C5139"/>
    <w:rsid w:val="007C51B9"/>
    <w:rsid w:val="007C5248"/>
    <w:rsid w:val="007C5319"/>
    <w:rsid w:val="007C535E"/>
    <w:rsid w:val="007C53AA"/>
    <w:rsid w:val="007C53BC"/>
    <w:rsid w:val="007C53D1"/>
    <w:rsid w:val="007C541C"/>
    <w:rsid w:val="007C554E"/>
    <w:rsid w:val="007C56BC"/>
    <w:rsid w:val="007C5753"/>
    <w:rsid w:val="007C57EC"/>
    <w:rsid w:val="007C580F"/>
    <w:rsid w:val="007C5833"/>
    <w:rsid w:val="007C5894"/>
    <w:rsid w:val="007C5934"/>
    <w:rsid w:val="007C594C"/>
    <w:rsid w:val="007C59E0"/>
    <w:rsid w:val="007C5A1C"/>
    <w:rsid w:val="007C5A5A"/>
    <w:rsid w:val="007C5A77"/>
    <w:rsid w:val="007C5A85"/>
    <w:rsid w:val="007C5A92"/>
    <w:rsid w:val="007C5B0E"/>
    <w:rsid w:val="007C5B82"/>
    <w:rsid w:val="007C5C34"/>
    <w:rsid w:val="007C5CEF"/>
    <w:rsid w:val="007C5D7F"/>
    <w:rsid w:val="007C5D8A"/>
    <w:rsid w:val="007C5D94"/>
    <w:rsid w:val="007C5DA4"/>
    <w:rsid w:val="007C5DC9"/>
    <w:rsid w:val="007C5DF7"/>
    <w:rsid w:val="007C5FD3"/>
    <w:rsid w:val="007C6085"/>
    <w:rsid w:val="007C6193"/>
    <w:rsid w:val="007C6195"/>
    <w:rsid w:val="007C61BB"/>
    <w:rsid w:val="007C61F5"/>
    <w:rsid w:val="007C6278"/>
    <w:rsid w:val="007C638D"/>
    <w:rsid w:val="007C6442"/>
    <w:rsid w:val="007C6476"/>
    <w:rsid w:val="007C6577"/>
    <w:rsid w:val="007C66DD"/>
    <w:rsid w:val="007C66DE"/>
    <w:rsid w:val="007C66E9"/>
    <w:rsid w:val="007C675C"/>
    <w:rsid w:val="007C67A2"/>
    <w:rsid w:val="007C67B9"/>
    <w:rsid w:val="007C6810"/>
    <w:rsid w:val="007C694F"/>
    <w:rsid w:val="007C69E9"/>
    <w:rsid w:val="007C6A3B"/>
    <w:rsid w:val="007C6AEB"/>
    <w:rsid w:val="007C6AEE"/>
    <w:rsid w:val="007C6B97"/>
    <w:rsid w:val="007C6BC4"/>
    <w:rsid w:val="007C6CF8"/>
    <w:rsid w:val="007C6D77"/>
    <w:rsid w:val="007C6D78"/>
    <w:rsid w:val="007C6D9F"/>
    <w:rsid w:val="007C6DA0"/>
    <w:rsid w:val="007C6E29"/>
    <w:rsid w:val="007C6E3B"/>
    <w:rsid w:val="007C6EC2"/>
    <w:rsid w:val="007C6FAB"/>
    <w:rsid w:val="007C6FB0"/>
    <w:rsid w:val="007C6FEE"/>
    <w:rsid w:val="007C7140"/>
    <w:rsid w:val="007C7192"/>
    <w:rsid w:val="007C723A"/>
    <w:rsid w:val="007C73A3"/>
    <w:rsid w:val="007C7467"/>
    <w:rsid w:val="007C74DB"/>
    <w:rsid w:val="007C74F5"/>
    <w:rsid w:val="007C7523"/>
    <w:rsid w:val="007C7528"/>
    <w:rsid w:val="007C75AB"/>
    <w:rsid w:val="007C7698"/>
    <w:rsid w:val="007C7805"/>
    <w:rsid w:val="007C7871"/>
    <w:rsid w:val="007C7A72"/>
    <w:rsid w:val="007C7B33"/>
    <w:rsid w:val="007C7B3E"/>
    <w:rsid w:val="007C7B49"/>
    <w:rsid w:val="007C7B7D"/>
    <w:rsid w:val="007C7B90"/>
    <w:rsid w:val="007C7BC0"/>
    <w:rsid w:val="007C7BF3"/>
    <w:rsid w:val="007C7D7A"/>
    <w:rsid w:val="007C7E00"/>
    <w:rsid w:val="007C7E14"/>
    <w:rsid w:val="007C7E43"/>
    <w:rsid w:val="007C7E85"/>
    <w:rsid w:val="007C7F79"/>
    <w:rsid w:val="007C7F8F"/>
    <w:rsid w:val="007D0027"/>
    <w:rsid w:val="007D016E"/>
    <w:rsid w:val="007D01DE"/>
    <w:rsid w:val="007D0291"/>
    <w:rsid w:val="007D0303"/>
    <w:rsid w:val="007D0360"/>
    <w:rsid w:val="007D0445"/>
    <w:rsid w:val="007D0466"/>
    <w:rsid w:val="007D04F7"/>
    <w:rsid w:val="007D0512"/>
    <w:rsid w:val="007D058A"/>
    <w:rsid w:val="007D05EC"/>
    <w:rsid w:val="007D0747"/>
    <w:rsid w:val="007D08F3"/>
    <w:rsid w:val="007D0914"/>
    <w:rsid w:val="007D09C3"/>
    <w:rsid w:val="007D0A52"/>
    <w:rsid w:val="007D0B2A"/>
    <w:rsid w:val="007D0B5C"/>
    <w:rsid w:val="007D0CFF"/>
    <w:rsid w:val="007D0D2D"/>
    <w:rsid w:val="007D0D7F"/>
    <w:rsid w:val="007D0DB0"/>
    <w:rsid w:val="007D0E10"/>
    <w:rsid w:val="007D0E5C"/>
    <w:rsid w:val="007D0F3B"/>
    <w:rsid w:val="007D1064"/>
    <w:rsid w:val="007D10B3"/>
    <w:rsid w:val="007D114C"/>
    <w:rsid w:val="007D115B"/>
    <w:rsid w:val="007D1378"/>
    <w:rsid w:val="007D1435"/>
    <w:rsid w:val="007D143D"/>
    <w:rsid w:val="007D1445"/>
    <w:rsid w:val="007D14CE"/>
    <w:rsid w:val="007D1595"/>
    <w:rsid w:val="007D159B"/>
    <w:rsid w:val="007D1607"/>
    <w:rsid w:val="007D1618"/>
    <w:rsid w:val="007D166B"/>
    <w:rsid w:val="007D1706"/>
    <w:rsid w:val="007D179F"/>
    <w:rsid w:val="007D18EC"/>
    <w:rsid w:val="007D190A"/>
    <w:rsid w:val="007D1937"/>
    <w:rsid w:val="007D19AF"/>
    <w:rsid w:val="007D1A6A"/>
    <w:rsid w:val="007D1AB0"/>
    <w:rsid w:val="007D1AE5"/>
    <w:rsid w:val="007D1B5E"/>
    <w:rsid w:val="007D1B71"/>
    <w:rsid w:val="007D1C31"/>
    <w:rsid w:val="007D1C32"/>
    <w:rsid w:val="007D1C7F"/>
    <w:rsid w:val="007D1DC6"/>
    <w:rsid w:val="007D1DE4"/>
    <w:rsid w:val="007D1F78"/>
    <w:rsid w:val="007D20E4"/>
    <w:rsid w:val="007D2164"/>
    <w:rsid w:val="007D21D7"/>
    <w:rsid w:val="007D21DB"/>
    <w:rsid w:val="007D22C4"/>
    <w:rsid w:val="007D2382"/>
    <w:rsid w:val="007D2388"/>
    <w:rsid w:val="007D249E"/>
    <w:rsid w:val="007D2548"/>
    <w:rsid w:val="007D2619"/>
    <w:rsid w:val="007D263E"/>
    <w:rsid w:val="007D26B5"/>
    <w:rsid w:val="007D26BF"/>
    <w:rsid w:val="007D26E0"/>
    <w:rsid w:val="007D274E"/>
    <w:rsid w:val="007D2772"/>
    <w:rsid w:val="007D28D1"/>
    <w:rsid w:val="007D2B17"/>
    <w:rsid w:val="007D2C0E"/>
    <w:rsid w:val="007D2C1A"/>
    <w:rsid w:val="007D2C32"/>
    <w:rsid w:val="007D2CA6"/>
    <w:rsid w:val="007D2CF8"/>
    <w:rsid w:val="007D2DC2"/>
    <w:rsid w:val="007D2E17"/>
    <w:rsid w:val="007D2E4F"/>
    <w:rsid w:val="007D2F0A"/>
    <w:rsid w:val="007D2F1F"/>
    <w:rsid w:val="007D30EF"/>
    <w:rsid w:val="007D311F"/>
    <w:rsid w:val="007D318E"/>
    <w:rsid w:val="007D321F"/>
    <w:rsid w:val="007D3291"/>
    <w:rsid w:val="007D3477"/>
    <w:rsid w:val="007D356A"/>
    <w:rsid w:val="007D361D"/>
    <w:rsid w:val="007D3697"/>
    <w:rsid w:val="007D36F1"/>
    <w:rsid w:val="007D373D"/>
    <w:rsid w:val="007D3742"/>
    <w:rsid w:val="007D377E"/>
    <w:rsid w:val="007D39E4"/>
    <w:rsid w:val="007D3BBB"/>
    <w:rsid w:val="007D3BE2"/>
    <w:rsid w:val="007D3BF1"/>
    <w:rsid w:val="007D3C9F"/>
    <w:rsid w:val="007D3CBB"/>
    <w:rsid w:val="007D3D49"/>
    <w:rsid w:val="007D3E00"/>
    <w:rsid w:val="007D3E29"/>
    <w:rsid w:val="007D3E45"/>
    <w:rsid w:val="007D3E47"/>
    <w:rsid w:val="007D3EFA"/>
    <w:rsid w:val="007D3F4B"/>
    <w:rsid w:val="007D4054"/>
    <w:rsid w:val="007D40BA"/>
    <w:rsid w:val="007D40F0"/>
    <w:rsid w:val="007D414D"/>
    <w:rsid w:val="007D4324"/>
    <w:rsid w:val="007D43AF"/>
    <w:rsid w:val="007D4416"/>
    <w:rsid w:val="007D4420"/>
    <w:rsid w:val="007D4492"/>
    <w:rsid w:val="007D4535"/>
    <w:rsid w:val="007D4702"/>
    <w:rsid w:val="007D4780"/>
    <w:rsid w:val="007D47F4"/>
    <w:rsid w:val="007D4860"/>
    <w:rsid w:val="007D4874"/>
    <w:rsid w:val="007D48E4"/>
    <w:rsid w:val="007D4900"/>
    <w:rsid w:val="007D494A"/>
    <w:rsid w:val="007D4A0F"/>
    <w:rsid w:val="007D4B22"/>
    <w:rsid w:val="007D4BB7"/>
    <w:rsid w:val="007D4BDD"/>
    <w:rsid w:val="007D4C4F"/>
    <w:rsid w:val="007D4CB3"/>
    <w:rsid w:val="007D4CCF"/>
    <w:rsid w:val="007D4DC7"/>
    <w:rsid w:val="007D4DF3"/>
    <w:rsid w:val="007D4DF8"/>
    <w:rsid w:val="007D4E27"/>
    <w:rsid w:val="007D4E7B"/>
    <w:rsid w:val="007D4FCD"/>
    <w:rsid w:val="007D508C"/>
    <w:rsid w:val="007D511A"/>
    <w:rsid w:val="007D511B"/>
    <w:rsid w:val="007D51F4"/>
    <w:rsid w:val="007D5333"/>
    <w:rsid w:val="007D540C"/>
    <w:rsid w:val="007D54AD"/>
    <w:rsid w:val="007D54EF"/>
    <w:rsid w:val="007D572D"/>
    <w:rsid w:val="007D5756"/>
    <w:rsid w:val="007D576E"/>
    <w:rsid w:val="007D585A"/>
    <w:rsid w:val="007D5872"/>
    <w:rsid w:val="007D58C4"/>
    <w:rsid w:val="007D5A3E"/>
    <w:rsid w:val="007D5A42"/>
    <w:rsid w:val="007D5A51"/>
    <w:rsid w:val="007D5AEF"/>
    <w:rsid w:val="007D5B5B"/>
    <w:rsid w:val="007D5C7B"/>
    <w:rsid w:val="007D5CED"/>
    <w:rsid w:val="007D5D10"/>
    <w:rsid w:val="007D5D61"/>
    <w:rsid w:val="007D5D72"/>
    <w:rsid w:val="007D5DCC"/>
    <w:rsid w:val="007D5E7B"/>
    <w:rsid w:val="007D5F09"/>
    <w:rsid w:val="007D6025"/>
    <w:rsid w:val="007D6240"/>
    <w:rsid w:val="007D62B5"/>
    <w:rsid w:val="007D64BA"/>
    <w:rsid w:val="007D64CD"/>
    <w:rsid w:val="007D66B5"/>
    <w:rsid w:val="007D6757"/>
    <w:rsid w:val="007D67BC"/>
    <w:rsid w:val="007D68BF"/>
    <w:rsid w:val="007D68CB"/>
    <w:rsid w:val="007D6948"/>
    <w:rsid w:val="007D697F"/>
    <w:rsid w:val="007D6985"/>
    <w:rsid w:val="007D6A42"/>
    <w:rsid w:val="007D6A64"/>
    <w:rsid w:val="007D6C34"/>
    <w:rsid w:val="007D6CB1"/>
    <w:rsid w:val="007D6D88"/>
    <w:rsid w:val="007D6E6D"/>
    <w:rsid w:val="007D6E83"/>
    <w:rsid w:val="007D6E85"/>
    <w:rsid w:val="007D6E91"/>
    <w:rsid w:val="007D6EEC"/>
    <w:rsid w:val="007D6F92"/>
    <w:rsid w:val="007D7021"/>
    <w:rsid w:val="007D71EF"/>
    <w:rsid w:val="007D7212"/>
    <w:rsid w:val="007D7213"/>
    <w:rsid w:val="007D7283"/>
    <w:rsid w:val="007D73D2"/>
    <w:rsid w:val="007D73F8"/>
    <w:rsid w:val="007D74B9"/>
    <w:rsid w:val="007D74DB"/>
    <w:rsid w:val="007D7684"/>
    <w:rsid w:val="007D775A"/>
    <w:rsid w:val="007D77AB"/>
    <w:rsid w:val="007D7825"/>
    <w:rsid w:val="007D789C"/>
    <w:rsid w:val="007D78EA"/>
    <w:rsid w:val="007D7A7D"/>
    <w:rsid w:val="007D7A90"/>
    <w:rsid w:val="007D7AB3"/>
    <w:rsid w:val="007D7BD2"/>
    <w:rsid w:val="007D7D68"/>
    <w:rsid w:val="007D7DCC"/>
    <w:rsid w:val="007D7DF9"/>
    <w:rsid w:val="007D7F41"/>
    <w:rsid w:val="007E0030"/>
    <w:rsid w:val="007E007B"/>
    <w:rsid w:val="007E0094"/>
    <w:rsid w:val="007E00C3"/>
    <w:rsid w:val="007E012D"/>
    <w:rsid w:val="007E01DC"/>
    <w:rsid w:val="007E024D"/>
    <w:rsid w:val="007E02A9"/>
    <w:rsid w:val="007E031D"/>
    <w:rsid w:val="007E03FF"/>
    <w:rsid w:val="007E050B"/>
    <w:rsid w:val="007E052F"/>
    <w:rsid w:val="007E05DF"/>
    <w:rsid w:val="007E0600"/>
    <w:rsid w:val="007E0644"/>
    <w:rsid w:val="007E0647"/>
    <w:rsid w:val="007E0657"/>
    <w:rsid w:val="007E067A"/>
    <w:rsid w:val="007E06D0"/>
    <w:rsid w:val="007E0780"/>
    <w:rsid w:val="007E0888"/>
    <w:rsid w:val="007E0A46"/>
    <w:rsid w:val="007E0C53"/>
    <w:rsid w:val="007E0D51"/>
    <w:rsid w:val="007E0D9B"/>
    <w:rsid w:val="007E0DDC"/>
    <w:rsid w:val="007E0E76"/>
    <w:rsid w:val="007E0EB4"/>
    <w:rsid w:val="007E0EF2"/>
    <w:rsid w:val="007E0F7D"/>
    <w:rsid w:val="007E0F90"/>
    <w:rsid w:val="007E0FFF"/>
    <w:rsid w:val="007E101D"/>
    <w:rsid w:val="007E1281"/>
    <w:rsid w:val="007E131D"/>
    <w:rsid w:val="007E1465"/>
    <w:rsid w:val="007E148B"/>
    <w:rsid w:val="007E157F"/>
    <w:rsid w:val="007E159C"/>
    <w:rsid w:val="007E1756"/>
    <w:rsid w:val="007E178D"/>
    <w:rsid w:val="007E17F7"/>
    <w:rsid w:val="007E1803"/>
    <w:rsid w:val="007E1872"/>
    <w:rsid w:val="007E1881"/>
    <w:rsid w:val="007E197F"/>
    <w:rsid w:val="007E19D1"/>
    <w:rsid w:val="007E1A9E"/>
    <w:rsid w:val="007E1AEA"/>
    <w:rsid w:val="007E1B31"/>
    <w:rsid w:val="007E1B62"/>
    <w:rsid w:val="007E1BB9"/>
    <w:rsid w:val="007E1D2B"/>
    <w:rsid w:val="007E1DAA"/>
    <w:rsid w:val="007E1E03"/>
    <w:rsid w:val="007E1F2C"/>
    <w:rsid w:val="007E2022"/>
    <w:rsid w:val="007E2078"/>
    <w:rsid w:val="007E2107"/>
    <w:rsid w:val="007E21B9"/>
    <w:rsid w:val="007E21C4"/>
    <w:rsid w:val="007E21F0"/>
    <w:rsid w:val="007E22EF"/>
    <w:rsid w:val="007E22FA"/>
    <w:rsid w:val="007E2391"/>
    <w:rsid w:val="007E24B3"/>
    <w:rsid w:val="007E25AB"/>
    <w:rsid w:val="007E2620"/>
    <w:rsid w:val="007E2629"/>
    <w:rsid w:val="007E267F"/>
    <w:rsid w:val="007E2795"/>
    <w:rsid w:val="007E2972"/>
    <w:rsid w:val="007E2AD9"/>
    <w:rsid w:val="007E2BCB"/>
    <w:rsid w:val="007E2C1F"/>
    <w:rsid w:val="007E2C8C"/>
    <w:rsid w:val="007E2C9E"/>
    <w:rsid w:val="007E2CFD"/>
    <w:rsid w:val="007E2D1B"/>
    <w:rsid w:val="007E2D6B"/>
    <w:rsid w:val="007E2DBB"/>
    <w:rsid w:val="007E302D"/>
    <w:rsid w:val="007E30BF"/>
    <w:rsid w:val="007E3294"/>
    <w:rsid w:val="007E3420"/>
    <w:rsid w:val="007E3440"/>
    <w:rsid w:val="007E3449"/>
    <w:rsid w:val="007E3465"/>
    <w:rsid w:val="007E34C9"/>
    <w:rsid w:val="007E3518"/>
    <w:rsid w:val="007E35C3"/>
    <w:rsid w:val="007E36AF"/>
    <w:rsid w:val="007E3889"/>
    <w:rsid w:val="007E38D3"/>
    <w:rsid w:val="007E3D0D"/>
    <w:rsid w:val="007E3E2B"/>
    <w:rsid w:val="007E3F06"/>
    <w:rsid w:val="007E3F3C"/>
    <w:rsid w:val="007E3F94"/>
    <w:rsid w:val="007E4172"/>
    <w:rsid w:val="007E4319"/>
    <w:rsid w:val="007E4343"/>
    <w:rsid w:val="007E434A"/>
    <w:rsid w:val="007E434E"/>
    <w:rsid w:val="007E4370"/>
    <w:rsid w:val="007E438F"/>
    <w:rsid w:val="007E44CB"/>
    <w:rsid w:val="007E44F4"/>
    <w:rsid w:val="007E450C"/>
    <w:rsid w:val="007E45A9"/>
    <w:rsid w:val="007E45ED"/>
    <w:rsid w:val="007E469A"/>
    <w:rsid w:val="007E47A6"/>
    <w:rsid w:val="007E47BF"/>
    <w:rsid w:val="007E47E7"/>
    <w:rsid w:val="007E4806"/>
    <w:rsid w:val="007E4842"/>
    <w:rsid w:val="007E48E8"/>
    <w:rsid w:val="007E4A0D"/>
    <w:rsid w:val="007E4A34"/>
    <w:rsid w:val="007E4A36"/>
    <w:rsid w:val="007E4AFB"/>
    <w:rsid w:val="007E4B75"/>
    <w:rsid w:val="007E4BEF"/>
    <w:rsid w:val="007E4DB2"/>
    <w:rsid w:val="007E4E25"/>
    <w:rsid w:val="007E4E2D"/>
    <w:rsid w:val="007E500B"/>
    <w:rsid w:val="007E5011"/>
    <w:rsid w:val="007E5042"/>
    <w:rsid w:val="007E505F"/>
    <w:rsid w:val="007E50A0"/>
    <w:rsid w:val="007E50BB"/>
    <w:rsid w:val="007E519C"/>
    <w:rsid w:val="007E5210"/>
    <w:rsid w:val="007E5295"/>
    <w:rsid w:val="007E52D5"/>
    <w:rsid w:val="007E5395"/>
    <w:rsid w:val="007E539D"/>
    <w:rsid w:val="007E5503"/>
    <w:rsid w:val="007E550F"/>
    <w:rsid w:val="007E55A0"/>
    <w:rsid w:val="007E5874"/>
    <w:rsid w:val="007E594A"/>
    <w:rsid w:val="007E5978"/>
    <w:rsid w:val="007E5A18"/>
    <w:rsid w:val="007E5A6E"/>
    <w:rsid w:val="007E5BA3"/>
    <w:rsid w:val="007E5BF4"/>
    <w:rsid w:val="007E5F08"/>
    <w:rsid w:val="007E5F45"/>
    <w:rsid w:val="007E5F93"/>
    <w:rsid w:val="007E601C"/>
    <w:rsid w:val="007E602E"/>
    <w:rsid w:val="007E6097"/>
    <w:rsid w:val="007E60B1"/>
    <w:rsid w:val="007E611C"/>
    <w:rsid w:val="007E61D2"/>
    <w:rsid w:val="007E621F"/>
    <w:rsid w:val="007E6254"/>
    <w:rsid w:val="007E6357"/>
    <w:rsid w:val="007E6369"/>
    <w:rsid w:val="007E639C"/>
    <w:rsid w:val="007E6461"/>
    <w:rsid w:val="007E6513"/>
    <w:rsid w:val="007E6627"/>
    <w:rsid w:val="007E667F"/>
    <w:rsid w:val="007E66B3"/>
    <w:rsid w:val="007E671F"/>
    <w:rsid w:val="007E676F"/>
    <w:rsid w:val="007E6911"/>
    <w:rsid w:val="007E692F"/>
    <w:rsid w:val="007E6ACB"/>
    <w:rsid w:val="007E6B18"/>
    <w:rsid w:val="007E6D07"/>
    <w:rsid w:val="007E6D0B"/>
    <w:rsid w:val="007E6D5A"/>
    <w:rsid w:val="007E6DFF"/>
    <w:rsid w:val="007E6E6F"/>
    <w:rsid w:val="007E6E73"/>
    <w:rsid w:val="007E6F1D"/>
    <w:rsid w:val="007E7024"/>
    <w:rsid w:val="007E70E5"/>
    <w:rsid w:val="007E7150"/>
    <w:rsid w:val="007E7230"/>
    <w:rsid w:val="007E7259"/>
    <w:rsid w:val="007E72F9"/>
    <w:rsid w:val="007E7364"/>
    <w:rsid w:val="007E73AE"/>
    <w:rsid w:val="007E7482"/>
    <w:rsid w:val="007E74DD"/>
    <w:rsid w:val="007E7583"/>
    <w:rsid w:val="007E7594"/>
    <w:rsid w:val="007E7607"/>
    <w:rsid w:val="007E764C"/>
    <w:rsid w:val="007E7675"/>
    <w:rsid w:val="007E76F2"/>
    <w:rsid w:val="007E770F"/>
    <w:rsid w:val="007E779C"/>
    <w:rsid w:val="007E79C0"/>
    <w:rsid w:val="007E79DC"/>
    <w:rsid w:val="007E7A13"/>
    <w:rsid w:val="007E7AE5"/>
    <w:rsid w:val="007E7C67"/>
    <w:rsid w:val="007E7C72"/>
    <w:rsid w:val="007E7D16"/>
    <w:rsid w:val="007E7EC0"/>
    <w:rsid w:val="007E7F8C"/>
    <w:rsid w:val="007F0001"/>
    <w:rsid w:val="007F005A"/>
    <w:rsid w:val="007F00A6"/>
    <w:rsid w:val="007F0147"/>
    <w:rsid w:val="007F0150"/>
    <w:rsid w:val="007F0190"/>
    <w:rsid w:val="007F0216"/>
    <w:rsid w:val="007F02AF"/>
    <w:rsid w:val="007F03C3"/>
    <w:rsid w:val="007F040E"/>
    <w:rsid w:val="007F0488"/>
    <w:rsid w:val="007F04DE"/>
    <w:rsid w:val="007F0672"/>
    <w:rsid w:val="007F075D"/>
    <w:rsid w:val="007F08CD"/>
    <w:rsid w:val="007F093C"/>
    <w:rsid w:val="007F0955"/>
    <w:rsid w:val="007F0AFB"/>
    <w:rsid w:val="007F0B1B"/>
    <w:rsid w:val="007F0B85"/>
    <w:rsid w:val="007F0C21"/>
    <w:rsid w:val="007F0C79"/>
    <w:rsid w:val="007F0D61"/>
    <w:rsid w:val="007F0DB4"/>
    <w:rsid w:val="007F0DD4"/>
    <w:rsid w:val="007F0E4C"/>
    <w:rsid w:val="007F0F48"/>
    <w:rsid w:val="007F0F72"/>
    <w:rsid w:val="007F107A"/>
    <w:rsid w:val="007F113B"/>
    <w:rsid w:val="007F113F"/>
    <w:rsid w:val="007F1148"/>
    <w:rsid w:val="007F1173"/>
    <w:rsid w:val="007F1176"/>
    <w:rsid w:val="007F1186"/>
    <w:rsid w:val="007F124C"/>
    <w:rsid w:val="007F1367"/>
    <w:rsid w:val="007F13CF"/>
    <w:rsid w:val="007F147F"/>
    <w:rsid w:val="007F153C"/>
    <w:rsid w:val="007F1749"/>
    <w:rsid w:val="007F17D5"/>
    <w:rsid w:val="007F1822"/>
    <w:rsid w:val="007F1862"/>
    <w:rsid w:val="007F19C7"/>
    <w:rsid w:val="007F1AA2"/>
    <w:rsid w:val="007F1AC1"/>
    <w:rsid w:val="007F1AD3"/>
    <w:rsid w:val="007F1BD5"/>
    <w:rsid w:val="007F1C2D"/>
    <w:rsid w:val="007F1C75"/>
    <w:rsid w:val="007F1CC2"/>
    <w:rsid w:val="007F1CEB"/>
    <w:rsid w:val="007F1D67"/>
    <w:rsid w:val="007F1D78"/>
    <w:rsid w:val="007F1D97"/>
    <w:rsid w:val="007F1E3C"/>
    <w:rsid w:val="007F1E99"/>
    <w:rsid w:val="007F1FA1"/>
    <w:rsid w:val="007F2024"/>
    <w:rsid w:val="007F2034"/>
    <w:rsid w:val="007F20B6"/>
    <w:rsid w:val="007F20F8"/>
    <w:rsid w:val="007F2122"/>
    <w:rsid w:val="007F21B3"/>
    <w:rsid w:val="007F222C"/>
    <w:rsid w:val="007F2242"/>
    <w:rsid w:val="007F2260"/>
    <w:rsid w:val="007F22CA"/>
    <w:rsid w:val="007F2308"/>
    <w:rsid w:val="007F2467"/>
    <w:rsid w:val="007F24E1"/>
    <w:rsid w:val="007F256F"/>
    <w:rsid w:val="007F25F8"/>
    <w:rsid w:val="007F26E2"/>
    <w:rsid w:val="007F2732"/>
    <w:rsid w:val="007F273B"/>
    <w:rsid w:val="007F28AA"/>
    <w:rsid w:val="007F28E3"/>
    <w:rsid w:val="007F2934"/>
    <w:rsid w:val="007F2A95"/>
    <w:rsid w:val="007F2B0F"/>
    <w:rsid w:val="007F2B39"/>
    <w:rsid w:val="007F2C20"/>
    <w:rsid w:val="007F2C83"/>
    <w:rsid w:val="007F2CD6"/>
    <w:rsid w:val="007F2F09"/>
    <w:rsid w:val="007F2F1D"/>
    <w:rsid w:val="007F2F29"/>
    <w:rsid w:val="007F3025"/>
    <w:rsid w:val="007F30B2"/>
    <w:rsid w:val="007F30C2"/>
    <w:rsid w:val="007F3217"/>
    <w:rsid w:val="007F328D"/>
    <w:rsid w:val="007F32FE"/>
    <w:rsid w:val="007F3385"/>
    <w:rsid w:val="007F33B8"/>
    <w:rsid w:val="007F33E8"/>
    <w:rsid w:val="007F3481"/>
    <w:rsid w:val="007F348C"/>
    <w:rsid w:val="007F354F"/>
    <w:rsid w:val="007F35FC"/>
    <w:rsid w:val="007F36C2"/>
    <w:rsid w:val="007F3801"/>
    <w:rsid w:val="007F3807"/>
    <w:rsid w:val="007F382F"/>
    <w:rsid w:val="007F385B"/>
    <w:rsid w:val="007F3873"/>
    <w:rsid w:val="007F38E8"/>
    <w:rsid w:val="007F3933"/>
    <w:rsid w:val="007F3A22"/>
    <w:rsid w:val="007F3AD1"/>
    <w:rsid w:val="007F3AFD"/>
    <w:rsid w:val="007F3D24"/>
    <w:rsid w:val="007F3ECD"/>
    <w:rsid w:val="007F3EF3"/>
    <w:rsid w:val="007F3F26"/>
    <w:rsid w:val="007F4185"/>
    <w:rsid w:val="007F418A"/>
    <w:rsid w:val="007F419B"/>
    <w:rsid w:val="007F419C"/>
    <w:rsid w:val="007F41D7"/>
    <w:rsid w:val="007F4268"/>
    <w:rsid w:val="007F429E"/>
    <w:rsid w:val="007F42C2"/>
    <w:rsid w:val="007F42FA"/>
    <w:rsid w:val="007F432E"/>
    <w:rsid w:val="007F433E"/>
    <w:rsid w:val="007F4427"/>
    <w:rsid w:val="007F4428"/>
    <w:rsid w:val="007F448E"/>
    <w:rsid w:val="007F460E"/>
    <w:rsid w:val="007F46F2"/>
    <w:rsid w:val="007F474D"/>
    <w:rsid w:val="007F47D9"/>
    <w:rsid w:val="007F49C5"/>
    <w:rsid w:val="007F49FC"/>
    <w:rsid w:val="007F4A3A"/>
    <w:rsid w:val="007F4D0C"/>
    <w:rsid w:val="007F4D15"/>
    <w:rsid w:val="007F4EBD"/>
    <w:rsid w:val="007F4ECC"/>
    <w:rsid w:val="007F4F0F"/>
    <w:rsid w:val="007F4F21"/>
    <w:rsid w:val="007F4F43"/>
    <w:rsid w:val="007F5034"/>
    <w:rsid w:val="007F516D"/>
    <w:rsid w:val="007F5294"/>
    <w:rsid w:val="007F5310"/>
    <w:rsid w:val="007F5378"/>
    <w:rsid w:val="007F546F"/>
    <w:rsid w:val="007F5537"/>
    <w:rsid w:val="007F56FE"/>
    <w:rsid w:val="007F570C"/>
    <w:rsid w:val="007F575E"/>
    <w:rsid w:val="007F57F7"/>
    <w:rsid w:val="007F58BF"/>
    <w:rsid w:val="007F5948"/>
    <w:rsid w:val="007F59E4"/>
    <w:rsid w:val="007F5A28"/>
    <w:rsid w:val="007F5A2C"/>
    <w:rsid w:val="007F5A72"/>
    <w:rsid w:val="007F5AB5"/>
    <w:rsid w:val="007F5AFB"/>
    <w:rsid w:val="007F5B7B"/>
    <w:rsid w:val="007F5C10"/>
    <w:rsid w:val="007F5CA2"/>
    <w:rsid w:val="007F5CA9"/>
    <w:rsid w:val="007F5D45"/>
    <w:rsid w:val="007F5E0E"/>
    <w:rsid w:val="007F5EA9"/>
    <w:rsid w:val="007F5F6D"/>
    <w:rsid w:val="007F5FEA"/>
    <w:rsid w:val="007F60CE"/>
    <w:rsid w:val="007F60EF"/>
    <w:rsid w:val="007F6196"/>
    <w:rsid w:val="007F619E"/>
    <w:rsid w:val="007F6285"/>
    <w:rsid w:val="007F6310"/>
    <w:rsid w:val="007F6328"/>
    <w:rsid w:val="007F635A"/>
    <w:rsid w:val="007F63A3"/>
    <w:rsid w:val="007F63D6"/>
    <w:rsid w:val="007F6495"/>
    <w:rsid w:val="007F659C"/>
    <w:rsid w:val="007F65E0"/>
    <w:rsid w:val="007F679F"/>
    <w:rsid w:val="007F6899"/>
    <w:rsid w:val="007F696E"/>
    <w:rsid w:val="007F6B2F"/>
    <w:rsid w:val="007F6BF8"/>
    <w:rsid w:val="007F6D34"/>
    <w:rsid w:val="007F6E19"/>
    <w:rsid w:val="007F6E31"/>
    <w:rsid w:val="007F6E7C"/>
    <w:rsid w:val="007F6F3E"/>
    <w:rsid w:val="007F7098"/>
    <w:rsid w:val="007F70AB"/>
    <w:rsid w:val="007F7104"/>
    <w:rsid w:val="007F7178"/>
    <w:rsid w:val="007F7204"/>
    <w:rsid w:val="007F74DF"/>
    <w:rsid w:val="007F74E8"/>
    <w:rsid w:val="007F7558"/>
    <w:rsid w:val="007F75DC"/>
    <w:rsid w:val="007F7615"/>
    <w:rsid w:val="007F761F"/>
    <w:rsid w:val="007F76D1"/>
    <w:rsid w:val="007F78FF"/>
    <w:rsid w:val="007F7987"/>
    <w:rsid w:val="007F7ADC"/>
    <w:rsid w:val="007F7B5F"/>
    <w:rsid w:val="007F7C31"/>
    <w:rsid w:val="007F7C6A"/>
    <w:rsid w:val="007F7CF4"/>
    <w:rsid w:val="007F7DBE"/>
    <w:rsid w:val="007F7DDE"/>
    <w:rsid w:val="007F7E4B"/>
    <w:rsid w:val="007F7E72"/>
    <w:rsid w:val="0080006B"/>
    <w:rsid w:val="008000ED"/>
    <w:rsid w:val="00800144"/>
    <w:rsid w:val="008001B4"/>
    <w:rsid w:val="0080032C"/>
    <w:rsid w:val="0080074E"/>
    <w:rsid w:val="0080079D"/>
    <w:rsid w:val="00800834"/>
    <w:rsid w:val="008008AB"/>
    <w:rsid w:val="008008BE"/>
    <w:rsid w:val="008009BA"/>
    <w:rsid w:val="00800A05"/>
    <w:rsid w:val="00800A29"/>
    <w:rsid w:val="00800B8C"/>
    <w:rsid w:val="00800BC2"/>
    <w:rsid w:val="00800C36"/>
    <w:rsid w:val="00800C42"/>
    <w:rsid w:val="00800CE1"/>
    <w:rsid w:val="00800D18"/>
    <w:rsid w:val="00800D2D"/>
    <w:rsid w:val="00800D5D"/>
    <w:rsid w:val="00800D9E"/>
    <w:rsid w:val="00800E4F"/>
    <w:rsid w:val="00800E67"/>
    <w:rsid w:val="00800EF4"/>
    <w:rsid w:val="00800F61"/>
    <w:rsid w:val="00800FC3"/>
    <w:rsid w:val="00801062"/>
    <w:rsid w:val="00801095"/>
    <w:rsid w:val="00801144"/>
    <w:rsid w:val="00801171"/>
    <w:rsid w:val="008012AB"/>
    <w:rsid w:val="008014EA"/>
    <w:rsid w:val="008016E1"/>
    <w:rsid w:val="008017EA"/>
    <w:rsid w:val="00801802"/>
    <w:rsid w:val="00801870"/>
    <w:rsid w:val="00801882"/>
    <w:rsid w:val="008018C3"/>
    <w:rsid w:val="00801A37"/>
    <w:rsid w:val="00801A4A"/>
    <w:rsid w:val="00801ADA"/>
    <w:rsid w:val="00801C58"/>
    <w:rsid w:val="00801CF1"/>
    <w:rsid w:val="00801D54"/>
    <w:rsid w:val="00801E35"/>
    <w:rsid w:val="00801ECA"/>
    <w:rsid w:val="00801EF0"/>
    <w:rsid w:val="00802002"/>
    <w:rsid w:val="00802019"/>
    <w:rsid w:val="0080206A"/>
    <w:rsid w:val="008020F9"/>
    <w:rsid w:val="008022B7"/>
    <w:rsid w:val="0080236D"/>
    <w:rsid w:val="008023C6"/>
    <w:rsid w:val="00802442"/>
    <w:rsid w:val="0080251F"/>
    <w:rsid w:val="00802537"/>
    <w:rsid w:val="00802693"/>
    <w:rsid w:val="00802701"/>
    <w:rsid w:val="0080271A"/>
    <w:rsid w:val="0080283D"/>
    <w:rsid w:val="0080293C"/>
    <w:rsid w:val="0080297A"/>
    <w:rsid w:val="00802A34"/>
    <w:rsid w:val="00802B3A"/>
    <w:rsid w:val="00802B52"/>
    <w:rsid w:val="00802D54"/>
    <w:rsid w:val="00802D79"/>
    <w:rsid w:val="00802DA7"/>
    <w:rsid w:val="00802EBD"/>
    <w:rsid w:val="00802F44"/>
    <w:rsid w:val="00802FFB"/>
    <w:rsid w:val="00803004"/>
    <w:rsid w:val="00803006"/>
    <w:rsid w:val="00803032"/>
    <w:rsid w:val="0080309A"/>
    <w:rsid w:val="008030A8"/>
    <w:rsid w:val="00803115"/>
    <w:rsid w:val="00803125"/>
    <w:rsid w:val="008031B6"/>
    <w:rsid w:val="0080326B"/>
    <w:rsid w:val="00803490"/>
    <w:rsid w:val="008035EE"/>
    <w:rsid w:val="008036C8"/>
    <w:rsid w:val="00803709"/>
    <w:rsid w:val="0080380E"/>
    <w:rsid w:val="0080382B"/>
    <w:rsid w:val="00803855"/>
    <w:rsid w:val="008038B7"/>
    <w:rsid w:val="0080396C"/>
    <w:rsid w:val="008039E7"/>
    <w:rsid w:val="00803A21"/>
    <w:rsid w:val="00803D5B"/>
    <w:rsid w:val="00803D9C"/>
    <w:rsid w:val="00803EF2"/>
    <w:rsid w:val="00803F11"/>
    <w:rsid w:val="00803F33"/>
    <w:rsid w:val="00804077"/>
    <w:rsid w:val="008040CF"/>
    <w:rsid w:val="0080412C"/>
    <w:rsid w:val="00804227"/>
    <w:rsid w:val="00804291"/>
    <w:rsid w:val="008042B7"/>
    <w:rsid w:val="008042D1"/>
    <w:rsid w:val="008042F5"/>
    <w:rsid w:val="00804320"/>
    <w:rsid w:val="00804333"/>
    <w:rsid w:val="00804466"/>
    <w:rsid w:val="008044B1"/>
    <w:rsid w:val="00804538"/>
    <w:rsid w:val="0080466F"/>
    <w:rsid w:val="008046F9"/>
    <w:rsid w:val="00804751"/>
    <w:rsid w:val="008047A1"/>
    <w:rsid w:val="008048B5"/>
    <w:rsid w:val="008048D4"/>
    <w:rsid w:val="008048E9"/>
    <w:rsid w:val="00804935"/>
    <w:rsid w:val="00804967"/>
    <w:rsid w:val="00804A00"/>
    <w:rsid w:val="00804A16"/>
    <w:rsid w:val="00804A6E"/>
    <w:rsid w:val="00804A98"/>
    <w:rsid w:val="00804B75"/>
    <w:rsid w:val="00804C07"/>
    <w:rsid w:val="00804C3E"/>
    <w:rsid w:val="00804CF8"/>
    <w:rsid w:val="00804CFA"/>
    <w:rsid w:val="00804D5A"/>
    <w:rsid w:val="00804DDC"/>
    <w:rsid w:val="00804E4C"/>
    <w:rsid w:val="00804EBC"/>
    <w:rsid w:val="00805093"/>
    <w:rsid w:val="008050A2"/>
    <w:rsid w:val="008050B3"/>
    <w:rsid w:val="008050F2"/>
    <w:rsid w:val="0080510A"/>
    <w:rsid w:val="00805172"/>
    <w:rsid w:val="00805234"/>
    <w:rsid w:val="00805299"/>
    <w:rsid w:val="008052D6"/>
    <w:rsid w:val="00805473"/>
    <w:rsid w:val="008054C2"/>
    <w:rsid w:val="008054CB"/>
    <w:rsid w:val="00805506"/>
    <w:rsid w:val="008055C9"/>
    <w:rsid w:val="00805683"/>
    <w:rsid w:val="00805832"/>
    <w:rsid w:val="008058A0"/>
    <w:rsid w:val="00805A58"/>
    <w:rsid w:val="00805B57"/>
    <w:rsid w:val="00805BA3"/>
    <w:rsid w:val="00805C7D"/>
    <w:rsid w:val="00805E8E"/>
    <w:rsid w:val="00805EA5"/>
    <w:rsid w:val="00805EAF"/>
    <w:rsid w:val="00805EC0"/>
    <w:rsid w:val="00805F01"/>
    <w:rsid w:val="00806078"/>
    <w:rsid w:val="008060DB"/>
    <w:rsid w:val="008061A4"/>
    <w:rsid w:val="008062B8"/>
    <w:rsid w:val="00806412"/>
    <w:rsid w:val="00806426"/>
    <w:rsid w:val="00806526"/>
    <w:rsid w:val="00806558"/>
    <w:rsid w:val="008066E1"/>
    <w:rsid w:val="00806706"/>
    <w:rsid w:val="00806752"/>
    <w:rsid w:val="008067F6"/>
    <w:rsid w:val="00806885"/>
    <w:rsid w:val="008068E8"/>
    <w:rsid w:val="00806967"/>
    <w:rsid w:val="00806991"/>
    <w:rsid w:val="00806BC8"/>
    <w:rsid w:val="00806BD0"/>
    <w:rsid w:val="00806C1B"/>
    <w:rsid w:val="00806CD4"/>
    <w:rsid w:val="00806D0B"/>
    <w:rsid w:val="00806D15"/>
    <w:rsid w:val="00806D62"/>
    <w:rsid w:val="00806DD2"/>
    <w:rsid w:val="00806DEE"/>
    <w:rsid w:val="00806E3E"/>
    <w:rsid w:val="00806FC8"/>
    <w:rsid w:val="00807131"/>
    <w:rsid w:val="008071A5"/>
    <w:rsid w:val="008072CD"/>
    <w:rsid w:val="00807332"/>
    <w:rsid w:val="00807411"/>
    <w:rsid w:val="00807562"/>
    <w:rsid w:val="00807756"/>
    <w:rsid w:val="0080786F"/>
    <w:rsid w:val="00807982"/>
    <w:rsid w:val="008079E8"/>
    <w:rsid w:val="00807A38"/>
    <w:rsid w:val="00807ACC"/>
    <w:rsid w:val="00807B97"/>
    <w:rsid w:val="00807BC2"/>
    <w:rsid w:val="00807BFA"/>
    <w:rsid w:val="00807BFC"/>
    <w:rsid w:val="00807CDF"/>
    <w:rsid w:val="00807E55"/>
    <w:rsid w:val="00807E85"/>
    <w:rsid w:val="00807EC2"/>
    <w:rsid w:val="00807EC5"/>
    <w:rsid w:val="00807F62"/>
    <w:rsid w:val="00807F6A"/>
    <w:rsid w:val="00807FB8"/>
    <w:rsid w:val="0081002A"/>
    <w:rsid w:val="0081008D"/>
    <w:rsid w:val="00810095"/>
    <w:rsid w:val="00810181"/>
    <w:rsid w:val="00810209"/>
    <w:rsid w:val="008102DF"/>
    <w:rsid w:val="00810380"/>
    <w:rsid w:val="0081054F"/>
    <w:rsid w:val="0081056C"/>
    <w:rsid w:val="00810623"/>
    <w:rsid w:val="0081065A"/>
    <w:rsid w:val="0081078B"/>
    <w:rsid w:val="00810912"/>
    <w:rsid w:val="00810933"/>
    <w:rsid w:val="00810951"/>
    <w:rsid w:val="00810958"/>
    <w:rsid w:val="008109C1"/>
    <w:rsid w:val="00810A08"/>
    <w:rsid w:val="00810AF2"/>
    <w:rsid w:val="00810B31"/>
    <w:rsid w:val="00810CCD"/>
    <w:rsid w:val="00810E57"/>
    <w:rsid w:val="00810EE6"/>
    <w:rsid w:val="00810F3E"/>
    <w:rsid w:val="00810FBF"/>
    <w:rsid w:val="008110F8"/>
    <w:rsid w:val="00811151"/>
    <w:rsid w:val="00811161"/>
    <w:rsid w:val="008111E1"/>
    <w:rsid w:val="008112C8"/>
    <w:rsid w:val="008112DA"/>
    <w:rsid w:val="00811339"/>
    <w:rsid w:val="00811407"/>
    <w:rsid w:val="00811446"/>
    <w:rsid w:val="0081146A"/>
    <w:rsid w:val="008114C7"/>
    <w:rsid w:val="0081152D"/>
    <w:rsid w:val="00811624"/>
    <w:rsid w:val="00811646"/>
    <w:rsid w:val="008116E3"/>
    <w:rsid w:val="008117A1"/>
    <w:rsid w:val="00811931"/>
    <w:rsid w:val="00811983"/>
    <w:rsid w:val="00811A4A"/>
    <w:rsid w:val="00811AA7"/>
    <w:rsid w:val="00811AF2"/>
    <w:rsid w:val="00811B35"/>
    <w:rsid w:val="00811BD7"/>
    <w:rsid w:val="00811CF4"/>
    <w:rsid w:val="00811DDF"/>
    <w:rsid w:val="00811E06"/>
    <w:rsid w:val="00811E66"/>
    <w:rsid w:val="00811FA6"/>
    <w:rsid w:val="00812057"/>
    <w:rsid w:val="008120CF"/>
    <w:rsid w:val="008120DC"/>
    <w:rsid w:val="008120FF"/>
    <w:rsid w:val="00812222"/>
    <w:rsid w:val="00812253"/>
    <w:rsid w:val="00812339"/>
    <w:rsid w:val="0081234B"/>
    <w:rsid w:val="00812351"/>
    <w:rsid w:val="008123AC"/>
    <w:rsid w:val="00812462"/>
    <w:rsid w:val="00812477"/>
    <w:rsid w:val="008124EC"/>
    <w:rsid w:val="008125A3"/>
    <w:rsid w:val="00812689"/>
    <w:rsid w:val="008126C8"/>
    <w:rsid w:val="0081279F"/>
    <w:rsid w:val="008128CC"/>
    <w:rsid w:val="00812C1E"/>
    <w:rsid w:val="00812C81"/>
    <w:rsid w:val="00812CF9"/>
    <w:rsid w:val="00812D42"/>
    <w:rsid w:val="00812E49"/>
    <w:rsid w:val="00812EA6"/>
    <w:rsid w:val="00812EB8"/>
    <w:rsid w:val="00812ECA"/>
    <w:rsid w:val="00812F3D"/>
    <w:rsid w:val="00812F3F"/>
    <w:rsid w:val="00813000"/>
    <w:rsid w:val="0081304D"/>
    <w:rsid w:val="0081305E"/>
    <w:rsid w:val="00813131"/>
    <w:rsid w:val="008131E9"/>
    <w:rsid w:val="00813399"/>
    <w:rsid w:val="00813450"/>
    <w:rsid w:val="0081346E"/>
    <w:rsid w:val="008134BB"/>
    <w:rsid w:val="008134F1"/>
    <w:rsid w:val="008135FE"/>
    <w:rsid w:val="008135FF"/>
    <w:rsid w:val="00813613"/>
    <w:rsid w:val="00813750"/>
    <w:rsid w:val="00813771"/>
    <w:rsid w:val="008137CB"/>
    <w:rsid w:val="0081383B"/>
    <w:rsid w:val="00813A13"/>
    <w:rsid w:val="00813A7D"/>
    <w:rsid w:val="00813AB6"/>
    <w:rsid w:val="00813B37"/>
    <w:rsid w:val="00813B9F"/>
    <w:rsid w:val="00813BAC"/>
    <w:rsid w:val="00813BEC"/>
    <w:rsid w:val="00813C41"/>
    <w:rsid w:val="00813D22"/>
    <w:rsid w:val="00813DC4"/>
    <w:rsid w:val="00813E09"/>
    <w:rsid w:val="00813E3E"/>
    <w:rsid w:val="00813E90"/>
    <w:rsid w:val="00813FF9"/>
    <w:rsid w:val="00814138"/>
    <w:rsid w:val="00814278"/>
    <w:rsid w:val="0081433C"/>
    <w:rsid w:val="0081454A"/>
    <w:rsid w:val="00814562"/>
    <w:rsid w:val="0081459B"/>
    <w:rsid w:val="008145FC"/>
    <w:rsid w:val="00814641"/>
    <w:rsid w:val="0081465D"/>
    <w:rsid w:val="00814772"/>
    <w:rsid w:val="008148A0"/>
    <w:rsid w:val="00814970"/>
    <w:rsid w:val="0081499E"/>
    <w:rsid w:val="008149B6"/>
    <w:rsid w:val="008149EB"/>
    <w:rsid w:val="008149FB"/>
    <w:rsid w:val="00814B18"/>
    <w:rsid w:val="00814B2B"/>
    <w:rsid w:val="00814B75"/>
    <w:rsid w:val="00814B96"/>
    <w:rsid w:val="00814C91"/>
    <w:rsid w:val="00814DDA"/>
    <w:rsid w:val="00814FA4"/>
    <w:rsid w:val="00814FBF"/>
    <w:rsid w:val="00815001"/>
    <w:rsid w:val="00815022"/>
    <w:rsid w:val="00815025"/>
    <w:rsid w:val="00815126"/>
    <w:rsid w:val="008152C1"/>
    <w:rsid w:val="008153A5"/>
    <w:rsid w:val="008153B2"/>
    <w:rsid w:val="0081546A"/>
    <w:rsid w:val="008154B5"/>
    <w:rsid w:val="008154D1"/>
    <w:rsid w:val="008154F7"/>
    <w:rsid w:val="008155BD"/>
    <w:rsid w:val="008155E7"/>
    <w:rsid w:val="008155FA"/>
    <w:rsid w:val="00815633"/>
    <w:rsid w:val="00815636"/>
    <w:rsid w:val="0081566C"/>
    <w:rsid w:val="008158E6"/>
    <w:rsid w:val="0081591B"/>
    <w:rsid w:val="00815930"/>
    <w:rsid w:val="0081598D"/>
    <w:rsid w:val="00815BCF"/>
    <w:rsid w:val="00815C15"/>
    <w:rsid w:val="00815C5B"/>
    <w:rsid w:val="00815D4F"/>
    <w:rsid w:val="00816040"/>
    <w:rsid w:val="008161DF"/>
    <w:rsid w:val="00816419"/>
    <w:rsid w:val="008165F2"/>
    <w:rsid w:val="00816650"/>
    <w:rsid w:val="0081668A"/>
    <w:rsid w:val="00816705"/>
    <w:rsid w:val="00816750"/>
    <w:rsid w:val="00816751"/>
    <w:rsid w:val="00816820"/>
    <w:rsid w:val="00816912"/>
    <w:rsid w:val="0081694A"/>
    <w:rsid w:val="00816A18"/>
    <w:rsid w:val="00816C16"/>
    <w:rsid w:val="00816C4B"/>
    <w:rsid w:val="00816CF9"/>
    <w:rsid w:val="00816EA7"/>
    <w:rsid w:val="00816EF4"/>
    <w:rsid w:val="00816EF5"/>
    <w:rsid w:val="00817154"/>
    <w:rsid w:val="0081717D"/>
    <w:rsid w:val="00817187"/>
    <w:rsid w:val="008172FC"/>
    <w:rsid w:val="00817346"/>
    <w:rsid w:val="008173B3"/>
    <w:rsid w:val="00817452"/>
    <w:rsid w:val="00817472"/>
    <w:rsid w:val="008174C8"/>
    <w:rsid w:val="0081754C"/>
    <w:rsid w:val="00817679"/>
    <w:rsid w:val="00817681"/>
    <w:rsid w:val="00817761"/>
    <w:rsid w:val="00817794"/>
    <w:rsid w:val="0081779A"/>
    <w:rsid w:val="0081786B"/>
    <w:rsid w:val="00817907"/>
    <w:rsid w:val="00817AAA"/>
    <w:rsid w:val="00817AC0"/>
    <w:rsid w:val="00817B62"/>
    <w:rsid w:val="00817BE2"/>
    <w:rsid w:val="00817C4D"/>
    <w:rsid w:val="00817C59"/>
    <w:rsid w:val="00817C60"/>
    <w:rsid w:val="00817D42"/>
    <w:rsid w:val="00817D6C"/>
    <w:rsid w:val="00817D83"/>
    <w:rsid w:val="00817E7A"/>
    <w:rsid w:val="00817EDB"/>
    <w:rsid w:val="00817EFE"/>
    <w:rsid w:val="00817FDA"/>
    <w:rsid w:val="00820099"/>
    <w:rsid w:val="00820167"/>
    <w:rsid w:val="008202B7"/>
    <w:rsid w:val="008202FF"/>
    <w:rsid w:val="008203F8"/>
    <w:rsid w:val="00820565"/>
    <w:rsid w:val="008205F7"/>
    <w:rsid w:val="00820617"/>
    <w:rsid w:val="00820622"/>
    <w:rsid w:val="00820653"/>
    <w:rsid w:val="0082083E"/>
    <w:rsid w:val="00820854"/>
    <w:rsid w:val="00820891"/>
    <w:rsid w:val="00820967"/>
    <w:rsid w:val="0082097C"/>
    <w:rsid w:val="0082099B"/>
    <w:rsid w:val="00820B11"/>
    <w:rsid w:val="00820C0D"/>
    <w:rsid w:val="00820C42"/>
    <w:rsid w:val="00820C72"/>
    <w:rsid w:val="00820C7F"/>
    <w:rsid w:val="00820D07"/>
    <w:rsid w:val="00820D0E"/>
    <w:rsid w:val="00820D1C"/>
    <w:rsid w:val="00820DC6"/>
    <w:rsid w:val="00820F1F"/>
    <w:rsid w:val="00821083"/>
    <w:rsid w:val="00821239"/>
    <w:rsid w:val="0082132C"/>
    <w:rsid w:val="00821563"/>
    <w:rsid w:val="008215B9"/>
    <w:rsid w:val="008215CE"/>
    <w:rsid w:val="00821680"/>
    <w:rsid w:val="00821807"/>
    <w:rsid w:val="00821971"/>
    <w:rsid w:val="008219C1"/>
    <w:rsid w:val="00821A3C"/>
    <w:rsid w:val="00821B43"/>
    <w:rsid w:val="00821B81"/>
    <w:rsid w:val="00821C00"/>
    <w:rsid w:val="00821C22"/>
    <w:rsid w:val="00821CCA"/>
    <w:rsid w:val="00821D68"/>
    <w:rsid w:val="00821F00"/>
    <w:rsid w:val="00821F31"/>
    <w:rsid w:val="00821FA7"/>
    <w:rsid w:val="00822044"/>
    <w:rsid w:val="008220A6"/>
    <w:rsid w:val="0082224B"/>
    <w:rsid w:val="008222AD"/>
    <w:rsid w:val="008222B0"/>
    <w:rsid w:val="0082231A"/>
    <w:rsid w:val="00822336"/>
    <w:rsid w:val="008223F5"/>
    <w:rsid w:val="0082243F"/>
    <w:rsid w:val="0082250C"/>
    <w:rsid w:val="00822588"/>
    <w:rsid w:val="00822628"/>
    <w:rsid w:val="0082271D"/>
    <w:rsid w:val="0082276B"/>
    <w:rsid w:val="0082278D"/>
    <w:rsid w:val="0082289B"/>
    <w:rsid w:val="0082294D"/>
    <w:rsid w:val="00822A38"/>
    <w:rsid w:val="00822B0F"/>
    <w:rsid w:val="00822B3D"/>
    <w:rsid w:val="00822B4A"/>
    <w:rsid w:val="00822C7A"/>
    <w:rsid w:val="00822C8A"/>
    <w:rsid w:val="00822E6B"/>
    <w:rsid w:val="00822EE4"/>
    <w:rsid w:val="00822F43"/>
    <w:rsid w:val="00822FAD"/>
    <w:rsid w:val="00822FBD"/>
    <w:rsid w:val="00823045"/>
    <w:rsid w:val="0082305B"/>
    <w:rsid w:val="00823073"/>
    <w:rsid w:val="008232D8"/>
    <w:rsid w:val="008232DC"/>
    <w:rsid w:val="008233DA"/>
    <w:rsid w:val="00823400"/>
    <w:rsid w:val="008235B5"/>
    <w:rsid w:val="008235DA"/>
    <w:rsid w:val="00823647"/>
    <w:rsid w:val="008238FC"/>
    <w:rsid w:val="00823902"/>
    <w:rsid w:val="00823988"/>
    <w:rsid w:val="008239D2"/>
    <w:rsid w:val="00823A16"/>
    <w:rsid w:val="00823A7F"/>
    <w:rsid w:val="00823AF7"/>
    <w:rsid w:val="00823B11"/>
    <w:rsid w:val="00823B5B"/>
    <w:rsid w:val="00823CB4"/>
    <w:rsid w:val="00823D15"/>
    <w:rsid w:val="00823D37"/>
    <w:rsid w:val="00823EF0"/>
    <w:rsid w:val="00823EF5"/>
    <w:rsid w:val="00823F0D"/>
    <w:rsid w:val="00823F12"/>
    <w:rsid w:val="00823F14"/>
    <w:rsid w:val="00824016"/>
    <w:rsid w:val="00824238"/>
    <w:rsid w:val="0082424D"/>
    <w:rsid w:val="00824256"/>
    <w:rsid w:val="0082437F"/>
    <w:rsid w:val="0082445C"/>
    <w:rsid w:val="00824480"/>
    <w:rsid w:val="008244D5"/>
    <w:rsid w:val="00824559"/>
    <w:rsid w:val="0082460D"/>
    <w:rsid w:val="008246BF"/>
    <w:rsid w:val="00824772"/>
    <w:rsid w:val="008247C4"/>
    <w:rsid w:val="008247F4"/>
    <w:rsid w:val="00824837"/>
    <w:rsid w:val="00824860"/>
    <w:rsid w:val="0082492F"/>
    <w:rsid w:val="0082499E"/>
    <w:rsid w:val="008249B3"/>
    <w:rsid w:val="00824B4A"/>
    <w:rsid w:val="00824B6F"/>
    <w:rsid w:val="00824BE4"/>
    <w:rsid w:val="00824CFF"/>
    <w:rsid w:val="00824D85"/>
    <w:rsid w:val="00824DA9"/>
    <w:rsid w:val="00824DED"/>
    <w:rsid w:val="00825202"/>
    <w:rsid w:val="00825231"/>
    <w:rsid w:val="00825265"/>
    <w:rsid w:val="00825310"/>
    <w:rsid w:val="008253D4"/>
    <w:rsid w:val="0082543E"/>
    <w:rsid w:val="00825539"/>
    <w:rsid w:val="008256F9"/>
    <w:rsid w:val="008258B6"/>
    <w:rsid w:val="00825945"/>
    <w:rsid w:val="0082599A"/>
    <w:rsid w:val="008259CC"/>
    <w:rsid w:val="00825A0C"/>
    <w:rsid w:val="00825A50"/>
    <w:rsid w:val="00825A59"/>
    <w:rsid w:val="00825AE1"/>
    <w:rsid w:val="00825B9F"/>
    <w:rsid w:val="00825D3D"/>
    <w:rsid w:val="00825EC5"/>
    <w:rsid w:val="00825ED9"/>
    <w:rsid w:val="00825F12"/>
    <w:rsid w:val="00825F59"/>
    <w:rsid w:val="00825FC8"/>
    <w:rsid w:val="00826075"/>
    <w:rsid w:val="008260B3"/>
    <w:rsid w:val="008260DB"/>
    <w:rsid w:val="00826104"/>
    <w:rsid w:val="00826250"/>
    <w:rsid w:val="00826295"/>
    <w:rsid w:val="00826381"/>
    <w:rsid w:val="00826541"/>
    <w:rsid w:val="00826553"/>
    <w:rsid w:val="00826571"/>
    <w:rsid w:val="008265E4"/>
    <w:rsid w:val="008266CC"/>
    <w:rsid w:val="0082670F"/>
    <w:rsid w:val="00826738"/>
    <w:rsid w:val="008267D9"/>
    <w:rsid w:val="0082687C"/>
    <w:rsid w:val="008268A4"/>
    <w:rsid w:val="008268B7"/>
    <w:rsid w:val="008269C8"/>
    <w:rsid w:val="00826A45"/>
    <w:rsid w:val="00826B39"/>
    <w:rsid w:val="00826B86"/>
    <w:rsid w:val="00826E19"/>
    <w:rsid w:val="00826E35"/>
    <w:rsid w:val="00826EF2"/>
    <w:rsid w:val="00826F16"/>
    <w:rsid w:val="00826FA5"/>
    <w:rsid w:val="00827030"/>
    <w:rsid w:val="00827076"/>
    <w:rsid w:val="008270B4"/>
    <w:rsid w:val="00827195"/>
    <w:rsid w:val="008271C2"/>
    <w:rsid w:val="008271E7"/>
    <w:rsid w:val="008273A3"/>
    <w:rsid w:val="008273D0"/>
    <w:rsid w:val="00827413"/>
    <w:rsid w:val="00827499"/>
    <w:rsid w:val="00827564"/>
    <w:rsid w:val="00827710"/>
    <w:rsid w:val="00827730"/>
    <w:rsid w:val="00827754"/>
    <w:rsid w:val="0082777E"/>
    <w:rsid w:val="008277AD"/>
    <w:rsid w:val="008278CE"/>
    <w:rsid w:val="00827903"/>
    <w:rsid w:val="00827976"/>
    <w:rsid w:val="0082799C"/>
    <w:rsid w:val="00827A22"/>
    <w:rsid w:val="00827AE5"/>
    <w:rsid w:val="00827CA8"/>
    <w:rsid w:val="00827CD0"/>
    <w:rsid w:val="00827E83"/>
    <w:rsid w:val="00827F65"/>
    <w:rsid w:val="00827FB6"/>
    <w:rsid w:val="00827FCC"/>
    <w:rsid w:val="00830017"/>
    <w:rsid w:val="0083007F"/>
    <w:rsid w:val="008301AE"/>
    <w:rsid w:val="008301B9"/>
    <w:rsid w:val="0083026A"/>
    <w:rsid w:val="00830350"/>
    <w:rsid w:val="00830395"/>
    <w:rsid w:val="008303A8"/>
    <w:rsid w:val="00830408"/>
    <w:rsid w:val="008304DC"/>
    <w:rsid w:val="0083062E"/>
    <w:rsid w:val="00830895"/>
    <w:rsid w:val="008308C4"/>
    <w:rsid w:val="00830966"/>
    <w:rsid w:val="008309FC"/>
    <w:rsid w:val="00830A1A"/>
    <w:rsid w:val="00830A66"/>
    <w:rsid w:val="00830A90"/>
    <w:rsid w:val="00830AFC"/>
    <w:rsid w:val="00830C2E"/>
    <w:rsid w:val="00830CB3"/>
    <w:rsid w:val="00830CF9"/>
    <w:rsid w:val="00830D02"/>
    <w:rsid w:val="00830DF9"/>
    <w:rsid w:val="00830E4A"/>
    <w:rsid w:val="00830FD7"/>
    <w:rsid w:val="0083106F"/>
    <w:rsid w:val="00831070"/>
    <w:rsid w:val="00831073"/>
    <w:rsid w:val="008310D3"/>
    <w:rsid w:val="00831158"/>
    <w:rsid w:val="0083115F"/>
    <w:rsid w:val="008311A5"/>
    <w:rsid w:val="008312F1"/>
    <w:rsid w:val="00831318"/>
    <w:rsid w:val="008313A4"/>
    <w:rsid w:val="00831561"/>
    <w:rsid w:val="00831581"/>
    <w:rsid w:val="0083160F"/>
    <w:rsid w:val="008316C4"/>
    <w:rsid w:val="00831734"/>
    <w:rsid w:val="008319F7"/>
    <w:rsid w:val="00831A73"/>
    <w:rsid w:val="00831B0E"/>
    <w:rsid w:val="00831B9A"/>
    <w:rsid w:val="00831CD0"/>
    <w:rsid w:val="00831D0E"/>
    <w:rsid w:val="00831E30"/>
    <w:rsid w:val="00831F16"/>
    <w:rsid w:val="00831FCC"/>
    <w:rsid w:val="00831FE4"/>
    <w:rsid w:val="008321A7"/>
    <w:rsid w:val="00832231"/>
    <w:rsid w:val="0083229C"/>
    <w:rsid w:val="00832314"/>
    <w:rsid w:val="00832336"/>
    <w:rsid w:val="00832398"/>
    <w:rsid w:val="00832401"/>
    <w:rsid w:val="0083240D"/>
    <w:rsid w:val="0083241D"/>
    <w:rsid w:val="008326C0"/>
    <w:rsid w:val="008326D8"/>
    <w:rsid w:val="00832712"/>
    <w:rsid w:val="00832743"/>
    <w:rsid w:val="0083274B"/>
    <w:rsid w:val="008327EF"/>
    <w:rsid w:val="008327F9"/>
    <w:rsid w:val="0083284F"/>
    <w:rsid w:val="008328EA"/>
    <w:rsid w:val="0083298B"/>
    <w:rsid w:val="0083299E"/>
    <w:rsid w:val="008329DB"/>
    <w:rsid w:val="00832AB3"/>
    <w:rsid w:val="00832BB1"/>
    <w:rsid w:val="00832BB7"/>
    <w:rsid w:val="00832BF1"/>
    <w:rsid w:val="00832C26"/>
    <w:rsid w:val="00832C8C"/>
    <w:rsid w:val="00832CD2"/>
    <w:rsid w:val="00832CE8"/>
    <w:rsid w:val="00832D00"/>
    <w:rsid w:val="00832D30"/>
    <w:rsid w:val="00832FE2"/>
    <w:rsid w:val="0083305F"/>
    <w:rsid w:val="008330BB"/>
    <w:rsid w:val="00833126"/>
    <w:rsid w:val="0083314E"/>
    <w:rsid w:val="0083317E"/>
    <w:rsid w:val="008331E7"/>
    <w:rsid w:val="0083351F"/>
    <w:rsid w:val="00833581"/>
    <w:rsid w:val="00833607"/>
    <w:rsid w:val="00833720"/>
    <w:rsid w:val="00833731"/>
    <w:rsid w:val="0083378F"/>
    <w:rsid w:val="008337A2"/>
    <w:rsid w:val="00833A16"/>
    <w:rsid w:val="00833A94"/>
    <w:rsid w:val="00833AE0"/>
    <w:rsid w:val="00833B15"/>
    <w:rsid w:val="00833DC1"/>
    <w:rsid w:val="00833DF6"/>
    <w:rsid w:val="00833E6F"/>
    <w:rsid w:val="00833EA3"/>
    <w:rsid w:val="00833EDC"/>
    <w:rsid w:val="00833F13"/>
    <w:rsid w:val="00834030"/>
    <w:rsid w:val="00834071"/>
    <w:rsid w:val="00834092"/>
    <w:rsid w:val="0083427D"/>
    <w:rsid w:val="008342D9"/>
    <w:rsid w:val="0083438E"/>
    <w:rsid w:val="00834587"/>
    <w:rsid w:val="008346E4"/>
    <w:rsid w:val="0083490D"/>
    <w:rsid w:val="00834959"/>
    <w:rsid w:val="00834A69"/>
    <w:rsid w:val="00834BD0"/>
    <w:rsid w:val="00834C4D"/>
    <w:rsid w:val="00834DFB"/>
    <w:rsid w:val="00834E88"/>
    <w:rsid w:val="00834EE9"/>
    <w:rsid w:val="00834F6A"/>
    <w:rsid w:val="00835012"/>
    <w:rsid w:val="0083507D"/>
    <w:rsid w:val="00835099"/>
    <w:rsid w:val="00835112"/>
    <w:rsid w:val="0083539F"/>
    <w:rsid w:val="0083557A"/>
    <w:rsid w:val="00835588"/>
    <w:rsid w:val="00835606"/>
    <w:rsid w:val="00835612"/>
    <w:rsid w:val="008356C3"/>
    <w:rsid w:val="00835733"/>
    <w:rsid w:val="0083574F"/>
    <w:rsid w:val="00835752"/>
    <w:rsid w:val="00835790"/>
    <w:rsid w:val="0083585D"/>
    <w:rsid w:val="00835863"/>
    <w:rsid w:val="00835872"/>
    <w:rsid w:val="0083589E"/>
    <w:rsid w:val="008359BA"/>
    <w:rsid w:val="00835AE0"/>
    <w:rsid w:val="00835B05"/>
    <w:rsid w:val="00835B3C"/>
    <w:rsid w:val="00835C81"/>
    <w:rsid w:val="00835D74"/>
    <w:rsid w:val="00835E59"/>
    <w:rsid w:val="00835F3C"/>
    <w:rsid w:val="00835F4F"/>
    <w:rsid w:val="00835F8B"/>
    <w:rsid w:val="00836141"/>
    <w:rsid w:val="0083618B"/>
    <w:rsid w:val="00836278"/>
    <w:rsid w:val="00836395"/>
    <w:rsid w:val="0083639C"/>
    <w:rsid w:val="00836401"/>
    <w:rsid w:val="00836437"/>
    <w:rsid w:val="00836445"/>
    <w:rsid w:val="00836522"/>
    <w:rsid w:val="00836544"/>
    <w:rsid w:val="008365B7"/>
    <w:rsid w:val="00836821"/>
    <w:rsid w:val="008368C0"/>
    <w:rsid w:val="00836AB1"/>
    <w:rsid w:val="00836AC7"/>
    <w:rsid w:val="00836AEA"/>
    <w:rsid w:val="00836BB8"/>
    <w:rsid w:val="00836BCC"/>
    <w:rsid w:val="00836C20"/>
    <w:rsid w:val="00836DAE"/>
    <w:rsid w:val="00836DFA"/>
    <w:rsid w:val="00837011"/>
    <w:rsid w:val="00837105"/>
    <w:rsid w:val="008371CD"/>
    <w:rsid w:val="008372B4"/>
    <w:rsid w:val="008372FA"/>
    <w:rsid w:val="0083738C"/>
    <w:rsid w:val="00837588"/>
    <w:rsid w:val="008375C4"/>
    <w:rsid w:val="008376ED"/>
    <w:rsid w:val="00837786"/>
    <w:rsid w:val="008377F4"/>
    <w:rsid w:val="0083781F"/>
    <w:rsid w:val="00837990"/>
    <w:rsid w:val="00837C77"/>
    <w:rsid w:val="00837DB9"/>
    <w:rsid w:val="00837E49"/>
    <w:rsid w:val="00837F9F"/>
    <w:rsid w:val="00837FA5"/>
    <w:rsid w:val="008400F9"/>
    <w:rsid w:val="00840162"/>
    <w:rsid w:val="00840268"/>
    <w:rsid w:val="008404DE"/>
    <w:rsid w:val="00840528"/>
    <w:rsid w:val="0084055E"/>
    <w:rsid w:val="0084061D"/>
    <w:rsid w:val="0084069C"/>
    <w:rsid w:val="0084071E"/>
    <w:rsid w:val="00840861"/>
    <w:rsid w:val="008408EE"/>
    <w:rsid w:val="00840AE6"/>
    <w:rsid w:val="00840B1E"/>
    <w:rsid w:val="00840D8D"/>
    <w:rsid w:val="00840D9C"/>
    <w:rsid w:val="00840D9F"/>
    <w:rsid w:val="00840DD8"/>
    <w:rsid w:val="00840DDD"/>
    <w:rsid w:val="00840EBE"/>
    <w:rsid w:val="00840EC9"/>
    <w:rsid w:val="008410C5"/>
    <w:rsid w:val="008410E6"/>
    <w:rsid w:val="00841202"/>
    <w:rsid w:val="008412B8"/>
    <w:rsid w:val="008412F0"/>
    <w:rsid w:val="00841486"/>
    <w:rsid w:val="008414D1"/>
    <w:rsid w:val="0084156E"/>
    <w:rsid w:val="00841577"/>
    <w:rsid w:val="0084163E"/>
    <w:rsid w:val="008416D0"/>
    <w:rsid w:val="008416DC"/>
    <w:rsid w:val="0084175D"/>
    <w:rsid w:val="00841765"/>
    <w:rsid w:val="00841803"/>
    <w:rsid w:val="00841986"/>
    <w:rsid w:val="00841997"/>
    <w:rsid w:val="00841A15"/>
    <w:rsid w:val="00841A4D"/>
    <w:rsid w:val="00841A53"/>
    <w:rsid w:val="00841A89"/>
    <w:rsid w:val="00841C3C"/>
    <w:rsid w:val="00841DC1"/>
    <w:rsid w:val="00841DFC"/>
    <w:rsid w:val="00841E8F"/>
    <w:rsid w:val="00841F70"/>
    <w:rsid w:val="00841FB5"/>
    <w:rsid w:val="00842022"/>
    <w:rsid w:val="00842028"/>
    <w:rsid w:val="008420FB"/>
    <w:rsid w:val="00842105"/>
    <w:rsid w:val="008421BA"/>
    <w:rsid w:val="0084225C"/>
    <w:rsid w:val="008423AB"/>
    <w:rsid w:val="00842419"/>
    <w:rsid w:val="00842458"/>
    <w:rsid w:val="008424C2"/>
    <w:rsid w:val="00842519"/>
    <w:rsid w:val="00842568"/>
    <w:rsid w:val="0084258B"/>
    <w:rsid w:val="0084260D"/>
    <w:rsid w:val="00842649"/>
    <w:rsid w:val="0084265B"/>
    <w:rsid w:val="0084266A"/>
    <w:rsid w:val="00842698"/>
    <w:rsid w:val="008426C7"/>
    <w:rsid w:val="0084278D"/>
    <w:rsid w:val="008427C7"/>
    <w:rsid w:val="008428AC"/>
    <w:rsid w:val="0084295C"/>
    <w:rsid w:val="008429F0"/>
    <w:rsid w:val="00842A05"/>
    <w:rsid w:val="00842A2F"/>
    <w:rsid w:val="00842A3D"/>
    <w:rsid w:val="00842A70"/>
    <w:rsid w:val="00842AEC"/>
    <w:rsid w:val="00842B24"/>
    <w:rsid w:val="00842C9F"/>
    <w:rsid w:val="00842D13"/>
    <w:rsid w:val="00842D22"/>
    <w:rsid w:val="00842D59"/>
    <w:rsid w:val="00842D9A"/>
    <w:rsid w:val="00842E30"/>
    <w:rsid w:val="00842EEB"/>
    <w:rsid w:val="00842F76"/>
    <w:rsid w:val="008431F1"/>
    <w:rsid w:val="0084327E"/>
    <w:rsid w:val="0084339E"/>
    <w:rsid w:val="0084340E"/>
    <w:rsid w:val="008434F1"/>
    <w:rsid w:val="008434F8"/>
    <w:rsid w:val="0084358A"/>
    <w:rsid w:val="008435A2"/>
    <w:rsid w:val="008435D6"/>
    <w:rsid w:val="00843615"/>
    <w:rsid w:val="00843618"/>
    <w:rsid w:val="0084368F"/>
    <w:rsid w:val="008436BC"/>
    <w:rsid w:val="008436D0"/>
    <w:rsid w:val="00843910"/>
    <w:rsid w:val="0084391D"/>
    <w:rsid w:val="008439C4"/>
    <w:rsid w:val="00843A59"/>
    <w:rsid w:val="00843B2C"/>
    <w:rsid w:val="00843C52"/>
    <w:rsid w:val="00843C89"/>
    <w:rsid w:val="00843C8F"/>
    <w:rsid w:val="00843D07"/>
    <w:rsid w:val="00843D68"/>
    <w:rsid w:val="00843DA8"/>
    <w:rsid w:val="00843DCF"/>
    <w:rsid w:val="00843E3B"/>
    <w:rsid w:val="00843EBA"/>
    <w:rsid w:val="00843F11"/>
    <w:rsid w:val="00843FAF"/>
    <w:rsid w:val="00843FB6"/>
    <w:rsid w:val="00844003"/>
    <w:rsid w:val="00844143"/>
    <w:rsid w:val="008441AF"/>
    <w:rsid w:val="008441EC"/>
    <w:rsid w:val="0084420B"/>
    <w:rsid w:val="008442F4"/>
    <w:rsid w:val="0084437E"/>
    <w:rsid w:val="00844386"/>
    <w:rsid w:val="008443C9"/>
    <w:rsid w:val="008444DC"/>
    <w:rsid w:val="00844522"/>
    <w:rsid w:val="00844570"/>
    <w:rsid w:val="00844591"/>
    <w:rsid w:val="0084460D"/>
    <w:rsid w:val="00844733"/>
    <w:rsid w:val="008449B2"/>
    <w:rsid w:val="008449B9"/>
    <w:rsid w:val="008449DF"/>
    <w:rsid w:val="00844ABC"/>
    <w:rsid w:val="00844AC4"/>
    <w:rsid w:val="00844D1E"/>
    <w:rsid w:val="00844D25"/>
    <w:rsid w:val="00844D59"/>
    <w:rsid w:val="00844DFC"/>
    <w:rsid w:val="00844E1D"/>
    <w:rsid w:val="00844EB2"/>
    <w:rsid w:val="00844EFA"/>
    <w:rsid w:val="00844FFF"/>
    <w:rsid w:val="008450B2"/>
    <w:rsid w:val="008451F0"/>
    <w:rsid w:val="0084520F"/>
    <w:rsid w:val="00845254"/>
    <w:rsid w:val="00845256"/>
    <w:rsid w:val="00845300"/>
    <w:rsid w:val="00845353"/>
    <w:rsid w:val="00845391"/>
    <w:rsid w:val="00845398"/>
    <w:rsid w:val="008453D1"/>
    <w:rsid w:val="00845422"/>
    <w:rsid w:val="0084546C"/>
    <w:rsid w:val="00845504"/>
    <w:rsid w:val="00845553"/>
    <w:rsid w:val="008456D3"/>
    <w:rsid w:val="008456FC"/>
    <w:rsid w:val="00845747"/>
    <w:rsid w:val="00845963"/>
    <w:rsid w:val="00845A5F"/>
    <w:rsid w:val="00845A7F"/>
    <w:rsid w:val="00845B62"/>
    <w:rsid w:val="00845B73"/>
    <w:rsid w:val="00845B79"/>
    <w:rsid w:val="00845BA5"/>
    <w:rsid w:val="00845E81"/>
    <w:rsid w:val="00845F16"/>
    <w:rsid w:val="00845F70"/>
    <w:rsid w:val="00845FBB"/>
    <w:rsid w:val="00846076"/>
    <w:rsid w:val="0084607B"/>
    <w:rsid w:val="00846128"/>
    <w:rsid w:val="008461B2"/>
    <w:rsid w:val="008461DB"/>
    <w:rsid w:val="00846240"/>
    <w:rsid w:val="008462E9"/>
    <w:rsid w:val="008463B0"/>
    <w:rsid w:val="00846455"/>
    <w:rsid w:val="00846496"/>
    <w:rsid w:val="0084649F"/>
    <w:rsid w:val="008465A4"/>
    <w:rsid w:val="00846888"/>
    <w:rsid w:val="008468F1"/>
    <w:rsid w:val="008469C7"/>
    <w:rsid w:val="00846AA2"/>
    <w:rsid w:val="00846B60"/>
    <w:rsid w:val="00846BAF"/>
    <w:rsid w:val="00846C18"/>
    <w:rsid w:val="00846D1E"/>
    <w:rsid w:val="00846D79"/>
    <w:rsid w:val="00846DB0"/>
    <w:rsid w:val="00846EB6"/>
    <w:rsid w:val="00846EEB"/>
    <w:rsid w:val="00846F39"/>
    <w:rsid w:val="008470C2"/>
    <w:rsid w:val="008470E6"/>
    <w:rsid w:val="00847111"/>
    <w:rsid w:val="0084719D"/>
    <w:rsid w:val="008471B3"/>
    <w:rsid w:val="0084727D"/>
    <w:rsid w:val="008472E8"/>
    <w:rsid w:val="00847333"/>
    <w:rsid w:val="008473D6"/>
    <w:rsid w:val="00847413"/>
    <w:rsid w:val="0084741D"/>
    <w:rsid w:val="0084745C"/>
    <w:rsid w:val="00847484"/>
    <w:rsid w:val="0084749D"/>
    <w:rsid w:val="008474E2"/>
    <w:rsid w:val="00847577"/>
    <w:rsid w:val="008475E1"/>
    <w:rsid w:val="0084760E"/>
    <w:rsid w:val="008477A8"/>
    <w:rsid w:val="008478F9"/>
    <w:rsid w:val="00847B13"/>
    <w:rsid w:val="00847B9B"/>
    <w:rsid w:val="00847CF6"/>
    <w:rsid w:val="00847D64"/>
    <w:rsid w:val="00847D7B"/>
    <w:rsid w:val="00847DFC"/>
    <w:rsid w:val="00850127"/>
    <w:rsid w:val="008503C3"/>
    <w:rsid w:val="0085044C"/>
    <w:rsid w:val="00850459"/>
    <w:rsid w:val="0085054D"/>
    <w:rsid w:val="00850571"/>
    <w:rsid w:val="0085059E"/>
    <w:rsid w:val="008505A8"/>
    <w:rsid w:val="008505CB"/>
    <w:rsid w:val="00850650"/>
    <w:rsid w:val="00850726"/>
    <w:rsid w:val="00850765"/>
    <w:rsid w:val="0085077C"/>
    <w:rsid w:val="00850821"/>
    <w:rsid w:val="0085082B"/>
    <w:rsid w:val="00850AB4"/>
    <w:rsid w:val="00850BEE"/>
    <w:rsid w:val="00850C63"/>
    <w:rsid w:val="00850CE3"/>
    <w:rsid w:val="00850DAC"/>
    <w:rsid w:val="00850DB1"/>
    <w:rsid w:val="0085111A"/>
    <w:rsid w:val="00851458"/>
    <w:rsid w:val="008514C1"/>
    <w:rsid w:val="0085152A"/>
    <w:rsid w:val="008515E0"/>
    <w:rsid w:val="00851657"/>
    <w:rsid w:val="008516FF"/>
    <w:rsid w:val="00851701"/>
    <w:rsid w:val="0085170A"/>
    <w:rsid w:val="00851734"/>
    <w:rsid w:val="0085176C"/>
    <w:rsid w:val="0085177C"/>
    <w:rsid w:val="008517AB"/>
    <w:rsid w:val="008517B4"/>
    <w:rsid w:val="0085182A"/>
    <w:rsid w:val="00851837"/>
    <w:rsid w:val="00851968"/>
    <w:rsid w:val="00851995"/>
    <w:rsid w:val="008519C0"/>
    <w:rsid w:val="00851A9C"/>
    <w:rsid w:val="00851AFB"/>
    <w:rsid w:val="00851B0C"/>
    <w:rsid w:val="00851B85"/>
    <w:rsid w:val="00851B88"/>
    <w:rsid w:val="00851C5F"/>
    <w:rsid w:val="00851C73"/>
    <w:rsid w:val="00851D03"/>
    <w:rsid w:val="00851DE0"/>
    <w:rsid w:val="00851E9B"/>
    <w:rsid w:val="00851EC2"/>
    <w:rsid w:val="00851F20"/>
    <w:rsid w:val="008520C4"/>
    <w:rsid w:val="0085213A"/>
    <w:rsid w:val="0085235A"/>
    <w:rsid w:val="008523C7"/>
    <w:rsid w:val="00852446"/>
    <w:rsid w:val="008524BC"/>
    <w:rsid w:val="00852555"/>
    <w:rsid w:val="00852629"/>
    <w:rsid w:val="00852680"/>
    <w:rsid w:val="008526FC"/>
    <w:rsid w:val="00852916"/>
    <w:rsid w:val="00852937"/>
    <w:rsid w:val="00852945"/>
    <w:rsid w:val="008529D4"/>
    <w:rsid w:val="008529FA"/>
    <w:rsid w:val="00852A9E"/>
    <w:rsid w:val="00852AC2"/>
    <w:rsid w:val="00852C92"/>
    <w:rsid w:val="00852E7A"/>
    <w:rsid w:val="00852F3E"/>
    <w:rsid w:val="00852FB0"/>
    <w:rsid w:val="00852FD6"/>
    <w:rsid w:val="0085303D"/>
    <w:rsid w:val="00853089"/>
    <w:rsid w:val="00853115"/>
    <w:rsid w:val="0085313C"/>
    <w:rsid w:val="00853199"/>
    <w:rsid w:val="008532D0"/>
    <w:rsid w:val="00853362"/>
    <w:rsid w:val="008533FD"/>
    <w:rsid w:val="008534AD"/>
    <w:rsid w:val="008534CA"/>
    <w:rsid w:val="00853500"/>
    <w:rsid w:val="00853672"/>
    <w:rsid w:val="0085368E"/>
    <w:rsid w:val="008536B3"/>
    <w:rsid w:val="00853736"/>
    <w:rsid w:val="0085375C"/>
    <w:rsid w:val="00853786"/>
    <w:rsid w:val="0085386E"/>
    <w:rsid w:val="008538D3"/>
    <w:rsid w:val="008538EC"/>
    <w:rsid w:val="00853976"/>
    <w:rsid w:val="00853A9A"/>
    <w:rsid w:val="00853AD2"/>
    <w:rsid w:val="00853AE6"/>
    <w:rsid w:val="00853B72"/>
    <w:rsid w:val="00853C7B"/>
    <w:rsid w:val="00853CAF"/>
    <w:rsid w:val="00853D77"/>
    <w:rsid w:val="00853DE0"/>
    <w:rsid w:val="00853E31"/>
    <w:rsid w:val="00853E94"/>
    <w:rsid w:val="00853E95"/>
    <w:rsid w:val="00853ED7"/>
    <w:rsid w:val="008540F6"/>
    <w:rsid w:val="008541AF"/>
    <w:rsid w:val="00854245"/>
    <w:rsid w:val="00854287"/>
    <w:rsid w:val="0085437A"/>
    <w:rsid w:val="008543E2"/>
    <w:rsid w:val="0085441D"/>
    <w:rsid w:val="00854438"/>
    <w:rsid w:val="00854510"/>
    <w:rsid w:val="00854697"/>
    <w:rsid w:val="008546CD"/>
    <w:rsid w:val="008546D8"/>
    <w:rsid w:val="0085487E"/>
    <w:rsid w:val="00854B89"/>
    <w:rsid w:val="00854BDC"/>
    <w:rsid w:val="00854CBC"/>
    <w:rsid w:val="00854CE2"/>
    <w:rsid w:val="00854D96"/>
    <w:rsid w:val="00854D99"/>
    <w:rsid w:val="00854FF0"/>
    <w:rsid w:val="008550A9"/>
    <w:rsid w:val="008550C5"/>
    <w:rsid w:val="00855123"/>
    <w:rsid w:val="008551B2"/>
    <w:rsid w:val="008551B5"/>
    <w:rsid w:val="008551FC"/>
    <w:rsid w:val="00855265"/>
    <w:rsid w:val="008552BE"/>
    <w:rsid w:val="008552DD"/>
    <w:rsid w:val="008552E6"/>
    <w:rsid w:val="0085533E"/>
    <w:rsid w:val="00855473"/>
    <w:rsid w:val="0085549C"/>
    <w:rsid w:val="008554AA"/>
    <w:rsid w:val="00855578"/>
    <w:rsid w:val="00855626"/>
    <w:rsid w:val="008556A2"/>
    <w:rsid w:val="008556AE"/>
    <w:rsid w:val="008556ED"/>
    <w:rsid w:val="0085570F"/>
    <w:rsid w:val="0085590F"/>
    <w:rsid w:val="00855B29"/>
    <w:rsid w:val="00855BEE"/>
    <w:rsid w:val="00855CC6"/>
    <w:rsid w:val="00855DAE"/>
    <w:rsid w:val="00855E2A"/>
    <w:rsid w:val="00855EFA"/>
    <w:rsid w:val="0085619C"/>
    <w:rsid w:val="00856215"/>
    <w:rsid w:val="00856230"/>
    <w:rsid w:val="008562B3"/>
    <w:rsid w:val="008562E2"/>
    <w:rsid w:val="00856346"/>
    <w:rsid w:val="00856449"/>
    <w:rsid w:val="008564C6"/>
    <w:rsid w:val="00856512"/>
    <w:rsid w:val="008565E9"/>
    <w:rsid w:val="008566A3"/>
    <w:rsid w:val="0085671E"/>
    <w:rsid w:val="0085672D"/>
    <w:rsid w:val="0085680B"/>
    <w:rsid w:val="00856851"/>
    <w:rsid w:val="00856B31"/>
    <w:rsid w:val="00856BCC"/>
    <w:rsid w:val="00856EDB"/>
    <w:rsid w:val="00856F6F"/>
    <w:rsid w:val="00856FE3"/>
    <w:rsid w:val="008571BC"/>
    <w:rsid w:val="00857223"/>
    <w:rsid w:val="00857246"/>
    <w:rsid w:val="008572BF"/>
    <w:rsid w:val="0085734E"/>
    <w:rsid w:val="008573B0"/>
    <w:rsid w:val="008573F8"/>
    <w:rsid w:val="00857495"/>
    <w:rsid w:val="008575A4"/>
    <w:rsid w:val="0085765F"/>
    <w:rsid w:val="00857793"/>
    <w:rsid w:val="0085787C"/>
    <w:rsid w:val="00857882"/>
    <w:rsid w:val="008578C5"/>
    <w:rsid w:val="008579C6"/>
    <w:rsid w:val="00857A83"/>
    <w:rsid w:val="00857B01"/>
    <w:rsid w:val="00857BFF"/>
    <w:rsid w:val="00857C43"/>
    <w:rsid w:val="00857C75"/>
    <w:rsid w:val="00857D95"/>
    <w:rsid w:val="00857D9C"/>
    <w:rsid w:val="00857E0F"/>
    <w:rsid w:val="00857FFE"/>
    <w:rsid w:val="008601C4"/>
    <w:rsid w:val="0086023C"/>
    <w:rsid w:val="00860242"/>
    <w:rsid w:val="008602D7"/>
    <w:rsid w:val="00860349"/>
    <w:rsid w:val="008603E0"/>
    <w:rsid w:val="008603FF"/>
    <w:rsid w:val="00860444"/>
    <w:rsid w:val="008604D8"/>
    <w:rsid w:val="00860549"/>
    <w:rsid w:val="008605A1"/>
    <w:rsid w:val="008605F8"/>
    <w:rsid w:val="0086060C"/>
    <w:rsid w:val="0086064D"/>
    <w:rsid w:val="008606E2"/>
    <w:rsid w:val="0086079F"/>
    <w:rsid w:val="008607EC"/>
    <w:rsid w:val="0086085A"/>
    <w:rsid w:val="0086086A"/>
    <w:rsid w:val="008608E7"/>
    <w:rsid w:val="008609E7"/>
    <w:rsid w:val="00860A06"/>
    <w:rsid w:val="00860A21"/>
    <w:rsid w:val="00860ACF"/>
    <w:rsid w:val="00860B17"/>
    <w:rsid w:val="00860BDB"/>
    <w:rsid w:val="00860CDC"/>
    <w:rsid w:val="00860D16"/>
    <w:rsid w:val="00860D9B"/>
    <w:rsid w:val="00860E79"/>
    <w:rsid w:val="00860F4D"/>
    <w:rsid w:val="00860F80"/>
    <w:rsid w:val="00860F8C"/>
    <w:rsid w:val="00860FDB"/>
    <w:rsid w:val="0086100D"/>
    <w:rsid w:val="00861060"/>
    <w:rsid w:val="00861225"/>
    <w:rsid w:val="00861263"/>
    <w:rsid w:val="008612D2"/>
    <w:rsid w:val="008612E7"/>
    <w:rsid w:val="0086143E"/>
    <w:rsid w:val="0086144D"/>
    <w:rsid w:val="008614DD"/>
    <w:rsid w:val="00861595"/>
    <w:rsid w:val="008615BC"/>
    <w:rsid w:val="0086160A"/>
    <w:rsid w:val="0086162B"/>
    <w:rsid w:val="008616D0"/>
    <w:rsid w:val="0086177E"/>
    <w:rsid w:val="008617BC"/>
    <w:rsid w:val="00861820"/>
    <w:rsid w:val="008618CB"/>
    <w:rsid w:val="00861933"/>
    <w:rsid w:val="00861AE4"/>
    <w:rsid w:val="00861B2B"/>
    <w:rsid w:val="00861B2D"/>
    <w:rsid w:val="00861C08"/>
    <w:rsid w:val="00861C41"/>
    <w:rsid w:val="00861CB0"/>
    <w:rsid w:val="00861D6A"/>
    <w:rsid w:val="00861E07"/>
    <w:rsid w:val="00861E0B"/>
    <w:rsid w:val="00861F66"/>
    <w:rsid w:val="0086208A"/>
    <w:rsid w:val="00862191"/>
    <w:rsid w:val="00862199"/>
    <w:rsid w:val="0086221B"/>
    <w:rsid w:val="00862287"/>
    <w:rsid w:val="008623C4"/>
    <w:rsid w:val="008623CD"/>
    <w:rsid w:val="0086248E"/>
    <w:rsid w:val="008624BB"/>
    <w:rsid w:val="00862503"/>
    <w:rsid w:val="00862541"/>
    <w:rsid w:val="00862545"/>
    <w:rsid w:val="008625AE"/>
    <w:rsid w:val="00862682"/>
    <w:rsid w:val="00862901"/>
    <w:rsid w:val="00862A2C"/>
    <w:rsid w:val="00862B10"/>
    <w:rsid w:val="00862C6E"/>
    <w:rsid w:val="00862CDE"/>
    <w:rsid w:val="00862EE4"/>
    <w:rsid w:val="00862F39"/>
    <w:rsid w:val="0086307E"/>
    <w:rsid w:val="00863156"/>
    <w:rsid w:val="00863167"/>
    <w:rsid w:val="008631E4"/>
    <w:rsid w:val="00863230"/>
    <w:rsid w:val="008633FE"/>
    <w:rsid w:val="00863579"/>
    <w:rsid w:val="00863825"/>
    <w:rsid w:val="00863826"/>
    <w:rsid w:val="00863944"/>
    <w:rsid w:val="008639BD"/>
    <w:rsid w:val="00863A66"/>
    <w:rsid w:val="00863B3E"/>
    <w:rsid w:val="00863C66"/>
    <w:rsid w:val="00863CA3"/>
    <w:rsid w:val="00863CC4"/>
    <w:rsid w:val="00863CE6"/>
    <w:rsid w:val="00863D6F"/>
    <w:rsid w:val="00863F17"/>
    <w:rsid w:val="00863F9D"/>
    <w:rsid w:val="00863FD2"/>
    <w:rsid w:val="0086406B"/>
    <w:rsid w:val="0086411B"/>
    <w:rsid w:val="0086417D"/>
    <w:rsid w:val="00864238"/>
    <w:rsid w:val="00864385"/>
    <w:rsid w:val="008643ED"/>
    <w:rsid w:val="00864455"/>
    <w:rsid w:val="00864806"/>
    <w:rsid w:val="008649C0"/>
    <w:rsid w:val="00864A07"/>
    <w:rsid w:val="00864A89"/>
    <w:rsid w:val="00864AA4"/>
    <w:rsid w:val="00864B0C"/>
    <w:rsid w:val="00864B74"/>
    <w:rsid w:val="00864BB6"/>
    <w:rsid w:val="00864BC2"/>
    <w:rsid w:val="00864C6B"/>
    <w:rsid w:val="00864C84"/>
    <w:rsid w:val="00864FA2"/>
    <w:rsid w:val="00864FC6"/>
    <w:rsid w:val="008650A3"/>
    <w:rsid w:val="008650ED"/>
    <w:rsid w:val="00865104"/>
    <w:rsid w:val="0086514A"/>
    <w:rsid w:val="00865155"/>
    <w:rsid w:val="0086521D"/>
    <w:rsid w:val="00865289"/>
    <w:rsid w:val="00865328"/>
    <w:rsid w:val="0086535A"/>
    <w:rsid w:val="00865387"/>
    <w:rsid w:val="00865404"/>
    <w:rsid w:val="008654E6"/>
    <w:rsid w:val="0086553B"/>
    <w:rsid w:val="00865624"/>
    <w:rsid w:val="00865643"/>
    <w:rsid w:val="008658FF"/>
    <w:rsid w:val="008659A8"/>
    <w:rsid w:val="008659E2"/>
    <w:rsid w:val="00865A2F"/>
    <w:rsid w:val="00865B2E"/>
    <w:rsid w:val="00865BAA"/>
    <w:rsid w:val="00865C1A"/>
    <w:rsid w:val="00865D21"/>
    <w:rsid w:val="00865D42"/>
    <w:rsid w:val="00865EEF"/>
    <w:rsid w:val="00865F02"/>
    <w:rsid w:val="00865F76"/>
    <w:rsid w:val="00865F94"/>
    <w:rsid w:val="008660A7"/>
    <w:rsid w:val="008661C3"/>
    <w:rsid w:val="008661ED"/>
    <w:rsid w:val="00866206"/>
    <w:rsid w:val="0086634E"/>
    <w:rsid w:val="0086656D"/>
    <w:rsid w:val="00866651"/>
    <w:rsid w:val="008666F2"/>
    <w:rsid w:val="00866C3D"/>
    <w:rsid w:val="00866D50"/>
    <w:rsid w:val="00866E01"/>
    <w:rsid w:val="00866E2A"/>
    <w:rsid w:val="00866F33"/>
    <w:rsid w:val="00866F34"/>
    <w:rsid w:val="00866F3A"/>
    <w:rsid w:val="00867060"/>
    <w:rsid w:val="008670EA"/>
    <w:rsid w:val="008672DA"/>
    <w:rsid w:val="00867442"/>
    <w:rsid w:val="00867651"/>
    <w:rsid w:val="008676BB"/>
    <w:rsid w:val="0086785B"/>
    <w:rsid w:val="00867A36"/>
    <w:rsid w:val="00867B65"/>
    <w:rsid w:val="00867C0C"/>
    <w:rsid w:val="00867CB5"/>
    <w:rsid w:val="00867D06"/>
    <w:rsid w:val="00867F3E"/>
    <w:rsid w:val="00867F6B"/>
    <w:rsid w:val="008701CD"/>
    <w:rsid w:val="008701FF"/>
    <w:rsid w:val="0087044A"/>
    <w:rsid w:val="00870450"/>
    <w:rsid w:val="008704E6"/>
    <w:rsid w:val="00870637"/>
    <w:rsid w:val="0087074A"/>
    <w:rsid w:val="0087078F"/>
    <w:rsid w:val="00870792"/>
    <w:rsid w:val="008707D8"/>
    <w:rsid w:val="008707D9"/>
    <w:rsid w:val="00870920"/>
    <w:rsid w:val="00870930"/>
    <w:rsid w:val="00870A44"/>
    <w:rsid w:val="00870B87"/>
    <w:rsid w:val="00870CBA"/>
    <w:rsid w:val="00870D2F"/>
    <w:rsid w:val="00870E02"/>
    <w:rsid w:val="00870EED"/>
    <w:rsid w:val="00870F12"/>
    <w:rsid w:val="00871087"/>
    <w:rsid w:val="008710DE"/>
    <w:rsid w:val="008711E1"/>
    <w:rsid w:val="00871337"/>
    <w:rsid w:val="0087151F"/>
    <w:rsid w:val="0087154C"/>
    <w:rsid w:val="00871570"/>
    <w:rsid w:val="00871589"/>
    <w:rsid w:val="00871646"/>
    <w:rsid w:val="008716BB"/>
    <w:rsid w:val="00871726"/>
    <w:rsid w:val="00871747"/>
    <w:rsid w:val="0087194C"/>
    <w:rsid w:val="00871AB7"/>
    <w:rsid w:val="00871B06"/>
    <w:rsid w:val="00871B57"/>
    <w:rsid w:val="00871BA7"/>
    <w:rsid w:val="00871C12"/>
    <w:rsid w:val="00871D69"/>
    <w:rsid w:val="00871DF5"/>
    <w:rsid w:val="00871E01"/>
    <w:rsid w:val="00871E86"/>
    <w:rsid w:val="0087223B"/>
    <w:rsid w:val="008722C8"/>
    <w:rsid w:val="008722E1"/>
    <w:rsid w:val="00872414"/>
    <w:rsid w:val="00872524"/>
    <w:rsid w:val="0087253C"/>
    <w:rsid w:val="00872572"/>
    <w:rsid w:val="008726F6"/>
    <w:rsid w:val="008727A9"/>
    <w:rsid w:val="0087283E"/>
    <w:rsid w:val="0087285C"/>
    <w:rsid w:val="008728DE"/>
    <w:rsid w:val="008728EB"/>
    <w:rsid w:val="008729BA"/>
    <w:rsid w:val="00872A7E"/>
    <w:rsid w:val="00872C1F"/>
    <w:rsid w:val="00872C9A"/>
    <w:rsid w:val="00872CDE"/>
    <w:rsid w:val="00872D0F"/>
    <w:rsid w:val="00872D38"/>
    <w:rsid w:val="00872DFF"/>
    <w:rsid w:val="00872F63"/>
    <w:rsid w:val="00872F76"/>
    <w:rsid w:val="00872F8E"/>
    <w:rsid w:val="00872FBF"/>
    <w:rsid w:val="00873004"/>
    <w:rsid w:val="00873023"/>
    <w:rsid w:val="0087306A"/>
    <w:rsid w:val="008730BB"/>
    <w:rsid w:val="008730BF"/>
    <w:rsid w:val="0087315F"/>
    <w:rsid w:val="008731B7"/>
    <w:rsid w:val="0087322B"/>
    <w:rsid w:val="0087342C"/>
    <w:rsid w:val="0087346E"/>
    <w:rsid w:val="008734CB"/>
    <w:rsid w:val="008734F2"/>
    <w:rsid w:val="008734FB"/>
    <w:rsid w:val="0087359F"/>
    <w:rsid w:val="00873659"/>
    <w:rsid w:val="008736A9"/>
    <w:rsid w:val="0087373F"/>
    <w:rsid w:val="008738E5"/>
    <w:rsid w:val="00873C13"/>
    <w:rsid w:val="00873C23"/>
    <w:rsid w:val="00873CFC"/>
    <w:rsid w:val="00873D26"/>
    <w:rsid w:val="00873DE5"/>
    <w:rsid w:val="00873E50"/>
    <w:rsid w:val="00873EBE"/>
    <w:rsid w:val="00873EFF"/>
    <w:rsid w:val="00873F06"/>
    <w:rsid w:val="00873F15"/>
    <w:rsid w:val="00873F26"/>
    <w:rsid w:val="00874222"/>
    <w:rsid w:val="00874330"/>
    <w:rsid w:val="008743A0"/>
    <w:rsid w:val="0087440D"/>
    <w:rsid w:val="0087441D"/>
    <w:rsid w:val="00874430"/>
    <w:rsid w:val="0087443C"/>
    <w:rsid w:val="00874440"/>
    <w:rsid w:val="00874541"/>
    <w:rsid w:val="0087454E"/>
    <w:rsid w:val="008745BD"/>
    <w:rsid w:val="00874766"/>
    <w:rsid w:val="008747D1"/>
    <w:rsid w:val="00874901"/>
    <w:rsid w:val="008749D9"/>
    <w:rsid w:val="008749DB"/>
    <w:rsid w:val="008749E4"/>
    <w:rsid w:val="00874AF0"/>
    <w:rsid w:val="00874B82"/>
    <w:rsid w:val="00874CFC"/>
    <w:rsid w:val="00874D27"/>
    <w:rsid w:val="00874D9C"/>
    <w:rsid w:val="00874DC5"/>
    <w:rsid w:val="00874F07"/>
    <w:rsid w:val="00874F7C"/>
    <w:rsid w:val="00874FB1"/>
    <w:rsid w:val="00875064"/>
    <w:rsid w:val="008750FC"/>
    <w:rsid w:val="008751AF"/>
    <w:rsid w:val="008751B0"/>
    <w:rsid w:val="0087533A"/>
    <w:rsid w:val="0087547D"/>
    <w:rsid w:val="008755B2"/>
    <w:rsid w:val="008755E1"/>
    <w:rsid w:val="00875601"/>
    <w:rsid w:val="008756D3"/>
    <w:rsid w:val="00875740"/>
    <w:rsid w:val="008757AD"/>
    <w:rsid w:val="008757EE"/>
    <w:rsid w:val="00875858"/>
    <w:rsid w:val="00875868"/>
    <w:rsid w:val="008758D0"/>
    <w:rsid w:val="008759D7"/>
    <w:rsid w:val="00875A74"/>
    <w:rsid w:val="00875AAD"/>
    <w:rsid w:val="00875AED"/>
    <w:rsid w:val="00875AEE"/>
    <w:rsid w:val="00875BBE"/>
    <w:rsid w:val="00875BF2"/>
    <w:rsid w:val="00875CE7"/>
    <w:rsid w:val="00875D3D"/>
    <w:rsid w:val="00875D95"/>
    <w:rsid w:val="00875F2A"/>
    <w:rsid w:val="00876064"/>
    <w:rsid w:val="008760C2"/>
    <w:rsid w:val="008760D3"/>
    <w:rsid w:val="00876146"/>
    <w:rsid w:val="00876148"/>
    <w:rsid w:val="0087636B"/>
    <w:rsid w:val="008763BE"/>
    <w:rsid w:val="00876408"/>
    <w:rsid w:val="0087640F"/>
    <w:rsid w:val="00876420"/>
    <w:rsid w:val="00876486"/>
    <w:rsid w:val="008764A7"/>
    <w:rsid w:val="00876502"/>
    <w:rsid w:val="00876521"/>
    <w:rsid w:val="00876531"/>
    <w:rsid w:val="00876689"/>
    <w:rsid w:val="00876709"/>
    <w:rsid w:val="0087678D"/>
    <w:rsid w:val="00876917"/>
    <w:rsid w:val="00876BB6"/>
    <w:rsid w:val="00876C65"/>
    <w:rsid w:val="00876C82"/>
    <w:rsid w:val="00876E11"/>
    <w:rsid w:val="00877017"/>
    <w:rsid w:val="008770C0"/>
    <w:rsid w:val="008771EF"/>
    <w:rsid w:val="0087732C"/>
    <w:rsid w:val="00877382"/>
    <w:rsid w:val="00877592"/>
    <w:rsid w:val="0087763A"/>
    <w:rsid w:val="0087770D"/>
    <w:rsid w:val="00877746"/>
    <w:rsid w:val="008777ED"/>
    <w:rsid w:val="0087780B"/>
    <w:rsid w:val="00877A0B"/>
    <w:rsid w:val="00877AA2"/>
    <w:rsid w:val="00877B65"/>
    <w:rsid w:val="00877BA2"/>
    <w:rsid w:val="00877CA7"/>
    <w:rsid w:val="00877D60"/>
    <w:rsid w:val="00877DC6"/>
    <w:rsid w:val="00877FED"/>
    <w:rsid w:val="00880045"/>
    <w:rsid w:val="00880053"/>
    <w:rsid w:val="008802DA"/>
    <w:rsid w:val="00880337"/>
    <w:rsid w:val="008803A4"/>
    <w:rsid w:val="00880403"/>
    <w:rsid w:val="008804F9"/>
    <w:rsid w:val="008804FB"/>
    <w:rsid w:val="008805B2"/>
    <w:rsid w:val="00880649"/>
    <w:rsid w:val="00880711"/>
    <w:rsid w:val="00880796"/>
    <w:rsid w:val="00880833"/>
    <w:rsid w:val="0088088F"/>
    <w:rsid w:val="00880932"/>
    <w:rsid w:val="00880933"/>
    <w:rsid w:val="00880BB7"/>
    <w:rsid w:val="00880C1E"/>
    <w:rsid w:val="00880CC6"/>
    <w:rsid w:val="00880D32"/>
    <w:rsid w:val="00880D58"/>
    <w:rsid w:val="00880DA3"/>
    <w:rsid w:val="00880DE9"/>
    <w:rsid w:val="00880E01"/>
    <w:rsid w:val="00880FD6"/>
    <w:rsid w:val="00880FF7"/>
    <w:rsid w:val="00881023"/>
    <w:rsid w:val="008810A2"/>
    <w:rsid w:val="008810CB"/>
    <w:rsid w:val="008811BA"/>
    <w:rsid w:val="00881412"/>
    <w:rsid w:val="008814C8"/>
    <w:rsid w:val="00881562"/>
    <w:rsid w:val="008815EB"/>
    <w:rsid w:val="008815FD"/>
    <w:rsid w:val="008816E3"/>
    <w:rsid w:val="00881776"/>
    <w:rsid w:val="00881824"/>
    <w:rsid w:val="0088184A"/>
    <w:rsid w:val="0088191F"/>
    <w:rsid w:val="00881A2F"/>
    <w:rsid w:val="00881C6F"/>
    <w:rsid w:val="00881C87"/>
    <w:rsid w:val="00881CA8"/>
    <w:rsid w:val="00881CBF"/>
    <w:rsid w:val="00881CEE"/>
    <w:rsid w:val="00881DBE"/>
    <w:rsid w:val="00881DC5"/>
    <w:rsid w:val="00881EE0"/>
    <w:rsid w:val="00881FA8"/>
    <w:rsid w:val="00882037"/>
    <w:rsid w:val="008820D0"/>
    <w:rsid w:val="00882199"/>
    <w:rsid w:val="00882203"/>
    <w:rsid w:val="0088233A"/>
    <w:rsid w:val="00882386"/>
    <w:rsid w:val="008823EB"/>
    <w:rsid w:val="008825A7"/>
    <w:rsid w:val="008825DC"/>
    <w:rsid w:val="008825F1"/>
    <w:rsid w:val="008826FB"/>
    <w:rsid w:val="008827B6"/>
    <w:rsid w:val="008827B7"/>
    <w:rsid w:val="008829E9"/>
    <w:rsid w:val="00882B41"/>
    <w:rsid w:val="00882B48"/>
    <w:rsid w:val="00882B7D"/>
    <w:rsid w:val="00882CA3"/>
    <w:rsid w:val="00882CB7"/>
    <w:rsid w:val="00882D02"/>
    <w:rsid w:val="00882D24"/>
    <w:rsid w:val="00882E79"/>
    <w:rsid w:val="00882EB8"/>
    <w:rsid w:val="00882EBB"/>
    <w:rsid w:val="00882FC6"/>
    <w:rsid w:val="00883159"/>
    <w:rsid w:val="0088321E"/>
    <w:rsid w:val="00883336"/>
    <w:rsid w:val="00883359"/>
    <w:rsid w:val="008833A4"/>
    <w:rsid w:val="00883447"/>
    <w:rsid w:val="00883525"/>
    <w:rsid w:val="0088354A"/>
    <w:rsid w:val="0088377A"/>
    <w:rsid w:val="008838A2"/>
    <w:rsid w:val="0088391B"/>
    <w:rsid w:val="0088395B"/>
    <w:rsid w:val="0088399A"/>
    <w:rsid w:val="008839BD"/>
    <w:rsid w:val="00883A4B"/>
    <w:rsid w:val="00883A4F"/>
    <w:rsid w:val="00883A63"/>
    <w:rsid w:val="00883BCD"/>
    <w:rsid w:val="00883C19"/>
    <w:rsid w:val="00883C1A"/>
    <w:rsid w:val="00883CD7"/>
    <w:rsid w:val="00883D63"/>
    <w:rsid w:val="00883DFA"/>
    <w:rsid w:val="0088414C"/>
    <w:rsid w:val="0088414D"/>
    <w:rsid w:val="008841A7"/>
    <w:rsid w:val="0088424E"/>
    <w:rsid w:val="008843A8"/>
    <w:rsid w:val="008843FA"/>
    <w:rsid w:val="00884457"/>
    <w:rsid w:val="0088445D"/>
    <w:rsid w:val="0088446F"/>
    <w:rsid w:val="00884493"/>
    <w:rsid w:val="008844DE"/>
    <w:rsid w:val="008845E6"/>
    <w:rsid w:val="0088489C"/>
    <w:rsid w:val="008848D8"/>
    <w:rsid w:val="00884912"/>
    <w:rsid w:val="00884961"/>
    <w:rsid w:val="00884A10"/>
    <w:rsid w:val="00884B42"/>
    <w:rsid w:val="00884B6A"/>
    <w:rsid w:val="00884BC2"/>
    <w:rsid w:val="00884BF6"/>
    <w:rsid w:val="00884C63"/>
    <w:rsid w:val="00884DFF"/>
    <w:rsid w:val="00884F70"/>
    <w:rsid w:val="00884FA9"/>
    <w:rsid w:val="00884FAA"/>
    <w:rsid w:val="00885025"/>
    <w:rsid w:val="008850BB"/>
    <w:rsid w:val="0088510A"/>
    <w:rsid w:val="008851E7"/>
    <w:rsid w:val="008853C9"/>
    <w:rsid w:val="00885412"/>
    <w:rsid w:val="008854EE"/>
    <w:rsid w:val="00885788"/>
    <w:rsid w:val="00885809"/>
    <w:rsid w:val="0088589C"/>
    <w:rsid w:val="00885962"/>
    <w:rsid w:val="008859E0"/>
    <w:rsid w:val="00885B30"/>
    <w:rsid w:val="00885B31"/>
    <w:rsid w:val="00885C08"/>
    <w:rsid w:val="00885C40"/>
    <w:rsid w:val="00885E50"/>
    <w:rsid w:val="00885EDE"/>
    <w:rsid w:val="00885F99"/>
    <w:rsid w:val="00886026"/>
    <w:rsid w:val="00886064"/>
    <w:rsid w:val="00886081"/>
    <w:rsid w:val="008860AC"/>
    <w:rsid w:val="00886165"/>
    <w:rsid w:val="00886234"/>
    <w:rsid w:val="008862E0"/>
    <w:rsid w:val="00886378"/>
    <w:rsid w:val="00886553"/>
    <w:rsid w:val="0088658D"/>
    <w:rsid w:val="008865D0"/>
    <w:rsid w:val="0088665A"/>
    <w:rsid w:val="00886716"/>
    <w:rsid w:val="00886911"/>
    <w:rsid w:val="00886A45"/>
    <w:rsid w:val="00886ADF"/>
    <w:rsid w:val="00886AFD"/>
    <w:rsid w:val="00886B1A"/>
    <w:rsid w:val="00886B1F"/>
    <w:rsid w:val="00886B60"/>
    <w:rsid w:val="00886BDF"/>
    <w:rsid w:val="00886C1A"/>
    <w:rsid w:val="00886C1F"/>
    <w:rsid w:val="00886C46"/>
    <w:rsid w:val="00886C50"/>
    <w:rsid w:val="00887003"/>
    <w:rsid w:val="008870CD"/>
    <w:rsid w:val="008873F5"/>
    <w:rsid w:val="00887464"/>
    <w:rsid w:val="0088746E"/>
    <w:rsid w:val="008876BC"/>
    <w:rsid w:val="008878EE"/>
    <w:rsid w:val="00887AC3"/>
    <w:rsid w:val="00887B13"/>
    <w:rsid w:val="00887B6A"/>
    <w:rsid w:val="00887BB9"/>
    <w:rsid w:val="00887BD3"/>
    <w:rsid w:val="00887C81"/>
    <w:rsid w:val="00887D24"/>
    <w:rsid w:val="00887D4C"/>
    <w:rsid w:val="00887F44"/>
    <w:rsid w:val="00890047"/>
    <w:rsid w:val="008900C8"/>
    <w:rsid w:val="0089011A"/>
    <w:rsid w:val="00890149"/>
    <w:rsid w:val="00890162"/>
    <w:rsid w:val="0089016F"/>
    <w:rsid w:val="00890197"/>
    <w:rsid w:val="0089021A"/>
    <w:rsid w:val="00890221"/>
    <w:rsid w:val="008902D3"/>
    <w:rsid w:val="008903B3"/>
    <w:rsid w:val="0089044A"/>
    <w:rsid w:val="00890592"/>
    <w:rsid w:val="008905D7"/>
    <w:rsid w:val="008905F9"/>
    <w:rsid w:val="0089064B"/>
    <w:rsid w:val="008906E4"/>
    <w:rsid w:val="00890708"/>
    <w:rsid w:val="00890837"/>
    <w:rsid w:val="0089085A"/>
    <w:rsid w:val="0089087C"/>
    <w:rsid w:val="008908FF"/>
    <w:rsid w:val="00890920"/>
    <w:rsid w:val="008909AC"/>
    <w:rsid w:val="00890A5D"/>
    <w:rsid w:val="00890AFE"/>
    <w:rsid w:val="00890B8E"/>
    <w:rsid w:val="00890C15"/>
    <w:rsid w:val="00890CF7"/>
    <w:rsid w:val="00890E97"/>
    <w:rsid w:val="00890F0E"/>
    <w:rsid w:val="00890F6A"/>
    <w:rsid w:val="008910F4"/>
    <w:rsid w:val="00891123"/>
    <w:rsid w:val="00891194"/>
    <w:rsid w:val="0089120F"/>
    <w:rsid w:val="0089123B"/>
    <w:rsid w:val="00891411"/>
    <w:rsid w:val="0089143D"/>
    <w:rsid w:val="0089148D"/>
    <w:rsid w:val="0089164E"/>
    <w:rsid w:val="00891694"/>
    <w:rsid w:val="008916C5"/>
    <w:rsid w:val="0089174D"/>
    <w:rsid w:val="008918BC"/>
    <w:rsid w:val="00891A79"/>
    <w:rsid w:val="00891AD2"/>
    <w:rsid w:val="00891C14"/>
    <w:rsid w:val="00891CAC"/>
    <w:rsid w:val="00891E5D"/>
    <w:rsid w:val="00891F33"/>
    <w:rsid w:val="00892039"/>
    <w:rsid w:val="008920E1"/>
    <w:rsid w:val="0089211E"/>
    <w:rsid w:val="00892134"/>
    <w:rsid w:val="00892159"/>
    <w:rsid w:val="0089216C"/>
    <w:rsid w:val="00892260"/>
    <w:rsid w:val="0089228D"/>
    <w:rsid w:val="00892368"/>
    <w:rsid w:val="00892602"/>
    <w:rsid w:val="008926E9"/>
    <w:rsid w:val="008927A3"/>
    <w:rsid w:val="00892AB2"/>
    <w:rsid w:val="00892BB5"/>
    <w:rsid w:val="00892C2C"/>
    <w:rsid w:val="00892C8C"/>
    <w:rsid w:val="00892D20"/>
    <w:rsid w:val="00892DFA"/>
    <w:rsid w:val="00892E21"/>
    <w:rsid w:val="00892E64"/>
    <w:rsid w:val="00892E84"/>
    <w:rsid w:val="00892F30"/>
    <w:rsid w:val="00892FC1"/>
    <w:rsid w:val="00892FC6"/>
    <w:rsid w:val="00893068"/>
    <w:rsid w:val="00893103"/>
    <w:rsid w:val="00893114"/>
    <w:rsid w:val="0089316E"/>
    <w:rsid w:val="0089322B"/>
    <w:rsid w:val="0089323A"/>
    <w:rsid w:val="008932BB"/>
    <w:rsid w:val="008932E5"/>
    <w:rsid w:val="0089337C"/>
    <w:rsid w:val="008933D7"/>
    <w:rsid w:val="00893492"/>
    <w:rsid w:val="008934FC"/>
    <w:rsid w:val="0089353E"/>
    <w:rsid w:val="00893540"/>
    <w:rsid w:val="00893567"/>
    <w:rsid w:val="00893655"/>
    <w:rsid w:val="008936EA"/>
    <w:rsid w:val="00893787"/>
    <w:rsid w:val="008937E3"/>
    <w:rsid w:val="00893839"/>
    <w:rsid w:val="0089396D"/>
    <w:rsid w:val="008939F2"/>
    <w:rsid w:val="00893A6F"/>
    <w:rsid w:val="00893B1F"/>
    <w:rsid w:val="00893B43"/>
    <w:rsid w:val="00893C77"/>
    <w:rsid w:val="00893DB8"/>
    <w:rsid w:val="00893DFC"/>
    <w:rsid w:val="00893E10"/>
    <w:rsid w:val="0089403E"/>
    <w:rsid w:val="008941A0"/>
    <w:rsid w:val="0089424B"/>
    <w:rsid w:val="008942A6"/>
    <w:rsid w:val="00894311"/>
    <w:rsid w:val="00894335"/>
    <w:rsid w:val="0089433C"/>
    <w:rsid w:val="008944BF"/>
    <w:rsid w:val="00894551"/>
    <w:rsid w:val="008945B7"/>
    <w:rsid w:val="00894664"/>
    <w:rsid w:val="00894699"/>
    <w:rsid w:val="008946F9"/>
    <w:rsid w:val="008947B2"/>
    <w:rsid w:val="00894874"/>
    <w:rsid w:val="008949FD"/>
    <w:rsid w:val="00894A1C"/>
    <w:rsid w:val="00894AC9"/>
    <w:rsid w:val="00894B12"/>
    <w:rsid w:val="00894B43"/>
    <w:rsid w:val="00894B58"/>
    <w:rsid w:val="00894B92"/>
    <w:rsid w:val="00894B95"/>
    <w:rsid w:val="00894C5D"/>
    <w:rsid w:val="00894C97"/>
    <w:rsid w:val="00894D86"/>
    <w:rsid w:val="00894D8B"/>
    <w:rsid w:val="00894DBE"/>
    <w:rsid w:val="00894DCC"/>
    <w:rsid w:val="00894DD9"/>
    <w:rsid w:val="00895080"/>
    <w:rsid w:val="00895096"/>
    <w:rsid w:val="008950FE"/>
    <w:rsid w:val="008952C1"/>
    <w:rsid w:val="0089534C"/>
    <w:rsid w:val="008953ED"/>
    <w:rsid w:val="008953F2"/>
    <w:rsid w:val="00895414"/>
    <w:rsid w:val="0089542F"/>
    <w:rsid w:val="00895496"/>
    <w:rsid w:val="008954A9"/>
    <w:rsid w:val="008954C7"/>
    <w:rsid w:val="00895565"/>
    <w:rsid w:val="0089557D"/>
    <w:rsid w:val="008955B5"/>
    <w:rsid w:val="00895604"/>
    <w:rsid w:val="0089560B"/>
    <w:rsid w:val="008956DD"/>
    <w:rsid w:val="0089577A"/>
    <w:rsid w:val="0089581C"/>
    <w:rsid w:val="00895834"/>
    <w:rsid w:val="0089585C"/>
    <w:rsid w:val="00895915"/>
    <w:rsid w:val="00895980"/>
    <w:rsid w:val="00895A90"/>
    <w:rsid w:val="00895B5F"/>
    <w:rsid w:val="00895BF0"/>
    <w:rsid w:val="00895CDB"/>
    <w:rsid w:val="00895D59"/>
    <w:rsid w:val="00895D77"/>
    <w:rsid w:val="00895DED"/>
    <w:rsid w:val="00895DFD"/>
    <w:rsid w:val="00895E90"/>
    <w:rsid w:val="00895F40"/>
    <w:rsid w:val="00895F86"/>
    <w:rsid w:val="00895FCB"/>
    <w:rsid w:val="008960C9"/>
    <w:rsid w:val="00896118"/>
    <w:rsid w:val="0089611D"/>
    <w:rsid w:val="00896144"/>
    <w:rsid w:val="00896184"/>
    <w:rsid w:val="00896243"/>
    <w:rsid w:val="00896250"/>
    <w:rsid w:val="00896257"/>
    <w:rsid w:val="008962FA"/>
    <w:rsid w:val="0089634A"/>
    <w:rsid w:val="00896393"/>
    <w:rsid w:val="0089639A"/>
    <w:rsid w:val="008963F9"/>
    <w:rsid w:val="0089654F"/>
    <w:rsid w:val="00896644"/>
    <w:rsid w:val="008966F7"/>
    <w:rsid w:val="00896700"/>
    <w:rsid w:val="0089673A"/>
    <w:rsid w:val="008967C2"/>
    <w:rsid w:val="008967E2"/>
    <w:rsid w:val="00896802"/>
    <w:rsid w:val="0089681B"/>
    <w:rsid w:val="0089683C"/>
    <w:rsid w:val="008968EA"/>
    <w:rsid w:val="0089695D"/>
    <w:rsid w:val="00896C1A"/>
    <w:rsid w:val="00896C7A"/>
    <w:rsid w:val="00896C93"/>
    <w:rsid w:val="00896D8B"/>
    <w:rsid w:val="00896E11"/>
    <w:rsid w:val="00896E20"/>
    <w:rsid w:val="00896EA6"/>
    <w:rsid w:val="00896F9D"/>
    <w:rsid w:val="00897011"/>
    <w:rsid w:val="00897086"/>
    <w:rsid w:val="0089708A"/>
    <w:rsid w:val="0089716A"/>
    <w:rsid w:val="0089722B"/>
    <w:rsid w:val="00897421"/>
    <w:rsid w:val="0089772F"/>
    <w:rsid w:val="0089777D"/>
    <w:rsid w:val="008978E8"/>
    <w:rsid w:val="00897AA1"/>
    <w:rsid w:val="00897B16"/>
    <w:rsid w:val="00897B62"/>
    <w:rsid w:val="00897CB5"/>
    <w:rsid w:val="00897D7C"/>
    <w:rsid w:val="00897E93"/>
    <w:rsid w:val="00897EFA"/>
    <w:rsid w:val="00897F23"/>
    <w:rsid w:val="008A00E3"/>
    <w:rsid w:val="008A00FB"/>
    <w:rsid w:val="008A01E3"/>
    <w:rsid w:val="008A01E7"/>
    <w:rsid w:val="008A0294"/>
    <w:rsid w:val="008A0346"/>
    <w:rsid w:val="008A0457"/>
    <w:rsid w:val="008A045B"/>
    <w:rsid w:val="008A0488"/>
    <w:rsid w:val="008A04A1"/>
    <w:rsid w:val="008A051B"/>
    <w:rsid w:val="008A0530"/>
    <w:rsid w:val="008A0648"/>
    <w:rsid w:val="008A0673"/>
    <w:rsid w:val="008A06F1"/>
    <w:rsid w:val="008A082D"/>
    <w:rsid w:val="008A0871"/>
    <w:rsid w:val="008A0916"/>
    <w:rsid w:val="008A0A7F"/>
    <w:rsid w:val="008A0B7E"/>
    <w:rsid w:val="008A0BB8"/>
    <w:rsid w:val="008A0C1A"/>
    <w:rsid w:val="008A0DD8"/>
    <w:rsid w:val="008A0DF0"/>
    <w:rsid w:val="008A0F1A"/>
    <w:rsid w:val="008A0FC4"/>
    <w:rsid w:val="008A1270"/>
    <w:rsid w:val="008A1287"/>
    <w:rsid w:val="008A134E"/>
    <w:rsid w:val="008A148A"/>
    <w:rsid w:val="008A1496"/>
    <w:rsid w:val="008A14E5"/>
    <w:rsid w:val="008A15E5"/>
    <w:rsid w:val="008A1617"/>
    <w:rsid w:val="008A18A9"/>
    <w:rsid w:val="008A1925"/>
    <w:rsid w:val="008A194E"/>
    <w:rsid w:val="008A1987"/>
    <w:rsid w:val="008A19C1"/>
    <w:rsid w:val="008A1A5B"/>
    <w:rsid w:val="008A1B42"/>
    <w:rsid w:val="008A1B4E"/>
    <w:rsid w:val="008A1CD2"/>
    <w:rsid w:val="008A1CEA"/>
    <w:rsid w:val="008A1D03"/>
    <w:rsid w:val="008A1D42"/>
    <w:rsid w:val="008A1D58"/>
    <w:rsid w:val="008A1D9D"/>
    <w:rsid w:val="008A1E9F"/>
    <w:rsid w:val="008A1ED3"/>
    <w:rsid w:val="008A1F92"/>
    <w:rsid w:val="008A208E"/>
    <w:rsid w:val="008A20AB"/>
    <w:rsid w:val="008A20D4"/>
    <w:rsid w:val="008A2128"/>
    <w:rsid w:val="008A2134"/>
    <w:rsid w:val="008A2160"/>
    <w:rsid w:val="008A2195"/>
    <w:rsid w:val="008A24A7"/>
    <w:rsid w:val="008A25FD"/>
    <w:rsid w:val="008A2635"/>
    <w:rsid w:val="008A286C"/>
    <w:rsid w:val="008A289F"/>
    <w:rsid w:val="008A2905"/>
    <w:rsid w:val="008A2953"/>
    <w:rsid w:val="008A29D6"/>
    <w:rsid w:val="008A2AD3"/>
    <w:rsid w:val="008A2B10"/>
    <w:rsid w:val="008A2DBB"/>
    <w:rsid w:val="008A2E43"/>
    <w:rsid w:val="008A2E5E"/>
    <w:rsid w:val="008A2F85"/>
    <w:rsid w:val="008A3015"/>
    <w:rsid w:val="008A317F"/>
    <w:rsid w:val="008A31A5"/>
    <w:rsid w:val="008A31CF"/>
    <w:rsid w:val="008A320A"/>
    <w:rsid w:val="008A329F"/>
    <w:rsid w:val="008A333F"/>
    <w:rsid w:val="008A34CB"/>
    <w:rsid w:val="008A34D2"/>
    <w:rsid w:val="008A34FF"/>
    <w:rsid w:val="008A3663"/>
    <w:rsid w:val="008A36CF"/>
    <w:rsid w:val="008A3775"/>
    <w:rsid w:val="008A3848"/>
    <w:rsid w:val="008A3976"/>
    <w:rsid w:val="008A399C"/>
    <w:rsid w:val="008A3B35"/>
    <w:rsid w:val="008A3CA1"/>
    <w:rsid w:val="008A3D1A"/>
    <w:rsid w:val="008A3D31"/>
    <w:rsid w:val="008A3DED"/>
    <w:rsid w:val="008A3DF5"/>
    <w:rsid w:val="008A3E37"/>
    <w:rsid w:val="008A4139"/>
    <w:rsid w:val="008A41C1"/>
    <w:rsid w:val="008A426C"/>
    <w:rsid w:val="008A4540"/>
    <w:rsid w:val="008A461C"/>
    <w:rsid w:val="008A463A"/>
    <w:rsid w:val="008A465A"/>
    <w:rsid w:val="008A468B"/>
    <w:rsid w:val="008A46B9"/>
    <w:rsid w:val="008A46BC"/>
    <w:rsid w:val="008A4835"/>
    <w:rsid w:val="008A48AD"/>
    <w:rsid w:val="008A4A5D"/>
    <w:rsid w:val="008A4A9C"/>
    <w:rsid w:val="008A4AEF"/>
    <w:rsid w:val="008A4B27"/>
    <w:rsid w:val="008A4D64"/>
    <w:rsid w:val="008A4ECC"/>
    <w:rsid w:val="008A4F27"/>
    <w:rsid w:val="008A5138"/>
    <w:rsid w:val="008A51C9"/>
    <w:rsid w:val="008A51F4"/>
    <w:rsid w:val="008A53F8"/>
    <w:rsid w:val="008A54A8"/>
    <w:rsid w:val="008A557F"/>
    <w:rsid w:val="008A56BC"/>
    <w:rsid w:val="008A5710"/>
    <w:rsid w:val="008A575A"/>
    <w:rsid w:val="008A57A0"/>
    <w:rsid w:val="008A57E8"/>
    <w:rsid w:val="008A57FE"/>
    <w:rsid w:val="008A5ADE"/>
    <w:rsid w:val="008A5AF0"/>
    <w:rsid w:val="008A5B2F"/>
    <w:rsid w:val="008A5B4D"/>
    <w:rsid w:val="008A5C0D"/>
    <w:rsid w:val="008A5D2D"/>
    <w:rsid w:val="008A5D32"/>
    <w:rsid w:val="008A5EFD"/>
    <w:rsid w:val="008A5F9C"/>
    <w:rsid w:val="008A615B"/>
    <w:rsid w:val="008A62A3"/>
    <w:rsid w:val="008A62C1"/>
    <w:rsid w:val="008A646A"/>
    <w:rsid w:val="008A64E6"/>
    <w:rsid w:val="008A6517"/>
    <w:rsid w:val="008A6566"/>
    <w:rsid w:val="008A659B"/>
    <w:rsid w:val="008A66D2"/>
    <w:rsid w:val="008A6705"/>
    <w:rsid w:val="008A6736"/>
    <w:rsid w:val="008A6762"/>
    <w:rsid w:val="008A6849"/>
    <w:rsid w:val="008A692F"/>
    <w:rsid w:val="008A6955"/>
    <w:rsid w:val="008A69D1"/>
    <w:rsid w:val="008A69F7"/>
    <w:rsid w:val="008A6B94"/>
    <w:rsid w:val="008A6CB9"/>
    <w:rsid w:val="008A6CC4"/>
    <w:rsid w:val="008A6CD1"/>
    <w:rsid w:val="008A6D03"/>
    <w:rsid w:val="008A6D28"/>
    <w:rsid w:val="008A6E8D"/>
    <w:rsid w:val="008A7073"/>
    <w:rsid w:val="008A70AD"/>
    <w:rsid w:val="008A719E"/>
    <w:rsid w:val="008A71C6"/>
    <w:rsid w:val="008A731B"/>
    <w:rsid w:val="008A7496"/>
    <w:rsid w:val="008A74E3"/>
    <w:rsid w:val="008A75DF"/>
    <w:rsid w:val="008A7612"/>
    <w:rsid w:val="008A7753"/>
    <w:rsid w:val="008A77A0"/>
    <w:rsid w:val="008A78D4"/>
    <w:rsid w:val="008A78E5"/>
    <w:rsid w:val="008A79B0"/>
    <w:rsid w:val="008A79F2"/>
    <w:rsid w:val="008A7A9F"/>
    <w:rsid w:val="008A7B87"/>
    <w:rsid w:val="008A7B9C"/>
    <w:rsid w:val="008A7BAB"/>
    <w:rsid w:val="008A7C13"/>
    <w:rsid w:val="008A7C14"/>
    <w:rsid w:val="008A7C22"/>
    <w:rsid w:val="008A7D2E"/>
    <w:rsid w:val="008A7DD8"/>
    <w:rsid w:val="008A7EF5"/>
    <w:rsid w:val="008A7F6C"/>
    <w:rsid w:val="008B0000"/>
    <w:rsid w:val="008B0067"/>
    <w:rsid w:val="008B007C"/>
    <w:rsid w:val="008B011A"/>
    <w:rsid w:val="008B0209"/>
    <w:rsid w:val="008B0282"/>
    <w:rsid w:val="008B02AE"/>
    <w:rsid w:val="008B02DB"/>
    <w:rsid w:val="008B04E1"/>
    <w:rsid w:val="008B0548"/>
    <w:rsid w:val="008B0552"/>
    <w:rsid w:val="008B059F"/>
    <w:rsid w:val="008B0620"/>
    <w:rsid w:val="008B06D7"/>
    <w:rsid w:val="008B06E5"/>
    <w:rsid w:val="008B08A5"/>
    <w:rsid w:val="008B08B7"/>
    <w:rsid w:val="008B08E4"/>
    <w:rsid w:val="008B08F6"/>
    <w:rsid w:val="008B09FC"/>
    <w:rsid w:val="008B0A35"/>
    <w:rsid w:val="008B0B35"/>
    <w:rsid w:val="008B0C5C"/>
    <w:rsid w:val="008B0D57"/>
    <w:rsid w:val="008B0E65"/>
    <w:rsid w:val="008B0E93"/>
    <w:rsid w:val="008B0F36"/>
    <w:rsid w:val="008B0F4E"/>
    <w:rsid w:val="008B1036"/>
    <w:rsid w:val="008B10FA"/>
    <w:rsid w:val="008B1148"/>
    <w:rsid w:val="008B114A"/>
    <w:rsid w:val="008B1728"/>
    <w:rsid w:val="008B1742"/>
    <w:rsid w:val="008B177B"/>
    <w:rsid w:val="008B1867"/>
    <w:rsid w:val="008B1973"/>
    <w:rsid w:val="008B199D"/>
    <w:rsid w:val="008B1BC8"/>
    <w:rsid w:val="008B1D73"/>
    <w:rsid w:val="008B1E21"/>
    <w:rsid w:val="008B1E47"/>
    <w:rsid w:val="008B1E4C"/>
    <w:rsid w:val="008B1E6E"/>
    <w:rsid w:val="008B1E76"/>
    <w:rsid w:val="008B1E86"/>
    <w:rsid w:val="008B1F15"/>
    <w:rsid w:val="008B1F68"/>
    <w:rsid w:val="008B1F6C"/>
    <w:rsid w:val="008B2183"/>
    <w:rsid w:val="008B21B9"/>
    <w:rsid w:val="008B21E9"/>
    <w:rsid w:val="008B2413"/>
    <w:rsid w:val="008B2425"/>
    <w:rsid w:val="008B2469"/>
    <w:rsid w:val="008B25A0"/>
    <w:rsid w:val="008B268E"/>
    <w:rsid w:val="008B26B6"/>
    <w:rsid w:val="008B2A89"/>
    <w:rsid w:val="008B2A99"/>
    <w:rsid w:val="008B2B4D"/>
    <w:rsid w:val="008B2BF1"/>
    <w:rsid w:val="008B2C07"/>
    <w:rsid w:val="008B2C09"/>
    <w:rsid w:val="008B2C50"/>
    <w:rsid w:val="008B2C6F"/>
    <w:rsid w:val="008B2DA5"/>
    <w:rsid w:val="008B2E0E"/>
    <w:rsid w:val="008B2E44"/>
    <w:rsid w:val="008B2EFC"/>
    <w:rsid w:val="008B3006"/>
    <w:rsid w:val="008B3119"/>
    <w:rsid w:val="008B3325"/>
    <w:rsid w:val="008B33BF"/>
    <w:rsid w:val="008B3485"/>
    <w:rsid w:val="008B3555"/>
    <w:rsid w:val="008B35DE"/>
    <w:rsid w:val="008B3657"/>
    <w:rsid w:val="008B3740"/>
    <w:rsid w:val="008B3823"/>
    <w:rsid w:val="008B3831"/>
    <w:rsid w:val="008B38D7"/>
    <w:rsid w:val="008B393F"/>
    <w:rsid w:val="008B3962"/>
    <w:rsid w:val="008B3A5D"/>
    <w:rsid w:val="008B3AA4"/>
    <w:rsid w:val="008B3C42"/>
    <w:rsid w:val="008B3CB0"/>
    <w:rsid w:val="008B3CB2"/>
    <w:rsid w:val="008B3CB4"/>
    <w:rsid w:val="008B3CBC"/>
    <w:rsid w:val="008B3CC4"/>
    <w:rsid w:val="008B3D2C"/>
    <w:rsid w:val="008B3D51"/>
    <w:rsid w:val="008B3E77"/>
    <w:rsid w:val="008B3ED9"/>
    <w:rsid w:val="008B3F1D"/>
    <w:rsid w:val="008B3F5C"/>
    <w:rsid w:val="008B3F81"/>
    <w:rsid w:val="008B404B"/>
    <w:rsid w:val="008B40A6"/>
    <w:rsid w:val="008B4138"/>
    <w:rsid w:val="008B430B"/>
    <w:rsid w:val="008B4327"/>
    <w:rsid w:val="008B444D"/>
    <w:rsid w:val="008B44AD"/>
    <w:rsid w:val="008B44BF"/>
    <w:rsid w:val="008B45F8"/>
    <w:rsid w:val="008B4632"/>
    <w:rsid w:val="008B46F1"/>
    <w:rsid w:val="008B477D"/>
    <w:rsid w:val="008B478A"/>
    <w:rsid w:val="008B47A1"/>
    <w:rsid w:val="008B483A"/>
    <w:rsid w:val="008B4871"/>
    <w:rsid w:val="008B4A6B"/>
    <w:rsid w:val="008B4A92"/>
    <w:rsid w:val="008B4AD2"/>
    <w:rsid w:val="008B4BA4"/>
    <w:rsid w:val="008B4CA7"/>
    <w:rsid w:val="008B4CFD"/>
    <w:rsid w:val="008B4D22"/>
    <w:rsid w:val="008B4D67"/>
    <w:rsid w:val="008B4EA4"/>
    <w:rsid w:val="008B4EDD"/>
    <w:rsid w:val="008B4F26"/>
    <w:rsid w:val="008B4FC1"/>
    <w:rsid w:val="008B50DF"/>
    <w:rsid w:val="008B5270"/>
    <w:rsid w:val="008B534A"/>
    <w:rsid w:val="008B54E1"/>
    <w:rsid w:val="008B55B7"/>
    <w:rsid w:val="008B56ED"/>
    <w:rsid w:val="008B5770"/>
    <w:rsid w:val="008B57DD"/>
    <w:rsid w:val="008B5848"/>
    <w:rsid w:val="008B5890"/>
    <w:rsid w:val="008B58CA"/>
    <w:rsid w:val="008B594D"/>
    <w:rsid w:val="008B595C"/>
    <w:rsid w:val="008B5A05"/>
    <w:rsid w:val="008B5A20"/>
    <w:rsid w:val="008B5AC2"/>
    <w:rsid w:val="008B5BD1"/>
    <w:rsid w:val="008B5BEC"/>
    <w:rsid w:val="008B5CC8"/>
    <w:rsid w:val="008B5D07"/>
    <w:rsid w:val="008B5D3F"/>
    <w:rsid w:val="008B5DBD"/>
    <w:rsid w:val="008B5E69"/>
    <w:rsid w:val="008B5E92"/>
    <w:rsid w:val="008B5EF6"/>
    <w:rsid w:val="008B5F1E"/>
    <w:rsid w:val="008B5F9E"/>
    <w:rsid w:val="008B604F"/>
    <w:rsid w:val="008B60AB"/>
    <w:rsid w:val="008B614E"/>
    <w:rsid w:val="008B618F"/>
    <w:rsid w:val="008B61F0"/>
    <w:rsid w:val="008B6208"/>
    <w:rsid w:val="008B62D7"/>
    <w:rsid w:val="008B63B0"/>
    <w:rsid w:val="008B63DF"/>
    <w:rsid w:val="008B644C"/>
    <w:rsid w:val="008B6528"/>
    <w:rsid w:val="008B6563"/>
    <w:rsid w:val="008B6646"/>
    <w:rsid w:val="008B6717"/>
    <w:rsid w:val="008B6853"/>
    <w:rsid w:val="008B6A97"/>
    <w:rsid w:val="008B6A98"/>
    <w:rsid w:val="008B6B3D"/>
    <w:rsid w:val="008B6C09"/>
    <w:rsid w:val="008B6C56"/>
    <w:rsid w:val="008B6C83"/>
    <w:rsid w:val="008B6D4B"/>
    <w:rsid w:val="008B6DF1"/>
    <w:rsid w:val="008B6E45"/>
    <w:rsid w:val="008B6F09"/>
    <w:rsid w:val="008B6FE3"/>
    <w:rsid w:val="008B72B2"/>
    <w:rsid w:val="008B72DD"/>
    <w:rsid w:val="008B734F"/>
    <w:rsid w:val="008B737F"/>
    <w:rsid w:val="008B73A5"/>
    <w:rsid w:val="008B73EE"/>
    <w:rsid w:val="008B7479"/>
    <w:rsid w:val="008B7669"/>
    <w:rsid w:val="008B76AD"/>
    <w:rsid w:val="008B7744"/>
    <w:rsid w:val="008B775D"/>
    <w:rsid w:val="008B7783"/>
    <w:rsid w:val="008B788B"/>
    <w:rsid w:val="008B7895"/>
    <w:rsid w:val="008B7949"/>
    <w:rsid w:val="008B7A1E"/>
    <w:rsid w:val="008B7A6B"/>
    <w:rsid w:val="008B7B45"/>
    <w:rsid w:val="008B7B95"/>
    <w:rsid w:val="008B7C21"/>
    <w:rsid w:val="008B7D99"/>
    <w:rsid w:val="008B7DF2"/>
    <w:rsid w:val="008B7E13"/>
    <w:rsid w:val="008B7E1B"/>
    <w:rsid w:val="008B7EA6"/>
    <w:rsid w:val="008B7EBB"/>
    <w:rsid w:val="008B7ECE"/>
    <w:rsid w:val="008B7F32"/>
    <w:rsid w:val="008B7FFD"/>
    <w:rsid w:val="008C0258"/>
    <w:rsid w:val="008C03A2"/>
    <w:rsid w:val="008C0401"/>
    <w:rsid w:val="008C041D"/>
    <w:rsid w:val="008C0685"/>
    <w:rsid w:val="008C0852"/>
    <w:rsid w:val="008C08C7"/>
    <w:rsid w:val="008C0A41"/>
    <w:rsid w:val="008C0AF0"/>
    <w:rsid w:val="008C0CFA"/>
    <w:rsid w:val="008C0D1B"/>
    <w:rsid w:val="008C0D41"/>
    <w:rsid w:val="008C0E22"/>
    <w:rsid w:val="008C0EFC"/>
    <w:rsid w:val="008C0FD0"/>
    <w:rsid w:val="008C1059"/>
    <w:rsid w:val="008C10A0"/>
    <w:rsid w:val="008C10D2"/>
    <w:rsid w:val="008C10D7"/>
    <w:rsid w:val="008C10F5"/>
    <w:rsid w:val="008C11D5"/>
    <w:rsid w:val="008C1288"/>
    <w:rsid w:val="008C12E8"/>
    <w:rsid w:val="008C134C"/>
    <w:rsid w:val="008C13BE"/>
    <w:rsid w:val="008C13D7"/>
    <w:rsid w:val="008C13E4"/>
    <w:rsid w:val="008C142C"/>
    <w:rsid w:val="008C144B"/>
    <w:rsid w:val="008C14DA"/>
    <w:rsid w:val="008C14E8"/>
    <w:rsid w:val="008C15B9"/>
    <w:rsid w:val="008C1626"/>
    <w:rsid w:val="008C16B0"/>
    <w:rsid w:val="008C16B8"/>
    <w:rsid w:val="008C16C9"/>
    <w:rsid w:val="008C16EB"/>
    <w:rsid w:val="008C17BE"/>
    <w:rsid w:val="008C17C0"/>
    <w:rsid w:val="008C1802"/>
    <w:rsid w:val="008C1859"/>
    <w:rsid w:val="008C18D7"/>
    <w:rsid w:val="008C1946"/>
    <w:rsid w:val="008C1B32"/>
    <w:rsid w:val="008C1C52"/>
    <w:rsid w:val="008C1CD9"/>
    <w:rsid w:val="008C1D53"/>
    <w:rsid w:val="008C1D60"/>
    <w:rsid w:val="008C1E71"/>
    <w:rsid w:val="008C1F47"/>
    <w:rsid w:val="008C1FB5"/>
    <w:rsid w:val="008C1FB7"/>
    <w:rsid w:val="008C2016"/>
    <w:rsid w:val="008C20A2"/>
    <w:rsid w:val="008C213D"/>
    <w:rsid w:val="008C2156"/>
    <w:rsid w:val="008C221C"/>
    <w:rsid w:val="008C2227"/>
    <w:rsid w:val="008C236C"/>
    <w:rsid w:val="008C236E"/>
    <w:rsid w:val="008C237B"/>
    <w:rsid w:val="008C2382"/>
    <w:rsid w:val="008C242A"/>
    <w:rsid w:val="008C24AC"/>
    <w:rsid w:val="008C2560"/>
    <w:rsid w:val="008C2563"/>
    <w:rsid w:val="008C25B1"/>
    <w:rsid w:val="008C26AC"/>
    <w:rsid w:val="008C27F9"/>
    <w:rsid w:val="008C27FB"/>
    <w:rsid w:val="008C2819"/>
    <w:rsid w:val="008C2820"/>
    <w:rsid w:val="008C295D"/>
    <w:rsid w:val="008C29DA"/>
    <w:rsid w:val="008C2A6D"/>
    <w:rsid w:val="008C2A87"/>
    <w:rsid w:val="008C2AEA"/>
    <w:rsid w:val="008C2B9C"/>
    <w:rsid w:val="008C2C1B"/>
    <w:rsid w:val="008C2C28"/>
    <w:rsid w:val="008C2E49"/>
    <w:rsid w:val="008C2F73"/>
    <w:rsid w:val="008C308D"/>
    <w:rsid w:val="008C315C"/>
    <w:rsid w:val="008C33DD"/>
    <w:rsid w:val="008C3419"/>
    <w:rsid w:val="008C3469"/>
    <w:rsid w:val="008C352F"/>
    <w:rsid w:val="008C364B"/>
    <w:rsid w:val="008C3696"/>
    <w:rsid w:val="008C369A"/>
    <w:rsid w:val="008C37D8"/>
    <w:rsid w:val="008C37EA"/>
    <w:rsid w:val="008C3925"/>
    <w:rsid w:val="008C399B"/>
    <w:rsid w:val="008C3A4E"/>
    <w:rsid w:val="008C3A6B"/>
    <w:rsid w:val="008C3A88"/>
    <w:rsid w:val="008C3AF5"/>
    <w:rsid w:val="008C3B97"/>
    <w:rsid w:val="008C3BDA"/>
    <w:rsid w:val="008C3C08"/>
    <w:rsid w:val="008C3C90"/>
    <w:rsid w:val="008C3D81"/>
    <w:rsid w:val="008C3EAD"/>
    <w:rsid w:val="008C3EAE"/>
    <w:rsid w:val="008C3EC3"/>
    <w:rsid w:val="008C412A"/>
    <w:rsid w:val="008C41CB"/>
    <w:rsid w:val="008C41ED"/>
    <w:rsid w:val="008C4308"/>
    <w:rsid w:val="008C4391"/>
    <w:rsid w:val="008C4407"/>
    <w:rsid w:val="008C444E"/>
    <w:rsid w:val="008C4500"/>
    <w:rsid w:val="008C4569"/>
    <w:rsid w:val="008C463C"/>
    <w:rsid w:val="008C474B"/>
    <w:rsid w:val="008C4780"/>
    <w:rsid w:val="008C47B1"/>
    <w:rsid w:val="008C498B"/>
    <w:rsid w:val="008C4AB1"/>
    <w:rsid w:val="008C4C36"/>
    <w:rsid w:val="008C4C44"/>
    <w:rsid w:val="008C4D0A"/>
    <w:rsid w:val="008C4D43"/>
    <w:rsid w:val="008C4F0B"/>
    <w:rsid w:val="008C4F68"/>
    <w:rsid w:val="008C4F77"/>
    <w:rsid w:val="008C4FF3"/>
    <w:rsid w:val="008C508E"/>
    <w:rsid w:val="008C50D3"/>
    <w:rsid w:val="008C5140"/>
    <w:rsid w:val="008C5227"/>
    <w:rsid w:val="008C5337"/>
    <w:rsid w:val="008C534C"/>
    <w:rsid w:val="008C534D"/>
    <w:rsid w:val="008C53D4"/>
    <w:rsid w:val="008C5400"/>
    <w:rsid w:val="008C5477"/>
    <w:rsid w:val="008C54E8"/>
    <w:rsid w:val="008C5586"/>
    <w:rsid w:val="008C570F"/>
    <w:rsid w:val="008C58EE"/>
    <w:rsid w:val="008C59BC"/>
    <w:rsid w:val="008C5A01"/>
    <w:rsid w:val="008C5A89"/>
    <w:rsid w:val="008C5A92"/>
    <w:rsid w:val="008C5AD5"/>
    <w:rsid w:val="008C5AE1"/>
    <w:rsid w:val="008C5B20"/>
    <w:rsid w:val="008C5B4A"/>
    <w:rsid w:val="008C5BAD"/>
    <w:rsid w:val="008C5D4C"/>
    <w:rsid w:val="008C5D4D"/>
    <w:rsid w:val="008C5D8C"/>
    <w:rsid w:val="008C5F68"/>
    <w:rsid w:val="008C5FAD"/>
    <w:rsid w:val="008C6008"/>
    <w:rsid w:val="008C6077"/>
    <w:rsid w:val="008C60F6"/>
    <w:rsid w:val="008C611B"/>
    <w:rsid w:val="008C61E6"/>
    <w:rsid w:val="008C6213"/>
    <w:rsid w:val="008C621C"/>
    <w:rsid w:val="008C62CD"/>
    <w:rsid w:val="008C6345"/>
    <w:rsid w:val="008C639E"/>
    <w:rsid w:val="008C64DE"/>
    <w:rsid w:val="008C6614"/>
    <w:rsid w:val="008C665D"/>
    <w:rsid w:val="008C6685"/>
    <w:rsid w:val="008C66F3"/>
    <w:rsid w:val="008C6884"/>
    <w:rsid w:val="008C6906"/>
    <w:rsid w:val="008C6931"/>
    <w:rsid w:val="008C6988"/>
    <w:rsid w:val="008C6B0D"/>
    <w:rsid w:val="008C6B41"/>
    <w:rsid w:val="008C6B6E"/>
    <w:rsid w:val="008C6C3C"/>
    <w:rsid w:val="008C6C53"/>
    <w:rsid w:val="008C6CF3"/>
    <w:rsid w:val="008C6CF8"/>
    <w:rsid w:val="008C6D97"/>
    <w:rsid w:val="008C6DAF"/>
    <w:rsid w:val="008C6DCF"/>
    <w:rsid w:val="008C6DD4"/>
    <w:rsid w:val="008C6E1D"/>
    <w:rsid w:val="008C6E4D"/>
    <w:rsid w:val="008C6E5B"/>
    <w:rsid w:val="008C6E66"/>
    <w:rsid w:val="008C6F3C"/>
    <w:rsid w:val="008C6F44"/>
    <w:rsid w:val="008C6F4D"/>
    <w:rsid w:val="008C7034"/>
    <w:rsid w:val="008C71A8"/>
    <w:rsid w:val="008C7302"/>
    <w:rsid w:val="008C7394"/>
    <w:rsid w:val="008C73A4"/>
    <w:rsid w:val="008C73A9"/>
    <w:rsid w:val="008C7452"/>
    <w:rsid w:val="008C7499"/>
    <w:rsid w:val="008C750A"/>
    <w:rsid w:val="008C75DE"/>
    <w:rsid w:val="008C76EB"/>
    <w:rsid w:val="008C7946"/>
    <w:rsid w:val="008C79B3"/>
    <w:rsid w:val="008C79C3"/>
    <w:rsid w:val="008C7A43"/>
    <w:rsid w:val="008C7C6A"/>
    <w:rsid w:val="008C7CAB"/>
    <w:rsid w:val="008C7CBE"/>
    <w:rsid w:val="008C7D05"/>
    <w:rsid w:val="008C7D45"/>
    <w:rsid w:val="008C7DF6"/>
    <w:rsid w:val="008C7F3A"/>
    <w:rsid w:val="008C7FB6"/>
    <w:rsid w:val="008D0148"/>
    <w:rsid w:val="008D024A"/>
    <w:rsid w:val="008D02BA"/>
    <w:rsid w:val="008D02CD"/>
    <w:rsid w:val="008D0338"/>
    <w:rsid w:val="008D0367"/>
    <w:rsid w:val="008D042B"/>
    <w:rsid w:val="008D043F"/>
    <w:rsid w:val="008D04FB"/>
    <w:rsid w:val="008D05EF"/>
    <w:rsid w:val="008D0610"/>
    <w:rsid w:val="008D062B"/>
    <w:rsid w:val="008D066A"/>
    <w:rsid w:val="008D0726"/>
    <w:rsid w:val="008D07BA"/>
    <w:rsid w:val="008D0959"/>
    <w:rsid w:val="008D0A7D"/>
    <w:rsid w:val="008D0A97"/>
    <w:rsid w:val="008D0AB8"/>
    <w:rsid w:val="008D0B44"/>
    <w:rsid w:val="008D0BE1"/>
    <w:rsid w:val="008D0C42"/>
    <w:rsid w:val="008D0C7D"/>
    <w:rsid w:val="008D0CD5"/>
    <w:rsid w:val="008D0D1A"/>
    <w:rsid w:val="008D0D79"/>
    <w:rsid w:val="008D1006"/>
    <w:rsid w:val="008D10D3"/>
    <w:rsid w:val="008D1115"/>
    <w:rsid w:val="008D1219"/>
    <w:rsid w:val="008D1271"/>
    <w:rsid w:val="008D1347"/>
    <w:rsid w:val="008D1449"/>
    <w:rsid w:val="008D144B"/>
    <w:rsid w:val="008D1483"/>
    <w:rsid w:val="008D148A"/>
    <w:rsid w:val="008D14F5"/>
    <w:rsid w:val="008D150C"/>
    <w:rsid w:val="008D1544"/>
    <w:rsid w:val="008D15CE"/>
    <w:rsid w:val="008D16AA"/>
    <w:rsid w:val="008D174E"/>
    <w:rsid w:val="008D1961"/>
    <w:rsid w:val="008D1C88"/>
    <w:rsid w:val="008D1D53"/>
    <w:rsid w:val="008D1D56"/>
    <w:rsid w:val="008D1D8B"/>
    <w:rsid w:val="008D1D96"/>
    <w:rsid w:val="008D1E54"/>
    <w:rsid w:val="008D1EA5"/>
    <w:rsid w:val="008D1F25"/>
    <w:rsid w:val="008D1F63"/>
    <w:rsid w:val="008D2127"/>
    <w:rsid w:val="008D2255"/>
    <w:rsid w:val="008D22E4"/>
    <w:rsid w:val="008D234F"/>
    <w:rsid w:val="008D2585"/>
    <w:rsid w:val="008D26E4"/>
    <w:rsid w:val="008D2B6A"/>
    <w:rsid w:val="008D2B6F"/>
    <w:rsid w:val="008D2CA3"/>
    <w:rsid w:val="008D2D75"/>
    <w:rsid w:val="008D2D9A"/>
    <w:rsid w:val="008D2DB2"/>
    <w:rsid w:val="008D2DB5"/>
    <w:rsid w:val="008D2DC0"/>
    <w:rsid w:val="008D2E5B"/>
    <w:rsid w:val="008D2E7F"/>
    <w:rsid w:val="008D2EA7"/>
    <w:rsid w:val="008D30B6"/>
    <w:rsid w:val="008D30EA"/>
    <w:rsid w:val="008D322B"/>
    <w:rsid w:val="008D3391"/>
    <w:rsid w:val="008D339B"/>
    <w:rsid w:val="008D33C7"/>
    <w:rsid w:val="008D33FA"/>
    <w:rsid w:val="008D340B"/>
    <w:rsid w:val="008D344E"/>
    <w:rsid w:val="008D348E"/>
    <w:rsid w:val="008D35F0"/>
    <w:rsid w:val="008D36D3"/>
    <w:rsid w:val="008D36F7"/>
    <w:rsid w:val="008D387E"/>
    <w:rsid w:val="008D38A5"/>
    <w:rsid w:val="008D38CD"/>
    <w:rsid w:val="008D3B58"/>
    <w:rsid w:val="008D3BE7"/>
    <w:rsid w:val="008D3C28"/>
    <w:rsid w:val="008D3C4C"/>
    <w:rsid w:val="008D3CF0"/>
    <w:rsid w:val="008D3D5B"/>
    <w:rsid w:val="008D3EC1"/>
    <w:rsid w:val="008D3F46"/>
    <w:rsid w:val="008D3FC8"/>
    <w:rsid w:val="008D425B"/>
    <w:rsid w:val="008D42D4"/>
    <w:rsid w:val="008D44BD"/>
    <w:rsid w:val="008D44FE"/>
    <w:rsid w:val="008D464B"/>
    <w:rsid w:val="008D469C"/>
    <w:rsid w:val="008D4738"/>
    <w:rsid w:val="008D474C"/>
    <w:rsid w:val="008D4771"/>
    <w:rsid w:val="008D47D3"/>
    <w:rsid w:val="008D4895"/>
    <w:rsid w:val="008D48FA"/>
    <w:rsid w:val="008D4987"/>
    <w:rsid w:val="008D49FF"/>
    <w:rsid w:val="008D4A9C"/>
    <w:rsid w:val="008D4AAC"/>
    <w:rsid w:val="008D4B65"/>
    <w:rsid w:val="008D4B92"/>
    <w:rsid w:val="008D4BA1"/>
    <w:rsid w:val="008D4BB5"/>
    <w:rsid w:val="008D4CA3"/>
    <w:rsid w:val="008D4CB5"/>
    <w:rsid w:val="008D4CD1"/>
    <w:rsid w:val="008D4CEA"/>
    <w:rsid w:val="008D4DCB"/>
    <w:rsid w:val="008D4E72"/>
    <w:rsid w:val="008D4E9A"/>
    <w:rsid w:val="008D4FDB"/>
    <w:rsid w:val="008D5029"/>
    <w:rsid w:val="008D5033"/>
    <w:rsid w:val="008D518A"/>
    <w:rsid w:val="008D51DA"/>
    <w:rsid w:val="008D51DF"/>
    <w:rsid w:val="008D52AA"/>
    <w:rsid w:val="008D52D9"/>
    <w:rsid w:val="008D5540"/>
    <w:rsid w:val="008D57C9"/>
    <w:rsid w:val="008D58D3"/>
    <w:rsid w:val="008D5917"/>
    <w:rsid w:val="008D5996"/>
    <w:rsid w:val="008D59BD"/>
    <w:rsid w:val="008D59F3"/>
    <w:rsid w:val="008D5A2C"/>
    <w:rsid w:val="008D5A31"/>
    <w:rsid w:val="008D5B71"/>
    <w:rsid w:val="008D5B97"/>
    <w:rsid w:val="008D5C43"/>
    <w:rsid w:val="008D5CB4"/>
    <w:rsid w:val="008D5D31"/>
    <w:rsid w:val="008D5E88"/>
    <w:rsid w:val="008D5ECF"/>
    <w:rsid w:val="008D5EF5"/>
    <w:rsid w:val="008D5F9A"/>
    <w:rsid w:val="008D5FB2"/>
    <w:rsid w:val="008D6176"/>
    <w:rsid w:val="008D6255"/>
    <w:rsid w:val="008D62A9"/>
    <w:rsid w:val="008D6626"/>
    <w:rsid w:val="008D6675"/>
    <w:rsid w:val="008D6710"/>
    <w:rsid w:val="008D67BD"/>
    <w:rsid w:val="008D67D3"/>
    <w:rsid w:val="008D689A"/>
    <w:rsid w:val="008D6A64"/>
    <w:rsid w:val="008D6A93"/>
    <w:rsid w:val="008D6B62"/>
    <w:rsid w:val="008D6C1A"/>
    <w:rsid w:val="008D6C39"/>
    <w:rsid w:val="008D6D8B"/>
    <w:rsid w:val="008D6DA4"/>
    <w:rsid w:val="008D6E9B"/>
    <w:rsid w:val="008D6ED9"/>
    <w:rsid w:val="008D6F03"/>
    <w:rsid w:val="008D6F87"/>
    <w:rsid w:val="008D6FC7"/>
    <w:rsid w:val="008D7249"/>
    <w:rsid w:val="008D730D"/>
    <w:rsid w:val="008D7313"/>
    <w:rsid w:val="008D7329"/>
    <w:rsid w:val="008D7361"/>
    <w:rsid w:val="008D7412"/>
    <w:rsid w:val="008D7488"/>
    <w:rsid w:val="008D7629"/>
    <w:rsid w:val="008D7633"/>
    <w:rsid w:val="008D76EF"/>
    <w:rsid w:val="008D77FC"/>
    <w:rsid w:val="008D7822"/>
    <w:rsid w:val="008D7833"/>
    <w:rsid w:val="008D7856"/>
    <w:rsid w:val="008D7898"/>
    <w:rsid w:val="008D79A2"/>
    <w:rsid w:val="008D79CE"/>
    <w:rsid w:val="008D79DE"/>
    <w:rsid w:val="008D7A34"/>
    <w:rsid w:val="008D7A56"/>
    <w:rsid w:val="008D7B0F"/>
    <w:rsid w:val="008D7B75"/>
    <w:rsid w:val="008D7B9D"/>
    <w:rsid w:val="008D7BCE"/>
    <w:rsid w:val="008D7C0D"/>
    <w:rsid w:val="008D7C75"/>
    <w:rsid w:val="008D7C91"/>
    <w:rsid w:val="008D7CBC"/>
    <w:rsid w:val="008D7CF4"/>
    <w:rsid w:val="008D7E6B"/>
    <w:rsid w:val="008D7EB5"/>
    <w:rsid w:val="008D7ECE"/>
    <w:rsid w:val="008D7F5C"/>
    <w:rsid w:val="008D7F82"/>
    <w:rsid w:val="008E0026"/>
    <w:rsid w:val="008E014F"/>
    <w:rsid w:val="008E024B"/>
    <w:rsid w:val="008E0277"/>
    <w:rsid w:val="008E042B"/>
    <w:rsid w:val="008E0484"/>
    <w:rsid w:val="008E0577"/>
    <w:rsid w:val="008E05FA"/>
    <w:rsid w:val="008E0628"/>
    <w:rsid w:val="008E07DB"/>
    <w:rsid w:val="008E087B"/>
    <w:rsid w:val="008E0973"/>
    <w:rsid w:val="008E099A"/>
    <w:rsid w:val="008E09A0"/>
    <w:rsid w:val="008E09C0"/>
    <w:rsid w:val="008E0A7A"/>
    <w:rsid w:val="008E0AB4"/>
    <w:rsid w:val="008E0B07"/>
    <w:rsid w:val="008E0D27"/>
    <w:rsid w:val="008E0D7E"/>
    <w:rsid w:val="008E0F7B"/>
    <w:rsid w:val="008E0FBE"/>
    <w:rsid w:val="008E110B"/>
    <w:rsid w:val="008E137F"/>
    <w:rsid w:val="008E1411"/>
    <w:rsid w:val="008E14A2"/>
    <w:rsid w:val="008E14AF"/>
    <w:rsid w:val="008E14E1"/>
    <w:rsid w:val="008E150D"/>
    <w:rsid w:val="008E1536"/>
    <w:rsid w:val="008E1608"/>
    <w:rsid w:val="008E1611"/>
    <w:rsid w:val="008E1706"/>
    <w:rsid w:val="008E171D"/>
    <w:rsid w:val="008E173D"/>
    <w:rsid w:val="008E1A43"/>
    <w:rsid w:val="008E1AF8"/>
    <w:rsid w:val="008E1B0F"/>
    <w:rsid w:val="008E1BF3"/>
    <w:rsid w:val="008E1C01"/>
    <w:rsid w:val="008E1D73"/>
    <w:rsid w:val="008E1ED1"/>
    <w:rsid w:val="008E1F05"/>
    <w:rsid w:val="008E1F54"/>
    <w:rsid w:val="008E204F"/>
    <w:rsid w:val="008E2115"/>
    <w:rsid w:val="008E21CF"/>
    <w:rsid w:val="008E2210"/>
    <w:rsid w:val="008E2298"/>
    <w:rsid w:val="008E22EF"/>
    <w:rsid w:val="008E22F2"/>
    <w:rsid w:val="008E233D"/>
    <w:rsid w:val="008E2347"/>
    <w:rsid w:val="008E253D"/>
    <w:rsid w:val="008E2564"/>
    <w:rsid w:val="008E2596"/>
    <w:rsid w:val="008E259B"/>
    <w:rsid w:val="008E276A"/>
    <w:rsid w:val="008E2798"/>
    <w:rsid w:val="008E27E2"/>
    <w:rsid w:val="008E2898"/>
    <w:rsid w:val="008E290C"/>
    <w:rsid w:val="008E2967"/>
    <w:rsid w:val="008E2ABD"/>
    <w:rsid w:val="008E2AF2"/>
    <w:rsid w:val="008E2AFC"/>
    <w:rsid w:val="008E2C35"/>
    <w:rsid w:val="008E2DF9"/>
    <w:rsid w:val="008E2EC8"/>
    <w:rsid w:val="008E2ED9"/>
    <w:rsid w:val="008E2F2D"/>
    <w:rsid w:val="008E2F77"/>
    <w:rsid w:val="008E301E"/>
    <w:rsid w:val="008E3047"/>
    <w:rsid w:val="008E30E6"/>
    <w:rsid w:val="008E3102"/>
    <w:rsid w:val="008E323C"/>
    <w:rsid w:val="008E3283"/>
    <w:rsid w:val="008E32A9"/>
    <w:rsid w:val="008E330B"/>
    <w:rsid w:val="008E333A"/>
    <w:rsid w:val="008E34D8"/>
    <w:rsid w:val="008E35F1"/>
    <w:rsid w:val="008E35F6"/>
    <w:rsid w:val="008E36AB"/>
    <w:rsid w:val="008E36D5"/>
    <w:rsid w:val="008E386A"/>
    <w:rsid w:val="008E3A1C"/>
    <w:rsid w:val="008E3A31"/>
    <w:rsid w:val="008E3A40"/>
    <w:rsid w:val="008E3D42"/>
    <w:rsid w:val="008E3DD5"/>
    <w:rsid w:val="008E3DE4"/>
    <w:rsid w:val="008E3DE7"/>
    <w:rsid w:val="008E3FD5"/>
    <w:rsid w:val="008E400D"/>
    <w:rsid w:val="008E40EB"/>
    <w:rsid w:val="008E40F4"/>
    <w:rsid w:val="008E41CD"/>
    <w:rsid w:val="008E42D6"/>
    <w:rsid w:val="008E4312"/>
    <w:rsid w:val="008E4377"/>
    <w:rsid w:val="008E441A"/>
    <w:rsid w:val="008E4435"/>
    <w:rsid w:val="008E44C2"/>
    <w:rsid w:val="008E4554"/>
    <w:rsid w:val="008E4556"/>
    <w:rsid w:val="008E45B3"/>
    <w:rsid w:val="008E467C"/>
    <w:rsid w:val="008E4680"/>
    <w:rsid w:val="008E4737"/>
    <w:rsid w:val="008E477B"/>
    <w:rsid w:val="008E48C8"/>
    <w:rsid w:val="008E4902"/>
    <w:rsid w:val="008E4935"/>
    <w:rsid w:val="008E4940"/>
    <w:rsid w:val="008E4AC7"/>
    <w:rsid w:val="008E4AF6"/>
    <w:rsid w:val="008E4BE2"/>
    <w:rsid w:val="008E4C3A"/>
    <w:rsid w:val="008E4C58"/>
    <w:rsid w:val="008E4C60"/>
    <w:rsid w:val="008E4CBE"/>
    <w:rsid w:val="008E4CD6"/>
    <w:rsid w:val="008E4CFF"/>
    <w:rsid w:val="008E4E1A"/>
    <w:rsid w:val="008E4F01"/>
    <w:rsid w:val="008E501B"/>
    <w:rsid w:val="008E50F1"/>
    <w:rsid w:val="008E52C8"/>
    <w:rsid w:val="008E533D"/>
    <w:rsid w:val="008E54B7"/>
    <w:rsid w:val="008E5517"/>
    <w:rsid w:val="008E5563"/>
    <w:rsid w:val="008E5810"/>
    <w:rsid w:val="008E5880"/>
    <w:rsid w:val="008E5AB4"/>
    <w:rsid w:val="008E5B19"/>
    <w:rsid w:val="008E5D69"/>
    <w:rsid w:val="008E5D8D"/>
    <w:rsid w:val="008E5E00"/>
    <w:rsid w:val="008E5FA5"/>
    <w:rsid w:val="008E5FE4"/>
    <w:rsid w:val="008E6019"/>
    <w:rsid w:val="008E60A8"/>
    <w:rsid w:val="008E611E"/>
    <w:rsid w:val="008E61DA"/>
    <w:rsid w:val="008E6209"/>
    <w:rsid w:val="008E624C"/>
    <w:rsid w:val="008E624E"/>
    <w:rsid w:val="008E6256"/>
    <w:rsid w:val="008E62D3"/>
    <w:rsid w:val="008E6384"/>
    <w:rsid w:val="008E6596"/>
    <w:rsid w:val="008E662F"/>
    <w:rsid w:val="008E6633"/>
    <w:rsid w:val="008E6641"/>
    <w:rsid w:val="008E6700"/>
    <w:rsid w:val="008E68AF"/>
    <w:rsid w:val="008E6A1E"/>
    <w:rsid w:val="008E6A6C"/>
    <w:rsid w:val="008E6A9A"/>
    <w:rsid w:val="008E6C08"/>
    <w:rsid w:val="008E6C84"/>
    <w:rsid w:val="008E6D28"/>
    <w:rsid w:val="008E6D43"/>
    <w:rsid w:val="008E6E5D"/>
    <w:rsid w:val="008E6F3B"/>
    <w:rsid w:val="008E6FAA"/>
    <w:rsid w:val="008E6FAD"/>
    <w:rsid w:val="008E7029"/>
    <w:rsid w:val="008E73E7"/>
    <w:rsid w:val="008E75B6"/>
    <w:rsid w:val="008E75D1"/>
    <w:rsid w:val="008E76DD"/>
    <w:rsid w:val="008E7744"/>
    <w:rsid w:val="008E77D5"/>
    <w:rsid w:val="008E7831"/>
    <w:rsid w:val="008E7850"/>
    <w:rsid w:val="008E7982"/>
    <w:rsid w:val="008E7999"/>
    <w:rsid w:val="008E79AD"/>
    <w:rsid w:val="008E7A00"/>
    <w:rsid w:val="008E7A08"/>
    <w:rsid w:val="008E7A6A"/>
    <w:rsid w:val="008E7AAD"/>
    <w:rsid w:val="008E7AE9"/>
    <w:rsid w:val="008E7B1F"/>
    <w:rsid w:val="008E7BD8"/>
    <w:rsid w:val="008E7C41"/>
    <w:rsid w:val="008E7C51"/>
    <w:rsid w:val="008E7CF0"/>
    <w:rsid w:val="008E7D13"/>
    <w:rsid w:val="008E7DF0"/>
    <w:rsid w:val="008E7EA6"/>
    <w:rsid w:val="008E7F7F"/>
    <w:rsid w:val="008F001E"/>
    <w:rsid w:val="008F0023"/>
    <w:rsid w:val="008F0199"/>
    <w:rsid w:val="008F01C6"/>
    <w:rsid w:val="008F020F"/>
    <w:rsid w:val="008F0289"/>
    <w:rsid w:val="008F0378"/>
    <w:rsid w:val="008F03AD"/>
    <w:rsid w:val="008F03B2"/>
    <w:rsid w:val="008F03FB"/>
    <w:rsid w:val="008F04DE"/>
    <w:rsid w:val="008F0617"/>
    <w:rsid w:val="008F06BE"/>
    <w:rsid w:val="008F07B0"/>
    <w:rsid w:val="008F07D5"/>
    <w:rsid w:val="008F07E3"/>
    <w:rsid w:val="008F0824"/>
    <w:rsid w:val="008F082E"/>
    <w:rsid w:val="008F083E"/>
    <w:rsid w:val="008F08DB"/>
    <w:rsid w:val="008F094F"/>
    <w:rsid w:val="008F0AE6"/>
    <w:rsid w:val="008F0B58"/>
    <w:rsid w:val="008F0BBD"/>
    <w:rsid w:val="008F0BD9"/>
    <w:rsid w:val="008F0DB8"/>
    <w:rsid w:val="008F0E13"/>
    <w:rsid w:val="008F0E3E"/>
    <w:rsid w:val="008F0E8D"/>
    <w:rsid w:val="008F0EE1"/>
    <w:rsid w:val="008F0F3B"/>
    <w:rsid w:val="008F100B"/>
    <w:rsid w:val="008F1033"/>
    <w:rsid w:val="008F1128"/>
    <w:rsid w:val="008F1141"/>
    <w:rsid w:val="008F11D0"/>
    <w:rsid w:val="008F11D2"/>
    <w:rsid w:val="008F1209"/>
    <w:rsid w:val="008F122E"/>
    <w:rsid w:val="008F1274"/>
    <w:rsid w:val="008F1347"/>
    <w:rsid w:val="008F149D"/>
    <w:rsid w:val="008F14B1"/>
    <w:rsid w:val="008F14E3"/>
    <w:rsid w:val="008F14EA"/>
    <w:rsid w:val="008F15C4"/>
    <w:rsid w:val="008F15DF"/>
    <w:rsid w:val="008F1706"/>
    <w:rsid w:val="008F17A8"/>
    <w:rsid w:val="008F17E9"/>
    <w:rsid w:val="008F1975"/>
    <w:rsid w:val="008F19D7"/>
    <w:rsid w:val="008F1A61"/>
    <w:rsid w:val="008F1AAD"/>
    <w:rsid w:val="008F1ADD"/>
    <w:rsid w:val="008F1AE5"/>
    <w:rsid w:val="008F1CCA"/>
    <w:rsid w:val="008F1DCD"/>
    <w:rsid w:val="008F1E3E"/>
    <w:rsid w:val="008F1F03"/>
    <w:rsid w:val="008F1FFC"/>
    <w:rsid w:val="008F2016"/>
    <w:rsid w:val="008F20FA"/>
    <w:rsid w:val="008F2124"/>
    <w:rsid w:val="008F21AA"/>
    <w:rsid w:val="008F22BC"/>
    <w:rsid w:val="008F23C0"/>
    <w:rsid w:val="008F2437"/>
    <w:rsid w:val="008F243E"/>
    <w:rsid w:val="008F24E7"/>
    <w:rsid w:val="008F2704"/>
    <w:rsid w:val="008F2726"/>
    <w:rsid w:val="008F27D5"/>
    <w:rsid w:val="008F28A9"/>
    <w:rsid w:val="008F2963"/>
    <w:rsid w:val="008F2972"/>
    <w:rsid w:val="008F29C3"/>
    <w:rsid w:val="008F2AB2"/>
    <w:rsid w:val="008F2BAF"/>
    <w:rsid w:val="008F2CC9"/>
    <w:rsid w:val="008F2D00"/>
    <w:rsid w:val="008F2E2C"/>
    <w:rsid w:val="008F2E69"/>
    <w:rsid w:val="008F2F27"/>
    <w:rsid w:val="008F3015"/>
    <w:rsid w:val="008F3153"/>
    <w:rsid w:val="008F31C2"/>
    <w:rsid w:val="008F3299"/>
    <w:rsid w:val="008F329E"/>
    <w:rsid w:val="008F3366"/>
    <w:rsid w:val="008F337B"/>
    <w:rsid w:val="008F354E"/>
    <w:rsid w:val="008F35BE"/>
    <w:rsid w:val="008F3823"/>
    <w:rsid w:val="008F388D"/>
    <w:rsid w:val="008F38FF"/>
    <w:rsid w:val="008F3957"/>
    <w:rsid w:val="008F396E"/>
    <w:rsid w:val="008F39BA"/>
    <w:rsid w:val="008F39E3"/>
    <w:rsid w:val="008F3ACF"/>
    <w:rsid w:val="008F3AD0"/>
    <w:rsid w:val="008F3AF4"/>
    <w:rsid w:val="008F3BF2"/>
    <w:rsid w:val="008F3C0B"/>
    <w:rsid w:val="008F3D83"/>
    <w:rsid w:val="008F3DCB"/>
    <w:rsid w:val="008F3DDB"/>
    <w:rsid w:val="008F3DEF"/>
    <w:rsid w:val="008F3E5A"/>
    <w:rsid w:val="008F3F2E"/>
    <w:rsid w:val="008F3F45"/>
    <w:rsid w:val="008F3FD1"/>
    <w:rsid w:val="008F4035"/>
    <w:rsid w:val="008F41A2"/>
    <w:rsid w:val="008F4210"/>
    <w:rsid w:val="008F426D"/>
    <w:rsid w:val="008F431D"/>
    <w:rsid w:val="008F43DB"/>
    <w:rsid w:val="008F4499"/>
    <w:rsid w:val="008F44A6"/>
    <w:rsid w:val="008F44DB"/>
    <w:rsid w:val="008F44F6"/>
    <w:rsid w:val="008F45DE"/>
    <w:rsid w:val="008F4609"/>
    <w:rsid w:val="008F4684"/>
    <w:rsid w:val="008F476C"/>
    <w:rsid w:val="008F48F3"/>
    <w:rsid w:val="008F48FA"/>
    <w:rsid w:val="008F49E9"/>
    <w:rsid w:val="008F4A02"/>
    <w:rsid w:val="008F4AFB"/>
    <w:rsid w:val="008F4B3B"/>
    <w:rsid w:val="008F4C0C"/>
    <w:rsid w:val="008F4C4A"/>
    <w:rsid w:val="008F4C92"/>
    <w:rsid w:val="008F4E40"/>
    <w:rsid w:val="008F4E52"/>
    <w:rsid w:val="008F4E5E"/>
    <w:rsid w:val="008F4EB8"/>
    <w:rsid w:val="008F4EF6"/>
    <w:rsid w:val="008F4F7E"/>
    <w:rsid w:val="008F5076"/>
    <w:rsid w:val="008F52AB"/>
    <w:rsid w:val="008F52B7"/>
    <w:rsid w:val="008F5413"/>
    <w:rsid w:val="008F54C3"/>
    <w:rsid w:val="008F554C"/>
    <w:rsid w:val="008F5567"/>
    <w:rsid w:val="008F55BD"/>
    <w:rsid w:val="008F5680"/>
    <w:rsid w:val="008F5766"/>
    <w:rsid w:val="008F589F"/>
    <w:rsid w:val="008F58CF"/>
    <w:rsid w:val="008F5A1A"/>
    <w:rsid w:val="008F5B62"/>
    <w:rsid w:val="008F5C48"/>
    <w:rsid w:val="008F5C65"/>
    <w:rsid w:val="008F5CFB"/>
    <w:rsid w:val="008F5D48"/>
    <w:rsid w:val="008F5DC0"/>
    <w:rsid w:val="008F5EAB"/>
    <w:rsid w:val="008F5F08"/>
    <w:rsid w:val="008F5F3B"/>
    <w:rsid w:val="008F5F60"/>
    <w:rsid w:val="008F5F68"/>
    <w:rsid w:val="008F6014"/>
    <w:rsid w:val="008F605B"/>
    <w:rsid w:val="008F6190"/>
    <w:rsid w:val="008F6193"/>
    <w:rsid w:val="008F6261"/>
    <w:rsid w:val="008F626E"/>
    <w:rsid w:val="008F62B2"/>
    <w:rsid w:val="008F630F"/>
    <w:rsid w:val="008F6407"/>
    <w:rsid w:val="008F64A5"/>
    <w:rsid w:val="008F6624"/>
    <w:rsid w:val="008F663B"/>
    <w:rsid w:val="008F6758"/>
    <w:rsid w:val="008F677A"/>
    <w:rsid w:val="008F6788"/>
    <w:rsid w:val="008F67BF"/>
    <w:rsid w:val="008F697B"/>
    <w:rsid w:val="008F6AC4"/>
    <w:rsid w:val="008F6C26"/>
    <w:rsid w:val="008F6C5D"/>
    <w:rsid w:val="008F6C74"/>
    <w:rsid w:val="008F6D51"/>
    <w:rsid w:val="008F6DD1"/>
    <w:rsid w:val="008F6E6D"/>
    <w:rsid w:val="008F7019"/>
    <w:rsid w:val="008F7143"/>
    <w:rsid w:val="008F7220"/>
    <w:rsid w:val="008F72B1"/>
    <w:rsid w:val="008F72C3"/>
    <w:rsid w:val="008F73A3"/>
    <w:rsid w:val="008F7478"/>
    <w:rsid w:val="008F7566"/>
    <w:rsid w:val="008F75E2"/>
    <w:rsid w:val="008F76F6"/>
    <w:rsid w:val="008F7789"/>
    <w:rsid w:val="008F78C7"/>
    <w:rsid w:val="008F79F8"/>
    <w:rsid w:val="008F7A5C"/>
    <w:rsid w:val="008F7E96"/>
    <w:rsid w:val="008F7F5D"/>
    <w:rsid w:val="008F7F9D"/>
    <w:rsid w:val="0090000B"/>
    <w:rsid w:val="00900135"/>
    <w:rsid w:val="00900268"/>
    <w:rsid w:val="00900315"/>
    <w:rsid w:val="00900373"/>
    <w:rsid w:val="0090038F"/>
    <w:rsid w:val="0090039A"/>
    <w:rsid w:val="0090048B"/>
    <w:rsid w:val="009004DA"/>
    <w:rsid w:val="00900542"/>
    <w:rsid w:val="0090057C"/>
    <w:rsid w:val="009005C9"/>
    <w:rsid w:val="009005F8"/>
    <w:rsid w:val="0090061C"/>
    <w:rsid w:val="00900675"/>
    <w:rsid w:val="009006F0"/>
    <w:rsid w:val="00900805"/>
    <w:rsid w:val="0090081A"/>
    <w:rsid w:val="009008AC"/>
    <w:rsid w:val="00900956"/>
    <w:rsid w:val="00900961"/>
    <w:rsid w:val="009009D1"/>
    <w:rsid w:val="00900A94"/>
    <w:rsid w:val="00900ADE"/>
    <w:rsid w:val="00900BC9"/>
    <w:rsid w:val="00900BD4"/>
    <w:rsid w:val="00900EB6"/>
    <w:rsid w:val="00900EFE"/>
    <w:rsid w:val="00900F3A"/>
    <w:rsid w:val="00900FDF"/>
    <w:rsid w:val="00901047"/>
    <w:rsid w:val="00901200"/>
    <w:rsid w:val="009012CF"/>
    <w:rsid w:val="00901318"/>
    <w:rsid w:val="00901395"/>
    <w:rsid w:val="00901442"/>
    <w:rsid w:val="0090144C"/>
    <w:rsid w:val="009014F1"/>
    <w:rsid w:val="0090160E"/>
    <w:rsid w:val="0090176E"/>
    <w:rsid w:val="009017EB"/>
    <w:rsid w:val="00901896"/>
    <w:rsid w:val="009018FD"/>
    <w:rsid w:val="00901987"/>
    <w:rsid w:val="009019D7"/>
    <w:rsid w:val="00901B1C"/>
    <w:rsid w:val="00901BC4"/>
    <w:rsid w:val="00901BDE"/>
    <w:rsid w:val="00901C34"/>
    <w:rsid w:val="00901C8B"/>
    <w:rsid w:val="00901E0D"/>
    <w:rsid w:val="0090205D"/>
    <w:rsid w:val="0090208F"/>
    <w:rsid w:val="009021D3"/>
    <w:rsid w:val="009021E3"/>
    <w:rsid w:val="0090224D"/>
    <w:rsid w:val="0090225C"/>
    <w:rsid w:val="0090229F"/>
    <w:rsid w:val="00902328"/>
    <w:rsid w:val="009024A7"/>
    <w:rsid w:val="00902576"/>
    <w:rsid w:val="00902590"/>
    <w:rsid w:val="0090259D"/>
    <w:rsid w:val="009026BD"/>
    <w:rsid w:val="009026D2"/>
    <w:rsid w:val="00902717"/>
    <w:rsid w:val="0090284F"/>
    <w:rsid w:val="009028AD"/>
    <w:rsid w:val="009028B1"/>
    <w:rsid w:val="0090292C"/>
    <w:rsid w:val="0090293B"/>
    <w:rsid w:val="00902AEA"/>
    <w:rsid w:val="00902AF0"/>
    <w:rsid w:val="00902BD5"/>
    <w:rsid w:val="00902C40"/>
    <w:rsid w:val="00902CC1"/>
    <w:rsid w:val="00902D0C"/>
    <w:rsid w:val="00902EFE"/>
    <w:rsid w:val="00902FF4"/>
    <w:rsid w:val="00903060"/>
    <w:rsid w:val="0090306F"/>
    <w:rsid w:val="009030BF"/>
    <w:rsid w:val="009030C4"/>
    <w:rsid w:val="009031E6"/>
    <w:rsid w:val="00903202"/>
    <w:rsid w:val="0090320C"/>
    <w:rsid w:val="00903216"/>
    <w:rsid w:val="00903242"/>
    <w:rsid w:val="0090327D"/>
    <w:rsid w:val="0090338F"/>
    <w:rsid w:val="00903771"/>
    <w:rsid w:val="009037BF"/>
    <w:rsid w:val="009037F3"/>
    <w:rsid w:val="0090383D"/>
    <w:rsid w:val="00903953"/>
    <w:rsid w:val="00903B78"/>
    <w:rsid w:val="00903BA6"/>
    <w:rsid w:val="00903C2B"/>
    <w:rsid w:val="00903D94"/>
    <w:rsid w:val="00903E25"/>
    <w:rsid w:val="00903F01"/>
    <w:rsid w:val="00903F40"/>
    <w:rsid w:val="00903FC9"/>
    <w:rsid w:val="00903FEB"/>
    <w:rsid w:val="00904030"/>
    <w:rsid w:val="00904054"/>
    <w:rsid w:val="0090422C"/>
    <w:rsid w:val="00904326"/>
    <w:rsid w:val="00904329"/>
    <w:rsid w:val="00904498"/>
    <w:rsid w:val="009044CC"/>
    <w:rsid w:val="009045FF"/>
    <w:rsid w:val="00904687"/>
    <w:rsid w:val="0090468C"/>
    <w:rsid w:val="009047A4"/>
    <w:rsid w:val="009047AE"/>
    <w:rsid w:val="009047EB"/>
    <w:rsid w:val="00904807"/>
    <w:rsid w:val="00904870"/>
    <w:rsid w:val="009048A6"/>
    <w:rsid w:val="009048CA"/>
    <w:rsid w:val="009048E8"/>
    <w:rsid w:val="009048EF"/>
    <w:rsid w:val="00904B86"/>
    <w:rsid w:val="00904CB2"/>
    <w:rsid w:val="00904D5A"/>
    <w:rsid w:val="00904DB8"/>
    <w:rsid w:val="00904E63"/>
    <w:rsid w:val="00904EA3"/>
    <w:rsid w:val="00904EB5"/>
    <w:rsid w:val="00904F01"/>
    <w:rsid w:val="00904F26"/>
    <w:rsid w:val="00904FD3"/>
    <w:rsid w:val="0090504C"/>
    <w:rsid w:val="0090504F"/>
    <w:rsid w:val="009050F6"/>
    <w:rsid w:val="00905184"/>
    <w:rsid w:val="009051E8"/>
    <w:rsid w:val="009052E8"/>
    <w:rsid w:val="0090535D"/>
    <w:rsid w:val="00905447"/>
    <w:rsid w:val="00905467"/>
    <w:rsid w:val="009054B2"/>
    <w:rsid w:val="00905564"/>
    <w:rsid w:val="00905584"/>
    <w:rsid w:val="00905642"/>
    <w:rsid w:val="0090578A"/>
    <w:rsid w:val="009057E0"/>
    <w:rsid w:val="00905923"/>
    <w:rsid w:val="00905A1C"/>
    <w:rsid w:val="00905A29"/>
    <w:rsid w:val="00905ABE"/>
    <w:rsid w:val="00905C12"/>
    <w:rsid w:val="00905C2D"/>
    <w:rsid w:val="00905E6E"/>
    <w:rsid w:val="00905EA6"/>
    <w:rsid w:val="00905FAF"/>
    <w:rsid w:val="0090609F"/>
    <w:rsid w:val="00906171"/>
    <w:rsid w:val="009061A6"/>
    <w:rsid w:val="009062D0"/>
    <w:rsid w:val="009063B4"/>
    <w:rsid w:val="0090651F"/>
    <w:rsid w:val="009065F4"/>
    <w:rsid w:val="00906793"/>
    <w:rsid w:val="0090679B"/>
    <w:rsid w:val="009067B2"/>
    <w:rsid w:val="0090682C"/>
    <w:rsid w:val="009068F7"/>
    <w:rsid w:val="00906915"/>
    <w:rsid w:val="00906955"/>
    <w:rsid w:val="00906968"/>
    <w:rsid w:val="00906B7D"/>
    <w:rsid w:val="00906C19"/>
    <w:rsid w:val="00906D03"/>
    <w:rsid w:val="00906D3F"/>
    <w:rsid w:val="00906DE2"/>
    <w:rsid w:val="00906E8B"/>
    <w:rsid w:val="00906ED5"/>
    <w:rsid w:val="00906F40"/>
    <w:rsid w:val="00906F58"/>
    <w:rsid w:val="00906F86"/>
    <w:rsid w:val="00906FB6"/>
    <w:rsid w:val="0090706E"/>
    <w:rsid w:val="00907158"/>
    <w:rsid w:val="00907281"/>
    <w:rsid w:val="009073B6"/>
    <w:rsid w:val="00907437"/>
    <w:rsid w:val="009074D7"/>
    <w:rsid w:val="009074E0"/>
    <w:rsid w:val="009075B8"/>
    <w:rsid w:val="009075F6"/>
    <w:rsid w:val="00907A22"/>
    <w:rsid w:val="00907B2D"/>
    <w:rsid w:val="00907B4A"/>
    <w:rsid w:val="00907C15"/>
    <w:rsid w:val="00907C1B"/>
    <w:rsid w:val="00907C21"/>
    <w:rsid w:val="00907C48"/>
    <w:rsid w:val="00907C59"/>
    <w:rsid w:val="00907C77"/>
    <w:rsid w:val="00907C9D"/>
    <w:rsid w:val="00907CC8"/>
    <w:rsid w:val="00907CEF"/>
    <w:rsid w:val="00907E69"/>
    <w:rsid w:val="00907EA2"/>
    <w:rsid w:val="00907EED"/>
    <w:rsid w:val="00907F7A"/>
    <w:rsid w:val="00907FF9"/>
    <w:rsid w:val="00907FFD"/>
    <w:rsid w:val="00910001"/>
    <w:rsid w:val="009101C6"/>
    <w:rsid w:val="00910245"/>
    <w:rsid w:val="00910259"/>
    <w:rsid w:val="009102F1"/>
    <w:rsid w:val="0091031E"/>
    <w:rsid w:val="00910358"/>
    <w:rsid w:val="00910433"/>
    <w:rsid w:val="00910591"/>
    <w:rsid w:val="009105AA"/>
    <w:rsid w:val="00910619"/>
    <w:rsid w:val="00910885"/>
    <w:rsid w:val="00910899"/>
    <w:rsid w:val="00910922"/>
    <w:rsid w:val="0091095A"/>
    <w:rsid w:val="009109C9"/>
    <w:rsid w:val="00910A14"/>
    <w:rsid w:val="00910B58"/>
    <w:rsid w:val="00910B6D"/>
    <w:rsid w:val="00910B99"/>
    <w:rsid w:val="00910BA9"/>
    <w:rsid w:val="00910BB0"/>
    <w:rsid w:val="00910BF6"/>
    <w:rsid w:val="00910CEE"/>
    <w:rsid w:val="00910D27"/>
    <w:rsid w:val="00910D61"/>
    <w:rsid w:val="00910DF9"/>
    <w:rsid w:val="00910EEE"/>
    <w:rsid w:val="009110C1"/>
    <w:rsid w:val="009110E7"/>
    <w:rsid w:val="009112C8"/>
    <w:rsid w:val="009113AA"/>
    <w:rsid w:val="009114D0"/>
    <w:rsid w:val="009115AC"/>
    <w:rsid w:val="00911687"/>
    <w:rsid w:val="0091169A"/>
    <w:rsid w:val="00911753"/>
    <w:rsid w:val="009117B6"/>
    <w:rsid w:val="009117BA"/>
    <w:rsid w:val="0091189C"/>
    <w:rsid w:val="0091189E"/>
    <w:rsid w:val="009118AE"/>
    <w:rsid w:val="0091195E"/>
    <w:rsid w:val="00911A2D"/>
    <w:rsid w:val="00911A7F"/>
    <w:rsid w:val="00911A81"/>
    <w:rsid w:val="00911AA3"/>
    <w:rsid w:val="00911AAA"/>
    <w:rsid w:val="00911BA7"/>
    <w:rsid w:val="00911BD6"/>
    <w:rsid w:val="00911D17"/>
    <w:rsid w:val="00911DF1"/>
    <w:rsid w:val="009121E0"/>
    <w:rsid w:val="00912206"/>
    <w:rsid w:val="009122D4"/>
    <w:rsid w:val="009123CC"/>
    <w:rsid w:val="009124A2"/>
    <w:rsid w:val="009124C4"/>
    <w:rsid w:val="009124CD"/>
    <w:rsid w:val="009124E5"/>
    <w:rsid w:val="0091256B"/>
    <w:rsid w:val="0091259A"/>
    <w:rsid w:val="0091261D"/>
    <w:rsid w:val="00912639"/>
    <w:rsid w:val="00912652"/>
    <w:rsid w:val="009126E9"/>
    <w:rsid w:val="0091290D"/>
    <w:rsid w:val="00912910"/>
    <w:rsid w:val="009129B9"/>
    <w:rsid w:val="00912A10"/>
    <w:rsid w:val="00912A1A"/>
    <w:rsid w:val="00912A47"/>
    <w:rsid w:val="00912BA2"/>
    <w:rsid w:val="00912E3C"/>
    <w:rsid w:val="00912F03"/>
    <w:rsid w:val="00913017"/>
    <w:rsid w:val="0091303E"/>
    <w:rsid w:val="009130B3"/>
    <w:rsid w:val="00913157"/>
    <w:rsid w:val="009131E6"/>
    <w:rsid w:val="009131EB"/>
    <w:rsid w:val="00913263"/>
    <w:rsid w:val="009132E2"/>
    <w:rsid w:val="009132FA"/>
    <w:rsid w:val="00913497"/>
    <w:rsid w:val="009134B9"/>
    <w:rsid w:val="009135E1"/>
    <w:rsid w:val="00913637"/>
    <w:rsid w:val="00913642"/>
    <w:rsid w:val="0091378A"/>
    <w:rsid w:val="009137FD"/>
    <w:rsid w:val="00913905"/>
    <w:rsid w:val="00913998"/>
    <w:rsid w:val="00913A19"/>
    <w:rsid w:val="00913A4F"/>
    <w:rsid w:val="00913BE5"/>
    <w:rsid w:val="00913C6B"/>
    <w:rsid w:val="00913D68"/>
    <w:rsid w:val="00913DD9"/>
    <w:rsid w:val="00913F58"/>
    <w:rsid w:val="00914042"/>
    <w:rsid w:val="00914206"/>
    <w:rsid w:val="00914296"/>
    <w:rsid w:val="009142DD"/>
    <w:rsid w:val="00914326"/>
    <w:rsid w:val="00914372"/>
    <w:rsid w:val="00914398"/>
    <w:rsid w:val="00914454"/>
    <w:rsid w:val="0091445B"/>
    <w:rsid w:val="00914585"/>
    <w:rsid w:val="009145FE"/>
    <w:rsid w:val="0091471F"/>
    <w:rsid w:val="0091472C"/>
    <w:rsid w:val="00914782"/>
    <w:rsid w:val="009147A1"/>
    <w:rsid w:val="00914936"/>
    <w:rsid w:val="00914953"/>
    <w:rsid w:val="0091498F"/>
    <w:rsid w:val="00914A77"/>
    <w:rsid w:val="00914A7E"/>
    <w:rsid w:val="00914D7C"/>
    <w:rsid w:val="00914D86"/>
    <w:rsid w:val="00915065"/>
    <w:rsid w:val="00915105"/>
    <w:rsid w:val="00915177"/>
    <w:rsid w:val="00915196"/>
    <w:rsid w:val="009151D5"/>
    <w:rsid w:val="00915229"/>
    <w:rsid w:val="0091527B"/>
    <w:rsid w:val="009152A7"/>
    <w:rsid w:val="009152F2"/>
    <w:rsid w:val="009154F3"/>
    <w:rsid w:val="0091550E"/>
    <w:rsid w:val="009155CB"/>
    <w:rsid w:val="00915640"/>
    <w:rsid w:val="0091564F"/>
    <w:rsid w:val="0091568C"/>
    <w:rsid w:val="00915694"/>
    <w:rsid w:val="009157B3"/>
    <w:rsid w:val="009157F8"/>
    <w:rsid w:val="00915832"/>
    <w:rsid w:val="009158EF"/>
    <w:rsid w:val="00915942"/>
    <w:rsid w:val="0091594B"/>
    <w:rsid w:val="00915A43"/>
    <w:rsid w:val="00915AC4"/>
    <w:rsid w:val="00915C3A"/>
    <w:rsid w:val="00915C47"/>
    <w:rsid w:val="00915C8A"/>
    <w:rsid w:val="00915CA2"/>
    <w:rsid w:val="00915D2D"/>
    <w:rsid w:val="00915E29"/>
    <w:rsid w:val="00915E6A"/>
    <w:rsid w:val="00916005"/>
    <w:rsid w:val="00916016"/>
    <w:rsid w:val="00916018"/>
    <w:rsid w:val="00916023"/>
    <w:rsid w:val="00916045"/>
    <w:rsid w:val="00916361"/>
    <w:rsid w:val="009163A6"/>
    <w:rsid w:val="009163B9"/>
    <w:rsid w:val="009163CD"/>
    <w:rsid w:val="0091640A"/>
    <w:rsid w:val="009164DA"/>
    <w:rsid w:val="00916566"/>
    <w:rsid w:val="0091661A"/>
    <w:rsid w:val="0091666F"/>
    <w:rsid w:val="009166B9"/>
    <w:rsid w:val="00916828"/>
    <w:rsid w:val="0091687F"/>
    <w:rsid w:val="0091689A"/>
    <w:rsid w:val="0091699F"/>
    <w:rsid w:val="009169C6"/>
    <w:rsid w:val="00916AD0"/>
    <w:rsid w:val="00916B1F"/>
    <w:rsid w:val="00916B7F"/>
    <w:rsid w:val="00916B83"/>
    <w:rsid w:val="00916B8B"/>
    <w:rsid w:val="00916C2F"/>
    <w:rsid w:val="00916C53"/>
    <w:rsid w:val="00916E4C"/>
    <w:rsid w:val="00916E57"/>
    <w:rsid w:val="00917097"/>
    <w:rsid w:val="009170FF"/>
    <w:rsid w:val="0091716E"/>
    <w:rsid w:val="0091722E"/>
    <w:rsid w:val="00917336"/>
    <w:rsid w:val="0091742B"/>
    <w:rsid w:val="0091766B"/>
    <w:rsid w:val="009176A5"/>
    <w:rsid w:val="009176D7"/>
    <w:rsid w:val="0091775A"/>
    <w:rsid w:val="0091781D"/>
    <w:rsid w:val="00917923"/>
    <w:rsid w:val="00917A0C"/>
    <w:rsid w:val="00917A1A"/>
    <w:rsid w:val="00917AB5"/>
    <w:rsid w:val="00917BCB"/>
    <w:rsid w:val="00917C07"/>
    <w:rsid w:val="00917D95"/>
    <w:rsid w:val="00917E28"/>
    <w:rsid w:val="00917EC6"/>
    <w:rsid w:val="00917F59"/>
    <w:rsid w:val="00917FAA"/>
    <w:rsid w:val="00917FAB"/>
    <w:rsid w:val="0092004E"/>
    <w:rsid w:val="00920058"/>
    <w:rsid w:val="0092018F"/>
    <w:rsid w:val="009201B4"/>
    <w:rsid w:val="009201D3"/>
    <w:rsid w:val="00920212"/>
    <w:rsid w:val="00920219"/>
    <w:rsid w:val="009202E9"/>
    <w:rsid w:val="00920309"/>
    <w:rsid w:val="0092041A"/>
    <w:rsid w:val="0092043C"/>
    <w:rsid w:val="0092049F"/>
    <w:rsid w:val="009204CA"/>
    <w:rsid w:val="0092055A"/>
    <w:rsid w:val="009205DA"/>
    <w:rsid w:val="00920692"/>
    <w:rsid w:val="00920795"/>
    <w:rsid w:val="009207AB"/>
    <w:rsid w:val="00920904"/>
    <w:rsid w:val="009209D8"/>
    <w:rsid w:val="00920A3B"/>
    <w:rsid w:val="00920B2D"/>
    <w:rsid w:val="00920B52"/>
    <w:rsid w:val="00920B9E"/>
    <w:rsid w:val="00920BB7"/>
    <w:rsid w:val="00920BFF"/>
    <w:rsid w:val="00920D79"/>
    <w:rsid w:val="00920DD7"/>
    <w:rsid w:val="00920DEC"/>
    <w:rsid w:val="00920E3F"/>
    <w:rsid w:val="00920E6F"/>
    <w:rsid w:val="00920E8F"/>
    <w:rsid w:val="00920F22"/>
    <w:rsid w:val="00920F3F"/>
    <w:rsid w:val="00920FD5"/>
    <w:rsid w:val="0092116A"/>
    <w:rsid w:val="009211D8"/>
    <w:rsid w:val="00921351"/>
    <w:rsid w:val="00921371"/>
    <w:rsid w:val="00921477"/>
    <w:rsid w:val="0092158E"/>
    <w:rsid w:val="009215D8"/>
    <w:rsid w:val="0092170B"/>
    <w:rsid w:val="00921722"/>
    <w:rsid w:val="0092173F"/>
    <w:rsid w:val="00921746"/>
    <w:rsid w:val="00921760"/>
    <w:rsid w:val="009218BA"/>
    <w:rsid w:val="0092190D"/>
    <w:rsid w:val="0092192E"/>
    <w:rsid w:val="00921A89"/>
    <w:rsid w:val="00921AA1"/>
    <w:rsid w:val="00921B6A"/>
    <w:rsid w:val="00921C18"/>
    <w:rsid w:val="00921CE7"/>
    <w:rsid w:val="00921D07"/>
    <w:rsid w:val="00921D3B"/>
    <w:rsid w:val="00921E63"/>
    <w:rsid w:val="00921EF5"/>
    <w:rsid w:val="00921F65"/>
    <w:rsid w:val="00921FB0"/>
    <w:rsid w:val="009220B6"/>
    <w:rsid w:val="00922125"/>
    <w:rsid w:val="0092212A"/>
    <w:rsid w:val="00922203"/>
    <w:rsid w:val="00922226"/>
    <w:rsid w:val="0092222E"/>
    <w:rsid w:val="00922369"/>
    <w:rsid w:val="00922437"/>
    <w:rsid w:val="00922439"/>
    <w:rsid w:val="00922483"/>
    <w:rsid w:val="00922490"/>
    <w:rsid w:val="009224B0"/>
    <w:rsid w:val="009224D8"/>
    <w:rsid w:val="00922542"/>
    <w:rsid w:val="009225D2"/>
    <w:rsid w:val="009226C5"/>
    <w:rsid w:val="009228F0"/>
    <w:rsid w:val="00922BE3"/>
    <w:rsid w:val="00922BFE"/>
    <w:rsid w:val="00922C9B"/>
    <w:rsid w:val="00922CCD"/>
    <w:rsid w:val="00922D4C"/>
    <w:rsid w:val="00922DAC"/>
    <w:rsid w:val="00922E49"/>
    <w:rsid w:val="00922EB5"/>
    <w:rsid w:val="00923087"/>
    <w:rsid w:val="009230B3"/>
    <w:rsid w:val="0092315C"/>
    <w:rsid w:val="009233E0"/>
    <w:rsid w:val="00923405"/>
    <w:rsid w:val="0092348D"/>
    <w:rsid w:val="00923543"/>
    <w:rsid w:val="0092357F"/>
    <w:rsid w:val="00923624"/>
    <w:rsid w:val="009237C4"/>
    <w:rsid w:val="009237F1"/>
    <w:rsid w:val="00923809"/>
    <w:rsid w:val="00923831"/>
    <w:rsid w:val="0092389F"/>
    <w:rsid w:val="009238E5"/>
    <w:rsid w:val="00923930"/>
    <w:rsid w:val="0092399B"/>
    <w:rsid w:val="0092399F"/>
    <w:rsid w:val="00923A22"/>
    <w:rsid w:val="00923CA4"/>
    <w:rsid w:val="00923D62"/>
    <w:rsid w:val="00923DA2"/>
    <w:rsid w:val="00923E03"/>
    <w:rsid w:val="00923F07"/>
    <w:rsid w:val="00923F37"/>
    <w:rsid w:val="00924024"/>
    <w:rsid w:val="00924055"/>
    <w:rsid w:val="00924095"/>
    <w:rsid w:val="0092420E"/>
    <w:rsid w:val="00924251"/>
    <w:rsid w:val="0092427F"/>
    <w:rsid w:val="00924468"/>
    <w:rsid w:val="00924489"/>
    <w:rsid w:val="009244CA"/>
    <w:rsid w:val="00924517"/>
    <w:rsid w:val="0092453B"/>
    <w:rsid w:val="009245B7"/>
    <w:rsid w:val="0092467C"/>
    <w:rsid w:val="009246D8"/>
    <w:rsid w:val="009247A2"/>
    <w:rsid w:val="00924B08"/>
    <w:rsid w:val="00924CA6"/>
    <w:rsid w:val="00924D0C"/>
    <w:rsid w:val="00924DDF"/>
    <w:rsid w:val="00924DE3"/>
    <w:rsid w:val="00924E01"/>
    <w:rsid w:val="00924ED2"/>
    <w:rsid w:val="00924F71"/>
    <w:rsid w:val="00924FF6"/>
    <w:rsid w:val="009251DD"/>
    <w:rsid w:val="009253E1"/>
    <w:rsid w:val="009254AF"/>
    <w:rsid w:val="0092553C"/>
    <w:rsid w:val="00925558"/>
    <w:rsid w:val="00925677"/>
    <w:rsid w:val="00925711"/>
    <w:rsid w:val="00925767"/>
    <w:rsid w:val="0092576D"/>
    <w:rsid w:val="009257EE"/>
    <w:rsid w:val="00925A10"/>
    <w:rsid w:val="00925CAD"/>
    <w:rsid w:val="00925D03"/>
    <w:rsid w:val="00925D41"/>
    <w:rsid w:val="00925DD2"/>
    <w:rsid w:val="00925E3B"/>
    <w:rsid w:val="00925E3E"/>
    <w:rsid w:val="00925F3C"/>
    <w:rsid w:val="00925FD3"/>
    <w:rsid w:val="0092607E"/>
    <w:rsid w:val="009260E2"/>
    <w:rsid w:val="009262F4"/>
    <w:rsid w:val="0092631C"/>
    <w:rsid w:val="0092633C"/>
    <w:rsid w:val="0092646C"/>
    <w:rsid w:val="009265F4"/>
    <w:rsid w:val="00926647"/>
    <w:rsid w:val="00926675"/>
    <w:rsid w:val="009266E3"/>
    <w:rsid w:val="009266F5"/>
    <w:rsid w:val="0092672C"/>
    <w:rsid w:val="00926749"/>
    <w:rsid w:val="009268E7"/>
    <w:rsid w:val="009269CF"/>
    <w:rsid w:val="00926A06"/>
    <w:rsid w:val="00926A5F"/>
    <w:rsid w:val="00926ABD"/>
    <w:rsid w:val="00926AF3"/>
    <w:rsid w:val="00926B8E"/>
    <w:rsid w:val="00926BF3"/>
    <w:rsid w:val="00926C39"/>
    <w:rsid w:val="00926C5F"/>
    <w:rsid w:val="00926D10"/>
    <w:rsid w:val="00926D57"/>
    <w:rsid w:val="00926D66"/>
    <w:rsid w:val="00926DBC"/>
    <w:rsid w:val="00926DD6"/>
    <w:rsid w:val="00926E12"/>
    <w:rsid w:val="00926EE0"/>
    <w:rsid w:val="009270F3"/>
    <w:rsid w:val="0092727D"/>
    <w:rsid w:val="009272BE"/>
    <w:rsid w:val="00927348"/>
    <w:rsid w:val="00927363"/>
    <w:rsid w:val="0092741F"/>
    <w:rsid w:val="00927539"/>
    <w:rsid w:val="00927654"/>
    <w:rsid w:val="00927689"/>
    <w:rsid w:val="009276F3"/>
    <w:rsid w:val="00927730"/>
    <w:rsid w:val="00927735"/>
    <w:rsid w:val="0092777F"/>
    <w:rsid w:val="0092783D"/>
    <w:rsid w:val="00927863"/>
    <w:rsid w:val="0092790F"/>
    <w:rsid w:val="00927ABE"/>
    <w:rsid w:val="00927CEB"/>
    <w:rsid w:val="00927D38"/>
    <w:rsid w:val="00927D6A"/>
    <w:rsid w:val="00927DA9"/>
    <w:rsid w:val="00927E30"/>
    <w:rsid w:val="00927F75"/>
    <w:rsid w:val="00930066"/>
    <w:rsid w:val="00930182"/>
    <w:rsid w:val="009301E1"/>
    <w:rsid w:val="00930296"/>
    <w:rsid w:val="00930298"/>
    <w:rsid w:val="0093042F"/>
    <w:rsid w:val="00930518"/>
    <w:rsid w:val="00930612"/>
    <w:rsid w:val="00930660"/>
    <w:rsid w:val="009306E1"/>
    <w:rsid w:val="009308B9"/>
    <w:rsid w:val="00930AA0"/>
    <w:rsid w:val="00930CCD"/>
    <w:rsid w:val="00930DA3"/>
    <w:rsid w:val="00930DF7"/>
    <w:rsid w:val="00930EF6"/>
    <w:rsid w:val="00930F19"/>
    <w:rsid w:val="00930F88"/>
    <w:rsid w:val="0093103B"/>
    <w:rsid w:val="009310B0"/>
    <w:rsid w:val="009310D7"/>
    <w:rsid w:val="00931178"/>
    <w:rsid w:val="00931268"/>
    <w:rsid w:val="00931285"/>
    <w:rsid w:val="009312AA"/>
    <w:rsid w:val="00931307"/>
    <w:rsid w:val="0093150F"/>
    <w:rsid w:val="0093155C"/>
    <w:rsid w:val="009315ED"/>
    <w:rsid w:val="0093161A"/>
    <w:rsid w:val="0093162E"/>
    <w:rsid w:val="009316B1"/>
    <w:rsid w:val="0093190C"/>
    <w:rsid w:val="009319F5"/>
    <w:rsid w:val="00931A27"/>
    <w:rsid w:val="00931B52"/>
    <w:rsid w:val="00931BAD"/>
    <w:rsid w:val="00931C43"/>
    <w:rsid w:val="00931C67"/>
    <w:rsid w:val="00931CA3"/>
    <w:rsid w:val="00931E4E"/>
    <w:rsid w:val="00932023"/>
    <w:rsid w:val="00932027"/>
    <w:rsid w:val="0093213B"/>
    <w:rsid w:val="0093224F"/>
    <w:rsid w:val="009322FD"/>
    <w:rsid w:val="00932320"/>
    <w:rsid w:val="00932345"/>
    <w:rsid w:val="00932383"/>
    <w:rsid w:val="00932422"/>
    <w:rsid w:val="0093254F"/>
    <w:rsid w:val="0093259A"/>
    <w:rsid w:val="009325EC"/>
    <w:rsid w:val="00932612"/>
    <w:rsid w:val="00932671"/>
    <w:rsid w:val="009326A5"/>
    <w:rsid w:val="00932976"/>
    <w:rsid w:val="00932AA1"/>
    <w:rsid w:val="00932AF6"/>
    <w:rsid w:val="00932B38"/>
    <w:rsid w:val="00932BB1"/>
    <w:rsid w:val="00932C06"/>
    <w:rsid w:val="00932C1C"/>
    <w:rsid w:val="00932C4A"/>
    <w:rsid w:val="00932C4E"/>
    <w:rsid w:val="00932CD6"/>
    <w:rsid w:val="00932D23"/>
    <w:rsid w:val="00932D8C"/>
    <w:rsid w:val="00932E44"/>
    <w:rsid w:val="00932E4E"/>
    <w:rsid w:val="00932E92"/>
    <w:rsid w:val="00932E9D"/>
    <w:rsid w:val="00932F4B"/>
    <w:rsid w:val="00932F75"/>
    <w:rsid w:val="0093304A"/>
    <w:rsid w:val="0093312F"/>
    <w:rsid w:val="0093314E"/>
    <w:rsid w:val="00933276"/>
    <w:rsid w:val="00933373"/>
    <w:rsid w:val="009333B3"/>
    <w:rsid w:val="009333BB"/>
    <w:rsid w:val="009333FE"/>
    <w:rsid w:val="009334F9"/>
    <w:rsid w:val="0093355E"/>
    <w:rsid w:val="009335CC"/>
    <w:rsid w:val="009336EA"/>
    <w:rsid w:val="0093377B"/>
    <w:rsid w:val="009337A0"/>
    <w:rsid w:val="0093399E"/>
    <w:rsid w:val="00933A6E"/>
    <w:rsid w:val="00933B29"/>
    <w:rsid w:val="00933D8A"/>
    <w:rsid w:val="00933DC5"/>
    <w:rsid w:val="00933DC9"/>
    <w:rsid w:val="00933EC4"/>
    <w:rsid w:val="00933F06"/>
    <w:rsid w:val="009340D6"/>
    <w:rsid w:val="00934131"/>
    <w:rsid w:val="00934169"/>
    <w:rsid w:val="0093437B"/>
    <w:rsid w:val="0093437E"/>
    <w:rsid w:val="00934395"/>
    <w:rsid w:val="00934401"/>
    <w:rsid w:val="00934406"/>
    <w:rsid w:val="0093440A"/>
    <w:rsid w:val="00934411"/>
    <w:rsid w:val="00934469"/>
    <w:rsid w:val="009344A4"/>
    <w:rsid w:val="009345BB"/>
    <w:rsid w:val="00934754"/>
    <w:rsid w:val="00934B3A"/>
    <w:rsid w:val="00934BE5"/>
    <w:rsid w:val="00934C83"/>
    <w:rsid w:val="00934CDE"/>
    <w:rsid w:val="00934D62"/>
    <w:rsid w:val="00934E57"/>
    <w:rsid w:val="00934E7C"/>
    <w:rsid w:val="00934FD8"/>
    <w:rsid w:val="0093504C"/>
    <w:rsid w:val="00935099"/>
    <w:rsid w:val="0093512E"/>
    <w:rsid w:val="00935147"/>
    <w:rsid w:val="0093516A"/>
    <w:rsid w:val="009352C5"/>
    <w:rsid w:val="009352D7"/>
    <w:rsid w:val="00935369"/>
    <w:rsid w:val="0093558F"/>
    <w:rsid w:val="0093561C"/>
    <w:rsid w:val="0093563F"/>
    <w:rsid w:val="0093566D"/>
    <w:rsid w:val="009356A1"/>
    <w:rsid w:val="009357F5"/>
    <w:rsid w:val="00935868"/>
    <w:rsid w:val="00935919"/>
    <w:rsid w:val="0093591D"/>
    <w:rsid w:val="00935931"/>
    <w:rsid w:val="00935989"/>
    <w:rsid w:val="0093598E"/>
    <w:rsid w:val="00935A42"/>
    <w:rsid w:val="00935A8D"/>
    <w:rsid w:val="00935C18"/>
    <w:rsid w:val="00935D15"/>
    <w:rsid w:val="00935D1B"/>
    <w:rsid w:val="00935E33"/>
    <w:rsid w:val="00935EE3"/>
    <w:rsid w:val="00935F97"/>
    <w:rsid w:val="00935FE7"/>
    <w:rsid w:val="009360C0"/>
    <w:rsid w:val="00936209"/>
    <w:rsid w:val="0093620E"/>
    <w:rsid w:val="0093628E"/>
    <w:rsid w:val="009363CB"/>
    <w:rsid w:val="00936429"/>
    <w:rsid w:val="00936458"/>
    <w:rsid w:val="0093653A"/>
    <w:rsid w:val="0093665F"/>
    <w:rsid w:val="009366AA"/>
    <w:rsid w:val="00936728"/>
    <w:rsid w:val="009367A6"/>
    <w:rsid w:val="0093688A"/>
    <w:rsid w:val="009368DF"/>
    <w:rsid w:val="009368EF"/>
    <w:rsid w:val="0093690F"/>
    <w:rsid w:val="009369B6"/>
    <w:rsid w:val="00936A0B"/>
    <w:rsid w:val="00936A1B"/>
    <w:rsid w:val="00936AF2"/>
    <w:rsid w:val="00936AF8"/>
    <w:rsid w:val="00936BB5"/>
    <w:rsid w:val="00936BE3"/>
    <w:rsid w:val="00936D82"/>
    <w:rsid w:val="00936E44"/>
    <w:rsid w:val="00936E61"/>
    <w:rsid w:val="00936E99"/>
    <w:rsid w:val="00936EE5"/>
    <w:rsid w:val="00936F0D"/>
    <w:rsid w:val="009370D0"/>
    <w:rsid w:val="0093712E"/>
    <w:rsid w:val="0093715D"/>
    <w:rsid w:val="009371ED"/>
    <w:rsid w:val="00937328"/>
    <w:rsid w:val="0093739A"/>
    <w:rsid w:val="00937457"/>
    <w:rsid w:val="009374A3"/>
    <w:rsid w:val="00937652"/>
    <w:rsid w:val="009376C7"/>
    <w:rsid w:val="00937751"/>
    <w:rsid w:val="00937781"/>
    <w:rsid w:val="009377CC"/>
    <w:rsid w:val="00937836"/>
    <w:rsid w:val="0093791F"/>
    <w:rsid w:val="0093792E"/>
    <w:rsid w:val="00937975"/>
    <w:rsid w:val="00937ABE"/>
    <w:rsid w:val="00937B21"/>
    <w:rsid w:val="00937DE0"/>
    <w:rsid w:val="00937E54"/>
    <w:rsid w:val="00937F8C"/>
    <w:rsid w:val="0094002D"/>
    <w:rsid w:val="0094009E"/>
    <w:rsid w:val="00940178"/>
    <w:rsid w:val="0094020A"/>
    <w:rsid w:val="00940274"/>
    <w:rsid w:val="00940293"/>
    <w:rsid w:val="00940366"/>
    <w:rsid w:val="00940428"/>
    <w:rsid w:val="00940480"/>
    <w:rsid w:val="0094048F"/>
    <w:rsid w:val="0094055B"/>
    <w:rsid w:val="00940602"/>
    <w:rsid w:val="009406AF"/>
    <w:rsid w:val="009406FC"/>
    <w:rsid w:val="00940959"/>
    <w:rsid w:val="009409DF"/>
    <w:rsid w:val="00940A0F"/>
    <w:rsid w:val="00940AAA"/>
    <w:rsid w:val="00940AB3"/>
    <w:rsid w:val="00940BF6"/>
    <w:rsid w:val="00940C98"/>
    <w:rsid w:val="00940CE0"/>
    <w:rsid w:val="00940E54"/>
    <w:rsid w:val="009410DE"/>
    <w:rsid w:val="00941140"/>
    <w:rsid w:val="009412C2"/>
    <w:rsid w:val="0094139A"/>
    <w:rsid w:val="009413FA"/>
    <w:rsid w:val="009414D4"/>
    <w:rsid w:val="0094150E"/>
    <w:rsid w:val="00941516"/>
    <w:rsid w:val="009415B3"/>
    <w:rsid w:val="00941611"/>
    <w:rsid w:val="00941665"/>
    <w:rsid w:val="00941680"/>
    <w:rsid w:val="00941726"/>
    <w:rsid w:val="00941794"/>
    <w:rsid w:val="009417B9"/>
    <w:rsid w:val="009418C0"/>
    <w:rsid w:val="00941916"/>
    <w:rsid w:val="00941934"/>
    <w:rsid w:val="009419AB"/>
    <w:rsid w:val="00941A1C"/>
    <w:rsid w:val="00941B1A"/>
    <w:rsid w:val="00941B63"/>
    <w:rsid w:val="00941BFC"/>
    <w:rsid w:val="00941C3B"/>
    <w:rsid w:val="00941C5A"/>
    <w:rsid w:val="00941C79"/>
    <w:rsid w:val="00941CFF"/>
    <w:rsid w:val="00941D67"/>
    <w:rsid w:val="00941FC3"/>
    <w:rsid w:val="009420E8"/>
    <w:rsid w:val="0094220D"/>
    <w:rsid w:val="00942272"/>
    <w:rsid w:val="00942299"/>
    <w:rsid w:val="009422CE"/>
    <w:rsid w:val="00942434"/>
    <w:rsid w:val="00942462"/>
    <w:rsid w:val="00942483"/>
    <w:rsid w:val="009425B1"/>
    <w:rsid w:val="00942608"/>
    <w:rsid w:val="00942646"/>
    <w:rsid w:val="009426B2"/>
    <w:rsid w:val="009427FE"/>
    <w:rsid w:val="00942B65"/>
    <w:rsid w:val="00942B8B"/>
    <w:rsid w:val="00942C1B"/>
    <w:rsid w:val="00942C40"/>
    <w:rsid w:val="00942C5E"/>
    <w:rsid w:val="00942C64"/>
    <w:rsid w:val="00942E1D"/>
    <w:rsid w:val="00942E3D"/>
    <w:rsid w:val="00942E5D"/>
    <w:rsid w:val="00942E74"/>
    <w:rsid w:val="00942E97"/>
    <w:rsid w:val="00942F17"/>
    <w:rsid w:val="00942F4F"/>
    <w:rsid w:val="00942F7B"/>
    <w:rsid w:val="00943102"/>
    <w:rsid w:val="0094312E"/>
    <w:rsid w:val="00943139"/>
    <w:rsid w:val="009431D7"/>
    <w:rsid w:val="0094326D"/>
    <w:rsid w:val="009432B3"/>
    <w:rsid w:val="00943312"/>
    <w:rsid w:val="00943354"/>
    <w:rsid w:val="009433EA"/>
    <w:rsid w:val="00943456"/>
    <w:rsid w:val="009434F1"/>
    <w:rsid w:val="009436E3"/>
    <w:rsid w:val="009437FD"/>
    <w:rsid w:val="00943944"/>
    <w:rsid w:val="00943957"/>
    <w:rsid w:val="00943A60"/>
    <w:rsid w:val="00943A76"/>
    <w:rsid w:val="00943A85"/>
    <w:rsid w:val="00943A93"/>
    <w:rsid w:val="00943B89"/>
    <w:rsid w:val="00943CA0"/>
    <w:rsid w:val="00943E47"/>
    <w:rsid w:val="00943FA1"/>
    <w:rsid w:val="00944024"/>
    <w:rsid w:val="009441C1"/>
    <w:rsid w:val="009441EC"/>
    <w:rsid w:val="00944357"/>
    <w:rsid w:val="009443C1"/>
    <w:rsid w:val="00944514"/>
    <w:rsid w:val="00944650"/>
    <w:rsid w:val="0094466E"/>
    <w:rsid w:val="009446EB"/>
    <w:rsid w:val="0094473E"/>
    <w:rsid w:val="009447E9"/>
    <w:rsid w:val="009447EF"/>
    <w:rsid w:val="00944819"/>
    <w:rsid w:val="0094489D"/>
    <w:rsid w:val="009448C8"/>
    <w:rsid w:val="00944988"/>
    <w:rsid w:val="00944A9D"/>
    <w:rsid w:val="00944B0C"/>
    <w:rsid w:val="00944B2D"/>
    <w:rsid w:val="00944BB7"/>
    <w:rsid w:val="00944BCA"/>
    <w:rsid w:val="00944CCA"/>
    <w:rsid w:val="00944DBC"/>
    <w:rsid w:val="00944F00"/>
    <w:rsid w:val="00944F6D"/>
    <w:rsid w:val="00944F79"/>
    <w:rsid w:val="00944FA8"/>
    <w:rsid w:val="00944FF8"/>
    <w:rsid w:val="0094506B"/>
    <w:rsid w:val="009450BF"/>
    <w:rsid w:val="009450C1"/>
    <w:rsid w:val="009451FC"/>
    <w:rsid w:val="009452A2"/>
    <w:rsid w:val="0094535A"/>
    <w:rsid w:val="00945366"/>
    <w:rsid w:val="00945369"/>
    <w:rsid w:val="009455E6"/>
    <w:rsid w:val="00945638"/>
    <w:rsid w:val="0094572C"/>
    <w:rsid w:val="00945756"/>
    <w:rsid w:val="00945AA6"/>
    <w:rsid w:val="00945B3B"/>
    <w:rsid w:val="00945B9B"/>
    <w:rsid w:val="00945BFC"/>
    <w:rsid w:val="00945D7E"/>
    <w:rsid w:val="00945F0B"/>
    <w:rsid w:val="00945F61"/>
    <w:rsid w:val="00945F6B"/>
    <w:rsid w:val="00945F94"/>
    <w:rsid w:val="009460C2"/>
    <w:rsid w:val="00946162"/>
    <w:rsid w:val="0094628A"/>
    <w:rsid w:val="009462DC"/>
    <w:rsid w:val="009462F3"/>
    <w:rsid w:val="0094635F"/>
    <w:rsid w:val="009463C0"/>
    <w:rsid w:val="00946423"/>
    <w:rsid w:val="00946430"/>
    <w:rsid w:val="00946464"/>
    <w:rsid w:val="00946558"/>
    <w:rsid w:val="00946570"/>
    <w:rsid w:val="009465A0"/>
    <w:rsid w:val="009465A3"/>
    <w:rsid w:val="009465DA"/>
    <w:rsid w:val="00946641"/>
    <w:rsid w:val="00946706"/>
    <w:rsid w:val="00946738"/>
    <w:rsid w:val="009467A7"/>
    <w:rsid w:val="009467CE"/>
    <w:rsid w:val="00946996"/>
    <w:rsid w:val="00946B66"/>
    <w:rsid w:val="00946CA7"/>
    <w:rsid w:val="00946FBD"/>
    <w:rsid w:val="00946FCD"/>
    <w:rsid w:val="00946FE9"/>
    <w:rsid w:val="00947035"/>
    <w:rsid w:val="00947051"/>
    <w:rsid w:val="00947147"/>
    <w:rsid w:val="0094725F"/>
    <w:rsid w:val="0094762D"/>
    <w:rsid w:val="00947710"/>
    <w:rsid w:val="0094772F"/>
    <w:rsid w:val="00947797"/>
    <w:rsid w:val="009477AE"/>
    <w:rsid w:val="00947A3B"/>
    <w:rsid w:val="00947CD1"/>
    <w:rsid w:val="00947E5A"/>
    <w:rsid w:val="00947E74"/>
    <w:rsid w:val="00947EBE"/>
    <w:rsid w:val="0095003B"/>
    <w:rsid w:val="0095007F"/>
    <w:rsid w:val="00950101"/>
    <w:rsid w:val="0095016D"/>
    <w:rsid w:val="009502A1"/>
    <w:rsid w:val="0095033A"/>
    <w:rsid w:val="00950681"/>
    <w:rsid w:val="0095072F"/>
    <w:rsid w:val="00950899"/>
    <w:rsid w:val="0095090C"/>
    <w:rsid w:val="009509A8"/>
    <w:rsid w:val="009509AD"/>
    <w:rsid w:val="009509C0"/>
    <w:rsid w:val="00950EA7"/>
    <w:rsid w:val="00950EDF"/>
    <w:rsid w:val="00950FCD"/>
    <w:rsid w:val="00950FCF"/>
    <w:rsid w:val="00951116"/>
    <w:rsid w:val="00951118"/>
    <w:rsid w:val="00951136"/>
    <w:rsid w:val="0095118D"/>
    <w:rsid w:val="00951213"/>
    <w:rsid w:val="00951336"/>
    <w:rsid w:val="0095144D"/>
    <w:rsid w:val="009514C5"/>
    <w:rsid w:val="009515A2"/>
    <w:rsid w:val="009515D0"/>
    <w:rsid w:val="009516BA"/>
    <w:rsid w:val="009516BB"/>
    <w:rsid w:val="009516D7"/>
    <w:rsid w:val="0095172B"/>
    <w:rsid w:val="0095183B"/>
    <w:rsid w:val="0095183E"/>
    <w:rsid w:val="009518B9"/>
    <w:rsid w:val="009519EC"/>
    <w:rsid w:val="00951A4F"/>
    <w:rsid w:val="00951B6E"/>
    <w:rsid w:val="00951D01"/>
    <w:rsid w:val="00951D27"/>
    <w:rsid w:val="00951E18"/>
    <w:rsid w:val="00951E3F"/>
    <w:rsid w:val="00951F57"/>
    <w:rsid w:val="00952020"/>
    <w:rsid w:val="00952065"/>
    <w:rsid w:val="00952074"/>
    <w:rsid w:val="00952091"/>
    <w:rsid w:val="0095209F"/>
    <w:rsid w:val="009520FA"/>
    <w:rsid w:val="009522EC"/>
    <w:rsid w:val="00952324"/>
    <w:rsid w:val="00952388"/>
    <w:rsid w:val="00952523"/>
    <w:rsid w:val="0095258C"/>
    <w:rsid w:val="009525C3"/>
    <w:rsid w:val="009525E3"/>
    <w:rsid w:val="00952642"/>
    <w:rsid w:val="0095269E"/>
    <w:rsid w:val="009526DB"/>
    <w:rsid w:val="009526FC"/>
    <w:rsid w:val="00952871"/>
    <w:rsid w:val="00952A25"/>
    <w:rsid w:val="00952A2B"/>
    <w:rsid w:val="00952BBA"/>
    <w:rsid w:val="00952BF5"/>
    <w:rsid w:val="00952C14"/>
    <w:rsid w:val="00952D79"/>
    <w:rsid w:val="00952D7D"/>
    <w:rsid w:val="00952E40"/>
    <w:rsid w:val="00952F08"/>
    <w:rsid w:val="00952F8D"/>
    <w:rsid w:val="009530E4"/>
    <w:rsid w:val="009531A9"/>
    <w:rsid w:val="009531EA"/>
    <w:rsid w:val="0095328D"/>
    <w:rsid w:val="0095335A"/>
    <w:rsid w:val="00953474"/>
    <w:rsid w:val="0095361E"/>
    <w:rsid w:val="009536F0"/>
    <w:rsid w:val="0095371D"/>
    <w:rsid w:val="009538B1"/>
    <w:rsid w:val="00953A02"/>
    <w:rsid w:val="00953A5C"/>
    <w:rsid w:val="00953A60"/>
    <w:rsid w:val="00953B2C"/>
    <w:rsid w:val="00953B39"/>
    <w:rsid w:val="00953BA8"/>
    <w:rsid w:val="00953BDD"/>
    <w:rsid w:val="00953C1A"/>
    <w:rsid w:val="00953C7B"/>
    <w:rsid w:val="00953DAB"/>
    <w:rsid w:val="00953DAC"/>
    <w:rsid w:val="00953EB5"/>
    <w:rsid w:val="00953F35"/>
    <w:rsid w:val="00953FB7"/>
    <w:rsid w:val="00953FFD"/>
    <w:rsid w:val="00954012"/>
    <w:rsid w:val="0095408B"/>
    <w:rsid w:val="009540DA"/>
    <w:rsid w:val="009540F9"/>
    <w:rsid w:val="00954118"/>
    <w:rsid w:val="0095412D"/>
    <w:rsid w:val="00954142"/>
    <w:rsid w:val="0095414C"/>
    <w:rsid w:val="00954218"/>
    <w:rsid w:val="00954231"/>
    <w:rsid w:val="0095423D"/>
    <w:rsid w:val="0095427E"/>
    <w:rsid w:val="0095439B"/>
    <w:rsid w:val="00954433"/>
    <w:rsid w:val="009544CB"/>
    <w:rsid w:val="009544F6"/>
    <w:rsid w:val="0095477D"/>
    <w:rsid w:val="009548DF"/>
    <w:rsid w:val="00954920"/>
    <w:rsid w:val="009549B4"/>
    <w:rsid w:val="00954AE4"/>
    <w:rsid w:val="00954B59"/>
    <w:rsid w:val="00954B72"/>
    <w:rsid w:val="00954B73"/>
    <w:rsid w:val="00954B80"/>
    <w:rsid w:val="00954CE2"/>
    <w:rsid w:val="00954DA8"/>
    <w:rsid w:val="00954DB5"/>
    <w:rsid w:val="00954DCA"/>
    <w:rsid w:val="00954E25"/>
    <w:rsid w:val="00954E66"/>
    <w:rsid w:val="00954E7C"/>
    <w:rsid w:val="00955032"/>
    <w:rsid w:val="00955058"/>
    <w:rsid w:val="009550C3"/>
    <w:rsid w:val="0095513C"/>
    <w:rsid w:val="009551B6"/>
    <w:rsid w:val="00955309"/>
    <w:rsid w:val="0095530F"/>
    <w:rsid w:val="00955467"/>
    <w:rsid w:val="009554E9"/>
    <w:rsid w:val="00955688"/>
    <w:rsid w:val="009556BD"/>
    <w:rsid w:val="009557E6"/>
    <w:rsid w:val="00955893"/>
    <w:rsid w:val="0095591D"/>
    <w:rsid w:val="00955939"/>
    <w:rsid w:val="00955A16"/>
    <w:rsid w:val="00955A5E"/>
    <w:rsid w:val="00955A85"/>
    <w:rsid w:val="00955AB1"/>
    <w:rsid w:val="00955C87"/>
    <w:rsid w:val="00955D57"/>
    <w:rsid w:val="00955DA9"/>
    <w:rsid w:val="00955E5D"/>
    <w:rsid w:val="00955E88"/>
    <w:rsid w:val="00955E92"/>
    <w:rsid w:val="00955EA8"/>
    <w:rsid w:val="00955F13"/>
    <w:rsid w:val="00955FC1"/>
    <w:rsid w:val="00956113"/>
    <w:rsid w:val="0095611A"/>
    <w:rsid w:val="009561A4"/>
    <w:rsid w:val="009561F7"/>
    <w:rsid w:val="00956218"/>
    <w:rsid w:val="00956223"/>
    <w:rsid w:val="009562E5"/>
    <w:rsid w:val="009563CD"/>
    <w:rsid w:val="00956510"/>
    <w:rsid w:val="00956609"/>
    <w:rsid w:val="00956661"/>
    <w:rsid w:val="009566C7"/>
    <w:rsid w:val="009568D4"/>
    <w:rsid w:val="00956995"/>
    <w:rsid w:val="00956A3D"/>
    <w:rsid w:val="00956AB7"/>
    <w:rsid w:val="00956B72"/>
    <w:rsid w:val="00956C18"/>
    <w:rsid w:val="00956C21"/>
    <w:rsid w:val="00956CF5"/>
    <w:rsid w:val="00956EBF"/>
    <w:rsid w:val="00956F19"/>
    <w:rsid w:val="009570F2"/>
    <w:rsid w:val="00957303"/>
    <w:rsid w:val="0095749A"/>
    <w:rsid w:val="009575BD"/>
    <w:rsid w:val="00957800"/>
    <w:rsid w:val="0095785F"/>
    <w:rsid w:val="00957912"/>
    <w:rsid w:val="0095792B"/>
    <w:rsid w:val="009579ED"/>
    <w:rsid w:val="00957B0A"/>
    <w:rsid w:val="00957B48"/>
    <w:rsid w:val="00957C0C"/>
    <w:rsid w:val="00957C0E"/>
    <w:rsid w:val="00957C8F"/>
    <w:rsid w:val="00957EAB"/>
    <w:rsid w:val="00957EDA"/>
    <w:rsid w:val="00957FAA"/>
    <w:rsid w:val="0095E9E8"/>
    <w:rsid w:val="009600C0"/>
    <w:rsid w:val="009600D9"/>
    <w:rsid w:val="00960280"/>
    <w:rsid w:val="00960515"/>
    <w:rsid w:val="009605D8"/>
    <w:rsid w:val="009605F3"/>
    <w:rsid w:val="009606E1"/>
    <w:rsid w:val="00960743"/>
    <w:rsid w:val="009607B5"/>
    <w:rsid w:val="009608D5"/>
    <w:rsid w:val="009609A4"/>
    <w:rsid w:val="00960B3C"/>
    <w:rsid w:val="00960BA2"/>
    <w:rsid w:val="00960C81"/>
    <w:rsid w:val="00960D7B"/>
    <w:rsid w:val="00960D7C"/>
    <w:rsid w:val="00960DF3"/>
    <w:rsid w:val="00960E14"/>
    <w:rsid w:val="00960EA8"/>
    <w:rsid w:val="00960EDC"/>
    <w:rsid w:val="00960F01"/>
    <w:rsid w:val="00960F28"/>
    <w:rsid w:val="00960F99"/>
    <w:rsid w:val="00960FA7"/>
    <w:rsid w:val="009610F5"/>
    <w:rsid w:val="0096116B"/>
    <w:rsid w:val="009611B7"/>
    <w:rsid w:val="009611CB"/>
    <w:rsid w:val="009612DE"/>
    <w:rsid w:val="009614E5"/>
    <w:rsid w:val="0096156E"/>
    <w:rsid w:val="009615FB"/>
    <w:rsid w:val="00961648"/>
    <w:rsid w:val="0096164E"/>
    <w:rsid w:val="0096170D"/>
    <w:rsid w:val="0096173A"/>
    <w:rsid w:val="00961779"/>
    <w:rsid w:val="0096180B"/>
    <w:rsid w:val="009618AF"/>
    <w:rsid w:val="009618FF"/>
    <w:rsid w:val="00961959"/>
    <w:rsid w:val="00961A1B"/>
    <w:rsid w:val="00961B23"/>
    <w:rsid w:val="00961B32"/>
    <w:rsid w:val="00961B3E"/>
    <w:rsid w:val="00961CB7"/>
    <w:rsid w:val="00961CC3"/>
    <w:rsid w:val="00961DD1"/>
    <w:rsid w:val="00961E03"/>
    <w:rsid w:val="00961E27"/>
    <w:rsid w:val="00961E35"/>
    <w:rsid w:val="00961F9C"/>
    <w:rsid w:val="0096201E"/>
    <w:rsid w:val="00962038"/>
    <w:rsid w:val="00962092"/>
    <w:rsid w:val="0096209D"/>
    <w:rsid w:val="009621A6"/>
    <w:rsid w:val="009621FB"/>
    <w:rsid w:val="00962207"/>
    <w:rsid w:val="00962331"/>
    <w:rsid w:val="00962396"/>
    <w:rsid w:val="00962424"/>
    <w:rsid w:val="009624B5"/>
    <w:rsid w:val="009624FD"/>
    <w:rsid w:val="00962549"/>
    <w:rsid w:val="009625B6"/>
    <w:rsid w:val="009625EF"/>
    <w:rsid w:val="00962614"/>
    <w:rsid w:val="00962670"/>
    <w:rsid w:val="009626ED"/>
    <w:rsid w:val="0096276B"/>
    <w:rsid w:val="00962783"/>
    <w:rsid w:val="0096278B"/>
    <w:rsid w:val="00962799"/>
    <w:rsid w:val="009627B4"/>
    <w:rsid w:val="0096282B"/>
    <w:rsid w:val="00962A2B"/>
    <w:rsid w:val="00962A37"/>
    <w:rsid w:val="00962AF0"/>
    <w:rsid w:val="00962BBA"/>
    <w:rsid w:val="00962BD0"/>
    <w:rsid w:val="00962CE5"/>
    <w:rsid w:val="00962D0F"/>
    <w:rsid w:val="00962D2F"/>
    <w:rsid w:val="00962D8F"/>
    <w:rsid w:val="00962E7C"/>
    <w:rsid w:val="00962F18"/>
    <w:rsid w:val="00962F2D"/>
    <w:rsid w:val="00962F79"/>
    <w:rsid w:val="00962FC7"/>
    <w:rsid w:val="0096300C"/>
    <w:rsid w:val="00963167"/>
    <w:rsid w:val="009631AE"/>
    <w:rsid w:val="00963250"/>
    <w:rsid w:val="009632AF"/>
    <w:rsid w:val="00963342"/>
    <w:rsid w:val="00963351"/>
    <w:rsid w:val="009633B9"/>
    <w:rsid w:val="009633D6"/>
    <w:rsid w:val="009633E1"/>
    <w:rsid w:val="00963445"/>
    <w:rsid w:val="009634B6"/>
    <w:rsid w:val="00963513"/>
    <w:rsid w:val="009635C5"/>
    <w:rsid w:val="009636FD"/>
    <w:rsid w:val="009637CF"/>
    <w:rsid w:val="00963908"/>
    <w:rsid w:val="00963930"/>
    <w:rsid w:val="009639A9"/>
    <w:rsid w:val="00963A65"/>
    <w:rsid w:val="00963B52"/>
    <w:rsid w:val="00963B6F"/>
    <w:rsid w:val="00963BF1"/>
    <w:rsid w:val="00963C95"/>
    <w:rsid w:val="00963CB7"/>
    <w:rsid w:val="00963D61"/>
    <w:rsid w:val="00963F6F"/>
    <w:rsid w:val="0096410A"/>
    <w:rsid w:val="00964112"/>
    <w:rsid w:val="009641C1"/>
    <w:rsid w:val="009641CA"/>
    <w:rsid w:val="009642DA"/>
    <w:rsid w:val="0096433E"/>
    <w:rsid w:val="009644B2"/>
    <w:rsid w:val="0096456B"/>
    <w:rsid w:val="009645AD"/>
    <w:rsid w:val="009647E8"/>
    <w:rsid w:val="00964951"/>
    <w:rsid w:val="00964A25"/>
    <w:rsid w:val="00964ABD"/>
    <w:rsid w:val="00964ACC"/>
    <w:rsid w:val="00964AF0"/>
    <w:rsid w:val="00964B65"/>
    <w:rsid w:val="00964BE5"/>
    <w:rsid w:val="00964E3C"/>
    <w:rsid w:val="00964E53"/>
    <w:rsid w:val="00964E8B"/>
    <w:rsid w:val="00964F36"/>
    <w:rsid w:val="009650BB"/>
    <w:rsid w:val="009650F3"/>
    <w:rsid w:val="00965170"/>
    <w:rsid w:val="00965250"/>
    <w:rsid w:val="00965392"/>
    <w:rsid w:val="00965421"/>
    <w:rsid w:val="00965493"/>
    <w:rsid w:val="00965499"/>
    <w:rsid w:val="0096549E"/>
    <w:rsid w:val="0096556F"/>
    <w:rsid w:val="0096562A"/>
    <w:rsid w:val="00965684"/>
    <w:rsid w:val="009656C1"/>
    <w:rsid w:val="00965790"/>
    <w:rsid w:val="009658BD"/>
    <w:rsid w:val="009658D4"/>
    <w:rsid w:val="009658E2"/>
    <w:rsid w:val="00965923"/>
    <w:rsid w:val="00965934"/>
    <w:rsid w:val="00965986"/>
    <w:rsid w:val="00965AB6"/>
    <w:rsid w:val="00965B57"/>
    <w:rsid w:val="00965CBD"/>
    <w:rsid w:val="00965E1F"/>
    <w:rsid w:val="00965E54"/>
    <w:rsid w:val="00965FE1"/>
    <w:rsid w:val="00966036"/>
    <w:rsid w:val="0096606B"/>
    <w:rsid w:val="0096611A"/>
    <w:rsid w:val="0096614D"/>
    <w:rsid w:val="0096618D"/>
    <w:rsid w:val="009661D1"/>
    <w:rsid w:val="0096627B"/>
    <w:rsid w:val="0096629E"/>
    <w:rsid w:val="009662F6"/>
    <w:rsid w:val="00966372"/>
    <w:rsid w:val="00966398"/>
    <w:rsid w:val="009663AD"/>
    <w:rsid w:val="0096646E"/>
    <w:rsid w:val="00966476"/>
    <w:rsid w:val="009664A8"/>
    <w:rsid w:val="00966576"/>
    <w:rsid w:val="00966691"/>
    <w:rsid w:val="009666A3"/>
    <w:rsid w:val="009667B4"/>
    <w:rsid w:val="00966852"/>
    <w:rsid w:val="0096688C"/>
    <w:rsid w:val="0096694E"/>
    <w:rsid w:val="0096699B"/>
    <w:rsid w:val="00966B9D"/>
    <w:rsid w:val="00966C6B"/>
    <w:rsid w:val="00966C8C"/>
    <w:rsid w:val="00966C8D"/>
    <w:rsid w:val="00966C98"/>
    <w:rsid w:val="00966CAE"/>
    <w:rsid w:val="00966CDC"/>
    <w:rsid w:val="00966DBF"/>
    <w:rsid w:val="00966E0C"/>
    <w:rsid w:val="00966EE4"/>
    <w:rsid w:val="00966EF8"/>
    <w:rsid w:val="00967031"/>
    <w:rsid w:val="009671D2"/>
    <w:rsid w:val="0096732A"/>
    <w:rsid w:val="00967358"/>
    <w:rsid w:val="0096735B"/>
    <w:rsid w:val="009673C5"/>
    <w:rsid w:val="00967469"/>
    <w:rsid w:val="0096754E"/>
    <w:rsid w:val="0096761E"/>
    <w:rsid w:val="00967654"/>
    <w:rsid w:val="0096766D"/>
    <w:rsid w:val="009677A1"/>
    <w:rsid w:val="00967835"/>
    <w:rsid w:val="0096784A"/>
    <w:rsid w:val="009678AF"/>
    <w:rsid w:val="0096790D"/>
    <w:rsid w:val="0096794E"/>
    <w:rsid w:val="0096794F"/>
    <w:rsid w:val="009679DA"/>
    <w:rsid w:val="00967A6A"/>
    <w:rsid w:val="00967AD9"/>
    <w:rsid w:val="00967BAD"/>
    <w:rsid w:val="00967D5D"/>
    <w:rsid w:val="00967D8E"/>
    <w:rsid w:val="00967E1D"/>
    <w:rsid w:val="00967E36"/>
    <w:rsid w:val="00967E6B"/>
    <w:rsid w:val="009700AF"/>
    <w:rsid w:val="009700BF"/>
    <w:rsid w:val="009700C4"/>
    <w:rsid w:val="0097016C"/>
    <w:rsid w:val="009701DD"/>
    <w:rsid w:val="009701F7"/>
    <w:rsid w:val="0097031A"/>
    <w:rsid w:val="0097034A"/>
    <w:rsid w:val="009703DB"/>
    <w:rsid w:val="009703FA"/>
    <w:rsid w:val="00970438"/>
    <w:rsid w:val="009704CF"/>
    <w:rsid w:val="00970507"/>
    <w:rsid w:val="0097066A"/>
    <w:rsid w:val="009707EA"/>
    <w:rsid w:val="0097087A"/>
    <w:rsid w:val="009708A7"/>
    <w:rsid w:val="00970981"/>
    <w:rsid w:val="00970992"/>
    <w:rsid w:val="00970A94"/>
    <w:rsid w:val="00970AE4"/>
    <w:rsid w:val="00970B9F"/>
    <w:rsid w:val="00970C04"/>
    <w:rsid w:val="00970DA5"/>
    <w:rsid w:val="00970DE3"/>
    <w:rsid w:val="00970EA4"/>
    <w:rsid w:val="00970F05"/>
    <w:rsid w:val="00970F76"/>
    <w:rsid w:val="009710D3"/>
    <w:rsid w:val="009710E4"/>
    <w:rsid w:val="009711ED"/>
    <w:rsid w:val="00971225"/>
    <w:rsid w:val="0097122D"/>
    <w:rsid w:val="00971236"/>
    <w:rsid w:val="0097127D"/>
    <w:rsid w:val="009712CB"/>
    <w:rsid w:val="00971353"/>
    <w:rsid w:val="0097136F"/>
    <w:rsid w:val="00971427"/>
    <w:rsid w:val="0097142F"/>
    <w:rsid w:val="00971583"/>
    <w:rsid w:val="0097165F"/>
    <w:rsid w:val="00971736"/>
    <w:rsid w:val="009717E1"/>
    <w:rsid w:val="00971917"/>
    <w:rsid w:val="00971A4E"/>
    <w:rsid w:val="00971AE7"/>
    <w:rsid w:val="00971CB9"/>
    <w:rsid w:val="00971CC7"/>
    <w:rsid w:val="00971E8A"/>
    <w:rsid w:val="00971F11"/>
    <w:rsid w:val="00972180"/>
    <w:rsid w:val="00972194"/>
    <w:rsid w:val="00972225"/>
    <w:rsid w:val="00972238"/>
    <w:rsid w:val="0097227E"/>
    <w:rsid w:val="0097230C"/>
    <w:rsid w:val="009723A8"/>
    <w:rsid w:val="0097243C"/>
    <w:rsid w:val="0097248A"/>
    <w:rsid w:val="009724C2"/>
    <w:rsid w:val="009724E0"/>
    <w:rsid w:val="009725D0"/>
    <w:rsid w:val="009726F2"/>
    <w:rsid w:val="0097286A"/>
    <w:rsid w:val="009728D4"/>
    <w:rsid w:val="0097296F"/>
    <w:rsid w:val="009729F1"/>
    <w:rsid w:val="00972C48"/>
    <w:rsid w:val="00972C8F"/>
    <w:rsid w:val="00972D38"/>
    <w:rsid w:val="00972DAD"/>
    <w:rsid w:val="00972DE0"/>
    <w:rsid w:val="00972E12"/>
    <w:rsid w:val="00972FB5"/>
    <w:rsid w:val="00973098"/>
    <w:rsid w:val="0097313B"/>
    <w:rsid w:val="0097317E"/>
    <w:rsid w:val="009731AF"/>
    <w:rsid w:val="009733B9"/>
    <w:rsid w:val="009733BC"/>
    <w:rsid w:val="009733BE"/>
    <w:rsid w:val="00973471"/>
    <w:rsid w:val="00973493"/>
    <w:rsid w:val="009734A9"/>
    <w:rsid w:val="009734C0"/>
    <w:rsid w:val="00973528"/>
    <w:rsid w:val="0097358A"/>
    <w:rsid w:val="009735B2"/>
    <w:rsid w:val="009735C5"/>
    <w:rsid w:val="0097368D"/>
    <w:rsid w:val="00973706"/>
    <w:rsid w:val="00973769"/>
    <w:rsid w:val="00973795"/>
    <w:rsid w:val="009737D8"/>
    <w:rsid w:val="0097383A"/>
    <w:rsid w:val="00973AF4"/>
    <w:rsid w:val="00973AFD"/>
    <w:rsid w:val="00973B71"/>
    <w:rsid w:val="00973C2D"/>
    <w:rsid w:val="00973C5B"/>
    <w:rsid w:val="00973CD4"/>
    <w:rsid w:val="00973D18"/>
    <w:rsid w:val="00973FF8"/>
    <w:rsid w:val="0097402B"/>
    <w:rsid w:val="0097407A"/>
    <w:rsid w:val="009740AF"/>
    <w:rsid w:val="009740CA"/>
    <w:rsid w:val="009740E9"/>
    <w:rsid w:val="009741BB"/>
    <w:rsid w:val="009742C2"/>
    <w:rsid w:val="00974387"/>
    <w:rsid w:val="00974425"/>
    <w:rsid w:val="009745ED"/>
    <w:rsid w:val="0097478D"/>
    <w:rsid w:val="00974802"/>
    <w:rsid w:val="00974862"/>
    <w:rsid w:val="009748C7"/>
    <w:rsid w:val="009748F8"/>
    <w:rsid w:val="0097496E"/>
    <w:rsid w:val="00974984"/>
    <w:rsid w:val="00974B75"/>
    <w:rsid w:val="00974BB4"/>
    <w:rsid w:val="00974C04"/>
    <w:rsid w:val="00974C3E"/>
    <w:rsid w:val="00974D22"/>
    <w:rsid w:val="00974E70"/>
    <w:rsid w:val="00974F7C"/>
    <w:rsid w:val="00974FA2"/>
    <w:rsid w:val="00974FDC"/>
    <w:rsid w:val="00975013"/>
    <w:rsid w:val="009751D5"/>
    <w:rsid w:val="00975276"/>
    <w:rsid w:val="0097527F"/>
    <w:rsid w:val="009753C9"/>
    <w:rsid w:val="009754EB"/>
    <w:rsid w:val="0097562D"/>
    <w:rsid w:val="009757CB"/>
    <w:rsid w:val="009757DB"/>
    <w:rsid w:val="00975828"/>
    <w:rsid w:val="00975926"/>
    <w:rsid w:val="0097592C"/>
    <w:rsid w:val="00975934"/>
    <w:rsid w:val="0097596F"/>
    <w:rsid w:val="00975B3E"/>
    <w:rsid w:val="00975BFD"/>
    <w:rsid w:val="00975D42"/>
    <w:rsid w:val="00975E0D"/>
    <w:rsid w:val="00975FB8"/>
    <w:rsid w:val="00976062"/>
    <w:rsid w:val="00976095"/>
    <w:rsid w:val="009762AD"/>
    <w:rsid w:val="009762AE"/>
    <w:rsid w:val="009762BB"/>
    <w:rsid w:val="00976422"/>
    <w:rsid w:val="009764B6"/>
    <w:rsid w:val="00976635"/>
    <w:rsid w:val="0097664E"/>
    <w:rsid w:val="009769DB"/>
    <w:rsid w:val="009769F9"/>
    <w:rsid w:val="00976A0D"/>
    <w:rsid w:val="00976A1F"/>
    <w:rsid w:val="00976A7C"/>
    <w:rsid w:val="00976A9A"/>
    <w:rsid w:val="00976AA5"/>
    <w:rsid w:val="00976B45"/>
    <w:rsid w:val="00976C31"/>
    <w:rsid w:val="00976CFC"/>
    <w:rsid w:val="00976DF9"/>
    <w:rsid w:val="00976E5D"/>
    <w:rsid w:val="00976E5F"/>
    <w:rsid w:val="00976E9C"/>
    <w:rsid w:val="00976F38"/>
    <w:rsid w:val="00976FC4"/>
    <w:rsid w:val="0097700D"/>
    <w:rsid w:val="0097707B"/>
    <w:rsid w:val="009771A7"/>
    <w:rsid w:val="009771E2"/>
    <w:rsid w:val="009772B4"/>
    <w:rsid w:val="0097732A"/>
    <w:rsid w:val="00977336"/>
    <w:rsid w:val="009774D5"/>
    <w:rsid w:val="0097751D"/>
    <w:rsid w:val="00977853"/>
    <w:rsid w:val="00977983"/>
    <w:rsid w:val="00977997"/>
    <w:rsid w:val="00977A0F"/>
    <w:rsid w:val="00977A60"/>
    <w:rsid w:val="00977B59"/>
    <w:rsid w:val="00977C5C"/>
    <w:rsid w:val="00977C76"/>
    <w:rsid w:val="00977D4E"/>
    <w:rsid w:val="00977DBD"/>
    <w:rsid w:val="00977E5D"/>
    <w:rsid w:val="00977F44"/>
    <w:rsid w:val="009790C5"/>
    <w:rsid w:val="0098006D"/>
    <w:rsid w:val="009800E4"/>
    <w:rsid w:val="00980177"/>
    <w:rsid w:val="0098017D"/>
    <w:rsid w:val="00980188"/>
    <w:rsid w:val="00980223"/>
    <w:rsid w:val="0098024C"/>
    <w:rsid w:val="0098026F"/>
    <w:rsid w:val="00980326"/>
    <w:rsid w:val="009803CE"/>
    <w:rsid w:val="00980456"/>
    <w:rsid w:val="00980518"/>
    <w:rsid w:val="009805AB"/>
    <w:rsid w:val="00980661"/>
    <w:rsid w:val="009806E9"/>
    <w:rsid w:val="00980788"/>
    <w:rsid w:val="009807F2"/>
    <w:rsid w:val="00980936"/>
    <w:rsid w:val="00980943"/>
    <w:rsid w:val="00980A14"/>
    <w:rsid w:val="00980A16"/>
    <w:rsid w:val="00980BF4"/>
    <w:rsid w:val="00980BF8"/>
    <w:rsid w:val="00980C61"/>
    <w:rsid w:val="00980D37"/>
    <w:rsid w:val="00980D71"/>
    <w:rsid w:val="00980E4B"/>
    <w:rsid w:val="00980F02"/>
    <w:rsid w:val="00981009"/>
    <w:rsid w:val="009810DE"/>
    <w:rsid w:val="009811F7"/>
    <w:rsid w:val="00981205"/>
    <w:rsid w:val="009813FB"/>
    <w:rsid w:val="00981420"/>
    <w:rsid w:val="00981452"/>
    <w:rsid w:val="00981465"/>
    <w:rsid w:val="00981470"/>
    <w:rsid w:val="00981606"/>
    <w:rsid w:val="00981635"/>
    <w:rsid w:val="00981728"/>
    <w:rsid w:val="00981801"/>
    <w:rsid w:val="0098180C"/>
    <w:rsid w:val="00981876"/>
    <w:rsid w:val="0098189A"/>
    <w:rsid w:val="009818FF"/>
    <w:rsid w:val="00981932"/>
    <w:rsid w:val="0098193C"/>
    <w:rsid w:val="00981A3E"/>
    <w:rsid w:val="00981ADD"/>
    <w:rsid w:val="00981B70"/>
    <w:rsid w:val="00981C68"/>
    <w:rsid w:val="00981C91"/>
    <w:rsid w:val="00981C96"/>
    <w:rsid w:val="00981D63"/>
    <w:rsid w:val="00981E62"/>
    <w:rsid w:val="00981F61"/>
    <w:rsid w:val="00981FA5"/>
    <w:rsid w:val="00982065"/>
    <w:rsid w:val="00982103"/>
    <w:rsid w:val="00982303"/>
    <w:rsid w:val="009824F2"/>
    <w:rsid w:val="00982502"/>
    <w:rsid w:val="009825B6"/>
    <w:rsid w:val="009825CE"/>
    <w:rsid w:val="0098267F"/>
    <w:rsid w:val="00982784"/>
    <w:rsid w:val="009827D8"/>
    <w:rsid w:val="0098288C"/>
    <w:rsid w:val="009828A6"/>
    <w:rsid w:val="009828D2"/>
    <w:rsid w:val="00982905"/>
    <w:rsid w:val="00982A88"/>
    <w:rsid w:val="00982B01"/>
    <w:rsid w:val="00982BE9"/>
    <w:rsid w:val="00982BF4"/>
    <w:rsid w:val="00982C66"/>
    <w:rsid w:val="00982E4A"/>
    <w:rsid w:val="00982F6F"/>
    <w:rsid w:val="009830EB"/>
    <w:rsid w:val="0098317F"/>
    <w:rsid w:val="0098319D"/>
    <w:rsid w:val="009831A0"/>
    <w:rsid w:val="0098328B"/>
    <w:rsid w:val="00983317"/>
    <w:rsid w:val="00983483"/>
    <w:rsid w:val="00983511"/>
    <w:rsid w:val="009835BB"/>
    <w:rsid w:val="00983607"/>
    <w:rsid w:val="00983781"/>
    <w:rsid w:val="00983807"/>
    <w:rsid w:val="00983875"/>
    <w:rsid w:val="009838A4"/>
    <w:rsid w:val="009838C3"/>
    <w:rsid w:val="009839B9"/>
    <w:rsid w:val="00983BD9"/>
    <w:rsid w:val="00983C0E"/>
    <w:rsid w:val="00983C27"/>
    <w:rsid w:val="00983CA8"/>
    <w:rsid w:val="00983D40"/>
    <w:rsid w:val="00983D6D"/>
    <w:rsid w:val="00983EDE"/>
    <w:rsid w:val="0098406E"/>
    <w:rsid w:val="0098410F"/>
    <w:rsid w:val="00984281"/>
    <w:rsid w:val="009843DC"/>
    <w:rsid w:val="00984628"/>
    <w:rsid w:val="00984634"/>
    <w:rsid w:val="00984671"/>
    <w:rsid w:val="009846B8"/>
    <w:rsid w:val="00984745"/>
    <w:rsid w:val="00984921"/>
    <w:rsid w:val="009849D4"/>
    <w:rsid w:val="00984A95"/>
    <w:rsid w:val="00984F0E"/>
    <w:rsid w:val="00984F31"/>
    <w:rsid w:val="00984F4D"/>
    <w:rsid w:val="009850F8"/>
    <w:rsid w:val="00985158"/>
    <w:rsid w:val="00985269"/>
    <w:rsid w:val="00985488"/>
    <w:rsid w:val="00985496"/>
    <w:rsid w:val="0098552F"/>
    <w:rsid w:val="0098556E"/>
    <w:rsid w:val="009855E4"/>
    <w:rsid w:val="009856CD"/>
    <w:rsid w:val="0098576C"/>
    <w:rsid w:val="0098577A"/>
    <w:rsid w:val="0098579B"/>
    <w:rsid w:val="009858B4"/>
    <w:rsid w:val="0098599C"/>
    <w:rsid w:val="00985B31"/>
    <w:rsid w:val="00985BA1"/>
    <w:rsid w:val="00985C78"/>
    <w:rsid w:val="00985CCC"/>
    <w:rsid w:val="00985D05"/>
    <w:rsid w:val="00985DCB"/>
    <w:rsid w:val="00985DE9"/>
    <w:rsid w:val="00985F9D"/>
    <w:rsid w:val="00985FED"/>
    <w:rsid w:val="00986042"/>
    <w:rsid w:val="009860A6"/>
    <w:rsid w:val="00986109"/>
    <w:rsid w:val="0098612A"/>
    <w:rsid w:val="00986131"/>
    <w:rsid w:val="00986373"/>
    <w:rsid w:val="00986413"/>
    <w:rsid w:val="00986420"/>
    <w:rsid w:val="009864A9"/>
    <w:rsid w:val="00986542"/>
    <w:rsid w:val="00986558"/>
    <w:rsid w:val="00986579"/>
    <w:rsid w:val="009867A2"/>
    <w:rsid w:val="009867FE"/>
    <w:rsid w:val="00986A60"/>
    <w:rsid w:val="00986A6B"/>
    <w:rsid w:val="00986ADE"/>
    <w:rsid w:val="00986AE6"/>
    <w:rsid w:val="00986B58"/>
    <w:rsid w:val="00986B76"/>
    <w:rsid w:val="00986B8B"/>
    <w:rsid w:val="00986B8E"/>
    <w:rsid w:val="00986C42"/>
    <w:rsid w:val="00986C47"/>
    <w:rsid w:val="00986D79"/>
    <w:rsid w:val="00986DF6"/>
    <w:rsid w:val="00987116"/>
    <w:rsid w:val="00987119"/>
    <w:rsid w:val="0098719B"/>
    <w:rsid w:val="009872E5"/>
    <w:rsid w:val="009872E7"/>
    <w:rsid w:val="00987445"/>
    <w:rsid w:val="00987481"/>
    <w:rsid w:val="0098751F"/>
    <w:rsid w:val="009875AB"/>
    <w:rsid w:val="009878DD"/>
    <w:rsid w:val="009878F8"/>
    <w:rsid w:val="00987959"/>
    <w:rsid w:val="009879A8"/>
    <w:rsid w:val="00987ADA"/>
    <w:rsid w:val="00987BC5"/>
    <w:rsid w:val="00987D45"/>
    <w:rsid w:val="00987EAD"/>
    <w:rsid w:val="00987F7E"/>
    <w:rsid w:val="00990030"/>
    <w:rsid w:val="00990053"/>
    <w:rsid w:val="0099009E"/>
    <w:rsid w:val="0099013B"/>
    <w:rsid w:val="00990189"/>
    <w:rsid w:val="009902D5"/>
    <w:rsid w:val="0099033E"/>
    <w:rsid w:val="0099038F"/>
    <w:rsid w:val="009903FB"/>
    <w:rsid w:val="0099042A"/>
    <w:rsid w:val="009904F0"/>
    <w:rsid w:val="009904F5"/>
    <w:rsid w:val="00990512"/>
    <w:rsid w:val="00990538"/>
    <w:rsid w:val="009905F2"/>
    <w:rsid w:val="00990726"/>
    <w:rsid w:val="00990772"/>
    <w:rsid w:val="0099080C"/>
    <w:rsid w:val="009908C8"/>
    <w:rsid w:val="0099090C"/>
    <w:rsid w:val="0099098C"/>
    <w:rsid w:val="009909BC"/>
    <w:rsid w:val="009909CC"/>
    <w:rsid w:val="009909ED"/>
    <w:rsid w:val="00990A01"/>
    <w:rsid w:val="00990B45"/>
    <w:rsid w:val="00990B50"/>
    <w:rsid w:val="00990B7E"/>
    <w:rsid w:val="00990B80"/>
    <w:rsid w:val="00990C49"/>
    <w:rsid w:val="00990DF8"/>
    <w:rsid w:val="00990E1D"/>
    <w:rsid w:val="00990EB7"/>
    <w:rsid w:val="00990EB8"/>
    <w:rsid w:val="00990F5B"/>
    <w:rsid w:val="00990F8F"/>
    <w:rsid w:val="00990FEF"/>
    <w:rsid w:val="00991072"/>
    <w:rsid w:val="00991094"/>
    <w:rsid w:val="00991135"/>
    <w:rsid w:val="009911B3"/>
    <w:rsid w:val="00991224"/>
    <w:rsid w:val="0099127E"/>
    <w:rsid w:val="00991378"/>
    <w:rsid w:val="009913F3"/>
    <w:rsid w:val="0099146D"/>
    <w:rsid w:val="009914CC"/>
    <w:rsid w:val="0099155E"/>
    <w:rsid w:val="009915DF"/>
    <w:rsid w:val="00991600"/>
    <w:rsid w:val="00991601"/>
    <w:rsid w:val="0099161B"/>
    <w:rsid w:val="009916C5"/>
    <w:rsid w:val="0099171A"/>
    <w:rsid w:val="009917F2"/>
    <w:rsid w:val="009918A4"/>
    <w:rsid w:val="009918DE"/>
    <w:rsid w:val="00991959"/>
    <w:rsid w:val="00991A4D"/>
    <w:rsid w:val="00991AF8"/>
    <w:rsid w:val="00991C0B"/>
    <w:rsid w:val="00991C1B"/>
    <w:rsid w:val="00991C20"/>
    <w:rsid w:val="00991D7D"/>
    <w:rsid w:val="00991D97"/>
    <w:rsid w:val="00991E5B"/>
    <w:rsid w:val="00991F3F"/>
    <w:rsid w:val="00991F96"/>
    <w:rsid w:val="0099203F"/>
    <w:rsid w:val="00992056"/>
    <w:rsid w:val="00992084"/>
    <w:rsid w:val="00992233"/>
    <w:rsid w:val="00992278"/>
    <w:rsid w:val="009922CE"/>
    <w:rsid w:val="009923D2"/>
    <w:rsid w:val="0099256B"/>
    <w:rsid w:val="009925E4"/>
    <w:rsid w:val="00992704"/>
    <w:rsid w:val="00992848"/>
    <w:rsid w:val="009929E2"/>
    <w:rsid w:val="00992A09"/>
    <w:rsid w:val="00992A7D"/>
    <w:rsid w:val="00992AAA"/>
    <w:rsid w:val="00992AC8"/>
    <w:rsid w:val="00992B9F"/>
    <w:rsid w:val="00992C85"/>
    <w:rsid w:val="00992CF9"/>
    <w:rsid w:val="00992E12"/>
    <w:rsid w:val="00992E43"/>
    <w:rsid w:val="00992E4D"/>
    <w:rsid w:val="00992E53"/>
    <w:rsid w:val="00992E8F"/>
    <w:rsid w:val="00992F03"/>
    <w:rsid w:val="00992F3A"/>
    <w:rsid w:val="00992FBE"/>
    <w:rsid w:val="009931DD"/>
    <w:rsid w:val="00993225"/>
    <w:rsid w:val="00993238"/>
    <w:rsid w:val="0099334D"/>
    <w:rsid w:val="00993563"/>
    <w:rsid w:val="009935FA"/>
    <w:rsid w:val="009936A7"/>
    <w:rsid w:val="009936EA"/>
    <w:rsid w:val="0099376D"/>
    <w:rsid w:val="0099384E"/>
    <w:rsid w:val="009938A0"/>
    <w:rsid w:val="00993943"/>
    <w:rsid w:val="00993966"/>
    <w:rsid w:val="009939E2"/>
    <w:rsid w:val="00993A13"/>
    <w:rsid w:val="00993A85"/>
    <w:rsid w:val="00993B91"/>
    <w:rsid w:val="00993BA2"/>
    <w:rsid w:val="00993BA6"/>
    <w:rsid w:val="00993D96"/>
    <w:rsid w:val="00993DBD"/>
    <w:rsid w:val="00993FDE"/>
    <w:rsid w:val="00993FE5"/>
    <w:rsid w:val="009940E1"/>
    <w:rsid w:val="0099410C"/>
    <w:rsid w:val="0099418F"/>
    <w:rsid w:val="009942C5"/>
    <w:rsid w:val="00994328"/>
    <w:rsid w:val="00994332"/>
    <w:rsid w:val="009944EE"/>
    <w:rsid w:val="009945C4"/>
    <w:rsid w:val="0099467A"/>
    <w:rsid w:val="009946C6"/>
    <w:rsid w:val="00994910"/>
    <w:rsid w:val="00994933"/>
    <w:rsid w:val="009949BC"/>
    <w:rsid w:val="00994A04"/>
    <w:rsid w:val="00994B21"/>
    <w:rsid w:val="00994B22"/>
    <w:rsid w:val="00994BFE"/>
    <w:rsid w:val="00994CBD"/>
    <w:rsid w:val="00994E78"/>
    <w:rsid w:val="0099500D"/>
    <w:rsid w:val="00995184"/>
    <w:rsid w:val="009951F7"/>
    <w:rsid w:val="0099525D"/>
    <w:rsid w:val="00995292"/>
    <w:rsid w:val="00995339"/>
    <w:rsid w:val="00995390"/>
    <w:rsid w:val="00995402"/>
    <w:rsid w:val="009954BE"/>
    <w:rsid w:val="009954CE"/>
    <w:rsid w:val="009954E2"/>
    <w:rsid w:val="0099558A"/>
    <w:rsid w:val="009955B0"/>
    <w:rsid w:val="009955E8"/>
    <w:rsid w:val="00995707"/>
    <w:rsid w:val="00995787"/>
    <w:rsid w:val="009958EE"/>
    <w:rsid w:val="0099591E"/>
    <w:rsid w:val="00995A2E"/>
    <w:rsid w:val="00995A52"/>
    <w:rsid w:val="00995B13"/>
    <w:rsid w:val="00995B57"/>
    <w:rsid w:val="00995BE5"/>
    <w:rsid w:val="00995CA2"/>
    <w:rsid w:val="00995CB5"/>
    <w:rsid w:val="00995CE5"/>
    <w:rsid w:val="00995E60"/>
    <w:rsid w:val="00995EDB"/>
    <w:rsid w:val="00995F85"/>
    <w:rsid w:val="00996210"/>
    <w:rsid w:val="009962F4"/>
    <w:rsid w:val="00996316"/>
    <w:rsid w:val="009964B1"/>
    <w:rsid w:val="009964D2"/>
    <w:rsid w:val="00996519"/>
    <w:rsid w:val="00996596"/>
    <w:rsid w:val="00996659"/>
    <w:rsid w:val="009966CA"/>
    <w:rsid w:val="00996706"/>
    <w:rsid w:val="009967A3"/>
    <w:rsid w:val="009967D1"/>
    <w:rsid w:val="009968CB"/>
    <w:rsid w:val="0099695A"/>
    <w:rsid w:val="00996AB2"/>
    <w:rsid w:val="00996AF9"/>
    <w:rsid w:val="00996B5D"/>
    <w:rsid w:val="00996B5E"/>
    <w:rsid w:val="00996B8C"/>
    <w:rsid w:val="00996C0F"/>
    <w:rsid w:val="00996C49"/>
    <w:rsid w:val="00996CC7"/>
    <w:rsid w:val="00996CF9"/>
    <w:rsid w:val="00996DFE"/>
    <w:rsid w:val="00996E48"/>
    <w:rsid w:val="00996EC2"/>
    <w:rsid w:val="00997190"/>
    <w:rsid w:val="00997249"/>
    <w:rsid w:val="009972F0"/>
    <w:rsid w:val="00997357"/>
    <w:rsid w:val="00997404"/>
    <w:rsid w:val="00997427"/>
    <w:rsid w:val="0099744C"/>
    <w:rsid w:val="009974D1"/>
    <w:rsid w:val="00997509"/>
    <w:rsid w:val="00997576"/>
    <w:rsid w:val="0099759A"/>
    <w:rsid w:val="00997632"/>
    <w:rsid w:val="0099763C"/>
    <w:rsid w:val="00997677"/>
    <w:rsid w:val="00997703"/>
    <w:rsid w:val="00997729"/>
    <w:rsid w:val="009977C6"/>
    <w:rsid w:val="0099781D"/>
    <w:rsid w:val="0099782C"/>
    <w:rsid w:val="00997A58"/>
    <w:rsid w:val="00997B22"/>
    <w:rsid w:val="00997B26"/>
    <w:rsid w:val="00997B51"/>
    <w:rsid w:val="00997B55"/>
    <w:rsid w:val="00997C37"/>
    <w:rsid w:val="00997D6A"/>
    <w:rsid w:val="00997DA2"/>
    <w:rsid w:val="00997DB9"/>
    <w:rsid w:val="00997DC2"/>
    <w:rsid w:val="00997DF4"/>
    <w:rsid w:val="00997E5C"/>
    <w:rsid w:val="00997EC4"/>
    <w:rsid w:val="00997ECA"/>
    <w:rsid w:val="00997FF8"/>
    <w:rsid w:val="009A00C5"/>
    <w:rsid w:val="009A00FC"/>
    <w:rsid w:val="009A01C6"/>
    <w:rsid w:val="009A01FE"/>
    <w:rsid w:val="009A02A9"/>
    <w:rsid w:val="009A02F6"/>
    <w:rsid w:val="009A043E"/>
    <w:rsid w:val="009A0475"/>
    <w:rsid w:val="009A0554"/>
    <w:rsid w:val="009A059D"/>
    <w:rsid w:val="009A05D6"/>
    <w:rsid w:val="009A0609"/>
    <w:rsid w:val="009A0673"/>
    <w:rsid w:val="009A0887"/>
    <w:rsid w:val="009A09A6"/>
    <w:rsid w:val="009A0A35"/>
    <w:rsid w:val="009A0AEA"/>
    <w:rsid w:val="009A0C10"/>
    <w:rsid w:val="009A0C89"/>
    <w:rsid w:val="009A0C95"/>
    <w:rsid w:val="009A0D90"/>
    <w:rsid w:val="009A0E17"/>
    <w:rsid w:val="009A0EBB"/>
    <w:rsid w:val="009A0EF7"/>
    <w:rsid w:val="009A0F21"/>
    <w:rsid w:val="009A0F22"/>
    <w:rsid w:val="009A0FDC"/>
    <w:rsid w:val="009A106F"/>
    <w:rsid w:val="009A1138"/>
    <w:rsid w:val="009A123C"/>
    <w:rsid w:val="009A1250"/>
    <w:rsid w:val="009A12C6"/>
    <w:rsid w:val="009A13B0"/>
    <w:rsid w:val="009A13D2"/>
    <w:rsid w:val="009A1420"/>
    <w:rsid w:val="009A14DD"/>
    <w:rsid w:val="009A1621"/>
    <w:rsid w:val="009A16A0"/>
    <w:rsid w:val="009A1738"/>
    <w:rsid w:val="009A180C"/>
    <w:rsid w:val="009A185D"/>
    <w:rsid w:val="009A1894"/>
    <w:rsid w:val="009A18B0"/>
    <w:rsid w:val="009A18BC"/>
    <w:rsid w:val="009A1950"/>
    <w:rsid w:val="009A1974"/>
    <w:rsid w:val="009A19E9"/>
    <w:rsid w:val="009A1C0C"/>
    <w:rsid w:val="009A1C2B"/>
    <w:rsid w:val="009A1D4B"/>
    <w:rsid w:val="009A1D51"/>
    <w:rsid w:val="009A1DC5"/>
    <w:rsid w:val="009A1EB0"/>
    <w:rsid w:val="009A1F95"/>
    <w:rsid w:val="009A1FC6"/>
    <w:rsid w:val="009A2059"/>
    <w:rsid w:val="009A207C"/>
    <w:rsid w:val="009A2137"/>
    <w:rsid w:val="009A2198"/>
    <w:rsid w:val="009A21B9"/>
    <w:rsid w:val="009A21F0"/>
    <w:rsid w:val="009A224B"/>
    <w:rsid w:val="009A2255"/>
    <w:rsid w:val="009A2256"/>
    <w:rsid w:val="009A2316"/>
    <w:rsid w:val="009A23C3"/>
    <w:rsid w:val="009A24DF"/>
    <w:rsid w:val="009A24EA"/>
    <w:rsid w:val="009A2510"/>
    <w:rsid w:val="009A25EB"/>
    <w:rsid w:val="009A26E4"/>
    <w:rsid w:val="009A27CF"/>
    <w:rsid w:val="009A27F6"/>
    <w:rsid w:val="009A2816"/>
    <w:rsid w:val="009A28CD"/>
    <w:rsid w:val="009A297D"/>
    <w:rsid w:val="009A298B"/>
    <w:rsid w:val="009A29A3"/>
    <w:rsid w:val="009A2AB0"/>
    <w:rsid w:val="009A2B49"/>
    <w:rsid w:val="009A2BB0"/>
    <w:rsid w:val="009A2C6D"/>
    <w:rsid w:val="009A2CF8"/>
    <w:rsid w:val="009A2DD6"/>
    <w:rsid w:val="009A2ED6"/>
    <w:rsid w:val="009A2EF4"/>
    <w:rsid w:val="009A2F51"/>
    <w:rsid w:val="009A313A"/>
    <w:rsid w:val="009A3162"/>
    <w:rsid w:val="009A3183"/>
    <w:rsid w:val="009A3187"/>
    <w:rsid w:val="009A32D5"/>
    <w:rsid w:val="009A3331"/>
    <w:rsid w:val="009A3496"/>
    <w:rsid w:val="009A34C0"/>
    <w:rsid w:val="009A3509"/>
    <w:rsid w:val="009A354B"/>
    <w:rsid w:val="009A3559"/>
    <w:rsid w:val="009A3562"/>
    <w:rsid w:val="009A3585"/>
    <w:rsid w:val="009A36EA"/>
    <w:rsid w:val="009A3724"/>
    <w:rsid w:val="009A3823"/>
    <w:rsid w:val="009A3879"/>
    <w:rsid w:val="009A390F"/>
    <w:rsid w:val="009A3939"/>
    <w:rsid w:val="009A3A48"/>
    <w:rsid w:val="009A3C1F"/>
    <w:rsid w:val="009A3C3B"/>
    <w:rsid w:val="009A3C7B"/>
    <w:rsid w:val="009A3E76"/>
    <w:rsid w:val="009A3E9D"/>
    <w:rsid w:val="009A3EE7"/>
    <w:rsid w:val="009A3EEB"/>
    <w:rsid w:val="009A3FAA"/>
    <w:rsid w:val="009A40AD"/>
    <w:rsid w:val="009A4180"/>
    <w:rsid w:val="009A41B2"/>
    <w:rsid w:val="009A41D1"/>
    <w:rsid w:val="009A4282"/>
    <w:rsid w:val="009A4323"/>
    <w:rsid w:val="009A4365"/>
    <w:rsid w:val="009A43E5"/>
    <w:rsid w:val="009A44A9"/>
    <w:rsid w:val="009A4549"/>
    <w:rsid w:val="009A46CD"/>
    <w:rsid w:val="009A4716"/>
    <w:rsid w:val="009A479D"/>
    <w:rsid w:val="009A47F7"/>
    <w:rsid w:val="009A49C3"/>
    <w:rsid w:val="009A4A55"/>
    <w:rsid w:val="009A4A8E"/>
    <w:rsid w:val="009A4BC2"/>
    <w:rsid w:val="009A4CB3"/>
    <w:rsid w:val="009A4E43"/>
    <w:rsid w:val="009A4E4C"/>
    <w:rsid w:val="009A4EA4"/>
    <w:rsid w:val="009A4EF9"/>
    <w:rsid w:val="009A4F16"/>
    <w:rsid w:val="009A5002"/>
    <w:rsid w:val="009A5147"/>
    <w:rsid w:val="009A521D"/>
    <w:rsid w:val="009A5227"/>
    <w:rsid w:val="009A529B"/>
    <w:rsid w:val="009A52AA"/>
    <w:rsid w:val="009A55CF"/>
    <w:rsid w:val="009A564F"/>
    <w:rsid w:val="009A5777"/>
    <w:rsid w:val="009A5788"/>
    <w:rsid w:val="009A58AC"/>
    <w:rsid w:val="009A59C8"/>
    <w:rsid w:val="009A5A09"/>
    <w:rsid w:val="009A5D91"/>
    <w:rsid w:val="009A5E3D"/>
    <w:rsid w:val="009A5E69"/>
    <w:rsid w:val="009A5F52"/>
    <w:rsid w:val="009A5F90"/>
    <w:rsid w:val="009A5FC1"/>
    <w:rsid w:val="009A60FC"/>
    <w:rsid w:val="009A6135"/>
    <w:rsid w:val="009A615B"/>
    <w:rsid w:val="009A61BE"/>
    <w:rsid w:val="009A61DE"/>
    <w:rsid w:val="009A6297"/>
    <w:rsid w:val="009A62EC"/>
    <w:rsid w:val="009A6351"/>
    <w:rsid w:val="009A6412"/>
    <w:rsid w:val="009A645E"/>
    <w:rsid w:val="009A64EA"/>
    <w:rsid w:val="009A662C"/>
    <w:rsid w:val="009A66DF"/>
    <w:rsid w:val="009A6814"/>
    <w:rsid w:val="009A68F8"/>
    <w:rsid w:val="009A6930"/>
    <w:rsid w:val="009A699A"/>
    <w:rsid w:val="009A699F"/>
    <w:rsid w:val="009A69CA"/>
    <w:rsid w:val="009A6A41"/>
    <w:rsid w:val="009A6A9A"/>
    <w:rsid w:val="009A6B22"/>
    <w:rsid w:val="009A6B3B"/>
    <w:rsid w:val="009A6CA7"/>
    <w:rsid w:val="009A6DB2"/>
    <w:rsid w:val="009A6E57"/>
    <w:rsid w:val="009A6E74"/>
    <w:rsid w:val="009A6E95"/>
    <w:rsid w:val="009A6EE4"/>
    <w:rsid w:val="009A6F23"/>
    <w:rsid w:val="009A6F7A"/>
    <w:rsid w:val="009A6FC3"/>
    <w:rsid w:val="009A7003"/>
    <w:rsid w:val="009A7098"/>
    <w:rsid w:val="009A709F"/>
    <w:rsid w:val="009A70CC"/>
    <w:rsid w:val="009A7105"/>
    <w:rsid w:val="009A7136"/>
    <w:rsid w:val="009A7168"/>
    <w:rsid w:val="009A7275"/>
    <w:rsid w:val="009A7322"/>
    <w:rsid w:val="009A733B"/>
    <w:rsid w:val="009A737E"/>
    <w:rsid w:val="009A73F9"/>
    <w:rsid w:val="009A75BA"/>
    <w:rsid w:val="009A763F"/>
    <w:rsid w:val="009A7677"/>
    <w:rsid w:val="009A7697"/>
    <w:rsid w:val="009A76B6"/>
    <w:rsid w:val="009A7728"/>
    <w:rsid w:val="009A77BC"/>
    <w:rsid w:val="009A7816"/>
    <w:rsid w:val="009A798B"/>
    <w:rsid w:val="009A7993"/>
    <w:rsid w:val="009A7A06"/>
    <w:rsid w:val="009A7B43"/>
    <w:rsid w:val="009A7C76"/>
    <w:rsid w:val="009A7C88"/>
    <w:rsid w:val="009A7CA8"/>
    <w:rsid w:val="009A7D5F"/>
    <w:rsid w:val="009A7D77"/>
    <w:rsid w:val="009A7E46"/>
    <w:rsid w:val="009A7EA4"/>
    <w:rsid w:val="009A7FFC"/>
    <w:rsid w:val="009B0025"/>
    <w:rsid w:val="009B0084"/>
    <w:rsid w:val="009B0131"/>
    <w:rsid w:val="009B0138"/>
    <w:rsid w:val="009B0151"/>
    <w:rsid w:val="009B01A5"/>
    <w:rsid w:val="009B02C3"/>
    <w:rsid w:val="009B02E7"/>
    <w:rsid w:val="009B0364"/>
    <w:rsid w:val="009B03C5"/>
    <w:rsid w:val="009B0436"/>
    <w:rsid w:val="009B05B4"/>
    <w:rsid w:val="009B05E7"/>
    <w:rsid w:val="009B0659"/>
    <w:rsid w:val="009B0690"/>
    <w:rsid w:val="009B06FD"/>
    <w:rsid w:val="009B0774"/>
    <w:rsid w:val="009B0820"/>
    <w:rsid w:val="009B0825"/>
    <w:rsid w:val="009B08B9"/>
    <w:rsid w:val="009B092F"/>
    <w:rsid w:val="009B0957"/>
    <w:rsid w:val="009B099B"/>
    <w:rsid w:val="009B0AED"/>
    <w:rsid w:val="009B0B3A"/>
    <w:rsid w:val="009B0D75"/>
    <w:rsid w:val="009B0DFE"/>
    <w:rsid w:val="009B0E73"/>
    <w:rsid w:val="009B0F1E"/>
    <w:rsid w:val="009B0FB9"/>
    <w:rsid w:val="009B101C"/>
    <w:rsid w:val="009B1030"/>
    <w:rsid w:val="009B108E"/>
    <w:rsid w:val="009B1091"/>
    <w:rsid w:val="009B1099"/>
    <w:rsid w:val="009B1247"/>
    <w:rsid w:val="009B12AA"/>
    <w:rsid w:val="009B12D6"/>
    <w:rsid w:val="009B1387"/>
    <w:rsid w:val="009B13F7"/>
    <w:rsid w:val="009B14EE"/>
    <w:rsid w:val="009B1617"/>
    <w:rsid w:val="009B16D6"/>
    <w:rsid w:val="009B17F2"/>
    <w:rsid w:val="009B1877"/>
    <w:rsid w:val="009B18B7"/>
    <w:rsid w:val="009B1903"/>
    <w:rsid w:val="009B19C3"/>
    <w:rsid w:val="009B19D8"/>
    <w:rsid w:val="009B1A89"/>
    <w:rsid w:val="009B1B20"/>
    <w:rsid w:val="009B1B64"/>
    <w:rsid w:val="009B1BB6"/>
    <w:rsid w:val="009B1BE4"/>
    <w:rsid w:val="009B1CC7"/>
    <w:rsid w:val="009B1D2B"/>
    <w:rsid w:val="009B1E56"/>
    <w:rsid w:val="009B1F0F"/>
    <w:rsid w:val="009B2021"/>
    <w:rsid w:val="009B2178"/>
    <w:rsid w:val="009B2189"/>
    <w:rsid w:val="009B21AB"/>
    <w:rsid w:val="009B2243"/>
    <w:rsid w:val="009B24C6"/>
    <w:rsid w:val="009B24D3"/>
    <w:rsid w:val="009B24EA"/>
    <w:rsid w:val="009B250C"/>
    <w:rsid w:val="009B269C"/>
    <w:rsid w:val="009B275A"/>
    <w:rsid w:val="009B2783"/>
    <w:rsid w:val="009B2A1E"/>
    <w:rsid w:val="009B2A9C"/>
    <w:rsid w:val="009B2AF9"/>
    <w:rsid w:val="009B2B99"/>
    <w:rsid w:val="009B2BBC"/>
    <w:rsid w:val="009B2BD1"/>
    <w:rsid w:val="009B2CC9"/>
    <w:rsid w:val="009B2CD5"/>
    <w:rsid w:val="009B2D72"/>
    <w:rsid w:val="009B2E08"/>
    <w:rsid w:val="009B2F3F"/>
    <w:rsid w:val="009B310A"/>
    <w:rsid w:val="009B311B"/>
    <w:rsid w:val="009B3186"/>
    <w:rsid w:val="009B31B5"/>
    <w:rsid w:val="009B3202"/>
    <w:rsid w:val="009B3384"/>
    <w:rsid w:val="009B3491"/>
    <w:rsid w:val="009B34B0"/>
    <w:rsid w:val="009B360B"/>
    <w:rsid w:val="009B3625"/>
    <w:rsid w:val="009B3667"/>
    <w:rsid w:val="009B3681"/>
    <w:rsid w:val="009B3688"/>
    <w:rsid w:val="009B378A"/>
    <w:rsid w:val="009B3795"/>
    <w:rsid w:val="009B37B2"/>
    <w:rsid w:val="009B37EF"/>
    <w:rsid w:val="009B3840"/>
    <w:rsid w:val="009B386D"/>
    <w:rsid w:val="009B38C1"/>
    <w:rsid w:val="009B3959"/>
    <w:rsid w:val="009B39ED"/>
    <w:rsid w:val="009B3AC3"/>
    <w:rsid w:val="009B3BE7"/>
    <w:rsid w:val="009B3C53"/>
    <w:rsid w:val="009B3C98"/>
    <w:rsid w:val="009B3D01"/>
    <w:rsid w:val="009B3D1E"/>
    <w:rsid w:val="009B3D78"/>
    <w:rsid w:val="009B3E23"/>
    <w:rsid w:val="009B3E58"/>
    <w:rsid w:val="009B3EC4"/>
    <w:rsid w:val="009B3EF6"/>
    <w:rsid w:val="009B3F8A"/>
    <w:rsid w:val="009B407F"/>
    <w:rsid w:val="009B408C"/>
    <w:rsid w:val="009B4133"/>
    <w:rsid w:val="009B4166"/>
    <w:rsid w:val="009B4270"/>
    <w:rsid w:val="009B4283"/>
    <w:rsid w:val="009B42AF"/>
    <w:rsid w:val="009B4322"/>
    <w:rsid w:val="009B43B1"/>
    <w:rsid w:val="009B43DA"/>
    <w:rsid w:val="009B449B"/>
    <w:rsid w:val="009B45B3"/>
    <w:rsid w:val="009B47B4"/>
    <w:rsid w:val="009B48ED"/>
    <w:rsid w:val="009B4974"/>
    <w:rsid w:val="009B4AC8"/>
    <w:rsid w:val="009B4B77"/>
    <w:rsid w:val="009B4C84"/>
    <w:rsid w:val="009B4CF8"/>
    <w:rsid w:val="009B4DBD"/>
    <w:rsid w:val="009B4DCD"/>
    <w:rsid w:val="009B4DD2"/>
    <w:rsid w:val="009B4E0B"/>
    <w:rsid w:val="009B4F38"/>
    <w:rsid w:val="009B50E1"/>
    <w:rsid w:val="009B52AD"/>
    <w:rsid w:val="009B52F2"/>
    <w:rsid w:val="009B5347"/>
    <w:rsid w:val="009B5394"/>
    <w:rsid w:val="009B53AD"/>
    <w:rsid w:val="009B5427"/>
    <w:rsid w:val="009B54CD"/>
    <w:rsid w:val="009B55AF"/>
    <w:rsid w:val="009B55E5"/>
    <w:rsid w:val="009B5678"/>
    <w:rsid w:val="009B56AB"/>
    <w:rsid w:val="009B57D8"/>
    <w:rsid w:val="009B592C"/>
    <w:rsid w:val="009B598C"/>
    <w:rsid w:val="009B59AB"/>
    <w:rsid w:val="009B5A8A"/>
    <w:rsid w:val="009B5AC7"/>
    <w:rsid w:val="009B5C35"/>
    <w:rsid w:val="009B5C65"/>
    <w:rsid w:val="009B5C81"/>
    <w:rsid w:val="009B5CEE"/>
    <w:rsid w:val="009B5D11"/>
    <w:rsid w:val="009B5E8E"/>
    <w:rsid w:val="009B5FD3"/>
    <w:rsid w:val="009B6377"/>
    <w:rsid w:val="009B6506"/>
    <w:rsid w:val="009B6946"/>
    <w:rsid w:val="009B6B5A"/>
    <w:rsid w:val="009B6B72"/>
    <w:rsid w:val="009B6B96"/>
    <w:rsid w:val="009B6BB2"/>
    <w:rsid w:val="009B6BC6"/>
    <w:rsid w:val="009B6BF5"/>
    <w:rsid w:val="009B6BF9"/>
    <w:rsid w:val="009B6C68"/>
    <w:rsid w:val="009B6CC0"/>
    <w:rsid w:val="009B6D49"/>
    <w:rsid w:val="009B6DC3"/>
    <w:rsid w:val="009B6E4F"/>
    <w:rsid w:val="009B6F75"/>
    <w:rsid w:val="009B707B"/>
    <w:rsid w:val="009B7177"/>
    <w:rsid w:val="009B7216"/>
    <w:rsid w:val="009B721B"/>
    <w:rsid w:val="009B7235"/>
    <w:rsid w:val="009B7247"/>
    <w:rsid w:val="009B7297"/>
    <w:rsid w:val="009B73BF"/>
    <w:rsid w:val="009B743C"/>
    <w:rsid w:val="009B7483"/>
    <w:rsid w:val="009B7484"/>
    <w:rsid w:val="009B7634"/>
    <w:rsid w:val="009B76E5"/>
    <w:rsid w:val="009B76F2"/>
    <w:rsid w:val="009B7714"/>
    <w:rsid w:val="009B77F1"/>
    <w:rsid w:val="009B7815"/>
    <w:rsid w:val="009B7938"/>
    <w:rsid w:val="009B7A19"/>
    <w:rsid w:val="009B7B25"/>
    <w:rsid w:val="009B7C51"/>
    <w:rsid w:val="009B7C58"/>
    <w:rsid w:val="009B7C83"/>
    <w:rsid w:val="009B7C88"/>
    <w:rsid w:val="009B7CE9"/>
    <w:rsid w:val="009B7DC7"/>
    <w:rsid w:val="009B7EFF"/>
    <w:rsid w:val="009B7F96"/>
    <w:rsid w:val="009B7FA4"/>
    <w:rsid w:val="009C0089"/>
    <w:rsid w:val="009C009D"/>
    <w:rsid w:val="009C0134"/>
    <w:rsid w:val="009C021D"/>
    <w:rsid w:val="009C02B5"/>
    <w:rsid w:val="009C03A0"/>
    <w:rsid w:val="009C03DC"/>
    <w:rsid w:val="009C03F1"/>
    <w:rsid w:val="009C0436"/>
    <w:rsid w:val="009C04A6"/>
    <w:rsid w:val="009C04D6"/>
    <w:rsid w:val="009C0534"/>
    <w:rsid w:val="009C06EA"/>
    <w:rsid w:val="009C0840"/>
    <w:rsid w:val="009C0849"/>
    <w:rsid w:val="009C089A"/>
    <w:rsid w:val="009C08C9"/>
    <w:rsid w:val="009C09B5"/>
    <w:rsid w:val="009C0A70"/>
    <w:rsid w:val="009C0A7F"/>
    <w:rsid w:val="009C0AA6"/>
    <w:rsid w:val="009C0AFB"/>
    <w:rsid w:val="009C0B48"/>
    <w:rsid w:val="009C0BE6"/>
    <w:rsid w:val="009C0C49"/>
    <w:rsid w:val="009C0D2F"/>
    <w:rsid w:val="009C0D68"/>
    <w:rsid w:val="009C0F36"/>
    <w:rsid w:val="009C10A9"/>
    <w:rsid w:val="009C10DF"/>
    <w:rsid w:val="009C1160"/>
    <w:rsid w:val="009C12B2"/>
    <w:rsid w:val="009C12E5"/>
    <w:rsid w:val="009C134C"/>
    <w:rsid w:val="009C13B8"/>
    <w:rsid w:val="009C13BC"/>
    <w:rsid w:val="009C14B0"/>
    <w:rsid w:val="009C156B"/>
    <w:rsid w:val="009C1583"/>
    <w:rsid w:val="009C15BB"/>
    <w:rsid w:val="009C15DD"/>
    <w:rsid w:val="009C1699"/>
    <w:rsid w:val="009C16FE"/>
    <w:rsid w:val="009C1724"/>
    <w:rsid w:val="009C17C2"/>
    <w:rsid w:val="009C1805"/>
    <w:rsid w:val="009C1966"/>
    <w:rsid w:val="009C1AB5"/>
    <w:rsid w:val="009C1B78"/>
    <w:rsid w:val="009C1C0C"/>
    <w:rsid w:val="009C1C25"/>
    <w:rsid w:val="009C1C53"/>
    <w:rsid w:val="009C1C8E"/>
    <w:rsid w:val="009C1D1B"/>
    <w:rsid w:val="009C1DA1"/>
    <w:rsid w:val="009C1DEB"/>
    <w:rsid w:val="009C1E30"/>
    <w:rsid w:val="009C1F6B"/>
    <w:rsid w:val="009C1FC0"/>
    <w:rsid w:val="009C2122"/>
    <w:rsid w:val="009C21D4"/>
    <w:rsid w:val="009C23AD"/>
    <w:rsid w:val="009C244C"/>
    <w:rsid w:val="009C260F"/>
    <w:rsid w:val="009C2686"/>
    <w:rsid w:val="009C2697"/>
    <w:rsid w:val="009C26D7"/>
    <w:rsid w:val="009C2764"/>
    <w:rsid w:val="009C276F"/>
    <w:rsid w:val="009C27A8"/>
    <w:rsid w:val="009C27FC"/>
    <w:rsid w:val="009C2A25"/>
    <w:rsid w:val="009C2A65"/>
    <w:rsid w:val="009C2AC1"/>
    <w:rsid w:val="009C2BAE"/>
    <w:rsid w:val="009C2C7A"/>
    <w:rsid w:val="009C2CA7"/>
    <w:rsid w:val="009C2D0E"/>
    <w:rsid w:val="009C2D1A"/>
    <w:rsid w:val="009C2D93"/>
    <w:rsid w:val="009C2D98"/>
    <w:rsid w:val="009C2FAE"/>
    <w:rsid w:val="009C3087"/>
    <w:rsid w:val="009C3126"/>
    <w:rsid w:val="009C3350"/>
    <w:rsid w:val="009C339F"/>
    <w:rsid w:val="009C3444"/>
    <w:rsid w:val="009C3501"/>
    <w:rsid w:val="009C3541"/>
    <w:rsid w:val="009C35E1"/>
    <w:rsid w:val="009C377C"/>
    <w:rsid w:val="009C3976"/>
    <w:rsid w:val="009C3A05"/>
    <w:rsid w:val="009C3B88"/>
    <w:rsid w:val="009C3BA8"/>
    <w:rsid w:val="009C3BEC"/>
    <w:rsid w:val="009C3E03"/>
    <w:rsid w:val="009C3F75"/>
    <w:rsid w:val="009C4001"/>
    <w:rsid w:val="009C40F0"/>
    <w:rsid w:val="009C423E"/>
    <w:rsid w:val="009C4276"/>
    <w:rsid w:val="009C44F8"/>
    <w:rsid w:val="009C4510"/>
    <w:rsid w:val="009C4582"/>
    <w:rsid w:val="009C45D6"/>
    <w:rsid w:val="009C45E1"/>
    <w:rsid w:val="009C4703"/>
    <w:rsid w:val="009C4726"/>
    <w:rsid w:val="009C484D"/>
    <w:rsid w:val="009C4885"/>
    <w:rsid w:val="009C492A"/>
    <w:rsid w:val="009C49BD"/>
    <w:rsid w:val="009C4A43"/>
    <w:rsid w:val="009C4A62"/>
    <w:rsid w:val="009C4AC3"/>
    <w:rsid w:val="009C4DAD"/>
    <w:rsid w:val="009C4FF5"/>
    <w:rsid w:val="009C5043"/>
    <w:rsid w:val="009C50A3"/>
    <w:rsid w:val="009C5164"/>
    <w:rsid w:val="009C5183"/>
    <w:rsid w:val="009C537F"/>
    <w:rsid w:val="009C5386"/>
    <w:rsid w:val="009C53E0"/>
    <w:rsid w:val="009C53F9"/>
    <w:rsid w:val="009C5502"/>
    <w:rsid w:val="009C552C"/>
    <w:rsid w:val="009C55AF"/>
    <w:rsid w:val="009C55D2"/>
    <w:rsid w:val="009C5603"/>
    <w:rsid w:val="009C560F"/>
    <w:rsid w:val="009C5662"/>
    <w:rsid w:val="009C57B7"/>
    <w:rsid w:val="009C5820"/>
    <w:rsid w:val="009C5876"/>
    <w:rsid w:val="009C58A8"/>
    <w:rsid w:val="009C58AB"/>
    <w:rsid w:val="009C593A"/>
    <w:rsid w:val="009C5964"/>
    <w:rsid w:val="009C5967"/>
    <w:rsid w:val="009C5A2E"/>
    <w:rsid w:val="009C5ADE"/>
    <w:rsid w:val="009C5BD0"/>
    <w:rsid w:val="009C5C73"/>
    <w:rsid w:val="009C5CE1"/>
    <w:rsid w:val="009C5DFF"/>
    <w:rsid w:val="009C5E0D"/>
    <w:rsid w:val="009C5E14"/>
    <w:rsid w:val="009C5F04"/>
    <w:rsid w:val="009C6013"/>
    <w:rsid w:val="009C6050"/>
    <w:rsid w:val="009C61D9"/>
    <w:rsid w:val="009C6311"/>
    <w:rsid w:val="009C63E8"/>
    <w:rsid w:val="009C6408"/>
    <w:rsid w:val="009C6457"/>
    <w:rsid w:val="009C64E0"/>
    <w:rsid w:val="009C64E8"/>
    <w:rsid w:val="009C666C"/>
    <w:rsid w:val="009C66A9"/>
    <w:rsid w:val="009C66DB"/>
    <w:rsid w:val="009C66F8"/>
    <w:rsid w:val="009C67F5"/>
    <w:rsid w:val="009C6813"/>
    <w:rsid w:val="009C6877"/>
    <w:rsid w:val="009C68A1"/>
    <w:rsid w:val="009C692E"/>
    <w:rsid w:val="009C6935"/>
    <w:rsid w:val="009C693D"/>
    <w:rsid w:val="009C6A89"/>
    <w:rsid w:val="009C6B36"/>
    <w:rsid w:val="009C6B78"/>
    <w:rsid w:val="009C6E2E"/>
    <w:rsid w:val="009C6F10"/>
    <w:rsid w:val="009C6F38"/>
    <w:rsid w:val="009C72B1"/>
    <w:rsid w:val="009C74B2"/>
    <w:rsid w:val="009C778D"/>
    <w:rsid w:val="009C791F"/>
    <w:rsid w:val="009C79FC"/>
    <w:rsid w:val="009C7A1A"/>
    <w:rsid w:val="009C7A1E"/>
    <w:rsid w:val="009C7B16"/>
    <w:rsid w:val="009C7B38"/>
    <w:rsid w:val="009C7CD7"/>
    <w:rsid w:val="009C7D07"/>
    <w:rsid w:val="009C7E58"/>
    <w:rsid w:val="009C7E95"/>
    <w:rsid w:val="009C7EBA"/>
    <w:rsid w:val="009D0053"/>
    <w:rsid w:val="009D00DD"/>
    <w:rsid w:val="009D0104"/>
    <w:rsid w:val="009D01B7"/>
    <w:rsid w:val="009D0259"/>
    <w:rsid w:val="009D026E"/>
    <w:rsid w:val="009D037F"/>
    <w:rsid w:val="009D0403"/>
    <w:rsid w:val="009D072F"/>
    <w:rsid w:val="009D0749"/>
    <w:rsid w:val="009D0760"/>
    <w:rsid w:val="009D07E1"/>
    <w:rsid w:val="009D08B6"/>
    <w:rsid w:val="009D095D"/>
    <w:rsid w:val="009D099C"/>
    <w:rsid w:val="009D09E5"/>
    <w:rsid w:val="009D0A2D"/>
    <w:rsid w:val="009D0AD6"/>
    <w:rsid w:val="009D0BEB"/>
    <w:rsid w:val="009D0C34"/>
    <w:rsid w:val="009D0CB2"/>
    <w:rsid w:val="009D0DAC"/>
    <w:rsid w:val="009D0DE7"/>
    <w:rsid w:val="009D0E36"/>
    <w:rsid w:val="009D0EFE"/>
    <w:rsid w:val="009D0FE2"/>
    <w:rsid w:val="009D0FF1"/>
    <w:rsid w:val="009D1041"/>
    <w:rsid w:val="009D105F"/>
    <w:rsid w:val="009D1078"/>
    <w:rsid w:val="009D10ED"/>
    <w:rsid w:val="009D11B4"/>
    <w:rsid w:val="009D1425"/>
    <w:rsid w:val="009D1479"/>
    <w:rsid w:val="009D14A3"/>
    <w:rsid w:val="009D14A5"/>
    <w:rsid w:val="009D14D8"/>
    <w:rsid w:val="009D14D9"/>
    <w:rsid w:val="009D1576"/>
    <w:rsid w:val="009D15D7"/>
    <w:rsid w:val="009D1626"/>
    <w:rsid w:val="009D1634"/>
    <w:rsid w:val="009D1749"/>
    <w:rsid w:val="009D17C7"/>
    <w:rsid w:val="009D17D6"/>
    <w:rsid w:val="009D183A"/>
    <w:rsid w:val="009D188F"/>
    <w:rsid w:val="009D193D"/>
    <w:rsid w:val="009D1A6D"/>
    <w:rsid w:val="009D1A92"/>
    <w:rsid w:val="009D1C4A"/>
    <w:rsid w:val="009D1D3A"/>
    <w:rsid w:val="009D1E5D"/>
    <w:rsid w:val="009D1EDC"/>
    <w:rsid w:val="009D1F7F"/>
    <w:rsid w:val="009D1FBB"/>
    <w:rsid w:val="009D1FD9"/>
    <w:rsid w:val="009D2021"/>
    <w:rsid w:val="009D2065"/>
    <w:rsid w:val="009D2078"/>
    <w:rsid w:val="009D20C0"/>
    <w:rsid w:val="009D225D"/>
    <w:rsid w:val="009D22C3"/>
    <w:rsid w:val="009D22C6"/>
    <w:rsid w:val="009D23A7"/>
    <w:rsid w:val="009D23AA"/>
    <w:rsid w:val="009D2484"/>
    <w:rsid w:val="009D2576"/>
    <w:rsid w:val="009D257C"/>
    <w:rsid w:val="009D25D7"/>
    <w:rsid w:val="009D2753"/>
    <w:rsid w:val="009D2755"/>
    <w:rsid w:val="009D278A"/>
    <w:rsid w:val="009D279F"/>
    <w:rsid w:val="009D27B9"/>
    <w:rsid w:val="009D27C7"/>
    <w:rsid w:val="009D2908"/>
    <w:rsid w:val="009D2922"/>
    <w:rsid w:val="009D296B"/>
    <w:rsid w:val="009D2B62"/>
    <w:rsid w:val="009D2CBB"/>
    <w:rsid w:val="009D3076"/>
    <w:rsid w:val="009D30AE"/>
    <w:rsid w:val="009D30ED"/>
    <w:rsid w:val="009D3177"/>
    <w:rsid w:val="009D321A"/>
    <w:rsid w:val="009D3353"/>
    <w:rsid w:val="009D3385"/>
    <w:rsid w:val="009D3417"/>
    <w:rsid w:val="009D3708"/>
    <w:rsid w:val="009D371F"/>
    <w:rsid w:val="009D3888"/>
    <w:rsid w:val="009D38EB"/>
    <w:rsid w:val="009D3A9E"/>
    <w:rsid w:val="009D3ABA"/>
    <w:rsid w:val="009D3D0D"/>
    <w:rsid w:val="009D3D29"/>
    <w:rsid w:val="009D3D9D"/>
    <w:rsid w:val="009D3DED"/>
    <w:rsid w:val="009D3EAF"/>
    <w:rsid w:val="009D3F12"/>
    <w:rsid w:val="009D3F57"/>
    <w:rsid w:val="009D3FF5"/>
    <w:rsid w:val="009D4098"/>
    <w:rsid w:val="009D4118"/>
    <w:rsid w:val="009D437C"/>
    <w:rsid w:val="009D4393"/>
    <w:rsid w:val="009D4476"/>
    <w:rsid w:val="009D45E2"/>
    <w:rsid w:val="009D4652"/>
    <w:rsid w:val="009D4687"/>
    <w:rsid w:val="009D4908"/>
    <w:rsid w:val="009D4A1D"/>
    <w:rsid w:val="009D4A90"/>
    <w:rsid w:val="009D4AD7"/>
    <w:rsid w:val="009D4B05"/>
    <w:rsid w:val="009D4BFF"/>
    <w:rsid w:val="009D4CDB"/>
    <w:rsid w:val="009D4EAA"/>
    <w:rsid w:val="009D4F22"/>
    <w:rsid w:val="009D5015"/>
    <w:rsid w:val="009D5194"/>
    <w:rsid w:val="009D53D9"/>
    <w:rsid w:val="009D545F"/>
    <w:rsid w:val="009D54FE"/>
    <w:rsid w:val="009D5566"/>
    <w:rsid w:val="009D55C4"/>
    <w:rsid w:val="009D55C6"/>
    <w:rsid w:val="009D5617"/>
    <w:rsid w:val="009D5628"/>
    <w:rsid w:val="009D5635"/>
    <w:rsid w:val="009D563A"/>
    <w:rsid w:val="009D56C5"/>
    <w:rsid w:val="009D57DD"/>
    <w:rsid w:val="009D58D0"/>
    <w:rsid w:val="009D5A5C"/>
    <w:rsid w:val="009D5AD9"/>
    <w:rsid w:val="009D5AFE"/>
    <w:rsid w:val="009D5BAB"/>
    <w:rsid w:val="009D5BE2"/>
    <w:rsid w:val="009D5C16"/>
    <w:rsid w:val="009D5CB6"/>
    <w:rsid w:val="009D5D96"/>
    <w:rsid w:val="009D5EBE"/>
    <w:rsid w:val="009D6022"/>
    <w:rsid w:val="009D605E"/>
    <w:rsid w:val="009D616E"/>
    <w:rsid w:val="009D61D7"/>
    <w:rsid w:val="009D6251"/>
    <w:rsid w:val="009D65BB"/>
    <w:rsid w:val="009D65F0"/>
    <w:rsid w:val="009D669D"/>
    <w:rsid w:val="009D6713"/>
    <w:rsid w:val="009D6797"/>
    <w:rsid w:val="009D6916"/>
    <w:rsid w:val="009D691B"/>
    <w:rsid w:val="009D693A"/>
    <w:rsid w:val="009D6A27"/>
    <w:rsid w:val="009D6A9D"/>
    <w:rsid w:val="009D6AC0"/>
    <w:rsid w:val="009D6C00"/>
    <w:rsid w:val="009D6C78"/>
    <w:rsid w:val="009D6D5B"/>
    <w:rsid w:val="009D6EA1"/>
    <w:rsid w:val="009D6EB6"/>
    <w:rsid w:val="009D6EFD"/>
    <w:rsid w:val="009D6FAD"/>
    <w:rsid w:val="009D700E"/>
    <w:rsid w:val="009D704C"/>
    <w:rsid w:val="009D7050"/>
    <w:rsid w:val="009D70CE"/>
    <w:rsid w:val="009D718A"/>
    <w:rsid w:val="009D71CE"/>
    <w:rsid w:val="009D724C"/>
    <w:rsid w:val="009D7277"/>
    <w:rsid w:val="009D72C6"/>
    <w:rsid w:val="009D73BC"/>
    <w:rsid w:val="009D7436"/>
    <w:rsid w:val="009D7482"/>
    <w:rsid w:val="009D7573"/>
    <w:rsid w:val="009D7600"/>
    <w:rsid w:val="009D7661"/>
    <w:rsid w:val="009D76B3"/>
    <w:rsid w:val="009D76B7"/>
    <w:rsid w:val="009D77B6"/>
    <w:rsid w:val="009D7804"/>
    <w:rsid w:val="009D7829"/>
    <w:rsid w:val="009D7842"/>
    <w:rsid w:val="009D784F"/>
    <w:rsid w:val="009D7850"/>
    <w:rsid w:val="009D7862"/>
    <w:rsid w:val="009D7873"/>
    <w:rsid w:val="009D78DD"/>
    <w:rsid w:val="009D78DE"/>
    <w:rsid w:val="009D79F8"/>
    <w:rsid w:val="009D7A0F"/>
    <w:rsid w:val="009D7A21"/>
    <w:rsid w:val="009D7A34"/>
    <w:rsid w:val="009D7A66"/>
    <w:rsid w:val="009D7A7F"/>
    <w:rsid w:val="009D7A9E"/>
    <w:rsid w:val="009D7B81"/>
    <w:rsid w:val="009D7B9E"/>
    <w:rsid w:val="009D7BBF"/>
    <w:rsid w:val="009D7BC9"/>
    <w:rsid w:val="009D7C1B"/>
    <w:rsid w:val="009D7CC3"/>
    <w:rsid w:val="009D7CC6"/>
    <w:rsid w:val="009D7D1C"/>
    <w:rsid w:val="009D7DA5"/>
    <w:rsid w:val="009D7E1D"/>
    <w:rsid w:val="009D7E4A"/>
    <w:rsid w:val="009D7E5C"/>
    <w:rsid w:val="009D7ED7"/>
    <w:rsid w:val="009D7FFD"/>
    <w:rsid w:val="009E003F"/>
    <w:rsid w:val="009E00BA"/>
    <w:rsid w:val="009E00FB"/>
    <w:rsid w:val="009E010F"/>
    <w:rsid w:val="009E02F8"/>
    <w:rsid w:val="009E0380"/>
    <w:rsid w:val="009E038D"/>
    <w:rsid w:val="009E039C"/>
    <w:rsid w:val="009E03D4"/>
    <w:rsid w:val="009E04F1"/>
    <w:rsid w:val="009E06B7"/>
    <w:rsid w:val="009E0757"/>
    <w:rsid w:val="009E07E9"/>
    <w:rsid w:val="009E08D6"/>
    <w:rsid w:val="009E093E"/>
    <w:rsid w:val="009E094B"/>
    <w:rsid w:val="009E098E"/>
    <w:rsid w:val="009E09F7"/>
    <w:rsid w:val="009E0AE2"/>
    <w:rsid w:val="009E0B07"/>
    <w:rsid w:val="009E0DC4"/>
    <w:rsid w:val="009E0E2E"/>
    <w:rsid w:val="009E0E50"/>
    <w:rsid w:val="009E0E5B"/>
    <w:rsid w:val="009E10C5"/>
    <w:rsid w:val="009E10F4"/>
    <w:rsid w:val="009E13E3"/>
    <w:rsid w:val="009E14F0"/>
    <w:rsid w:val="009E1619"/>
    <w:rsid w:val="009E1677"/>
    <w:rsid w:val="009E17CD"/>
    <w:rsid w:val="009E1837"/>
    <w:rsid w:val="009E183F"/>
    <w:rsid w:val="009E1956"/>
    <w:rsid w:val="009E19BB"/>
    <w:rsid w:val="009E1A89"/>
    <w:rsid w:val="009E1BBA"/>
    <w:rsid w:val="009E1FE6"/>
    <w:rsid w:val="009E2025"/>
    <w:rsid w:val="009E2100"/>
    <w:rsid w:val="009E2158"/>
    <w:rsid w:val="009E21CB"/>
    <w:rsid w:val="009E2254"/>
    <w:rsid w:val="009E225D"/>
    <w:rsid w:val="009E22C3"/>
    <w:rsid w:val="009E2349"/>
    <w:rsid w:val="009E2431"/>
    <w:rsid w:val="009E2471"/>
    <w:rsid w:val="009E24A7"/>
    <w:rsid w:val="009E24FE"/>
    <w:rsid w:val="009E2551"/>
    <w:rsid w:val="009E255B"/>
    <w:rsid w:val="009E2576"/>
    <w:rsid w:val="009E25F1"/>
    <w:rsid w:val="009E26C8"/>
    <w:rsid w:val="009E2706"/>
    <w:rsid w:val="009E2831"/>
    <w:rsid w:val="009E28A2"/>
    <w:rsid w:val="009E28AD"/>
    <w:rsid w:val="009E2910"/>
    <w:rsid w:val="009E2A87"/>
    <w:rsid w:val="009E2AD6"/>
    <w:rsid w:val="009E2B02"/>
    <w:rsid w:val="009E2B5E"/>
    <w:rsid w:val="009E2BAC"/>
    <w:rsid w:val="009E2C43"/>
    <w:rsid w:val="009E2CCC"/>
    <w:rsid w:val="009E2CCE"/>
    <w:rsid w:val="009E2D10"/>
    <w:rsid w:val="009E2D63"/>
    <w:rsid w:val="009E2E44"/>
    <w:rsid w:val="009E2E7F"/>
    <w:rsid w:val="009E2F6F"/>
    <w:rsid w:val="009E30BE"/>
    <w:rsid w:val="009E32E7"/>
    <w:rsid w:val="009E3310"/>
    <w:rsid w:val="009E3414"/>
    <w:rsid w:val="009E351A"/>
    <w:rsid w:val="009E3629"/>
    <w:rsid w:val="009E371D"/>
    <w:rsid w:val="009E37E4"/>
    <w:rsid w:val="009E3803"/>
    <w:rsid w:val="009E3A0C"/>
    <w:rsid w:val="009E3A83"/>
    <w:rsid w:val="009E3BC6"/>
    <w:rsid w:val="009E3BE2"/>
    <w:rsid w:val="009E3DD4"/>
    <w:rsid w:val="009E3DE2"/>
    <w:rsid w:val="009E3E86"/>
    <w:rsid w:val="009E3F48"/>
    <w:rsid w:val="009E3F8D"/>
    <w:rsid w:val="009E3FDA"/>
    <w:rsid w:val="009E4085"/>
    <w:rsid w:val="009E408C"/>
    <w:rsid w:val="009E416B"/>
    <w:rsid w:val="009E41D0"/>
    <w:rsid w:val="009E4208"/>
    <w:rsid w:val="009E45E9"/>
    <w:rsid w:val="009E4626"/>
    <w:rsid w:val="009E463E"/>
    <w:rsid w:val="009E469A"/>
    <w:rsid w:val="009E46D8"/>
    <w:rsid w:val="009E4736"/>
    <w:rsid w:val="009E4771"/>
    <w:rsid w:val="009E4916"/>
    <w:rsid w:val="009E49CA"/>
    <w:rsid w:val="009E4A1B"/>
    <w:rsid w:val="009E4BD8"/>
    <w:rsid w:val="009E4C88"/>
    <w:rsid w:val="009E4CF6"/>
    <w:rsid w:val="009E4E22"/>
    <w:rsid w:val="009E4E60"/>
    <w:rsid w:val="009E4E7E"/>
    <w:rsid w:val="009E4F15"/>
    <w:rsid w:val="009E4F1B"/>
    <w:rsid w:val="009E4F62"/>
    <w:rsid w:val="009E4F84"/>
    <w:rsid w:val="009E4FBF"/>
    <w:rsid w:val="009E5082"/>
    <w:rsid w:val="009E509A"/>
    <w:rsid w:val="009E50B2"/>
    <w:rsid w:val="009E50DF"/>
    <w:rsid w:val="009E5184"/>
    <w:rsid w:val="009E52D3"/>
    <w:rsid w:val="009E52D5"/>
    <w:rsid w:val="009E53BE"/>
    <w:rsid w:val="009E5507"/>
    <w:rsid w:val="009E55AF"/>
    <w:rsid w:val="009E55B4"/>
    <w:rsid w:val="009E55B7"/>
    <w:rsid w:val="009E566E"/>
    <w:rsid w:val="009E57B2"/>
    <w:rsid w:val="009E57DC"/>
    <w:rsid w:val="009E5820"/>
    <w:rsid w:val="009E5874"/>
    <w:rsid w:val="009E592C"/>
    <w:rsid w:val="009E5944"/>
    <w:rsid w:val="009E5BE2"/>
    <w:rsid w:val="009E5BEF"/>
    <w:rsid w:val="009E5C7E"/>
    <w:rsid w:val="009E5E1F"/>
    <w:rsid w:val="009E5FC1"/>
    <w:rsid w:val="009E5FC2"/>
    <w:rsid w:val="009E6196"/>
    <w:rsid w:val="009E61EE"/>
    <w:rsid w:val="009E62CE"/>
    <w:rsid w:val="009E62DE"/>
    <w:rsid w:val="009E6339"/>
    <w:rsid w:val="009E63CC"/>
    <w:rsid w:val="009E64E8"/>
    <w:rsid w:val="009E6528"/>
    <w:rsid w:val="009E6580"/>
    <w:rsid w:val="009E65D7"/>
    <w:rsid w:val="009E6708"/>
    <w:rsid w:val="009E6902"/>
    <w:rsid w:val="009E6A93"/>
    <w:rsid w:val="009E6B05"/>
    <w:rsid w:val="009E6BA3"/>
    <w:rsid w:val="009E6BBF"/>
    <w:rsid w:val="009E6C7B"/>
    <w:rsid w:val="009E6CDE"/>
    <w:rsid w:val="009E6EEB"/>
    <w:rsid w:val="009E70C0"/>
    <w:rsid w:val="009E70C2"/>
    <w:rsid w:val="009E711B"/>
    <w:rsid w:val="009E7155"/>
    <w:rsid w:val="009E722F"/>
    <w:rsid w:val="009E72C6"/>
    <w:rsid w:val="009E73B0"/>
    <w:rsid w:val="009E7456"/>
    <w:rsid w:val="009E747A"/>
    <w:rsid w:val="009E7481"/>
    <w:rsid w:val="009E7490"/>
    <w:rsid w:val="009E74DA"/>
    <w:rsid w:val="009E7554"/>
    <w:rsid w:val="009E7596"/>
    <w:rsid w:val="009E75CA"/>
    <w:rsid w:val="009E7643"/>
    <w:rsid w:val="009E76D3"/>
    <w:rsid w:val="009E7751"/>
    <w:rsid w:val="009E777B"/>
    <w:rsid w:val="009E77B4"/>
    <w:rsid w:val="009E78DD"/>
    <w:rsid w:val="009E78E5"/>
    <w:rsid w:val="009E7B30"/>
    <w:rsid w:val="009E7BDB"/>
    <w:rsid w:val="009E7C01"/>
    <w:rsid w:val="009E7C5F"/>
    <w:rsid w:val="009E7C6B"/>
    <w:rsid w:val="009E7D07"/>
    <w:rsid w:val="009E7D3C"/>
    <w:rsid w:val="009E7E06"/>
    <w:rsid w:val="009E7FBB"/>
    <w:rsid w:val="009F0127"/>
    <w:rsid w:val="009F0146"/>
    <w:rsid w:val="009F0209"/>
    <w:rsid w:val="009F0220"/>
    <w:rsid w:val="009F0221"/>
    <w:rsid w:val="009F024E"/>
    <w:rsid w:val="009F0654"/>
    <w:rsid w:val="009F068E"/>
    <w:rsid w:val="009F0703"/>
    <w:rsid w:val="009F0793"/>
    <w:rsid w:val="009F07B3"/>
    <w:rsid w:val="009F0840"/>
    <w:rsid w:val="009F0A5F"/>
    <w:rsid w:val="009F0C1F"/>
    <w:rsid w:val="009F0CD8"/>
    <w:rsid w:val="009F0CE7"/>
    <w:rsid w:val="009F0D59"/>
    <w:rsid w:val="009F0D69"/>
    <w:rsid w:val="009F0E70"/>
    <w:rsid w:val="009F0F5A"/>
    <w:rsid w:val="009F0F8E"/>
    <w:rsid w:val="009F0FBE"/>
    <w:rsid w:val="009F12C0"/>
    <w:rsid w:val="009F13E5"/>
    <w:rsid w:val="009F13F7"/>
    <w:rsid w:val="009F144A"/>
    <w:rsid w:val="009F1815"/>
    <w:rsid w:val="009F1895"/>
    <w:rsid w:val="009F18F0"/>
    <w:rsid w:val="009F199B"/>
    <w:rsid w:val="009F1A54"/>
    <w:rsid w:val="009F1ADC"/>
    <w:rsid w:val="009F1BA7"/>
    <w:rsid w:val="009F1BE5"/>
    <w:rsid w:val="009F1D3A"/>
    <w:rsid w:val="009F1DDC"/>
    <w:rsid w:val="009F1DF5"/>
    <w:rsid w:val="009F1EB4"/>
    <w:rsid w:val="009F1F67"/>
    <w:rsid w:val="009F1FEC"/>
    <w:rsid w:val="009F20DE"/>
    <w:rsid w:val="009F2113"/>
    <w:rsid w:val="009F2162"/>
    <w:rsid w:val="009F2207"/>
    <w:rsid w:val="009F221B"/>
    <w:rsid w:val="009F226C"/>
    <w:rsid w:val="009F22E4"/>
    <w:rsid w:val="009F2426"/>
    <w:rsid w:val="009F243F"/>
    <w:rsid w:val="009F244C"/>
    <w:rsid w:val="009F2532"/>
    <w:rsid w:val="009F2555"/>
    <w:rsid w:val="009F2563"/>
    <w:rsid w:val="009F269B"/>
    <w:rsid w:val="009F273F"/>
    <w:rsid w:val="009F2864"/>
    <w:rsid w:val="009F28A1"/>
    <w:rsid w:val="009F28B3"/>
    <w:rsid w:val="009F29C5"/>
    <w:rsid w:val="009F2A32"/>
    <w:rsid w:val="009F2ACA"/>
    <w:rsid w:val="009F2B5C"/>
    <w:rsid w:val="009F2BE6"/>
    <w:rsid w:val="009F2C10"/>
    <w:rsid w:val="009F2C6E"/>
    <w:rsid w:val="009F2C8F"/>
    <w:rsid w:val="009F2E8D"/>
    <w:rsid w:val="009F2F0E"/>
    <w:rsid w:val="009F2F0F"/>
    <w:rsid w:val="009F2FFB"/>
    <w:rsid w:val="009F301A"/>
    <w:rsid w:val="009F30C7"/>
    <w:rsid w:val="009F31C6"/>
    <w:rsid w:val="009F3206"/>
    <w:rsid w:val="009F322A"/>
    <w:rsid w:val="009F3306"/>
    <w:rsid w:val="009F333F"/>
    <w:rsid w:val="009F33DF"/>
    <w:rsid w:val="009F33F3"/>
    <w:rsid w:val="009F348D"/>
    <w:rsid w:val="009F3614"/>
    <w:rsid w:val="009F3730"/>
    <w:rsid w:val="009F3779"/>
    <w:rsid w:val="009F37CF"/>
    <w:rsid w:val="009F37FF"/>
    <w:rsid w:val="009F38A3"/>
    <w:rsid w:val="009F3972"/>
    <w:rsid w:val="009F39AE"/>
    <w:rsid w:val="009F3B8E"/>
    <w:rsid w:val="009F3C08"/>
    <w:rsid w:val="009F3D99"/>
    <w:rsid w:val="009F3DB3"/>
    <w:rsid w:val="009F3EBC"/>
    <w:rsid w:val="009F3FCF"/>
    <w:rsid w:val="009F4008"/>
    <w:rsid w:val="009F40E0"/>
    <w:rsid w:val="009F4109"/>
    <w:rsid w:val="009F4110"/>
    <w:rsid w:val="009F4120"/>
    <w:rsid w:val="009F4152"/>
    <w:rsid w:val="009F41DE"/>
    <w:rsid w:val="009F41E3"/>
    <w:rsid w:val="009F4237"/>
    <w:rsid w:val="009F42D4"/>
    <w:rsid w:val="009F42FC"/>
    <w:rsid w:val="009F4572"/>
    <w:rsid w:val="009F45C9"/>
    <w:rsid w:val="009F45E1"/>
    <w:rsid w:val="009F4640"/>
    <w:rsid w:val="009F4997"/>
    <w:rsid w:val="009F4A6E"/>
    <w:rsid w:val="009F4C04"/>
    <w:rsid w:val="009F4DA5"/>
    <w:rsid w:val="009F4E3D"/>
    <w:rsid w:val="009F4E73"/>
    <w:rsid w:val="009F4FA7"/>
    <w:rsid w:val="009F50A0"/>
    <w:rsid w:val="009F50FB"/>
    <w:rsid w:val="009F511D"/>
    <w:rsid w:val="009F5160"/>
    <w:rsid w:val="009F51EF"/>
    <w:rsid w:val="009F520C"/>
    <w:rsid w:val="009F524F"/>
    <w:rsid w:val="009F52B5"/>
    <w:rsid w:val="009F52C9"/>
    <w:rsid w:val="009F531B"/>
    <w:rsid w:val="009F5486"/>
    <w:rsid w:val="009F54AE"/>
    <w:rsid w:val="009F5595"/>
    <w:rsid w:val="009F5844"/>
    <w:rsid w:val="009F58D9"/>
    <w:rsid w:val="009F5971"/>
    <w:rsid w:val="009F5A77"/>
    <w:rsid w:val="009F5A86"/>
    <w:rsid w:val="009F5AA2"/>
    <w:rsid w:val="009F5C24"/>
    <w:rsid w:val="009F5E4C"/>
    <w:rsid w:val="009F5E6F"/>
    <w:rsid w:val="009F6026"/>
    <w:rsid w:val="009F610B"/>
    <w:rsid w:val="009F617D"/>
    <w:rsid w:val="009F6387"/>
    <w:rsid w:val="009F63C1"/>
    <w:rsid w:val="009F63F6"/>
    <w:rsid w:val="009F6436"/>
    <w:rsid w:val="009F6499"/>
    <w:rsid w:val="009F6582"/>
    <w:rsid w:val="009F65A6"/>
    <w:rsid w:val="009F662E"/>
    <w:rsid w:val="009F663A"/>
    <w:rsid w:val="009F66DD"/>
    <w:rsid w:val="009F6799"/>
    <w:rsid w:val="009F67C8"/>
    <w:rsid w:val="009F6800"/>
    <w:rsid w:val="009F68AE"/>
    <w:rsid w:val="009F6928"/>
    <w:rsid w:val="009F696C"/>
    <w:rsid w:val="009F6984"/>
    <w:rsid w:val="009F69A8"/>
    <w:rsid w:val="009F6C13"/>
    <w:rsid w:val="009F6C48"/>
    <w:rsid w:val="009F6D55"/>
    <w:rsid w:val="009F6E3B"/>
    <w:rsid w:val="009F6E64"/>
    <w:rsid w:val="009F6F0C"/>
    <w:rsid w:val="009F6F68"/>
    <w:rsid w:val="009F6F82"/>
    <w:rsid w:val="009F7012"/>
    <w:rsid w:val="009F7082"/>
    <w:rsid w:val="009F708E"/>
    <w:rsid w:val="009F7110"/>
    <w:rsid w:val="009F71F6"/>
    <w:rsid w:val="009F7293"/>
    <w:rsid w:val="009F7403"/>
    <w:rsid w:val="009F74BE"/>
    <w:rsid w:val="009F768A"/>
    <w:rsid w:val="009F769B"/>
    <w:rsid w:val="009F7726"/>
    <w:rsid w:val="009F77A8"/>
    <w:rsid w:val="009F786F"/>
    <w:rsid w:val="009F7877"/>
    <w:rsid w:val="009F7887"/>
    <w:rsid w:val="009F788A"/>
    <w:rsid w:val="009F7983"/>
    <w:rsid w:val="009F79D4"/>
    <w:rsid w:val="009F7AF4"/>
    <w:rsid w:val="009F7C47"/>
    <w:rsid w:val="009F7D14"/>
    <w:rsid w:val="009F7DD1"/>
    <w:rsid w:val="009F7E99"/>
    <w:rsid w:val="00A00003"/>
    <w:rsid w:val="00A00055"/>
    <w:rsid w:val="00A00124"/>
    <w:rsid w:val="00A0014B"/>
    <w:rsid w:val="00A00154"/>
    <w:rsid w:val="00A00204"/>
    <w:rsid w:val="00A0023C"/>
    <w:rsid w:val="00A00349"/>
    <w:rsid w:val="00A00417"/>
    <w:rsid w:val="00A0041B"/>
    <w:rsid w:val="00A00690"/>
    <w:rsid w:val="00A00695"/>
    <w:rsid w:val="00A00699"/>
    <w:rsid w:val="00A006A8"/>
    <w:rsid w:val="00A00773"/>
    <w:rsid w:val="00A0084A"/>
    <w:rsid w:val="00A008B5"/>
    <w:rsid w:val="00A009C0"/>
    <w:rsid w:val="00A00B44"/>
    <w:rsid w:val="00A00B86"/>
    <w:rsid w:val="00A00CBA"/>
    <w:rsid w:val="00A00E42"/>
    <w:rsid w:val="00A00E7E"/>
    <w:rsid w:val="00A00E94"/>
    <w:rsid w:val="00A01051"/>
    <w:rsid w:val="00A01163"/>
    <w:rsid w:val="00A011B7"/>
    <w:rsid w:val="00A011F5"/>
    <w:rsid w:val="00A01286"/>
    <w:rsid w:val="00A012E1"/>
    <w:rsid w:val="00A0135C"/>
    <w:rsid w:val="00A013D2"/>
    <w:rsid w:val="00A014A0"/>
    <w:rsid w:val="00A01533"/>
    <w:rsid w:val="00A01580"/>
    <w:rsid w:val="00A015D2"/>
    <w:rsid w:val="00A015DC"/>
    <w:rsid w:val="00A0163E"/>
    <w:rsid w:val="00A0165B"/>
    <w:rsid w:val="00A0176A"/>
    <w:rsid w:val="00A01771"/>
    <w:rsid w:val="00A017A9"/>
    <w:rsid w:val="00A017B8"/>
    <w:rsid w:val="00A017BE"/>
    <w:rsid w:val="00A0197B"/>
    <w:rsid w:val="00A019EA"/>
    <w:rsid w:val="00A01A39"/>
    <w:rsid w:val="00A01A89"/>
    <w:rsid w:val="00A01ACA"/>
    <w:rsid w:val="00A01B30"/>
    <w:rsid w:val="00A01C72"/>
    <w:rsid w:val="00A01D65"/>
    <w:rsid w:val="00A01D79"/>
    <w:rsid w:val="00A01ECE"/>
    <w:rsid w:val="00A01FA9"/>
    <w:rsid w:val="00A01FD6"/>
    <w:rsid w:val="00A01FEC"/>
    <w:rsid w:val="00A01FF2"/>
    <w:rsid w:val="00A02032"/>
    <w:rsid w:val="00A02033"/>
    <w:rsid w:val="00A02136"/>
    <w:rsid w:val="00A0221D"/>
    <w:rsid w:val="00A02285"/>
    <w:rsid w:val="00A022B6"/>
    <w:rsid w:val="00A0232B"/>
    <w:rsid w:val="00A02338"/>
    <w:rsid w:val="00A02534"/>
    <w:rsid w:val="00A0257B"/>
    <w:rsid w:val="00A025B3"/>
    <w:rsid w:val="00A025FC"/>
    <w:rsid w:val="00A02666"/>
    <w:rsid w:val="00A02734"/>
    <w:rsid w:val="00A02780"/>
    <w:rsid w:val="00A027B4"/>
    <w:rsid w:val="00A028A8"/>
    <w:rsid w:val="00A02906"/>
    <w:rsid w:val="00A02A1B"/>
    <w:rsid w:val="00A02B7B"/>
    <w:rsid w:val="00A02C10"/>
    <w:rsid w:val="00A02C86"/>
    <w:rsid w:val="00A02CA7"/>
    <w:rsid w:val="00A02F46"/>
    <w:rsid w:val="00A02F9D"/>
    <w:rsid w:val="00A02FFD"/>
    <w:rsid w:val="00A03089"/>
    <w:rsid w:val="00A030C7"/>
    <w:rsid w:val="00A0310F"/>
    <w:rsid w:val="00A03132"/>
    <w:rsid w:val="00A03164"/>
    <w:rsid w:val="00A03210"/>
    <w:rsid w:val="00A0321C"/>
    <w:rsid w:val="00A0339D"/>
    <w:rsid w:val="00A03493"/>
    <w:rsid w:val="00A035D9"/>
    <w:rsid w:val="00A035EE"/>
    <w:rsid w:val="00A036DC"/>
    <w:rsid w:val="00A03737"/>
    <w:rsid w:val="00A03740"/>
    <w:rsid w:val="00A03751"/>
    <w:rsid w:val="00A03827"/>
    <w:rsid w:val="00A038D4"/>
    <w:rsid w:val="00A03975"/>
    <w:rsid w:val="00A03988"/>
    <w:rsid w:val="00A039AD"/>
    <w:rsid w:val="00A039E4"/>
    <w:rsid w:val="00A03A42"/>
    <w:rsid w:val="00A03B58"/>
    <w:rsid w:val="00A03BDF"/>
    <w:rsid w:val="00A03DDF"/>
    <w:rsid w:val="00A03EA0"/>
    <w:rsid w:val="00A03EC1"/>
    <w:rsid w:val="00A03F08"/>
    <w:rsid w:val="00A03F20"/>
    <w:rsid w:val="00A04060"/>
    <w:rsid w:val="00A04063"/>
    <w:rsid w:val="00A0412F"/>
    <w:rsid w:val="00A0418E"/>
    <w:rsid w:val="00A042F7"/>
    <w:rsid w:val="00A04334"/>
    <w:rsid w:val="00A04447"/>
    <w:rsid w:val="00A044BB"/>
    <w:rsid w:val="00A0465C"/>
    <w:rsid w:val="00A046BC"/>
    <w:rsid w:val="00A0471C"/>
    <w:rsid w:val="00A04762"/>
    <w:rsid w:val="00A047FA"/>
    <w:rsid w:val="00A0485A"/>
    <w:rsid w:val="00A0487D"/>
    <w:rsid w:val="00A0496B"/>
    <w:rsid w:val="00A0499E"/>
    <w:rsid w:val="00A049DE"/>
    <w:rsid w:val="00A04A38"/>
    <w:rsid w:val="00A04A88"/>
    <w:rsid w:val="00A04AB9"/>
    <w:rsid w:val="00A04BD0"/>
    <w:rsid w:val="00A04F18"/>
    <w:rsid w:val="00A04F55"/>
    <w:rsid w:val="00A04FEE"/>
    <w:rsid w:val="00A050CA"/>
    <w:rsid w:val="00A05144"/>
    <w:rsid w:val="00A05281"/>
    <w:rsid w:val="00A052A0"/>
    <w:rsid w:val="00A0543C"/>
    <w:rsid w:val="00A05442"/>
    <w:rsid w:val="00A05509"/>
    <w:rsid w:val="00A0552B"/>
    <w:rsid w:val="00A05553"/>
    <w:rsid w:val="00A05567"/>
    <w:rsid w:val="00A055B6"/>
    <w:rsid w:val="00A05675"/>
    <w:rsid w:val="00A056E1"/>
    <w:rsid w:val="00A05809"/>
    <w:rsid w:val="00A05832"/>
    <w:rsid w:val="00A05A83"/>
    <w:rsid w:val="00A05BA4"/>
    <w:rsid w:val="00A05BBF"/>
    <w:rsid w:val="00A05C47"/>
    <w:rsid w:val="00A05D91"/>
    <w:rsid w:val="00A05E36"/>
    <w:rsid w:val="00A05F38"/>
    <w:rsid w:val="00A05F44"/>
    <w:rsid w:val="00A05FB8"/>
    <w:rsid w:val="00A05FDB"/>
    <w:rsid w:val="00A06089"/>
    <w:rsid w:val="00A0608A"/>
    <w:rsid w:val="00A0608D"/>
    <w:rsid w:val="00A061F4"/>
    <w:rsid w:val="00A062E9"/>
    <w:rsid w:val="00A06344"/>
    <w:rsid w:val="00A063CE"/>
    <w:rsid w:val="00A06588"/>
    <w:rsid w:val="00A065F9"/>
    <w:rsid w:val="00A06600"/>
    <w:rsid w:val="00A066A3"/>
    <w:rsid w:val="00A066D2"/>
    <w:rsid w:val="00A0671A"/>
    <w:rsid w:val="00A06721"/>
    <w:rsid w:val="00A0676E"/>
    <w:rsid w:val="00A06821"/>
    <w:rsid w:val="00A06929"/>
    <w:rsid w:val="00A06942"/>
    <w:rsid w:val="00A06A17"/>
    <w:rsid w:val="00A06A35"/>
    <w:rsid w:val="00A06A4C"/>
    <w:rsid w:val="00A06A5C"/>
    <w:rsid w:val="00A06A65"/>
    <w:rsid w:val="00A06AEC"/>
    <w:rsid w:val="00A06B32"/>
    <w:rsid w:val="00A06C3A"/>
    <w:rsid w:val="00A06DFE"/>
    <w:rsid w:val="00A06FAF"/>
    <w:rsid w:val="00A06FD6"/>
    <w:rsid w:val="00A07058"/>
    <w:rsid w:val="00A070C3"/>
    <w:rsid w:val="00A07182"/>
    <w:rsid w:val="00A071EB"/>
    <w:rsid w:val="00A072AD"/>
    <w:rsid w:val="00A07398"/>
    <w:rsid w:val="00A073CE"/>
    <w:rsid w:val="00A074C1"/>
    <w:rsid w:val="00A074E8"/>
    <w:rsid w:val="00A07647"/>
    <w:rsid w:val="00A07708"/>
    <w:rsid w:val="00A077A8"/>
    <w:rsid w:val="00A07813"/>
    <w:rsid w:val="00A07833"/>
    <w:rsid w:val="00A078F1"/>
    <w:rsid w:val="00A078FA"/>
    <w:rsid w:val="00A07B46"/>
    <w:rsid w:val="00A07B71"/>
    <w:rsid w:val="00A07BF1"/>
    <w:rsid w:val="00A07D56"/>
    <w:rsid w:val="00A07E64"/>
    <w:rsid w:val="00A07EA5"/>
    <w:rsid w:val="00A10059"/>
    <w:rsid w:val="00A1029F"/>
    <w:rsid w:val="00A102AF"/>
    <w:rsid w:val="00A1039F"/>
    <w:rsid w:val="00A10458"/>
    <w:rsid w:val="00A104DB"/>
    <w:rsid w:val="00A1050D"/>
    <w:rsid w:val="00A105B2"/>
    <w:rsid w:val="00A1076D"/>
    <w:rsid w:val="00A10783"/>
    <w:rsid w:val="00A107A9"/>
    <w:rsid w:val="00A107CD"/>
    <w:rsid w:val="00A108B3"/>
    <w:rsid w:val="00A108DD"/>
    <w:rsid w:val="00A109B4"/>
    <w:rsid w:val="00A109CF"/>
    <w:rsid w:val="00A10AA4"/>
    <w:rsid w:val="00A10B06"/>
    <w:rsid w:val="00A10CC3"/>
    <w:rsid w:val="00A10CD7"/>
    <w:rsid w:val="00A10D80"/>
    <w:rsid w:val="00A10F45"/>
    <w:rsid w:val="00A10F5D"/>
    <w:rsid w:val="00A10FF9"/>
    <w:rsid w:val="00A10FFE"/>
    <w:rsid w:val="00A1110B"/>
    <w:rsid w:val="00A1124A"/>
    <w:rsid w:val="00A11256"/>
    <w:rsid w:val="00A11364"/>
    <w:rsid w:val="00A1136A"/>
    <w:rsid w:val="00A1136D"/>
    <w:rsid w:val="00A1140B"/>
    <w:rsid w:val="00A11432"/>
    <w:rsid w:val="00A11559"/>
    <w:rsid w:val="00A118BD"/>
    <w:rsid w:val="00A118D2"/>
    <w:rsid w:val="00A118E7"/>
    <w:rsid w:val="00A11A38"/>
    <w:rsid w:val="00A11B37"/>
    <w:rsid w:val="00A11B63"/>
    <w:rsid w:val="00A11B6A"/>
    <w:rsid w:val="00A11B85"/>
    <w:rsid w:val="00A11C19"/>
    <w:rsid w:val="00A11C2C"/>
    <w:rsid w:val="00A11CA6"/>
    <w:rsid w:val="00A11D11"/>
    <w:rsid w:val="00A11DAA"/>
    <w:rsid w:val="00A11DDA"/>
    <w:rsid w:val="00A11F05"/>
    <w:rsid w:val="00A120CA"/>
    <w:rsid w:val="00A12138"/>
    <w:rsid w:val="00A1220E"/>
    <w:rsid w:val="00A122E2"/>
    <w:rsid w:val="00A124F9"/>
    <w:rsid w:val="00A1260E"/>
    <w:rsid w:val="00A1274E"/>
    <w:rsid w:val="00A12867"/>
    <w:rsid w:val="00A128AA"/>
    <w:rsid w:val="00A128D6"/>
    <w:rsid w:val="00A129BF"/>
    <w:rsid w:val="00A12A34"/>
    <w:rsid w:val="00A12A3E"/>
    <w:rsid w:val="00A12AC0"/>
    <w:rsid w:val="00A12C3B"/>
    <w:rsid w:val="00A12D49"/>
    <w:rsid w:val="00A12DFD"/>
    <w:rsid w:val="00A12E34"/>
    <w:rsid w:val="00A12F65"/>
    <w:rsid w:val="00A12F75"/>
    <w:rsid w:val="00A13015"/>
    <w:rsid w:val="00A13055"/>
    <w:rsid w:val="00A1309C"/>
    <w:rsid w:val="00A13242"/>
    <w:rsid w:val="00A132A3"/>
    <w:rsid w:val="00A132A5"/>
    <w:rsid w:val="00A1339F"/>
    <w:rsid w:val="00A133E0"/>
    <w:rsid w:val="00A13426"/>
    <w:rsid w:val="00A134BD"/>
    <w:rsid w:val="00A134D0"/>
    <w:rsid w:val="00A1350C"/>
    <w:rsid w:val="00A1368A"/>
    <w:rsid w:val="00A136C9"/>
    <w:rsid w:val="00A136E0"/>
    <w:rsid w:val="00A13713"/>
    <w:rsid w:val="00A1374B"/>
    <w:rsid w:val="00A1378B"/>
    <w:rsid w:val="00A1385B"/>
    <w:rsid w:val="00A13A79"/>
    <w:rsid w:val="00A13AFB"/>
    <w:rsid w:val="00A13B10"/>
    <w:rsid w:val="00A13BCA"/>
    <w:rsid w:val="00A13E83"/>
    <w:rsid w:val="00A13EC6"/>
    <w:rsid w:val="00A13F9F"/>
    <w:rsid w:val="00A13FD3"/>
    <w:rsid w:val="00A140D6"/>
    <w:rsid w:val="00A14229"/>
    <w:rsid w:val="00A1435F"/>
    <w:rsid w:val="00A14364"/>
    <w:rsid w:val="00A143FD"/>
    <w:rsid w:val="00A14498"/>
    <w:rsid w:val="00A14570"/>
    <w:rsid w:val="00A1457D"/>
    <w:rsid w:val="00A147A3"/>
    <w:rsid w:val="00A14A4D"/>
    <w:rsid w:val="00A14C1D"/>
    <w:rsid w:val="00A14CA5"/>
    <w:rsid w:val="00A14CB7"/>
    <w:rsid w:val="00A14D11"/>
    <w:rsid w:val="00A14D19"/>
    <w:rsid w:val="00A14DBE"/>
    <w:rsid w:val="00A14E98"/>
    <w:rsid w:val="00A14EB4"/>
    <w:rsid w:val="00A14FFA"/>
    <w:rsid w:val="00A150CD"/>
    <w:rsid w:val="00A150EF"/>
    <w:rsid w:val="00A1515F"/>
    <w:rsid w:val="00A1518D"/>
    <w:rsid w:val="00A152FB"/>
    <w:rsid w:val="00A15312"/>
    <w:rsid w:val="00A15318"/>
    <w:rsid w:val="00A1532B"/>
    <w:rsid w:val="00A1535E"/>
    <w:rsid w:val="00A15597"/>
    <w:rsid w:val="00A15729"/>
    <w:rsid w:val="00A1579A"/>
    <w:rsid w:val="00A15837"/>
    <w:rsid w:val="00A1593B"/>
    <w:rsid w:val="00A15955"/>
    <w:rsid w:val="00A15B0E"/>
    <w:rsid w:val="00A15BA0"/>
    <w:rsid w:val="00A15C73"/>
    <w:rsid w:val="00A15CC7"/>
    <w:rsid w:val="00A15D8D"/>
    <w:rsid w:val="00A15D8F"/>
    <w:rsid w:val="00A15EF4"/>
    <w:rsid w:val="00A160B1"/>
    <w:rsid w:val="00A160F7"/>
    <w:rsid w:val="00A161E2"/>
    <w:rsid w:val="00A1639C"/>
    <w:rsid w:val="00A163B4"/>
    <w:rsid w:val="00A16400"/>
    <w:rsid w:val="00A164FB"/>
    <w:rsid w:val="00A16528"/>
    <w:rsid w:val="00A165A3"/>
    <w:rsid w:val="00A16644"/>
    <w:rsid w:val="00A167C7"/>
    <w:rsid w:val="00A167F7"/>
    <w:rsid w:val="00A16935"/>
    <w:rsid w:val="00A1695C"/>
    <w:rsid w:val="00A169B7"/>
    <w:rsid w:val="00A169C8"/>
    <w:rsid w:val="00A16D95"/>
    <w:rsid w:val="00A16E04"/>
    <w:rsid w:val="00A16E32"/>
    <w:rsid w:val="00A16ED1"/>
    <w:rsid w:val="00A1702D"/>
    <w:rsid w:val="00A17044"/>
    <w:rsid w:val="00A17072"/>
    <w:rsid w:val="00A1708C"/>
    <w:rsid w:val="00A170D9"/>
    <w:rsid w:val="00A170DB"/>
    <w:rsid w:val="00A17213"/>
    <w:rsid w:val="00A1723F"/>
    <w:rsid w:val="00A1725B"/>
    <w:rsid w:val="00A172B1"/>
    <w:rsid w:val="00A17452"/>
    <w:rsid w:val="00A17509"/>
    <w:rsid w:val="00A1759A"/>
    <w:rsid w:val="00A175EC"/>
    <w:rsid w:val="00A1760D"/>
    <w:rsid w:val="00A1769D"/>
    <w:rsid w:val="00A17771"/>
    <w:rsid w:val="00A1780B"/>
    <w:rsid w:val="00A17822"/>
    <w:rsid w:val="00A179A7"/>
    <w:rsid w:val="00A179F8"/>
    <w:rsid w:val="00A17C70"/>
    <w:rsid w:val="00A17DD2"/>
    <w:rsid w:val="00A17DE4"/>
    <w:rsid w:val="00A17E00"/>
    <w:rsid w:val="00A20005"/>
    <w:rsid w:val="00A20066"/>
    <w:rsid w:val="00A2016E"/>
    <w:rsid w:val="00A20236"/>
    <w:rsid w:val="00A2030A"/>
    <w:rsid w:val="00A20514"/>
    <w:rsid w:val="00A2062D"/>
    <w:rsid w:val="00A2068A"/>
    <w:rsid w:val="00A20771"/>
    <w:rsid w:val="00A20796"/>
    <w:rsid w:val="00A207F0"/>
    <w:rsid w:val="00A208E1"/>
    <w:rsid w:val="00A20992"/>
    <w:rsid w:val="00A209DA"/>
    <w:rsid w:val="00A20A41"/>
    <w:rsid w:val="00A20B57"/>
    <w:rsid w:val="00A20C4D"/>
    <w:rsid w:val="00A20C61"/>
    <w:rsid w:val="00A20CC7"/>
    <w:rsid w:val="00A20CDC"/>
    <w:rsid w:val="00A20D37"/>
    <w:rsid w:val="00A20D96"/>
    <w:rsid w:val="00A20ECB"/>
    <w:rsid w:val="00A20EF0"/>
    <w:rsid w:val="00A20FE3"/>
    <w:rsid w:val="00A2103D"/>
    <w:rsid w:val="00A2104F"/>
    <w:rsid w:val="00A21122"/>
    <w:rsid w:val="00A21224"/>
    <w:rsid w:val="00A21246"/>
    <w:rsid w:val="00A2124C"/>
    <w:rsid w:val="00A21276"/>
    <w:rsid w:val="00A213DA"/>
    <w:rsid w:val="00A21440"/>
    <w:rsid w:val="00A21445"/>
    <w:rsid w:val="00A21471"/>
    <w:rsid w:val="00A2155C"/>
    <w:rsid w:val="00A21716"/>
    <w:rsid w:val="00A219C1"/>
    <w:rsid w:val="00A219C7"/>
    <w:rsid w:val="00A21A38"/>
    <w:rsid w:val="00A21ACD"/>
    <w:rsid w:val="00A21BE7"/>
    <w:rsid w:val="00A21CBB"/>
    <w:rsid w:val="00A21CCE"/>
    <w:rsid w:val="00A21D0C"/>
    <w:rsid w:val="00A21E37"/>
    <w:rsid w:val="00A21F20"/>
    <w:rsid w:val="00A22033"/>
    <w:rsid w:val="00A22066"/>
    <w:rsid w:val="00A2207D"/>
    <w:rsid w:val="00A22096"/>
    <w:rsid w:val="00A220F7"/>
    <w:rsid w:val="00A22383"/>
    <w:rsid w:val="00A223E4"/>
    <w:rsid w:val="00A224A7"/>
    <w:rsid w:val="00A224FF"/>
    <w:rsid w:val="00A226CE"/>
    <w:rsid w:val="00A2275E"/>
    <w:rsid w:val="00A228A8"/>
    <w:rsid w:val="00A22989"/>
    <w:rsid w:val="00A229A8"/>
    <w:rsid w:val="00A22A5F"/>
    <w:rsid w:val="00A22BAA"/>
    <w:rsid w:val="00A22BB3"/>
    <w:rsid w:val="00A22BFD"/>
    <w:rsid w:val="00A22E39"/>
    <w:rsid w:val="00A22EA5"/>
    <w:rsid w:val="00A22FD3"/>
    <w:rsid w:val="00A2302F"/>
    <w:rsid w:val="00A2312D"/>
    <w:rsid w:val="00A2332D"/>
    <w:rsid w:val="00A2336D"/>
    <w:rsid w:val="00A2339A"/>
    <w:rsid w:val="00A233DD"/>
    <w:rsid w:val="00A23429"/>
    <w:rsid w:val="00A234E1"/>
    <w:rsid w:val="00A23517"/>
    <w:rsid w:val="00A235A5"/>
    <w:rsid w:val="00A235BE"/>
    <w:rsid w:val="00A2376A"/>
    <w:rsid w:val="00A23780"/>
    <w:rsid w:val="00A2382E"/>
    <w:rsid w:val="00A23A7F"/>
    <w:rsid w:val="00A23B14"/>
    <w:rsid w:val="00A23B67"/>
    <w:rsid w:val="00A23B90"/>
    <w:rsid w:val="00A23C20"/>
    <w:rsid w:val="00A23D5A"/>
    <w:rsid w:val="00A23D91"/>
    <w:rsid w:val="00A23EBB"/>
    <w:rsid w:val="00A23EF2"/>
    <w:rsid w:val="00A24020"/>
    <w:rsid w:val="00A2406C"/>
    <w:rsid w:val="00A240AF"/>
    <w:rsid w:val="00A24103"/>
    <w:rsid w:val="00A24242"/>
    <w:rsid w:val="00A2428D"/>
    <w:rsid w:val="00A24304"/>
    <w:rsid w:val="00A2439B"/>
    <w:rsid w:val="00A243E1"/>
    <w:rsid w:val="00A2441A"/>
    <w:rsid w:val="00A244BE"/>
    <w:rsid w:val="00A244E6"/>
    <w:rsid w:val="00A245DB"/>
    <w:rsid w:val="00A24688"/>
    <w:rsid w:val="00A24719"/>
    <w:rsid w:val="00A24762"/>
    <w:rsid w:val="00A2479D"/>
    <w:rsid w:val="00A2480E"/>
    <w:rsid w:val="00A249AD"/>
    <w:rsid w:val="00A24A9F"/>
    <w:rsid w:val="00A24BE9"/>
    <w:rsid w:val="00A24CFC"/>
    <w:rsid w:val="00A24D50"/>
    <w:rsid w:val="00A24EBC"/>
    <w:rsid w:val="00A24EC7"/>
    <w:rsid w:val="00A24FBB"/>
    <w:rsid w:val="00A24FD8"/>
    <w:rsid w:val="00A2505B"/>
    <w:rsid w:val="00A2507E"/>
    <w:rsid w:val="00A250E8"/>
    <w:rsid w:val="00A251DE"/>
    <w:rsid w:val="00A251F2"/>
    <w:rsid w:val="00A25351"/>
    <w:rsid w:val="00A25389"/>
    <w:rsid w:val="00A254FF"/>
    <w:rsid w:val="00A255EE"/>
    <w:rsid w:val="00A2569C"/>
    <w:rsid w:val="00A2569F"/>
    <w:rsid w:val="00A25723"/>
    <w:rsid w:val="00A25790"/>
    <w:rsid w:val="00A25835"/>
    <w:rsid w:val="00A2586D"/>
    <w:rsid w:val="00A2591C"/>
    <w:rsid w:val="00A25A40"/>
    <w:rsid w:val="00A25ADD"/>
    <w:rsid w:val="00A25AFC"/>
    <w:rsid w:val="00A25B76"/>
    <w:rsid w:val="00A25BFE"/>
    <w:rsid w:val="00A25C3F"/>
    <w:rsid w:val="00A25C80"/>
    <w:rsid w:val="00A25D4F"/>
    <w:rsid w:val="00A25DF8"/>
    <w:rsid w:val="00A25E89"/>
    <w:rsid w:val="00A25F35"/>
    <w:rsid w:val="00A25FCF"/>
    <w:rsid w:val="00A26107"/>
    <w:rsid w:val="00A26360"/>
    <w:rsid w:val="00A26385"/>
    <w:rsid w:val="00A2648B"/>
    <w:rsid w:val="00A264C9"/>
    <w:rsid w:val="00A265EC"/>
    <w:rsid w:val="00A2662E"/>
    <w:rsid w:val="00A26639"/>
    <w:rsid w:val="00A2665E"/>
    <w:rsid w:val="00A2674D"/>
    <w:rsid w:val="00A26846"/>
    <w:rsid w:val="00A26AC4"/>
    <w:rsid w:val="00A26B81"/>
    <w:rsid w:val="00A26C31"/>
    <w:rsid w:val="00A26C37"/>
    <w:rsid w:val="00A26FA4"/>
    <w:rsid w:val="00A2702F"/>
    <w:rsid w:val="00A270F0"/>
    <w:rsid w:val="00A27150"/>
    <w:rsid w:val="00A27198"/>
    <w:rsid w:val="00A27250"/>
    <w:rsid w:val="00A272AB"/>
    <w:rsid w:val="00A2730E"/>
    <w:rsid w:val="00A27454"/>
    <w:rsid w:val="00A2747A"/>
    <w:rsid w:val="00A274F8"/>
    <w:rsid w:val="00A275D2"/>
    <w:rsid w:val="00A276B8"/>
    <w:rsid w:val="00A2770D"/>
    <w:rsid w:val="00A2776B"/>
    <w:rsid w:val="00A2780C"/>
    <w:rsid w:val="00A2782C"/>
    <w:rsid w:val="00A27880"/>
    <w:rsid w:val="00A279BB"/>
    <w:rsid w:val="00A279C1"/>
    <w:rsid w:val="00A279DE"/>
    <w:rsid w:val="00A27A46"/>
    <w:rsid w:val="00A27A68"/>
    <w:rsid w:val="00A27A77"/>
    <w:rsid w:val="00A27AC8"/>
    <w:rsid w:val="00A27B3F"/>
    <w:rsid w:val="00A27C54"/>
    <w:rsid w:val="00A27D01"/>
    <w:rsid w:val="00A27D84"/>
    <w:rsid w:val="00A27DA3"/>
    <w:rsid w:val="00A27E49"/>
    <w:rsid w:val="00A27E50"/>
    <w:rsid w:val="00A27E86"/>
    <w:rsid w:val="00A27F10"/>
    <w:rsid w:val="00A27FB0"/>
    <w:rsid w:val="00A3012B"/>
    <w:rsid w:val="00A3016C"/>
    <w:rsid w:val="00A30246"/>
    <w:rsid w:val="00A30336"/>
    <w:rsid w:val="00A303B2"/>
    <w:rsid w:val="00A304C8"/>
    <w:rsid w:val="00A304EB"/>
    <w:rsid w:val="00A30507"/>
    <w:rsid w:val="00A3051F"/>
    <w:rsid w:val="00A30591"/>
    <w:rsid w:val="00A3062E"/>
    <w:rsid w:val="00A3062F"/>
    <w:rsid w:val="00A30632"/>
    <w:rsid w:val="00A306B4"/>
    <w:rsid w:val="00A306CD"/>
    <w:rsid w:val="00A306DB"/>
    <w:rsid w:val="00A308B5"/>
    <w:rsid w:val="00A308E3"/>
    <w:rsid w:val="00A308F6"/>
    <w:rsid w:val="00A30C15"/>
    <w:rsid w:val="00A30C55"/>
    <w:rsid w:val="00A30D03"/>
    <w:rsid w:val="00A30D42"/>
    <w:rsid w:val="00A30D70"/>
    <w:rsid w:val="00A3101F"/>
    <w:rsid w:val="00A310A8"/>
    <w:rsid w:val="00A310E2"/>
    <w:rsid w:val="00A31122"/>
    <w:rsid w:val="00A3114B"/>
    <w:rsid w:val="00A3115F"/>
    <w:rsid w:val="00A3129C"/>
    <w:rsid w:val="00A31429"/>
    <w:rsid w:val="00A3151D"/>
    <w:rsid w:val="00A315B4"/>
    <w:rsid w:val="00A31642"/>
    <w:rsid w:val="00A31676"/>
    <w:rsid w:val="00A316B3"/>
    <w:rsid w:val="00A3174C"/>
    <w:rsid w:val="00A3178A"/>
    <w:rsid w:val="00A317BB"/>
    <w:rsid w:val="00A317C6"/>
    <w:rsid w:val="00A3182C"/>
    <w:rsid w:val="00A318BF"/>
    <w:rsid w:val="00A318F7"/>
    <w:rsid w:val="00A319B3"/>
    <w:rsid w:val="00A31A65"/>
    <w:rsid w:val="00A31A9C"/>
    <w:rsid w:val="00A31ACB"/>
    <w:rsid w:val="00A31B3E"/>
    <w:rsid w:val="00A31C57"/>
    <w:rsid w:val="00A31CC5"/>
    <w:rsid w:val="00A31CEB"/>
    <w:rsid w:val="00A31F4F"/>
    <w:rsid w:val="00A3218D"/>
    <w:rsid w:val="00A321CE"/>
    <w:rsid w:val="00A3226D"/>
    <w:rsid w:val="00A3229A"/>
    <w:rsid w:val="00A323A8"/>
    <w:rsid w:val="00A3256A"/>
    <w:rsid w:val="00A32613"/>
    <w:rsid w:val="00A32617"/>
    <w:rsid w:val="00A326F9"/>
    <w:rsid w:val="00A3279E"/>
    <w:rsid w:val="00A32827"/>
    <w:rsid w:val="00A32912"/>
    <w:rsid w:val="00A329B9"/>
    <w:rsid w:val="00A329CA"/>
    <w:rsid w:val="00A32A29"/>
    <w:rsid w:val="00A32B96"/>
    <w:rsid w:val="00A32D5A"/>
    <w:rsid w:val="00A32D85"/>
    <w:rsid w:val="00A32E04"/>
    <w:rsid w:val="00A32EE0"/>
    <w:rsid w:val="00A32F26"/>
    <w:rsid w:val="00A32FA7"/>
    <w:rsid w:val="00A3302E"/>
    <w:rsid w:val="00A33045"/>
    <w:rsid w:val="00A3304E"/>
    <w:rsid w:val="00A330B6"/>
    <w:rsid w:val="00A331DB"/>
    <w:rsid w:val="00A3327C"/>
    <w:rsid w:val="00A33308"/>
    <w:rsid w:val="00A33459"/>
    <w:rsid w:val="00A334F9"/>
    <w:rsid w:val="00A334FE"/>
    <w:rsid w:val="00A33565"/>
    <w:rsid w:val="00A33604"/>
    <w:rsid w:val="00A3360A"/>
    <w:rsid w:val="00A336F5"/>
    <w:rsid w:val="00A337A0"/>
    <w:rsid w:val="00A3392B"/>
    <w:rsid w:val="00A33946"/>
    <w:rsid w:val="00A339FE"/>
    <w:rsid w:val="00A33ACF"/>
    <w:rsid w:val="00A33AE3"/>
    <w:rsid w:val="00A33BDC"/>
    <w:rsid w:val="00A33C99"/>
    <w:rsid w:val="00A33D1D"/>
    <w:rsid w:val="00A33E30"/>
    <w:rsid w:val="00A33E5A"/>
    <w:rsid w:val="00A33E82"/>
    <w:rsid w:val="00A33ED6"/>
    <w:rsid w:val="00A33F09"/>
    <w:rsid w:val="00A33F56"/>
    <w:rsid w:val="00A33F75"/>
    <w:rsid w:val="00A33FB3"/>
    <w:rsid w:val="00A33FCE"/>
    <w:rsid w:val="00A3403F"/>
    <w:rsid w:val="00A34110"/>
    <w:rsid w:val="00A34218"/>
    <w:rsid w:val="00A3457E"/>
    <w:rsid w:val="00A345DA"/>
    <w:rsid w:val="00A34631"/>
    <w:rsid w:val="00A3470B"/>
    <w:rsid w:val="00A34821"/>
    <w:rsid w:val="00A34859"/>
    <w:rsid w:val="00A3487B"/>
    <w:rsid w:val="00A349FE"/>
    <w:rsid w:val="00A34A34"/>
    <w:rsid w:val="00A34A6A"/>
    <w:rsid w:val="00A34B96"/>
    <w:rsid w:val="00A34BA1"/>
    <w:rsid w:val="00A34CC5"/>
    <w:rsid w:val="00A34CC7"/>
    <w:rsid w:val="00A34D39"/>
    <w:rsid w:val="00A34F82"/>
    <w:rsid w:val="00A3501E"/>
    <w:rsid w:val="00A35204"/>
    <w:rsid w:val="00A35378"/>
    <w:rsid w:val="00A3543A"/>
    <w:rsid w:val="00A35442"/>
    <w:rsid w:val="00A354A6"/>
    <w:rsid w:val="00A355CD"/>
    <w:rsid w:val="00A357FE"/>
    <w:rsid w:val="00A35824"/>
    <w:rsid w:val="00A358F5"/>
    <w:rsid w:val="00A3590D"/>
    <w:rsid w:val="00A3599F"/>
    <w:rsid w:val="00A359E3"/>
    <w:rsid w:val="00A35D2B"/>
    <w:rsid w:val="00A35D8E"/>
    <w:rsid w:val="00A35E26"/>
    <w:rsid w:val="00A35E2C"/>
    <w:rsid w:val="00A35E40"/>
    <w:rsid w:val="00A360A4"/>
    <w:rsid w:val="00A360C6"/>
    <w:rsid w:val="00A36286"/>
    <w:rsid w:val="00A363EB"/>
    <w:rsid w:val="00A363FD"/>
    <w:rsid w:val="00A3649E"/>
    <w:rsid w:val="00A364F4"/>
    <w:rsid w:val="00A3659A"/>
    <w:rsid w:val="00A366AB"/>
    <w:rsid w:val="00A367F0"/>
    <w:rsid w:val="00A3685D"/>
    <w:rsid w:val="00A36920"/>
    <w:rsid w:val="00A36A7D"/>
    <w:rsid w:val="00A36ADE"/>
    <w:rsid w:val="00A36B24"/>
    <w:rsid w:val="00A36B77"/>
    <w:rsid w:val="00A36CCE"/>
    <w:rsid w:val="00A36E4E"/>
    <w:rsid w:val="00A36E94"/>
    <w:rsid w:val="00A36E96"/>
    <w:rsid w:val="00A36F70"/>
    <w:rsid w:val="00A36FFD"/>
    <w:rsid w:val="00A37083"/>
    <w:rsid w:val="00A371CE"/>
    <w:rsid w:val="00A37249"/>
    <w:rsid w:val="00A373AE"/>
    <w:rsid w:val="00A3742D"/>
    <w:rsid w:val="00A3753D"/>
    <w:rsid w:val="00A37568"/>
    <w:rsid w:val="00A3759D"/>
    <w:rsid w:val="00A376B1"/>
    <w:rsid w:val="00A3778B"/>
    <w:rsid w:val="00A377BB"/>
    <w:rsid w:val="00A377E7"/>
    <w:rsid w:val="00A378B1"/>
    <w:rsid w:val="00A378E4"/>
    <w:rsid w:val="00A37D07"/>
    <w:rsid w:val="00A37DAC"/>
    <w:rsid w:val="00A37DBD"/>
    <w:rsid w:val="00A37E55"/>
    <w:rsid w:val="00A37EAD"/>
    <w:rsid w:val="00A37EF3"/>
    <w:rsid w:val="00A4000B"/>
    <w:rsid w:val="00A400FD"/>
    <w:rsid w:val="00A40112"/>
    <w:rsid w:val="00A40271"/>
    <w:rsid w:val="00A40351"/>
    <w:rsid w:val="00A40361"/>
    <w:rsid w:val="00A4037C"/>
    <w:rsid w:val="00A403C5"/>
    <w:rsid w:val="00A403DD"/>
    <w:rsid w:val="00A403E7"/>
    <w:rsid w:val="00A40426"/>
    <w:rsid w:val="00A404F8"/>
    <w:rsid w:val="00A40557"/>
    <w:rsid w:val="00A4056B"/>
    <w:rsid w:val="00A40713"/>
    <w:rsid w:val="00A407AD"/>
    <w:rsid w:val="00A407B0"/>
    <w:rsid w:val="00A4087A"/>
    <w:rsid w:val="00A4096B"/>
    <w:rsid w:val="00A40A5B"/>
    <w:rsid w:val="00A40AA5"/>
    <w:rsid w:val="00A40AA9"/>
    <w:rsid w:val="00A40B17"/>
    <w:rsid w:val="00A40B47"/>
    <w:rsid w:val="00A40B63"/>
    <w:rsid w:val="00A40C0C"/>
    <w:rsid w:val="00A40CED"/>
    <w:rsid w:val="00A40D3E"/>
    <w:rsid w:val="00A40D46"/>
    <w:rsid w:val="00A40D6F"/>
    <w:rsid w:val="00A40F06"/>
    <w:rsid w:val="00A41107"/>
    <w:rsid w:val="00A4110A"/>
    <w:rsid w:val="00A412DA"/>
    <w:rsid w:val="00A41397"/>
    <w:rsid w:val="00A413C1"/>
    <w:rsid w:val="00A414A7"/>
    <w:rsid w:val="00A414AD"/>
    <w:rsid w:val="00A414C2"/>
    <w:rsid w:val="00A41581"/>
    <w:rsid w:val="00A415EF"/>
    <w:rsid w:val="00A41621"/>
    <w:rsid w:val="00A41679"/>
    <w:rsid w:val="00A416DD"/>
    <w:rsid w:val="00A416E8"/>
    <w:rsid w:val="00A4172F"/>
    <w:rsid w:val="00A4181F"/>
    <w:rsid w:val="00A41860"/>
    <w:rsid w:val="00A418D8"/>
    <w:rsid w:val="00A4196F"/>
    <w:rsid w:val="00A4198F"/>
    <w:rsid w:val="00A419C9"/>
    <w:rsid w:val="00A419E5"/>
    <w:rsid w:val="00A419FF"/>
    <w:rsid w:val="00A41A06"/>
    <w:rsid w:val="00A41AE3"/>
    <w:rsid w:val="00A41C5A"/>
    <w:rsid w:val="00A41E7F"/>
    <w:rsid w:val="00A41E89"/>
    <w:rsid w:val="00A41EFA"/>
    <w:rsid w:val="00A41FA5"/>
    <w:rsid w:val="00A41FEA"/>
    <w:rsid w:val="00A42038"/>
    <w:rsid w:val="00A420D9"/>
    <w:rsid w:val="00A4212C"/>
    <w:rsid w:val="00A421A9"/>
    <w:rsid w:val="00A421DF"/>
    <w:rsid w:val="00A422CA"/>
    <w:rsid w:val="00A422F8"/>
    <w:rsid w:val="00A42322"/>
    <w:rsid w:val="00A423B4"/>
    <w:rsid w:val="00A42446"/>
    <w:rsid w:val="00A424CB"/>
    <w:rsid w:val="00A42525"/>
    <w:rsid w:val="00A4253A"/>
    <w:rsid w:val="00A4255E"/>
    <w:rsid w:val="00A42587"/>
    <w:rsid w:val="00A425BE"/>
    <w:rsid w:val="00A425CB"/>
    <w:rsid w:val="00A427DB"/>
    <w:rsid w:val="00A427E0"/>
    <w:rsid w:val="00A4281D"/>
    <w:rsid w:val="00A4282F"/>
    <w:rsid w:val="00A428E0"/>
    <w:rsid w:val="00A42A36"/>
    <w:rsid w:val="00A42ABA"/>
    <w:rsid w:val="00A42B2B"/>
    <w:rsid w:val="00A42B5F"/>
    <w:rsid w:val="00A42B69"/>
    <w:rsid w:val="00A42C8A"/>
    <w:rsid w:val="00A42CD3"/>
    <w:rsid w:val="00A42DAD"/>
    <w:rsid w:val="00A42F7B"/>
    <w:rsid w:val="00A42F9F"/>
    <w:rsid w:val="00A430BE"/>
    <w:rsid w:val="00A430F1"/>
    <w:rsid w:val="00A430F3"/>
    <w:rsid w:val="00A430FA"/>
    <w:rsid w:val="00A4322C"/>
    <w:rsid w:val="00A43254"/>
    <w:rsid w:val="00A432B4"/>
    <w:rsid w:val="00A43353"/>
    <w:rsid w:val="00A4341B"/>
    <w:rsid w:val="00A43433"/>
    <w:rsid w:val="00A43455"/>
    <w:rsid w:val="00A43492"/>
    <w:rsid w:val="00A43565"/>
    <w:rsid w:val="00A43694"/>
    <w:rsid w:val="00A436D6"/>
    <w:rsid w:val="00A43711"/>
    <w:rsid w:val="00A43785"/>
    <w:rsid w:val="00A43863"/>
    <w:rsid w:val="00A439B7"/>
    <w:rsid w:val="00A439DA"/>
    <w:rsid w:val="00A439E1"/>
    <w:rsid w:val="00A43A1C"/>
    <w:rsid w:val="00A43A24"/>
    <w:rsid w:val="00A43A7C"/>
    <w:rsid w:val="00A43ADB"/>
    <w:rsid w:val="00A43C25"/>
    <w:rsid w:val="00A43D31"/>
    <w:rsid w:val="00A43D62"/>
    <w:rsid w:val="00A43D7D"/>
    <w:rsid w:val="00A43DA4"/>
    <w:rsid w:val="00A43DD9"/>
    <w:rsid w:val="00A43E61"/>
    <w:rsid w:val="00A43E6E"/>
    <w:rsid w:val="00A43ED4"/>
    <w:rsid w:val="00A43EE9"/>
    <w:rsid w:val="00A43F4D"/>
    <w:rsid w:val="00A43F55"/>
    <w:rsid w:val="00A43FC2"/>
    <w:rsid w:val="00A441BE"/>
    <w:rsid w:val="00A44219"/>
    <w:rsid w:val="00A44319"/>
    <w:rsid w:val="00A4433E"/>
    <w:rsid w:val="00A4433F"/>
    <w:rsid w:val="00A44430"/>
    <w:rsid w:val="00A4444C"/>
    <w:rsid w:val="00A4458B"/>
    <w:rsid w:val="00A446E4"/>
    <w:rsid w:val="00A44785"/>
    <w:rsid w:val="00A448D1"/>
    <w:rsid w:val="00A448D2"/>
    <w:rsid w:val="00A44A48"/>
    <w:rsid w:val="00A44A67"/>
    <w:rsid w:val="00A44A79"/>
    <w:rsid w:val="00A44A92"/>
    <w:rsid w:val="00A44A93"/>
    <w:rsid w:val="00A44C45"/>
    <w:rsid w:val="00A44CE4"/>
    <w:rsid w:val="00A44EF1"/>
    <w:rsid w:val="00A45097"/>
    <w:rsid w:val="00A45355"/>
    <w:rsid w:val="00A454BF"/>
    <w:rsid w:val="00A454D1"/>
    <w:rsid w:val="00A45500"/>
    <w:rsid w:val="00A45501"/>
    <w:rsid w:val="00A455D5"/>
    <w:rsid w:val="00A4571F"/>
    <w:rsid w:val="00A457A5"/>
    <w:rsid w:val="00A458E9"/>
    <w:rsid w:val="00A458FC"/>
    <w:rsid w:val="00A4594E"/>
    <w:rsid w:val="00A45A00"/>
    <w:rsid w:val="00A45A25"/>
    <w:rsid w:val="00A45A49"/>
    <w:rsid w:val="00A45A79"/>
    <w:rsid w:val="00A45B2C"/>
    <w:rsid w:val="00A45D71"/>
    <w:rsid w:val="00A45D8E"/>
    <w:rsid w:val="00A45D97"/>
    <w:rsid w:val="00A45E99"/>
    <w:rsid w:val="00A45EAC"/>
    <w:rsid w:val="00A45ECA"/>
    <w:rsid w:val="00A45F40"/>
    <w:rsid w:val="00A460ED"/>
    <w:rsid w:val="00A461C6"/>
    <w:rsid w:val="00A461F0"/>
    <w:rsid w:val="00A46355"/>
    <w:rsid w:val="00A465C5"/>
    <w:rsid w:val="00A465ED"/>
    <w:rsid w:val="00A465F4"/>
    <w:rsid w:val="00A46626"/>
    <w:rsid w:val="00A466DF"/>
    <w:rsid w:val="00A46748"/>
    <w:rsid w:val="00A467C3"/>
    <w:rsid w:val="00A467D7"/>
    <w:rsid w:val="00A469FD"/>
    <w:rsid w:val="00A46A21"/>
    <w:rsid w:val="00A46AE3"/>
    <w:rsid w:val="00A46B52"/>
    <w:rsid w:val="00A46BE5"/>
    <w:rsid w:val="00A46BF1"/>
    <w:rsid w:val="00A46E8D"/>
    <w:rsid w:val="00A46F54"/>
    <w:rsid w:val="00A46FB6"/>
    <w:rsid w:val="00A47069"/>
    <w:rsid w:val="00A470FC"/>
    <w:rsid w:val="00A4713E"/>
    <w:rsid w:val="00A4728D"/>
    <w:rsid w:val="00A472AA"/>
    <w:rsid w:val="00A47311"/>
    <w:rsid w:val="00A47359"/>
    <w:rsid w:val="00A47414"/>
    <w:rsid w:val="00A47494"/>
    <w:rsid w:val="00A47529"/>
    <w:rsid w:val="00A475B5"/>
    <w:rsid w:val="00A47654"/>
    <w:rsid w:val="00A477C3"/>
    <w:rsid w:val="00A47836"/>
    <w:rsid w:val="00A478BB"/>
    <w:rsid w:val="00A478C3"/>
    <w:rsid w:val="00A478CA"/>
    <w:rsid w:val="00A47913"/>
    <w:rsid w:val="00A4793D"/>
    <w:rsid w:val="00A47A5F"/>
    <w:rsid w:val="00A47AB9"/>
    <w:rsid w:val="00A47B72"/>
    <w:rsid w:val="00A47B7E"/>
    <w:rsid w:val="00A47CBC"/>
    <w:rsid w:val="00A47DF4"/>
    <w:rsid w:val="00A47EA7"/>
    <w:rsid w:val="00A47F01"/>
    <w:rsid w:val="00A50036"/>
    <w:rsid w:val="00A50135"/>
    <w:rsid w:val="00A5018C"/>
    <w:rsid w:val="00A50303"/>
    <w:rsid w:val="00A503B1"/>
    <w:rsid w:val="00A503C7"/>
    <w:rsid w:val="00A5050E"/>
    <w:rsid w:val="00A506B4"/>
    <w:rsid w:val="00A50834"/>
    <w:rsid w:val="00A50900"/>
    <w:rsid w:val="00A5090B"/>
    <w:rsid w:val="00A5094E"/>
    <w:rsid w:val="00A50958"/>
    <w:rsid w:val="00A50A4C"/>
    <w:rsid w:val="00A50B3F"/>
    <w:rsid w:val="00A50D40"/>
    <w:rsid w:val="00A50DE3"/>
    <w:rsid w:val="00A50E61"/>
    <w:rsid w:val="00A50F97"/>
    <w:rsid w:val="00A51131"/>
    <w:rsid w:val="00A5146A"/>
    <w:rsid w:val="00A51496"/>
    <w:rsid w:val="00A5153B"/>
    <w:rsid w:val="00A51755"/>
    <w:rsid w:val="00A5176A"/>
    <w:rsid w:val="00A517CB"/>
    <w:rsid w:val="00A518AE"/>
    <w:rsid w:val="00A518E3"/>
    <w:rsid w:val="00A51956"/>
    <w:rsid w:val="00A51A85"/>
    <w:rsid w:val="00A51D05"/>
    <w:rsid w:val="00A51D08"/>
    <w:rsid w:val="00A51DB5"/>
    <w:rsid w:val="00A51E62"/>
    <w:rsid w:val="00A51F58"/>
    <w:rsid w:val="00A51FDE"/>
    <w:rsid w:val="00A52015"/>
    <w:rsid w:val="00A52048"/>
    <w:rsid w:val="00A52084"/>
    <w:rsid w:val="00A520C8"/>
    <w:rsid w:val="00A52138"/>
    <w:rsid w:val="00A52247"/>
    <w:rsid w:val="00A52251"/>
    <w:rsid w:val="00A52309"/>
    <w:rsid w:val="00A5231F"/>
    <w:rsid w:val="00A523F9"/>
    <w:rsid w:val="00A523FF"/>
    <w:rsid w:val="00A524EB"/>
    <w:rsid w:val="00A524FC"/>
    <w:rsid w:val="00A52529"/>
    <w:rsid w:val="00A52538"/>
    <w:rsid w:val="00A52575"/>
    <w:rsid w:val="00A525A7"/>
    <w:rsid w:val="00A52618"/>
    <w:rsid w:val="00A52647"/>
    <w:rsid w:val="00A5271E"/>
    <w:rsid w:val="00A5275A"/>
    <w:rsid w:val="00A52760"/>
    <w:rsid w:val="00A527EA"/>
    <w:rsid w:val="00A52865"/>
    <w:rsid w:val="00A529DB"/>
    <w:rsid w:val="00A52A04"/>
    <w:rsid w:val="00A52A7C"/>
    <w:rsid w:val="00A52AD2"/>
    <w:rsid w:val="00A52B61"/>
    <w:rsid w:val="00A52C20"/>
    <w:rsid w:val="00A52C45"/>
    <w:rsid w:val="00A52C60"/>
    <w:rsid w:val="00A52E10"/>
    <w:rsid w:val="00A52E49"/>
    <w:rsid w:val="00A52E81"/>
    <w:rsid w:val="00A52E84"/>
    <w:rsid w:val="00A52F46"/>
    <w:rsid w:val="00A52FB6"/>
    <w:rsid w:val="00A53004"/>
    <w:rsid w:val="00A5309C"/>
    <w:rsid w:val="00A53119"/>
    <w:rsid w:val="00A53185"/>
    <w:rsid w:val="00A53200"/>
    <w:rsid w:val="00A53246"/>
    <w:rsid w:val="00A532D9"/>
    <w:rsid w:val="00A53380"/>
    <w:rsid w:val="00A53549"/>
    <w:rsid w:val="00A535B5"/>
    <w:rsid w:val="00A535D9"/>
    <w:rsid w:val="00A535EB"/>
    <w:rsid w:val="00A535ED"/>
    <w:rsid w:val="00A53655"/>
    <w:rsid w:val="00A53699"/>
    <w:rsid w:val="00A536FA"/>
    <w:rsid w:val="00A53871"/>
    <w:rsid w:val="00A53875"/>
    <w:rsid w:val="00A538AB"/>
    <w:rsid w:val="00A538FA"/>
    <w:rsid w:val="00A53912"/>
    <w:rsid w:val="00A539B4"/>
    <w:rsid w:val="00A53A71"/>
    <w:rsid w:val="00A53AE0"/>
    <w:rsid w:val="00A53B4D"/>
    <w:rsid w:val="00A53B87"/>
    <w:rsid w:val="00A53BD4"/>
    <w:rsid w:val="00A53C8C"/>
    <w:rsid w:val="00A53CFB"/>
    <w:rsid w:val="00A53D36"/>
    <w:rsid w:val="00A53D6F"/>
    <w:rsid w:val="00A53DD6"/>
    <w:rsid w:val="00A53E48"/>
    <w:rsid w:val="00A53ED3"/>
    <w:rsid w:val="00A53F42"/>
    <w:rsid w:val="00A53F74"/>
    <w:rsid w:val="00A53FC7"/>
    <w:rsid w:val="00A53FEE"/>
    <w:rsid w:val="00A5401D"/>
    <w:rsid w:val="00A5403B"/>
    <w:rsid w:val="00A54050"/>
    <w:rsid w:val="00A54075"/>
    <w:rsid w:val="00A540A0"/>
    <w:rsid w:val="00A540C1"/>
    <w:rsid w:val="00A54194"/>
    <w:rsid w:val="00A541B4"/>
    <w:rsid w:val="00A541C8"/>
    <w:rsid w:val="00A54209"/>
    <w:rsid w:val="00A5425D"/>
    <w:rsid w:val="00A54338"/>
    <w:rsid w:val="00A543D8"/>
    <w:rsid w:val="00A54494"/>
    <w:rsid w:val="00A54519"/>
    <w:rsid w:val="00A5451E"/>
    <w:rsid w:val="00A5453C"/>
    <w:rsid w:val="00A545B6"/>
    <w:rsid w:val="00A546FF"/>
    <w:rsid w:val="00A547F8"/>
    <w:rsid w:val="00A54812"/>
    <w:rsid w:val="00A5486A"/>
    <w:rsid w:val="00A54946"/>
    <w:rsid w:val="00A549D9"/>
    <w:rsid w:val="00A54A0E"/>
    <w:rsid w:val="00A54B37"/>
    <w:rsid w:val="00A54B99"/>
    <w:rsid w:val="00A54BA6"/>
    <w:rsid w:val="00A54BBC"/>
    <w:rsid w:val="00A54C9A"/>
    <w:rsid w:val="00A54D1C"/>
    <w:rsid w:val="00A54D93"/>
    <w:rsid w:val="00A54E53"/>
    <w:rsid w:val="00A54EA2"/>
    <w:rsid w:val="00A55238"/>
    <w:rsid w:val="00A55284"/>
    <w:rsid w:val="00A552A5"/>
    <w:rsid w:val="00A55319"/>
    <w:rsid w:val="00A55332"/>
    <w:rsid w:val="00A55367"/>
    <w:rsid w:val="00A5544D"/>
    <w:rsid w:val="00A554F1"/>
    <w:rsid w:val="00A55610"/>
    <w:rsid w:val="00A5566E"/>
    <w:rsid w:val="00A55703"/>
    <w:rsid w:val="00A55794"/>
    <w:rsid w:val="00A557D0"/>
    <w:rsid w:val="00A557F7"/>
    <w:rsid w:val="00A5598B"/>
    <w:rsid w:val="00A55A9B"/>
    <w:rsid w:val="00A55ACC"/>
    <w:rsid w:val="00A55AD3"/>
    <w:rsid w:val="00A55B7B"/>
    <w:rsid w:val="00A55B95"/>
    <w:rsid w:val="00A55B96"/>
    <w:rsid w:val="00A55BC4"/>
    <w:rsid w:val="00A55BE3"/>
    <w:rsid w:val="00A55C39"/>
    <w:rsid w:val="00A55C44"/>
    <w:rsid w:val="00A55D71"/>
    <w:rsid w:val="00A55E97"/>
    <w:rsid w:val="00A55F0D"/>
    <w:rsid w:val="00A56035"/>
    <w:rsid w:val="00A5614E"/>
    <w:rsid w:val="00A561EC"/>
    <w:rsid w:val="00A561F0"/>
    <w:rsid w:val="00A56201"/>
    <w:rsid w:val="00A5626C"/>
    <w:rsid w:val="00A5653E"/>
    <w:rsid w:val="00A56621"/>
    <w:rsid w:val="00A56651"/>
    <w:rsid w:val="00A56667"/>
    <w:rsid w:val="00A566B1"/>
    <w:rsid w:val="00A566F4"/>
    <w:rsid w:val="00A5671C"/>
    <w:rsid w:val="00A56795"/>
    <w:rsid w:val="00A567B3"/>
    <w:rsid w:val="00A567DA"/>
    <w:rsid w:val="00A5681A"/>
    <w:rsid w:val="00A56929"/>
    <w:rsid w:val="00A569B4"/>
    <w:rsid w:val="00A56A42"/>
    <w:rsid w:val="00A56A5C"/>
    <w:rsid w:val="00A56A71"/>
    <w:rsid w:val="00A56A77"/>
    <w:rsid w:val="00A56B49"/>
    <w:rsid w:val="00A56C34"/>
    <w:rsid w:val="00A56D06"/>
    <w:rsid w:val="00A56D51"/>
    <w:rsid w:val="00A56DE4"/>
    <w:rsid w:val="00A56DEC"/>
    <w:rsid w:val="00A56E73"/>
    <w:rsid w:val="00A56E9D"/>
    <w:rsid w:val="00A56F0D"/>
    <w:rsid w:val="00A57026"/>
    <w:rsid w:val="00A57044"/>
    <w:rsid w:val="00A57060"/>
    <w:rsid w:val="00A57062"/>
    <w:rsid w:val="00A57072"/>
    <w:rsid w:val="00A57074"/>
    <w:rsid w:val="00A57182"/>
    <w:rsid w:val="00A5718C"/>
    <w:rsid w:val="00A57305"/>
    <w:rsid w:val="00A57348"/>
    <w:rsid w:val="00A57356"/>
    <w:rsid w:val="00A573C3"/>
    <w:rsid w:val="00A573D1"/>
    <w:rsid w:val="00A57418"/>
    <w:rsid w:val="00A57523"/>
    <w:rsid w:val="00A57538"/>
    <w:rsid w:val="00A57651"/>
    <w:rsid w:val="00A57767"/>
    <w:rsid w:val="00A5779C"/>
    <w:rsid w:val="00A578C3"/>
    <w:rsid w:val="00A57943"/>
    <w:rsid w:val="00A57ABC"/>
    <w:rsid w:val="00A57BEB"/>
    <w:rsid w:val="00A57C40"/>
    <w:rsid w:val="00A57C4A"/>
    <w:rsid w:val="00A57C4B"/>
    <w:rsid w:val="00A57D06"/>
    <w:rsid w:val="00A57F37"/>
    <w:rsid w:val="00A60043"/>
    <w:rsid w:val="00A60085"/>
    <w:rsid w:val="00A60135"/>
    <w:rsid w:val="00A60194"/>
    <w:rsid w:val="00A601A3"/>
    <w:rsid w:val="00A60270"/>
    <w:rsid w:val="00A6027B"/>
    <w:rsid w:val="00A602AE"/>
    <w:rsid w:val="00A602EA"/>
    <w:rsid w:val="00A603AD"/>
    <w:rsid w:val="00A605E1"/>
    <w:rsid w:val="00A60781"/>
    <w:rsid w:val="00A60863"/>
    <w:rsid w:val="00A60915"/>
    <w:rsid w:val="00A6094C"/>
    <w:rsid w:val="00A609BC"/>
    <w:rsid w:val="00A609E2"/>
    <w:rsid w:val="00A609FE"/>
    <w:rsid w:val="00A60A1D"/>
    <w:rsid w:val="00A60AF8"/>
    <w:rsid w:val="00A60B00"/>
    <w:rsid w:val="00A60C3D"/>
    <w:rsid w:val="00A60C77"/>
    <w:rsid w:val="00A60CCE"/>
    <w:rsid w:val="00A60CFE"/>
    <w:rsid w:val="00A60D63"/>
    <w:rsid w:val="00A60D7E"/>
    <w:rsid w:val="00A60DC9"/>
    <w:rsid w:val="00A60E22"/>
    <w:rsid w:val="00A60E5E"/>
    <w:rsid w:val="00A60EAE"/>
    <w:rsid w:val="00A60F71"/>
    <w:rsid w:val="00A61013"/>
    <w:rsid w:val="00A6102F"/>
    <w:rsid w:val="00A610A3"/>
    <w:rsid w:val="00A6110D"/>
    <w:rsid w:val="00A6111D"/>
    <w:rsid w:val="00A6120A"/>
    <w:rsid w:val="00A61353"/>
    <w:rsid w:val="00A61377"/>
    <w:rsid w:val="00A613C7"/>
    <w:rsid w:val="00A614B0"/>
    <w:rsid w:val="00A614D6"/>
    <w:rsid w:val="00A614DC"/>
    <w:rsid w:val="00A6151D"/>
    <w:rsid w:val="00A615EA"/>
    <w:rsid w:val="00A6168C"/>
    <w:rsid w:val="00A6176F"/>
    <w:rsid w:val="00A618BB"/>
    <w:rsid w:val="00A619A2"/>
    <w:rsid w:val="00A61B97"/>
    <w:rsid w:val="00A61CED"/>
    <w:rsid w:val="00A61D3F"/>
    <w:rsid w:val="00A61DF3"/>
    <w:rsid w:val="00A61E09"/>
    <w:rsid w:val="00A61E8C"/>
    <w:rsid w:val="00A61F32"/>
    <w:rsid w:val="00A62046"/>
    <w:rsid w:val="00A62049"/>
    <w:rsid w:val="00A620E4"/>
    <w:rsid w:val="00A620FB"/>
    <w:rsid w:val="00A6231F"/>
    <w:rsid w:val="00A623DD"/>
    <w:rsid w:val="00A62412"/>
    <w:rsid w:val="00A6244E"/>
    <w:rsid w:val="00A6248E"/>
    <w:rsid w:val="00A6253F"/>
    <w:rsid w:val="00A62581"/>
    <w:rsid w:val="00A625DB"/>
    <w:rsid w:val="00A6275C"/>
    <w:rsid w:val="00A627C9"/>
    <w:rsid w:val="00A62AE6"/>
    <w:rsid w:val="00A62C82"/>
    <w:rsid w:val="00A62CBD"/>
    <w:rsid w:val="00A62F17"/>
    <w:rsid w:val="00A630BC"/>
    <w:rsid w:val="00A630EC"/>
    <w:rsid w:val="00A630F1"/>
    <w:rsid w:val="00A63155"/>
    <w:rsid w:val="00A6322D"/>
    <w:rsid w:val="00A63459"/>
    <w:rsid w:val="00A634D4"/>
    <w:rsid w:val="00A634EA"/>
    <w:rsid w:val="00A635AA"/>
    <w:rsid w:val="00A635E1"/>
    <w:rsid w:val="00A6366A"/>
    <w:rsid w:val="00A6376B"/>
    <w:rsid w:val="00A63844"/>
    <w:rsid w:val="00A63995"/>
    <w:rsid w:val="00A63AB1"/>
    <w:rsid w:val="00A63B5A"/>
    <w:rsid w:val="00A63BC0"/>
    <w:rsid w:val="00A63D33"/>
    <w:rsid w:val="00A63DE4"/>
    <w:rsid w:val="00A63E07"/>
    <w:rsid w:val="00A63FA1"/>
    <w:rsid w:val="00A63FCF"/>
    <w:rsid w:val="00A641DD"/>
    <w:rsid w:val="00A6422F"/>
    <w:rsid w:val="00A64269"/>
    <w:rsid w:val="00A642AC"/>
    <w:rsid w:val="00A642C6"/>
    <w:rsid w:val="00A642D5"/>
    <w:rsid w:val="00A64300"/>
    <w:rsid w:val="00A64391"/>
    <w:rsid w:val="00A64432"/>
    <w:rsid w:val="00A6451A"/>
    <w:rsid w:val="00A6459D"/>
    <w:rsid w:val="00A646A7"/>
    <w:rsid w:val="00A646AD"/>
    <w:rsid w:val="00A647AC"/>
    <w:rsid w:val="00A64916"/>
    <w:rsid w:val="00A649B8"/>
    <w:rsid w:val="00A64A90"/>
    <w:rsid w:val="00A64B37"/>
    <w:rsid w:val="00A64B59"/>
    <w:rsid w:val="00A64BE9"/>
    <w:rsid w:val="00A64C71"/>
    <w:rsid w:val="00A64D29"/>
    <w:rsid w:val="00A64E35"/>
    <w:rsid w:val="00A64EA7"/>
    <w:rsid w:val="00A64EE3"/>
    <w:rsid w:val="00A64FA4"/>
    <w:rsid w:val="00A64FF0"/>
    <w:rsid w:val="00A64FF9"/>
    <w:rsid w:val="00A6508F"/>
    <w:rsid w:val="00A650EA"/>
    <w:rsid w:val="00A651D5"/>
    <w:rsid w:val="00A65255"/>
    <w:rsid w:val="00A654A3"/>
    <w:rsid w:val="00A655AC"/>
    <w:rsid w:val="00A65660"/>
    <w:rsid w:val="00A65682"/>
    <w:rsid w:val="00A65694"/>
    <w:rsid w:val="00A657BF"/>
    <w:rsid w:val="00A658AE"/>
    <w:rsid w:val="00A658BD"/>
    <w:rsid w:val="00A6592B"/>
    <w:rsid w:val="00A65967"/>
    <w:rsid w:val="00A659E7"/>
    <w:rsid w:val="00A65A31"/>
    <w:rsid w:val="00A65A5A"/>
    <w:rsid w:val="00A65AEB"/>
    <w:rsid w:val="00A65BD1"/>
    <w:rsid w:val="00A65C16"/>
    <w:rsid w:val="00A65CB9"/>
    <w:rsid w:val="00A65CBD"/>
    <w:rsid w:val="00A65DBA"/>
    <w:rsid w:val="00A65ECC"/>
    <w:rsid w:val="00A65EE6"/>
    <w:rsid w:val="00A65F06"/>
    <w:rsid w:val="00A65F35"/>
    <w:rsid w:val="00A65FA3"/>
    <w:rsid w:val="00A66076"/>
    <w:rsid w:val="00A66077"/>
    <w:rsid w:val="00A66096"/>
    <w:rsid w:val="00A66155"/>
    <w:rsid w:val="00A66358"/>
    <w:rsid w:val="00A66374"/>
    <w:rsid w:val="00A6646A"/>
    <w:rsid w:val="00A66683"/>
    <w:rsid w:val="00A666E1"/>
    <w:rsid w:val="00A66707"/>
    <w:rsid w:val="00A6675D"/>
    <w:rsid w:val="00A6683B"/>
    <w:rsid w:val="00A66955"/>
    <w:rsid w:val="00A669AD"/>
    <w:rsid w:val="00A66B31"/>
    <w:rsid w:val="00A66C5A"/>
    <w:rsid w:val="00A66CEA"/>
    <w:rsid w:val="00A66D58"/>
    <w:rsid w:val="00A66D8C"/>
    <w:rsid w:val="00A66E26"/>
    <w:rsid w:val="00A66E3A"/>
    <w:rsid w:val="00A66F03"/>
    <w:rsid w:val="00A66F14"/>
    <w:rsid w:val="00A66F44"/>
    <w:rsid w:val="00A66F91"/>
    <w:rsid w:val="00A6700E"/>
    <w:rsid w:val="00A670F7"/>
    <w:rsid w:val="00A671DB"/>
    <w:rsid w:val="00A67324"/>
    <w:rsid w:val="00A673AD"/>
    <w:rsid w:val="00A674D1"/>
    <w:rsid w:val="00A67572"/>
    <w:rsid w:val="00A67696"/>
    <w:rsid w:val="00A67698"/>
    <w:rsid w:val="00A67856"/>
    <w:rsid w:val="00A678A0"/>
    <w:rsid w:val="00A67B83"/>
    <w:rsid w:val="00A67C74"/>
    <w:rsid w:val="00A67D48"/>
    <w:rsid w:val="00A67D53"/>
    <w:rsid w:val="00A67DAF"/>
    <w:rsid w:val="00A67E00"/>
    <w:rsid w:val="00A67E36"/>
    <w:rsid w:val="00A67EC1"/>
    <w:rsid w:val="00A67EEA"/>
    <w:rsid w:val="00A67F4C"/>
    <w:rsid w:val="00A700C6"/>
    <w:rsid w:val="00A700CB"/>
    <w:rsid w:val="00A701E4"/>
    <w:rsid w:val="00A7022D"/>
    <w:rsid w:val="00A70367"/>
    <w:rsid w:val="00A7040E"/>
    <w:rsid w:val="00A7042A"/>
    <w:rsid w:val="00A704AF"/>
    <w:rsid w:val="00A704C7"/>
    <w:rsid w:val="00A7050D"/>
    <w:rsid w:val="00A7062F"/>
    <w:rsid w:val="00A70642"/>
    <w:rsid w:val="00A7066E"/>
    <w:rsid w:val="00A706E6"/>
    <w:rsid w:val="00A70821"/>
    <w:rsid w:val="00A7089F"/>
    <w:rsid w:val="00A70933"/>
    <w:rsid w:val="00A70945"/>
    <w:rsid w:val="00A70974"/>
    <w:rsid w:val="00A709BF"/>
    <w:rsid w:val="00A709DA"/>
    <w:rsid w:val="00A70A4F"/>
    <w:rsid w:val="00A70B48"/>
    <w:rsid w:val="00A70B96"/>
    <w:rsid w:val="00A70BB9"/>
    <w:rsid w:val="00A70C68"/>
    <w:rsid w:val="00A70D5D"/>
    <w:rsid w:val="00A70E23"/>
    <w:rsid w:val="00A70E3C"/>
    <w:rsid w:val="00A70E47"/>
    <w:rsid w:val="00A70E4F"/>
    <w:rsid w:val="00A71033"/>
    <w:rsid w:val="00A71155"/>
    <w:rsid w:val="00A711DB"/>
    <w:rsid w:val="00A71283"/>
    <w:rsid w:val="00A71340"/>
    <w:rsid w:val="00A71389"/>
    <w:rsid w:val="00A713AE"/>
    <w:rsid w:val="00A71461"/>
    <w:rsid w:val="00A714A3"/>
    <w:rsid w:val="00A714F0"/>
    <w:rsid w:val="00A71544"/>
    <w:rsid w:val="00A715FB"/>
    <w:rsid w:val="00A716A5"/>
    <w:rsid w:val="00A71814"/>
    <w:rsid w:val="00A718DD"/>
    <w:rsid w:val="00A71ABD"/>
    <w:rsid w:val="00A71AD2"/>
    <w:rsid w:val="00A71B6A"/>
    <w:rsid w:val="00A71B96"/>
    <w:rsid w:val="00A71C34"/>
    <w:rsid w:val="00A71CAD"/>
    <w:rsid w:val="00A71CD0"/>
    <w:rsid w:val="00A71DEB"/>
    <w:rsid w:val="00A71E6D"/>
    <w:rsid w:val="00A71EFC"/>
    <w:rsid w:val="00A71F74"/>
    <w:rsid w:val="00A71FA4"/>
    <w:rsid w:val="00A71FD7"/>
    <w:rsid w:val="00A71FF0"/>
    <w:rsid w:val="00A7212F"/>
    <w:rsid w:val="00A721F1"/>
    <w:rsid w:val="00A72425"/>
    <w:rsid w:val="00A72438"/>
    <w:rsid w:val="00A72440"/>
    <w:rsid w:val="00A7247F"/>
    <w:rsid w:val="00A72488"/>
    <w:rsid w:val="00A72528"/>
    <w:rsid w:val="00A72662"/>
    <w:rsid w:val="00A7266B"/>
    <w:rsid w:val="00A726BB"/>
    <w:rsid w:val="00A72704"/>
    <w:rsid w:val="00A7271E"/>
    <w:rsid w:val="00A727C7"/>
    <w:rsid w:val="00A7280F"/>
    <w:rsid w:val="00A72814"/>
    <w:rsid w:val="00A729FC"/>
    <w:rsid w:val="00A72AE3"/>
    <w:rsid w:val="00A72B04"/>
    <w:rsid w:val="00A72CF0"/>
    <w:rsid w:val="00A72DCF"/>
    <w:rsid w:val="00A72E60"/>
    <w:rsid w:val="00A72E61"/>
    <w:rsid w:val="00A72E99"/>
    <w:rsid w:val="00A72F1D"/>
    <w:rsid w:val="00A72F2E"/>
    <w:rsid w:val="00A72F38"/>
    <w:rsid w:val="00A72FA1"/>
    <w:rsid w:val="00A72FCB"/>
    <w:rsid w:val="00A72FEE"/>
    <w:rsid w:val="00A73036"/>
    <w:rsid w:val="00A7319F"/>
    <w:rsid w:val="00A732BA"/>
    <w:rsid w:val="00A73300"/>
    <w:rsid w:val="00A73344"/>
    <w:rsid w:val="00A73376"/>
    <w:rsid w:val="00A73475"/>
    <w:rsid w:val="00A734E2"/>
    <w:rsid w:val="00A735C9"/>
    <w:rsid w:val="00A736BC"/>
    <w:rsid w:val="00A736D6"/>
    <w:rsid w:val="00A7388B"/>
    <w:rsid w:val="00A739AF"/>
    <w:rsid w:val="00A739C6"/>
    <w:rsid w:val="00A73A03"/>
    <w:rsid w:val="00A73A42"/>
    <w:rsid w:val="00A73A7A"/>
    <w:rsid w:val="00A73B4B"/>
    <w:rsid w:val="00A73BAC"/>
    <w:rsid w:val="00A73CA1"/>
    <w:rsid w:val="00A73DC4"/>
    <w:rsid w:val="00A73E93"/>
    <w:rsid w:val="00A73EFF"/>
    <w:rsid w:val="00A73F82"/>
    <w:rsid w:val="00A73F98"/>
    <w:rsid w:val="00A73FB6"/>
    <w:rsid w:val="00A73FEB"/>
    <w:rsid w:val="00A73FF4"/>
    <w:rsid w:val="00A7404A"/>
    <w:rsid w:val="00A74059"/>
    <w:rsid w:val="00A7406B"/>
    <w:rsid w:val="00A7410B"/>
    <w:rsid w:val="00A74170"/>
    <w:rsid w:val="00A7424A"/>
    <w:rsid w:val="00A742B6"/>
    <w:rsid w:val="00A742B9"/>
    <w:rsid w:val="00A7432E"/>
    <w:rsid w:val="00A743CF"/>
    <w:rsid w:val="00A7445B"/>
    <w:rsid w:val="00A744C1"/>
    <w:rsid w:val="00A7457E"/>
    <w:rsid w:val="00A746AD"/>
    <w:rsid w:val="00A747F6"/>
    <w:rsid w:val="00A74897"/>
    <w:rsid w:val="00A74961"/>
    <w:rsid w:val="00A749DE"/>
    <w:rsid w:val="00A749E8"/>
    <w:rsid w:val="00A74A58"/>
    <w:rsid w:val="00A74AC7"/>
    <w:rsid w:val="00A74B4F"/>
    <w:rsid w:val="00A74B63"/>
    <w:rsid w:val="00A74BA1"/>
    <w:rsid w:val="00A74CA9"/>
    <w:rsid w:val="00A74D4C"/>
    <w:rsid w:val="00A74DB4"/>
    <w:rsid w:val="00A74EE0"/>
    <w:rsid w:val="00A7508C"/>
    <w:rsid w:val="00A7509C"/>
    <w:rsid w:val="00A750DC"/>
    <w:rsid w:val="00A7517B"/>
    <w:rsid w:val="00A752AE"/>
    <w:rsid w:val="00A753C0"/>
    <w:rsid w:val="00A75430"/>
    <w:rsid w:val="00A7548B"/>
    <w:rsid w:val="00A75495"/>
    <w:rsid w:val="00A754FD"/>
    <w:rsid w:val="00A75594"/>
    <w:rsid w:val="00A7569C"/>
    <w:rsid w:val="00A756BA"/>
    <w:rsid w:val="00A7582A"/>
    <w:rsid w:val="00A7587C"/>
    <w:rsid w:val="00A75888"/>
    <w:rsid w:val="00A758D7"/>
    <w:rsid w:val="00A75937"/>
    <w:rsid w:val="00A75962"/>
    <w:rsid w:val="00A75992"/>
    <w:rsid w:val="00A75A16"/>
    <w:rsid w:val="00A75A63"/>
    <w:rsid w:val="00A75ACD"/>
    <w:rsid w:val="00A75B59"/>
    <w:rsid w:val="00A75BFE"/>
    <w:rsid w:val="00A75DAD"/>
    <w:rsid w:val="00A75E7B"/>
    <w:rsid w:val="00A75ED3"/>
    <w:rsid w:val="00A75F6D"/>
    <w:rsid w:val="00A75FB0"/>
    <w:rsid w:val="00A760D3"/>
    <w:rsid w:val="00A760E9"/>
    <w:rsid w:val="00A76279"/>
    <w:rsid w:val="00A76355"/>
    <w:rsid w:val="00A7646F"/>
    <w:rsid w:val="00A764A7"/>
    <w:rsid w:val="00A765C5"/>
    <w:rsid w:val="00A7662A"/>
    <w:rsid w:val="00A76666"/>
    <w:rsid w:val="00A7686A"/>
    <w:rsid w:val="00A76A87"/>
    <w:rsid w:val="00A76AFE"/>
    <w:rsid w:val="00A76BE1"/>
    <w:rsid w:val="00A76DB3"/>
    <w:rsid w:val="00A76F56"/>
    <w:rsid w:val="00A77006"/>
    <w:rsid w:val="00A77031"/>
    <w:rsid w:val="00A770A1"/>
    <w:rsid w:val="00A770B1"/>
    <w:rsid w:val="00A770E7"/>
    <w:rsid w:val="00A7715B"/>
    <w:rsid w:val="00A771B4"/>
    <w:rsid w:val="00A77272"/>
    <w:rsid w:val="00A772D5"/>
    <w:rsid w:val="00A7735D"/>
    <w:rsid w:val="00A7736C"/>
    <w:rsid w:val="00A774CE"/>
    <w:rsid w:val="00A77509"/>
    <w:rsid w:val="00A7758E"/>
    <w:rsid w:val="00A7762F"/>
    <w:rsid w:val="00A77666"/>
    <w:rsid w:val="00A77819"/>
    <w:rsid w:val="00A77879"/>
    <w:rsid w:val="00A779AE"/>
    <w:rsid w:val="00A779ED"/>
    <w:rsid w:val="00A77A06"/>
    <w:rsid w:val="00A77B09"/>
    <w:rsid w:val="00A77CEE"/>
    <w:rsid w:val="00A77DC7"/>
    <w:rsid w:val="00A77DF9"/>
    <w:rsid w:val="00A77E6F"/>
    <w:rsid w:val="00A77F5A"/>
    <w:rsid w:val="00A77F98"/>
    <w:rsid w:val="00A80040"/>
    <w:rsid w:val="00A800F7"/>
    <w:rsid w:val="00A8014D"/>
    <w:rsid w:val="00A801A5"/>
    <w:rsid w:val="00A802C8"/>
    <w:rsid w:val="00A8032B"/>
    <w:rsid w:val="00A80376"/>
    <w:rsid w:val="00A80466"/>
    <w:rsid w:val="00A80471"/>
    <w:rsid w:val="00A804C4"/>
    <w:rsid w:val="00A804CB"/>
    <w:rsid w:val="00A805AB"/>
    <w:rsid w:val="00A806F1"/>
    <w:rsid w:val="00A80784"/>
    <w:rsid w:val="00A80880"/>
    <w:rsid w:val="00A8088D"/>
    <w:rsid w:val="00A80926"/>
    <w:rsid w:val="00A80ADF"/>
    <w:rsid w:val="00A80BBE"/>
    <w:rsid w:val="00A80BC8"/>
    <w:rsid w:val="00A80D09"/>
    <w:rsid w:val="00A80E87"/>
    <w:rsid w:val="00A80EC4"/>
    <w:rsid w:val="00A80F25"/>
    <w:rsid w:val="00A80F9B"/>
    <w:rsid w:val="00A8108E"/>
    <w:rsid w:val="00A8110A"/>
    <w:rsid w:val="00A81326"/>
    <w:rsid w:val="00A81387"/>
    <w:rsid w:val="00A81448"/>
    <w:rsid w:val="00A81595"/>
    <w:rsid w:val="00A81604"/>
    <w:rsid w:val="00A81730"/>
    <w:rsid w:val="00A81788"/>
    <w:rsid w:val="00A817DC"/>
    <w:rsid w:val="00A81828"/>
    <w:rsid w:val="00A818A8"/>
    <w:rsid w:val="00A81956"/>
    <w:rsid w:val="00A81AD8"/>
    <w:rsid w:val="00A81D85"/>
    <w:rsid w:val="00A81D89"/>
    <w:rsid w:val="00A81EA2"/>
    <w:rsid w:val="00A82015"/>
    <w:rsid w:val="00A82017"/>
    <w:rsid w:val="00A8205D"/>
    <w:rsid w:val="00A8212A"/>
    <w:rsid w:val="00A821A9"/>
    <w:rsid w:val="00A82218"/>
    <w:rsid w:val="00A822E2"/>
    <w:rsid w:val="00A823BC"/>
    <w:rsid w:val="00A82479"/>
    <w:rsid w:val="00A825AA"/>
    <w:rsid w:val="00A825B2"/>
    <w:rsid w:val="00A8282D"/>
    <w:rsid w:val="00A8282E"/>
    <w:rsid w:val="00A828A9"/>
    <w:rsid w:val="00A828FB"/>
    <w:rsid w:val="00A8291D"/>
    <w:rsid w:val="00A82C2A"/>
    <w:rsid w:val="00A82CEF"/>
    <w:rsid w:val="00A82D22"/>
    <w:rsid w:val="00A82D2C"/>
    <w:rsid w:val="00A82E07"/>
    <w:rsid w:val="00A82F84"/>
    <w:rsid w:val="00A82FAA"/>
    <w:rsid w:val="00A82FAE"/>
    <w:rsid w:val="00A83109"/>
    <w:rsid w:val="00A832BC"/>
    <w:rsid w:val="00A832F1"/>
    <w:rsid w:val="00A83374"/>
    <w:rsid w:val="00A83389"/>
    <w:rsid w:val="00A83397"/>
    <w:rsid w:val="00A833B7"/>
    <w:rsid w:val="00A833DE"/>
    <w:rsid w:val="00A834B7"/>
    <w:rsid w:val="00A83638"/>
    <w:rsid w:val="00A83660"/>
    <w:rsid w:val="00A837C9"/>
    <w:rsid w:val="00A83926"/>
    <w:rsid w:val="00A83A78"/>
    <w:rsid w:val="00A83A96"/>
    <w:rsid w:val="00A83AB9"/>
    <w:rsid w:val="00A83D07"/>
    <w:rsid w:val="00A83DDC"/>
    <w:rsid w:val="00A83DEE"/>
    <w:rsid w:val="00A83DF2"/>
    <w:rsid w:val="00A83E8F"/>
    <w:rsid w:val="00A83ED6"/>
    <w:rsid w:val="00A83FAF"/>
    <w:rsid w:val="00A840AA"/>
    <w:rsid w:val="00A84230"/>
    <w:rsid w:val="00A842E4"/>
    <w:rsid w:val="00A843CC"/>
    <w:rsid w:val="00A845B5"/>
    <w:rsid w:val="00A845F6"/>
    <w:rsid w:val="00A8462A"/>
    <w:rsid w:val="00A846F1"/>
    <w:rsid w:val="00A84714"/>
    <w:rsid w:val="00A848B7"/>
    <w:rsid w:val="00A848BD"/>
    <w:rsid w:val="00A848C4"/>
    <w:rsid w:val="00A84A48"/>
    <w:rsid w:val="00A84D50"/>
    <w:rsid w:val="00A84D78"/>
    <w:rsid w:val="00A84E18"/>
    <w:rsid w:val="00A84F13"/>
    <w:rsid w:val="00A84F2D"/>
    <w:rsid w:val="00A84F76"/>
    <w:rsid w:val="00A84FE2"/>
    <w:rsid w:val="00A85023"/>
    <w:rsid w:val="00A850D5"/>
    <w:rsid w:val="00A85116"/>
    <w:rsid w:val="00A85215"/>
    <w:rsid w:val="00A85216"/>
    <w:rsid w:val="00A85448"/>
    <w:rsid w:val="00A85491"/>
    <w:rsid w:val="00A85555"/>
    <w:rsid w:val="00A85573"/>
    <w:rsid w:val="00A855D1"/>
    <w:rsid w:val="00A85790"/>
    <w:rsid w:val="00A85999"/>
    <w:rsid w:val="00A85A5A"/>
    <w:rsid w:val="00A85CA9"/>
    <w:rsid w:val="00A85CDE"/>
    <w:rsid w:val="00A85DC6"/>
    <w:rsid w:val="00A85EEF"/>
    <w:rsid w:val="00A85F04"/>
    <w:rsid w:val="00A85FC2"/>
    <w:rsid w:val="00A8601D"/>
    <w:rsid w:val="00A8602F"/>
    <w:rsid w:val="00A86040"/>
    <w:rsid w:val="00A86062"/>
    <w:rsid w:val="00A860A8"/>
    <w:rsid w:val="00A860E1"/>
    <w:rsid w:val="00A86194"/>
    <w:rsid w:val="00A861C0"/>
    <w:rsid w:val="00A86233"/>
    <w:rsid w:val="00A86292"/>
    <w:rsid w:val="00A862C9"/>
    <w:rsid w:val="00A8633C"/>
    <w:rsid w:val="00A86516"/>
    <w:rsid w:val="00A86519"/>
    <w:rsid w:val="00A867EC"/>
    <w:rsid w:val="00A86809"/>
    <w:rsid w:val="00A86863"/>
    <w:rsid w:val="00A86905"/>
    <w:rsid w:val="00A86940"/>
    <w:rsid w:val="00A86998"/>
    <w:rsid w:val="00A86AAD"/>
    <w:rsid w:val="00A86C31"/>
    <w:rsid w:val="00A86DA5"/>
    <w:rsid w:val="00A86E29"/>
    <w:rsid w:val="00A86E30"/>
    <w:rsid w:val="00A86EAF"/>
    <w:rsid w:val="00A86F26"/>
    <w:rsid w:val="00A86F48"/>
    <w:rsid w:val="00A87216"/>
    <w:rsid w:val="00A87292"/>
    <w:rsid w:val="00A872F1"/>
    <w:rsid w:val="00A8734B"/>
    <w:rsid w:val="00A87378"/>
    <w:rsid w:val="00A87562"/>
    <w:rsid w:val="00A8761C"/>
    <w:rsid w:val="00A87664"/>
    <w:rsid w:val="00A87726"/>
    <w:rsid w:val="00A87A1D"/>
    <w:rsid w:val="00A87A35"/>
    <w:rsid w:val="00A87A39"/>
    <w:rsid w:val="00A87AA4"/>
    <w:rsid w:val="00A87B25"/>
    <w:rsid w:val="00A87BF4"/>
    <w:rsid w:val="00A87C40"/>
    <w:rsid w:val="00A87C5E"/>
    <w:rsid w:val="00A87CAA"/>
    <w:rsid w:val="00A87D4E"/>
    <w:rsid w:val="00A87DDB"/>
    <w:rsid w:val="00A87F06"/>
    <w:rsid w:val="00A87F2A"/>
    <w:rsid w:val="00A8C104"/>
    <w:rsid w:val="00A90028"/>
    <w:rsid w:val="00A9011A"/>
    <w:rsid w:val="00A90159"/>
    <w:rsid w:val="00A90206"/>
    <w:rsid w:val="00A90217"/>
    <w:rsid w:val="00A90297"/>
    <w:rsid w:val="00A902BB"/>
    <w:rsid w:val="00A902C4"/>
    <w:rsid w:val="00A902EE"/>
    <w:rsid w:val="00A90315"/>
    <w:rsid w:val="00A90397"/>
    <w:rsid w:val="00A903B4"/>
    <w:rsid w:val="00A9052E"/>
    <w:rsid w:val="00A905A9"/>
    <w:rsid w:val="00A90606"/>
    <w:rsid w:val="00A907BE"/>
    <w:rsid w:val="00A90837"/>
    <w:rsid w:val="00A9086E"/>
    <w:rsid w:val="00A908F2"/>
    <w:rsid w:val="00A90915"/>
    <w:rsid w:val="00A90AF3"/>
    <w:rsid w:val="00A90B0F"/>
    <w:rsid w:val="00A90B21"/>
    <w:rsid w:val="00A90B75"/>
    <w:rsid w:val="00A90BE9"/>
    <w:rsid w:val="00A90D2E"/>
    <w:rsid w:val="00A90D97"/>
    <w:rsid w:val="00A90DCE"/>
    <w:rsid w:val="00A90DF3"/>
    <w:rsid w:val="00A90E55"/>
    <w:rsid w:val="00A90EE6"/>
    <w:rsid w:val="00A90F1D"/>
    <w:rsid w:val="00A90FCA"/>
    <w:rsid w:val="00A9100C"/>
    <w:rsid w:val="00A910DA"/>
    <w:rsid w:val="00A91121"/>
    <w:rsid w:val="00A913D9"/>
    <w:rsid w:val="00A913EB"/>
    <w:rsid w:val="00A91412"/>
    <w:rsid w:val="00A91495"/>
    <w:rsid w:val="00A914C6"/>
    <w:rsid w:val="00A91512"/>
    <w:rsid w:val="00A915CB"/>
    <w:rsid w:val="00A915D2"/>
    <w:rsid w:val="00A915F0"/>
    <w:rsid w:val="00A9175C"/>
    <w:rsid w:val="00A917D9"/>
    <w:rsid w:val="00A91823"/>
    <w:rsid w:val="00A91848"/>
    <w:rsid w:val="00A9189D"/>
    <w:rsid w:val="00A9190A"/>
    <w:rsid w:val="00A9193E"/>
    <w:rsid w:val="00A919D5"/>
    <w:rsid w:val="00A91B4E"/>
    <w:rsid w:val="00A91BC6"/>
    <w:rsid w:val="00A91CBD"/>
    <w:rsid w:val="00A91FD1"/>
    <w:rsid w:val="00A92048"/>
    <w:rsid w:val="00A92088"/>
    <w:rsid w:val="00A9210F"/>
    <w:rsid w:val="00A922A5"/>
    <w:rsid w:val="00A92413"/>
    <w:rsid w:val="00A924FF"/>
    <w:rsid w:val="00A92561"/>
    <w:rsid w:val="00A9261F"/>
    <w:rsid w:val="00A92989"/>
    <w:rsid w:val="00A9298B"/>
    <w:rsid w:val="00A92C9D"/>
    <w:rsid w:val="00A92DB7"/>
    <w:rsid w:val="00A92DF0"/>
    <w:rsid w:val="00A92E47"/>
    <w:rsid w:val="00A92E7E"/>
    <w:rsid w:val="00A92F4F"/>
    <w:rsid w:val="00A92F6D"/>
    <w:rsid w:val="00A93112"/>
    <w:rsid w:val="00A93267"/>
    <w:rsid w:val="00A935CF"/>
    <w:rsid w:val="00A93620"/>
    <w:rsid w:val="00A9376D"/>
    <w:rsid w:val="00A93853"/>
    <w:rsid w:val="00A93938"/>
    <w:rsid w:val="00A9395B"/>
    <w:rsid w:val="00A939AF"/>
    <w:rsid w:val="00A939E1"/>
    <w:rsid w:val="00A93A78"/>
    <w:rsid w:val="00A93BA8"/>
    <w:rsid w:val="00A93C08"/>
    <w:rsid w:val="00A93CBC"/>
    <w:rsid w:val="00A93CCF"/>
    <w:rsid w:val="00A93E42"/>
    <w:rsid w:val="00A93E5F"/>
    <w:rsid w:val="00A93E69"/>
    <w:rsid w:val="00A93F05"/>
    <w:rsid w:val="00A93FB3"/>
    <w:rsid w:val="00A94070"/>
    <w:rsid w:val="00A94094"/>
    <w:rsid w:val="00A9419A"/>
    <w:rsid w:val="00A9421A"/>
    <w:rsid w:val="00A94304"/>
    <w:rsid w:val="00A9438F"/>
    <w:rsid w:val="00A943CC"/>
    <w:rsid w:val="00A944E6"/>
    <w:rsid w:val="00A94504"/>
    <w:rsid w:val="00A9455B"/>
    <w:rsid w:val="00A94617"/>
    <w:rsid w:val="00A94640"/>
    <w:rsid w:val="00A946CA"/>
    <w:rsid w:val="00A94730"/>
    <w:rsid w:val="00A94740"/>
    <w:rsid w:val="00A94743"/>
    <w:rsid w:val="00A947C9"/>
    <w:rsid w:val="00A947CA"/>
    <w:rsid w:val="00A9489D"/>
    <w:rsid w:val="00A94962"/>
    <w:rsid w:val="00A94A1C"/>
    <w:rsid w:val="00A94B20"/>
    <w:rsid w:val="00A94B4E"/>
    <w:rsid w:val="00A94B84"/>
    <w:rsid w:val="00A94C95"/>
    <w:rsid w:val="00A94CC1"/>
    <w:rsid w:val="00A94E07"/>
    <w:rsid w:val="00A94EFC"/>
    <w:rsid w:val="00A94F49"/>
    <w:rsid w:val="00A94FC8"/>
    <w:rsid w:val="00A95047"/>
    <w:rsid w:val="00A950E9"/>
    <w:rsid w:val="00A95145"/>
    <w:rsid w:val="00A951F3"/>
    <w:rsid w:val="00A95578"/>
    <w:rsid w:val="00A955AD"/>
    <w:rsid w:val="00A95797"/>
    <w:rsid w:val="00A957C4"/>
    <w:rsid w:val="00A95891"/>
    <w:rsid w:val="00A958E3"/>
    <w:rsid w:val="00A95904"/>
    <w:rsid w:val="00A959CC"/>
    <w:rsid w:val="00A95A39"/>
    <w:rsid w:val="00A95AB7"/>
    <w:rsid w:val="00A95BBA"/>
    <w:rsid w:val="00A95C76"/>
    <w:rsid w:val="00A95F9F"/>
    <w:rsid w:val="00A96119"/>
    <w:rsid w:val="00A96128"/>
    <w:rsid w:val="00A9612F"/>
    <w:rsid w:val="00A96231"/>
    <w:rsid w:val="00A96352"/>
    <w:rsid w:val="00A964B3"/>
    <w:rsid w:val="00A96591"/>
    <w:rsid w:val="00A965E5"/>
    <w:rsid w:val="00A966F1"/>
    <w:rsid w:val="00A9679F"/>
    <w:rsid w:val="00A96C98"/>
    <w:rsid w:val="00A96E94"/>
    <w:rsid w:val="00A96E9C"/>
    <w:rsid w:val="00A96F6D"/>
    <w:rsid w:val="00A96F84"/>
    <w:rsid w:val="00A96FEF"/>
    <w:rsid w:val="00A97059"/>
    <w:rsid w:val="00A97190"/>
    <w:rsid w:val="00A9723D"/>
    <w:rsid w:val="00A97256"/>
    <w:rsid w:val="00A972A2"/>
    <w:rsid w:val="00A973DD"/>
    <w:rsid w:val="00A9742C"/>
    <w:rsid w:val="00A9743A"/>
    <w:rsid w:val="00A9746B"/>
    <w:rsid w:val="00A97491"/>
    <w:rsid w:val="00A97516"/>
    <w:rsid w:val="00A97636"/>
    <w:rsid w:val="00A97677"/>
    <w:rsid w:val="00A976F4"/>
    <w:rsid w:val="00A976F6"/>
    <w:rsid w:val="00A97832"/>
    <w:rsid w:val="00A9786A"/>
    <w:rsid w:val="00A9789F"/>
    <w:rsid w:val="00A97937"/>
    <w:rsid w:val="00A9799B"/>
    <w:rsid w:val="00A979FB"/>
    <w:rsid w:val="00A97AC2"/>
    <w:rsid w:val="00A97B06"/>
    <w:rsid w:val="00A97BEB"/>
    <w:rsid w:val="00A97C6D"/>
    <w:rsid w:val="00A97D97"/>
    <w:rsid w:val="00A97F40"/>
    <w:rsid w:val="00A97FC5"/>
    <w:rsid w:val="00AA01B3"/>
    <w:rsid w:val="00AA0248"/>
    <w:rsid w:val="00AA0372"/>
    <w:rsid w:val="00AA0413"/>
    <w:rsid w:val="00AA0456"/>
    <w:rsid w:val="00AA04A8"/>
    <w:rsid w:val="00AA0557"/>
    <w:rsid w:val="00AA064D"/>
    <w:rsid w:val="00AA06F6"/>
    <w:rsid w:val="00AA0702"/>
    <w:rsid w:val="00AA0779"/>
    <w:rsid w:val="00AA0793"/>
    <w:rsid w:val="00AA08D9"/>
    <w:rsid w:val="00AA090F"/>
    <w:rsid w:val="00AA0A01"/>
    <w:rsid w:val="00AA0A97"/>
    <w:rsid w:val="00AA0B27"/>
    <w:rsid w:val="00AA0B6F"/>
    <w:rsid w:val="00AA0BB9"/>
    <w:rsid w:val="00AA0C09"/>
    <w:rsid w:val="00AA0C9A"/>
    <w:rsid w:val="00AA0CEA"/>
    <w:rsid w:val="00AA0D76"/>
    <w:rsid w:val="00AA0D9C"/>
    <w:rsid w:val="00AA0DF0"/>
    <w:rsid w:val="00AA0E09"/>
    <w:rsid w:val="00AA0E12"/>
    <w:rsid w:val="00AA0E44"/>
    <w:rsid w:val="00AA0EDC"/>
    <w:rsid w:val="00AA0FEB"/>
    <w:rsid w:val="00AA121B"/>
    <w:rsid w:val="00AA126E"/>
    <w:rsid w:val="00AA1283"/>
    <w:rsid w:val="00AA1379"/>
    <w:rsid w:val="00AA1387"/>
    <w:rsid w:val="00AA13E5"/>
    <w:rsid w:val="00AA15E4"/>
    <w:rsid w:val="00AA165E"/>
    <w:rsid w:val="00AA1663"/>
    <w:rsid w:val="00AA178C"/>
    <w:rsid w:val="00AA184E"/>
    <w:rsid w:val="00AA1903"/>
    <w:rsid w:val="00AA193B"/>
    <w:rsid w:val="00AA1AA7"/>
    <w:rsid w:val="00AA1ACE"/>
    <w:rsid w:val="00AA1B82"/>
    <w:rsid w:val="00AA1C0A"/>
    <w:rsid w:val="00AA1CF6"/>
    <w:rsid w:val="00AA1D2C"/>
    <w:rsid w:val="00AA1D8C"/>
    <w:rsid w:val="00AA1DC3"/>
    <w:rsid w:val="00AA1DDF"/>
    <w:rsid w:val="00AA1E69"/>
    <w:rsid w:val="00AA1EEE"/>
    <w:rsid w:val="00AA1FAA"/>
    <w:rsid w:val="00AA2032"/>
    <w:rsid w:val="00AA20C3"/>
    <w:rsid w:val="00AA21FF"/>
    <w:rsid w:val="00AA221E"/>
    <w:rsid w:val="00AA22D4"/>
    <w:rsid w:val="00AA22EE"/>
    <w:rsid w:val="00AA22EF"/>
    <w:rsid w:val="00AA2325"/>
    <w:rsid w:val="00AA232A"/>
    <w:rsid w:val="00AA2340"/>
    <w:rsid w:val="00AA242F"/>
    <w:rsid w:val="00AA243F"/>
    <w:rsid w:val="00AA24FF"/>
    <w:rsid w:val="00AA2536"/>
    <w:rsid w:val="00AA2549"/>
    <w:rsid w:val="00AA27C6"/>
    <w:rsid w:val="00AA28E6"/>
    <w:rsid w:val="00AA2961"/>
    <w:rsid w:val="00AA2A45"/>
    <w:rsid w:val="00AA2BD0"/>
    <w:rsid w:val="00AA2C9E"/>
    <w:rsid w:val="00AA2D14"/>
    <w:rsid w:val="00AA2D1A"/>
    <w:rsid w:val="00AA2EB1"/>
    <w:rsid w:val="00AA2FB0"/>
    <w:rsid w:val="00AA3024"/>
    <w:rsid w:val="00AA3041"/>
    <w:rsid w:val="00AA3057"/>
    <w:rsid w:val="00AA30B4"/>
    <w:rsid w:val="00AA30D4"/>
    <w:rsid w:val="00AA3278"/>
    <w:rsid w:val="00AA32E0"/>
    <w:rsid w:val="00AA32F9"/>
    <w:rsid w:val="00AA33AC"/>
    <w:rsid w:val="00AA35B5"/>
    <w:rsid w:val="00AA35E2"/>
    <w:rsid w:val="00AA3644"/>
    <w:rsid w:val="00AA37AB"/>
    <w:rsid w:val="00AA39D4"/>
    <w:rsid w:val="00AA39E6"/>
    <w:rsid w:val="00AA3A47"/>
    <w:rsid w:val="00AA3A8D"/>
    <w:rsid w:val="00AA3B9A"/>
    <w:rsid w:val="00AA3BBF"/>
    <w:rsid w:val="00AA3BC3"/>
    <w:rsid w:val="00AA3BF1"/>
    <w:rsid w:val="00AA3C36"/>
    <w:rsid w:val="00AA3D98"/>
    <w:rsid w:val="00AA3DA4"/>
    <w:rsid w:val="00AA3E2B"/>
    <w:rsid w:val="00AA3E4B"/>
    <w:rsid w:val="00AA3F0A"/>
    <w:rsid w:val="00AA3F45"/>
    <w:rsid w:val="00AA4180"/>
    <w:rsid w:val="00AA4225"/>
    <w:rsid w:val="00AA42EE"/>
    <w:rsid w:val="00AA43A5"/>
    <w:rsid w:val="00AA4418"/>
    <w:rsid w:val="00AA4479"/>
    <w:rsid w:val="00AA44B7"/>
    <w:rsid w:val="00AA46D6"/>
    <w:rsid w:val="00AA4738"/>
    <w:rsid w:val="00AA477D"/>
    <w:rsid w:val="00AA47A2"/>
    <w:rsid w:val="00AA489D"/>
    <w:rsid w:val="00AA4BDF"/>
    <w:rsid w:val="00AA4C27"/>
    <w:rsid w:val="00AA4D24"/>
    <w:rsid w:val="00AA4DD2"/>
    <w:rsid w:val="00AA4EB6"/>
    <w:rsid w:val="00AA4FEA"/>
    <w:rsid w:val="00AA508D"/>
    <w:rsid w:val="00AA50B1"/>
    <w:rsid w:val="00AA5107"/>
    <w:rsid w:val="00AA5183"/>
    <w:rsid w:val="00AA5226"/>
    <w:rsid w:val="00AA5288"/>
    <w:rsid w:val="00AA546D"/>
    <w:rsid w:val="00AA5502"/>
    <w:rsid w:val="00AA565E"/>
    <w:rsid w:val="00AA5736"/>
    <w:rsid w:val="00AA58AC"/>
    <w:rsid w:val="00AA59FB"/>
    <w:rsid w:val="00AA5B5B"/>
    <w:rsid w:val="00AA5B6A"/>
    <w:rsid w:val="00AA5BB8"/>
    <w:rsid w:val="00AA5BE1"/>
    <w:rsid w:val="00AA5D55"/>
    <w:rsid w:val="00AA5EB5"/>
    <w:rsid w:val="00AA5ED1"/>
    <w:rsid w:val="00AA5F35"/>
    <w:rsid w:val="00AA5F6B"/>
    <w:rsid w:val="00AA6046"/>
    <w:rsid w:val="00AA61CF"/>
    <w:rsid w:val="00AA6281"/>
    <w:rsid w:val="00AA62E9"/>
    <w:rsid w:val="00AA6318"/>
    <w:rsid w:val="00AA6339"/>
    <w:rsid w:val="00AA63B8"/>
    <w:rsid w:val="00AA63CA"/>
    <w:rsid w:val="00AA64D2"/>
    <w:rsid w:val="00AA670B"/>
    <w:rsid w:val="00AA6765"/>
    <w:rsid w:val="00AA67BC"/>
    <w:rsid w:val="00AA67C1"/>
    <w:rsid w:val="00AA6813"/>
    <w:rsid w:val="00AA6842"/>
    <w:rsid w:val="00AA69F2"/>
    <w:rsid w:val="00AA6A25"/>
    <w:rsid w:val="00AA6B1D"/>
    <w:rsid w:val="00AA6B77"/>
    <w:rsid w:val="00AA6BD0"/>
    <w:rsid w:val="00AA6C55"/>
    <w:rsid w:val="00AA6CA6"/>
    <w:rsid w:val="00AA6CC4"/>
    <w:rsid w:val="00AA6D47"/>
    <w:rsid w:val="00AA6DB4"/>
    <w:rsid w:val="00AA6E08"/>
    <w:rsid w:val="00AA6F27"/>
    <w:rsid w:val="00AA70A0"/>
    <w:rsid w:val="00AA715A"/>
    <w:rsid w:val="00AA72D3"/>
    <w:rsid w:val="00AA740D"/>
    <w:rsid w:val="00AA7448"/>
    <w:rsid w:val="00AA74C2"/>
    <w:rsid w:val="00AA7576"/>
    <w:rsid w:val="00AA75C4"/>
    <w:rsid w:val="00AA75E8"/>
    <w:rsid w:val="00AA761F"/>
    <w:rsid w:val="00AA76F1"/>
    <w:rsid w:val="00AA77A2"/>
    <w:rsid w:val="00AA77F5"/>
    <w:rsid w:val="00AA7885"/>
    <w:rsid w:val="00AA7A60"/>
    <w:rsid w:val="00AA7B29"/>
    <w:rsid w:val="00AA7B90"/>
    <w:rsid w:val="00AA7C47"/>
    <w:rsid w:val="00AA7D06"/>
    <w:rsid w:val="00AA7D28"/>
    <w:rsid w:val="00AA7D4D"/>
    <w:rsid w:val="00AA7DA2"/>
    <w:rsid w:val="00AA7DF2"/>
    <w:rsid w:val="00AA7EDD"/>
    <w:rsid w:val="00AB0065"/>
    <w:rsid w:val="00AB01F7"/>
    <w:rsid w:val="00AB030B"/>
    <w:rsid w:val="00AB0323"/>
    <w:rsid w:val="00AB0339"/>
    <w:rsid w:val="00AB0484"/>
    <w:rsid w:val="00AB0499"/>
    <w:rsid w:val="00AB04C5"/>
    <w:rsid w:val="00AB0530"/>
    <w:rsid w:val="00AB068B"/>
    <w:rsid w:val="00AB08A7"/>
    <w:rsid w:val="00AB08EE"/>
    <w:rsid w:val="00AB0A9B"/>
    <w:rsid w:val="00AB0B42"/>
    <w:rsid w:val="00AB0B96"/>
    <w:rsid w:val="00AB0D14"/>
    <w:rsid w:val="00AB0D62"/>
    <w:rsid w:val="00AB0DCE"/>
    <w:rsid w:val="00AB0EBD"/>
    <w:rsid w:val="00AB0F8C"/>
    <w:rsid w:val="00AB108B"/>
    <w:rsid w:val="00AB10B4"/>
    <w:rsid w:val="00AB10C4"/>
    <w:rsid w:val="00AB1286"/>
    <w:rsid w:val="00AB134C"/>
    <w:rsid w:val="00AB135E"/>
    <w:rsid w:val="00AB150A"/>
    <w:rsid w:val="00AB1517"/>
    <w:rsid w:val="00AB167C"/>
    <w:rsid w:val="00AB175F"/>
    <w:rsid w:val="00AB180B"/>
    <w:rsid w:val="00AB182C"/>
    <w:rsid w:val="00AB1834"/>
    <w:rsid w:val="00AB1869"/>
    <w:rsid w:val="00AB1934"/>
    <w:rsid w:val="00AB1A26"/>
    <w:rsid w:val="00AB1D2A"/>
    <w:rsid w:val="00AB1D39"/>
    <w:rsid w:val="00AB1DFC"/>
    <w:rsid w:val="00AB1F2E"/>
    <w:rsid w:val="00AB1F5A"/>
    <w:rsid w:val="00AB2096"/>
    <w:rsid w:val="00AB20B7"/>
    <w:rsid w:val="00AB20E9"/>
    <w:rsid w:val="00AB2112"/>
    <w:rsid w:val="00AB222C"/>
    <w:rsid w:val="00AB2339"/>
    <w:rsid w:val="00AB23DF"/>
    <w:rsid w:val="00AB24DF"/>
    <w:rsid w:val="00AB24ED"/>
    <w:rsid w:val="00AB2507"/>
    <w:rsid w:val="00AB25BC"/>
    <w:rsid w:val="00AB25FD"/>
    <w:rsid w:val="00AB2656"/>
    <w:rsid w:val="00AB2693"/>
    <w:rsid w:val="00AB26FC"/>
    <w:rsid w:val="00AB2795"/>
    <w:rsid w:val="00AB27B9"/>
    <w:rsid w:val="00AB2939"/>
    <w:rsid w:val="00AB296A"/>
    <w:rsid w:val="00AB2A28"/>
    <w:rsid w:val="00AB2B7E"/>
    <w:rsid w:val="00AB2BEE"/>
    <w:rsid w:val="00AB2D3E"/>
    <w:rsid w:val="00AB2D75"/>
    <w:rsid w:val="00AB2E3C"/>
    <w:rsid w:val="00AB2EB0"/>
    <w:rsid w:val="00AB2EE5"/>
    <w:rsid w:val="00AB2FBA"/>
    <w:rsid w:val="00AB2FD3"/>
    <w:rsid w:val="00AB307C"/>
    <w:rsid w:val="00AB311A"/>
    <w:rsid w:val="00AB3236"/>
    <w:rsid w:val="00AB328E"/>
    <w:rsid w:val="00AB356B"/>
    <w:rsid w:val="00AB35A7"/>
    <w:rsid w:val="00AB361A"/>
    <w:rsid w:val="00AB36BF"/>
    <w:rsid w:val="00AB378D"/>
    <w:rsid w:val="00AB37C8"/>
    <w:rsid w:val="00AB3834"/>
    <w:rsid w:val="00AB38F8"/>
    <w:rsid w:val="00AB3930"/>
    <w:rsid w:val="00AB3A52"/>
    <w:rsid w:val="00AB3AA9"/>
    <w:rsid w:val="00AB3B82"/>
    <w:rsid w:val="00AB3B96"/>
    <w:rsid w:val="00AB3B9A"/>
    <w:rsid w:val="00AB3BAB"/>
    <w:rsid w:val="00AB3BD4"/>
    <w:rsid w:val="00AB3BFE"/>
    <w:rsid w:val="00AB3C20"/>
    <w:rsid w:val="00AB3E37"/>
    <w:rsid w:val="00AB3E7A"/>
    <w:rsid w:val="00AB3EDD"/>
    <w:rsid w:val="00AB3EE3"/>
    <w:rsid w:val="00AB3F73"/>
    <w:rsid w:val="00AB3F88"/>
    <w:rsid w:val="00AB3FDA"/>
    <w:rsid w:val="00AB4130"/>
    <w:rsid w:val="00AB4178"/>
    <w:rsid w:val="00AB4240"/>
    <w:rsid w:val="00AB4283"/>
    <w:rsid w:val="00AB4321"/>
    <w:rsid w:val="00AB432B"/>
    <w:rsid w:val="00AB45AD"/>
    <w:rsid w:val="00AB46BC"/>
    <w:rsid w:val="00AB472D"/>
    <w:rsid w:val="00AB4733"/>
    <w:rsid w:val="00AB4778"/>
    <w:rsid w:val="00AB47D1"/>
    <w:rsid w:val="00AB485C"/>
    <w:rsid w:val="00AB48CD"/>
    <w:rsid w:val="00AB48D2"/>
    <w:rsid w:val="00AB496D"/>
    <w:rsid w:val="00AB498F"/>
    <w:rsid w:val="00AB4A8D"/>
    <w:rsid w:val="00AB4B3C"/>
    <w:rsid w:val="00AB4BA9"/>
    <w:rsid w:val="00AB4BCA"/>
    <w:rsid w:val="00AB4C9E"/>
    <w:rsid w:val="00AB4CA4"/>
    <w:rsid w:val="00AB4D82"/>
    <w:rsid w:val="00AB4D8A"/>
    <w:rsid w:val="00AB4DBE"/>
    <w:rsid w:val="00AB4DE6"/>
    <w:rsid w:val="00AB4EB2"/>
    <w:rsid w:val="00AB4F28"/>
    <w:rsid w:val="00AB4F3D"/>
    <w:rsid w:val="00AB4FAD"/>
    <w:rsid w:val="00AB4FC2"/>
    <w:rsid w:val="00AB5070"/>
    <w:rsid w:val="00AB53E5"/>
    <w:rsid w:val="00AB5487"/>
    <w:rsid w:val="00AB54C1"/>
    <w:rsid w:val="00AB54DC"/>
    <w:rsid w:val="00AB5519"/>
    <w:rsid w:val="00AB552C"/>
    <w:rsid w:val="00AB555E"/>
    <w:rsid w:val="00AB55DB"/>
    <w:rsid w:val="00AB5625"/>
    <w:rsid w:val="00AB565E"/>
    <w:rsid w:val="00AB593B"/>
    <w:rsid w:val="00AB5A22"/>
    <w:rsid w:val="00AB5B44"/>
    <w:rsid w:val="00AB5B4D"/>
    <w:rsid w:val="00AB5BDA"/>
    <w:rsid w:val="00AB5BFC"/>
    <w:rsid w:val="00AB5C5A"/>
    <w:rsid w:val="00AB5D39"/>
    <w:rsid w:val="00AB5D48"/>
    <w:rsid w:val="00AB5DC8"/>
    <w:rsid w:val="00AB5F19"/>
    <w:rsid w:val="00AB5FB3"/>
    <w:rsid w:val="00AB5FC8"/>
    <w:rsid w:val="00AB6008"/>
    <w:rsid w:val="00AB60A0"/>
    <w:rsid w:val="00AB61E5"/>
    <w:rsid w:val="00AB62C9"/>
    <w:rsid w:val="00AB62F6"/>
    <w:rsid w:val="00AB6349"/>
    <w:rsid w:val="00AB638C"/>
    <w:rsid w:val="00AB6394"/>
    <w:rsid w:val="00AB63A8"/>
    <w:rsid w:val="00AB6405"/>
    <w:rsid w:val="00AB66AD"/>
    <w:rsid w:val="00AB66EF"/>
    <w:rsid w:val="00AB67C9"/>
    <w:rsid w:val="00AB67F5"/>
    <w:rsid w:val="00AB69E7"/>
    <w:rsid w:val="00AB6ACA"/>
    <w:rsid w:val="00AB6C3B"/>
    <w:rsid w:val="00AB6C7C"/>
    <w:rsid w:val="00AB6CD6"/>
    <w:rsid w:val="00AB6D34"/>
    <w:rsid w:val="00AB6D5A"/>
    <w:rsid w:val="00AB6D84"/>
    <w:rsid w:val="00AB6D89"/>
    <w:rsid w:val="00AB6D9B"/>
    <w:rsid w:val="00AB6FDB"/>
    <w:rsid w:val="00AB703C"/>
    <w:rsid w:val="00AB7062"/>
    <w:rsid w:val="00AB70A4"/>
    <w:rsid w:val="00AB70E2"/>
    <w:rsid w:val="00AB715A"/>
    <w:rsid w:val="00AB72C4"/>
    <w:rsid w:val="00AB72E0"/>
    <w:rsid w:val="00AB7343"/>
    <w:rsid w:val="00AB741F"/>
    <w:rsid w:val="00AB747F"/>
    <w:rsid w:val="00AB7595"/>
    <w:rsid w:val="00AB75A3"/>
    <w:rsid w:val="00AB75A9"/>
    <w:rsid w:val="00AB7659"/>
    <w:rsid w:val="00AB770D"/>
    <w:rsid w:val="00AB770E"/>
    <w:rsid w:val="00AB7749"/>
    <w:rsid w:val="00AB78A6"/>
    <w:rsid w:val="00AB78FA"/>
    <w:rsid w:val="00AB7A68"/>
    <w:rsid w:val="00AB7AD9"/>
    <w:rsid w:val="00AB7B67"/>
    <w:rsid w:val="00AB7BDE"/>
    <w:rsid w:val="00AB7C7E"/>
    <w:rsid w:val="00AB7CEA"/>
    <w:rsid w:val="00AB7DDB"/>
    <w:rsid w:val="00AB7E78"/>
    <w:rsid w:val="00AB7E79"/>
    <w:rsid w:val="00AB7F93"/>
    <w:rsid w:val="00AC0157"/>
    <w:rsid w:val="00AC01AB"/>
    <w:rsid w:val="00AC01D1"/>
    <w:rsid w:val="00AC0209"/>
    <w:rsid w:val="00AC032E"/>
    <w:rsid w:val="00AC0427"/>
    <w:rsid w:val="00AC055E"/>
    <w:rsid w:val="00AC0587"/>
    <w:rsid w:val="00AC071C"/>
    <w:rsid w:val="00AC0823"/>
    <w:rsid w:val="00AC0853"/>
    <w:rsid w:val="00AC0865"/>
    <w:rsid w:val="00AC0940"/>
    <w:rsid w:val="00AC0965"/>
    <w:rsid w:val="00AC0A36"/>
    <w:rsid w:val="00AC0A52"/>
    <w:rsid w:val="00AC0C93"/>
    <w:rsid w:val="00AC0C97"/>
    <w:rsid w:val="00AC0E45"/>
    <w:rsid w:val="00AC0EC4"/>
    <w:rsid w:val="00AC0EF8"/>
    <w:rsid w:val="00AC0F37"/>
    <w:rsid w:val="00AC0F3E"/>
    <w:rsid w:val="00AC0F48"/>
    <w:rsid w:val="00AC0FE5"/>
    <w:rsid w:val="00AC101A"/>
    <w:rsid w:val="00AC1074"/>
    <w:rsid w:val="00AC10AB"/>
    <w:rsid w:val="00AC1175"/>
    <w:rsid w:val="00AC1201"/>
    <w:rsid w:val="00AC131E"/>
    <w:rsid w:val="00AC13F4"/>
    <w:rsid w:val="00AC1696"/>
    <w:rsid w:val="00AC16A7"/>
    <w:rsid w:val="00AC171C"/>
    <w:rsid w:val="00AC1726"/>
    <w:rsid w:val="00AC174E"/>
    <w:rsid w:val="00AC1780"/>
    <w:rsid w:val="00AC184B"/>
    <w:rsid w:val="00AC19CC"/>
    <w:rsid w:val="00AC1A3F"/>
    <w:rsid w:val="00AC1AD8"/>
    <w:rsid w:val="00AC1B2E"/>
    <w:rsid w:val="00AC1B93"/>
    <w:rsid w:val="00AC1D0F"/>
    <w:rsid w:val="00AC1D88"/>
    <w:rsid w:val="00AC1DD8"/>
    <w:rsid w:val="00AC1DEE"/>
    <w:rsid w:val="00AC1DFF"/>
    <w:rsid w:val="00AC1F3A"/>
    <w:rsid w:val="00AC1F3B"/>
    <w:rsid w:val="00AC1FA1"/>
    <w:rsid w:val="00AC1FEE"/>
    <w:rsid w:val="00AC21B4"/>
    <w:rsid w:val="00AC226B"/>
    <w:rsid w:val="00AC2286"/>
    <w:rsid w:val="00AC23E3"/>
    <w:rsid w:val="00AC2448"/>
    <w:rsid w:val="00AC2471"/>
    <w:rsid w:val="00AC26F3"/>
    <w:rsid w:val="00AC2713"/>
    <w:rsid w:val="00AC273D"/>
    <w:rsid w:val="00AC277B"/>
    <w:rsid w:val="00AC2830"/>
    <w:rsid w:val="00AC29B4"/>
    <w:rsid w:val="00AC2A66"/>
    <w:rsid w:val="00AC2AB4"/>
    <w:rsid w:val="00AC2CAC"/>
    <w:rsid w:val="00AC2D63"/>
    <w:rsid w:val="00AC2D82"/>
    <w:rsid w:val="00AC2E07"/>
    <w:rsid w:val="00AC3155"/>
    <w:rsid w:val="00AC3160"/>
    <w:rsid w:val="00AC3185"/>
    <w:rsid w:val="00AC324E"/>
    <w:rsid w:val="00AC32EE"/>
    <w:rsid w:val="00AC3565"/>
    <w:rsid w:val="00AC3595"/>
    <w:rsid w:val="00AC3602"/>
    <w:rsid w:val="00AC3674"/>
    <w:rsid w:val="00AC367A"/>
    <w:rsid w:val="00AC36B5"/>
    <w:rsid w:val="00AC36CA"/>
    <w:rsid w:val="00AC370E"/>
    <w:rsid w:val="00AC37FC"/>
    <w:rsid w:val="00AC3A18"/>
    <w:rsid w:val="00AC3A3E"/>
    <w:rsid w:val="00AC3A63"/>
    <w:rsid w:val="00AC3AAE"/>
    <w:rsid w:val="00AC3BD7"/>
    <w:rsid w:val="00AC3C3F"/>
    <w:rsid w:val="00AC3D04"/>
    <w:rsid w:val="00AC3E4D"/>
    <w:rsid w:val="00AC3F49"/>
    <w:rsid w:val="00AC4063"/>
    <w:rsid w:val="00AC40AB"/>
    <w:rsid w:val="00AC410F"/>
    <w:rsid w:val="00AC41AA"/>
    <w:rsid w:val="00AC420D"/>
    <w:rsid w:val="00AC42F5"/>
    <w:rsid w:val="00AC43AD"/>
    <w:rsid w:val="00AC43D2"/>
    <w:rsid w:val="00AC4456"/>
    <w:rsid w:val="00AC456D"/>
    <w:rsid w:val="00AC45CC"/>
    <w:rsid w:val="00AC4679"/>
    <w:rsid w:val="00AC4864"/>
    <w:rsid w:val="00AC4875"/>
    <w:rsid w:val="00AC48D4"/>
    <w:rsid w:val="00AC4963"/>
    <w:rsid w:val="00AC49D3"/>
    <w:rsid w:val="00AC4B10"/>
    <w:rsid w:val="00AC4BE8"/>
    <w:rsid w:val="00AC4DCD"/>
    <w:rsid w:val="00AC4E18"/>
    <w:rsid w:val="00AC4F7C"/>
    <w:rsid w:val="00AC506D"/>
    <w:rsid w:val="00AC5082"/>
    <w:rsid w:val="00AC50AA"/>
    <w:rsid w:val="00AC50EB"/>
    <w:rsid w:val="00AC5265"/>
    <w:rsid w:val="00AC528F"/>
    <w:rsid w:val="00AC52C4"/>
    <w:rsid w:val="00AC53C6"/>
    <w:rsid w:val="00AC5485"/>
    <w:rsid w:val="00AC54E3"/>
    <w:rsid w:val="00AC554A"/>
    <w:rsid w:val="00AC56C2"/>
    <w:rsid w:val="00AC57F4"/>
    <w:rsid w:val="00AC586E"/>
    <w:rsid w:val="00AC5879"/>
    <w:rsid w:val="00AC58C9"/>
    <w:rsid w:val="00AC58CE"/>
    <w:rsid w:val="00AC59F0"/>
    <w:rsid w:val="00AC5BF0"/>
    <w:rsid w:val="00AC5DB3"/>
    <w:rsid w:val="00AC5E54"/>
    <w:rsid w:val="00AC5E80"/>
    <w:rsid w:val="00AC5EE3"/>
    <w:rsid w:val="00AC5F37"/>
    <w:rsid w:val="00AC6004"/>
    <w:rsid w:val="00AC6118"/>
    <w:rsid w:val="00AC61D9"/>
    <w:rsid w:val="00AC61E9"/>
    <w:rsid w:val="00AC6234"/>
    <w:rsid w:val="00AC6309"/>
    <w:rsid w:val="00AC6435"/>
    <w:rsid w:val="00AC6461"/>
    <w:rsid w:val="00AC66BC"/>
    <w:rsid w:val="00AC6818"/>
    <w:rsid w:val="00AC6851"/>
    <w:rsid w:val="00AC68B9"/>
    <w:rsid w:val="00AC6935"/>
    <w:rsid w:val="00AC69D4"/>
    <w:rsid w:val="00AC6A16"/>
    <w:rsid w:val="00AC6AFF"/>
    <w:rsid w:val="00AC6B7D"/>
    <w:rsid w:val="00AC6BF7"/>
    <w:rsid w:val="00AC6D15"/>
    <w:rsid w:val="00AC6D33"/>
    <w:rsid w:val="00AC6D4D"/>
    <w:rsid w:val="00AC6E5A"/>
    <w:rsid w:val="00AC6F53"/>
    <w:rsid w:val="00AC6F8F"/>
    <w:rsid w:val="00AC7046"/>
    <w:rsid w:val="00AC7121"/>
    <w:rsid w:val="00AC712C"/>
    <w:rsid w:val="00AC7200"/>
    <w:rsid w:val="00AC7236"/>
    <w:rsid w:val="00AC7277"/>
    <w:rsid w:val="00AC7516"/>
    <w:rsid w:val="00AC7599"/>
    <w:rsid w:val="00AC768D"/>
    <w:rsid w:val="00AC7737"/>
    <w:rsid w:val="00AC783B"/>
    <w:rsid w:val="00AC78A7"/>
    <w:rsid w:val="00AC78DA"/>
    <w:rsid w:val="00AC7B9D"/>
    <w:rsid w:val="00AC7CF8"/>
    <w:rsid w:val="00AC7DB1"/>
    <w:rsid w:val="00AC7E71"/>
    <w:rsid w:val="00AC7F46"/>
    <w:rsid w:val="00AC7F4C"/>
    <w:rsid w:val="00AC7F5E"/>
    <w:rsid w:val="00AC7FBD"/>
    <w:rsid w:val="00AC7FF2"/>
    <w:rsid w:val="00ACA06D"/>
    <w:rsid w:val="00AD007E"/>
    <w:rsid w:val="00AD00F2"/>
    <w:rsid w:val="00AD0107"/>
    <w:rsid w:val="00AD01F9"/>
    <w:rsid w:val="00AD0291"/>
    <w:rsid w:val="00AD02B5"/>
    <w:rsid w:val="00AD035E"/>
    <w:rsid w:val="00AD03B7"/>
    <w:rsid w:val="00AD0403"/>
    <w:rsid w:val="00AD0464"/>
    <w:rsid w:val="00AD05CF"/>
    <w:rsid w:val="00AD05E5"/>
    <w:rsid w:val="00AD06D7"/>
    <w:rsid w:val="00AD07E9"/>
    <w:rsid w:val="00AD0866"/>
    <w:rsid w:val="00AD08D7"/>
    <w:rsid w:val="00AD0965"/>
    <w:rsid w:val="00AD0A72"/>
    <w:rsid w:val="00AD0BB2"/>
    <w:rsid w:val="00AD0C45"/>
    <w:rsid w:val="00AD0C7A"/>
    <w:rsid w:val="00AD0D3C"/>
    <w:rsid w:val="00AD0D70"/>
    <w:rsid w:val="00AD0DD9"/>
    <w:rsid w:val="00AD0DFE"/>
    <w:rsid w:val="00AD0E42"/>
    <w:rsid w:val="00AD1046"/>
    <w:rsid w:val="00AD104F"/>
    <w:rsid w:val="00AD1071"/>
    <w:rsid w:val="00AD10C8"/>
    <w:rsid w:val="00AD1141"/>
    <w:rsid w:val="00AD11FB"/>
    <w:rsid w:val="00AD12FC"/>
    <w:rsid w:val="00AD1444"/>
    <w:rsid w:val="00AD14AD"/>
    <w:rsid w:val="00AD160B"/>
    <w:rsid w:val="00AD1761"/>
    <w:rsid w:val="00AD1802"/>
    <w:rsid w:val="00AD1839"/>
    <w:rsid w:val="00AD1897"/>
    <w:rsid w:val="00AD1963"/>
    <w:rsid w:val="00AD1AA4"/>
    <w:rsid w:val="00AD1C38"/>
    <w:rsid w:val="00AD1C80"/>
    <w:rsid w:val="00AD1D6B"/>
    <w:rsid w:val="00AD1E04"/>
    <w:rsid w:val="00AD1E30"/>
    <w:rsid w:val="00AD1EAF"/>
    <w:rsid w:val="00AD1F25"/>
    <w:rsid w:val="00AD1F36"/>
    <w:rsid w:val="00AD20DA"/>
    <w:rsid w:val="00AD20F1"/>
    <w:rsid w:val="00AD2127"/>
    <w:rsid w:val="00AD21D5"/>
    <w:rsid w:val="00AD21E9"/>
    <w:rsid w:val="00AD222F"/>
    <w:rsid w:val="00AD2234"/>
    <w:rsid w:val="00AD2297"/>
    <w:rsid w:val="00AD23B2"/>
    <w:rsid w:val="00AD2401"/>
    <w:rsid w:val="00AD2518"/>
    <w:rsid w:val="00AD2521"/>
    <w:rsid w:val="00AD25CD"/>
    <w:rsid w:val="00AD2748"/>
    <w:rsid w:val="00AD2A18"/>
    <w:rsid w:val="00AD2A8D"/>
    <w:rsid w:val="00AD2AC7"/>
    <w:rsid w:val="00AD2B49"/>
    <w:rsid w:val="00AD2C54"/>
    <w:rsid w:val="00AD2CE5"/>
    <w:rsid w:val="00AD2CE6"/>
    <w:rsid w:val="00AD2D39"/>
    <w:rsid w:val="00AD2D8E"/>
    <w:rsid w:val="00AD2D96"/>
    <w:rsid w:val="00AD2DA0"/>
    <w:rsid w:val="00AD2DBA"/>
    <w:rsid w:val="00AD2F3F"/>
    <w:rsid w:val="00AD2F4F"/>
    <w:rsid w:val="00AD2F6B"/>
    <w:rsid w:val="00AD2F9F"/>
    <w:rsid w:val="00AD2FBC"/>
    <w:rsid w:val="00AD303A"/>
    <w:rsid w:val="00AD30A2"/>
    <w:rsid w:val="00AD30C5"/>
    <w:rsid w:val="00AD3328"/>
    <w:rsid w:val="00AD3495"/>
    <w:rsid w:val="00AD34A1"/>
    <w:rsid w:val="00AD3530"/>
    <w:rsid w:val="00AD3610"/>
    <w:rsid w:val="00AD36C0"/>
    <w:rsid w:val="00AD36F8"/>
    <w:rsid w:val="00AD38E7"/>
    <w:rsid w:val="00AD3922"/>
    <w:rsid w:val="00AD3958"/>
    <w:rsid w:val="00AD398A"/>
    <w:rsid w:val="00AD3A54"/>
    <w:rsid w:val="00AD3AAE"/>
    <w:rsid w:val="00AD3AF8"/>
    <w:rsid w:val="00AD3B15"/>
    <w:rsid w:val="00AD3C9E"/>
    <w:rsid w:val="00AD3D1F"/>
    <w:rsid w:val="00AD3D70"/>
    <w:rsid w:val="00AD3D9B"/>
    <w:rsid w:val="00AD3EE0"/>
    <w:rsid w:val="00AD3FCF"/>
    <w:rsid w:val="00AD4072"/>
    <w:rsid w:val="00AD413F"/>
    <w:rsid w:val="00AD41A2"/>
    <w:rsid w:val="00AD41EC"/>
    <w:rsid w:val="00AD4237"/>
    <w:rsid w:val="00AD428B"/>
    <w:rsid w:val="00AD42DB"/>
    <w:rsid w:val="00AD43A0"/>
    <w:rsid w:val="00AD448A"/>
    <w:rsid w:val="00AD457F"/>
    <w:rsid w:val="00AD4588"/>
    <w:rsid w:val="00AD4590"/>
    <w:rsid w:val="00AD45B3"/>
    <w:rsid w:val="00AD4642"/>
    <w:rsid w:val="00AD4752"/>
    <w:rsid w:val="00AD4768"/>
    <w:rsid w:val="00AD47CB"/>
    <w:rsid w:val="00AD4870"/>
    <w:rsid w:val="00AD4886"/>
    <w:rsid w:val="00AD48A9"/>
    <w:rsid w:val="00AD49C7"/>
    <w:rsid w:val="00AD4AE7"/>
    <w:rsid w:val="00AD4D6E"/>
    <w:rsid w:val="00AD4D8C"/>
    <w:rsid w:val="00AD4E19"/>
    <w:rsid w:val="00AD4ECD"/>
    <w:rsid w:val="00AD4F3F"/>
    <w:rsid w:val="00AD5064"/>
    <w:rsid w:val="00AD50D5"/>
    <w:rsid w:val="00AD513C"/>
    <w:rsid w:val="00AD514A"/>
    <w:rsid w:val="00AD51F1"/>
    <w:rsid w:val="00AD5213"/>
    <w:rsid w:val="00AD5275"/>
    <w:rsid w:val="00AD52F1"/>
    <w:rsid w:val="00AD5308"/>
    <w:rsid w:val="00AD53E6"/>
    <w:rsid w:val="00AD549F"/>
    <w:rsid w:val="00AD552B"/>
    <w:rsid w:val="00AD552C"/>
    <w:rsid w:val="00AD55D3"/>
    <w:rsid w:val="00AD56A4"/>
    <w:rsid w:val="00AD577D"/>
    <w:rsid w:val="00AD58E8"/>
    <w:rsid w:val="00AD593E"/>
    <w:rsid w:val="00AD5977"/>
    <w:rsid w:val="00AD5B2B"/>
    <w:rsid w:val="00AD5C0F"/>
    <w:rsid w:val="00AD5C47"/>
    <w:rsid w:val="00AD5CCE"/>
    <w:rsid w:val="00AD5D01"/>
    <w:rsid w:val="00AD5D6F"/>
    <w:rsid w:val="00AD5DE9"/>
    <w:rsid w:val="00AD5E21"/>
    <w:rsid w:val="00AD5EE8"/>
    <w:rsid w:val="00AD5F20"/>
    <w:rsid w:val="00AD5F26"/>
    <w:rsid w:val="00AD5F4C"/>
    <w:rsid w:val="00AD5F95"/>
    <w:rsid w:val="00AD6023"/>
    <w:rsid w:val="00AD606A"/>
    <w:rsid w:val="00AD60EE"/>
    <w:rsid w:val="00AD6100"/>
    <w:rsid w:val="00AD6119"/>
    <w:rsid w:val="00AD61D1"/>
    <w:rsid w:val="00AD61E0"/>
    <w:rsid w:val="00AD6238"/>
    <w:rsid w:val="00AD6251"/>
    <w:rsid w:val="00AD6255"/>
    <w:rsid w:val="00AD625C"/>
    <w:rsid w:val="00AD62BC"/>
    <w:rsid w:val="00AD6366"/>
    <w:rsid w:val="00AD63EC"/>
    <w:rsid w:val="00AD64C6"/>
    <w:rsid w:val="00AD657B"/>
    <w:rsid w:val="00AD66E0"/>
    <w:rsid w:val="00AD67C8"/>
    <w:rsid w:val="00AD67ED"/>
    <w:rsid w:val="00AD6813"/>
    <w:rsid w:val="00AD690A"/>
    <w:rsid w:val="00AD691E"/>
    <w:rsid w:val="00AD69FD"/>
    <w:rsid w:val="00AD6A67"/>
    <w:rsid w:val="00AD6A7D"/>
    <w:rsid w:val="00AD6AA2"/>
    <w:rsid w:val="00AD6B32"/>
    <w:rsid w:val="00AD6BFB"/>
    <w:rsid w:val="00AD6BFF"/>
    <w:rsid w:val="00AD6D30"/>
    <w:rsid w:val="00AD6DDA"/>
    <w:rsid w:val="00AD6E19"/>
    <w:rsid w:val="00AD6EFA"/>
    <w:rsid w:val="00AD6F2E"/>
    <w:rsid w:val="00AD6F73"/>
    <w:rsid w:val="00AD6F7B"/>
    <w:rsid w:val="00AD7013"/>
    <w:rsid w:val="00AD7027"/>
    <w:rsid w:val="00AD70D9"/>
    <w:rsid w:val="00AD7182"/>
    <w:rsid w:val="00AD71E4"/>
    <w:rsid w:val="00AD72D7"/>
    <w:rsid w:val="00AD736F"/>
    <w:rsid w:val="00AD73B3"/>
    <w:rsid w:val="00AD7494"/>
    <w:rsid w:val="00AD74A4"/>
    <w:rsid w:val="00AD74CA"/>
    <w:rsid w:val="00AD7585"/>
    <w:rsid w:val="00AD75EF"/>
    <w:rsid w:val="00AD761B"/>
    <w:rsid w:val="00AD76DA"/>
    <w:rsid w:val="00AD7762"/>
    <w:rsid w:val="00AD78C6"/>
    <w:rsid w:val="00AD79D1"/>
    <w:rsid w:val="00AD79FF"/>
    <w:rsid w:val="00AD7AFB"/>
    <w:rsid w:val="00AD7C85"/>
    <w:rsid w:val="00AD7E45"/>
    <w:rsid w:val="00AD7E5E"/>
    <w:rsid w:val="00AD7E6A"/>
    <w:rsid w:val="00AD7ED1"/>
    <w:rsid w:val="00AD7ED5"/>
    <w:rsid w:val="00AD7F2F"/>
    <w:rsid w:val="00AE01AB"/>
    <w:rsid w:val="00AE01E1"/>
    <w:rsid w:val="00AE0237"/>
    <w:rsid w:val="00AE0388"/>
    <w:rsid w:val="00AE0390"/>
    <w:rsid w:val="00AE0413"/>
    <w:rsid w:val="00AE045F"/>
    <w:rsid w:val="00AE047F"/>
    <w:rsid w:val="00AE04DC"/>
    <w:rsid w:val="00AE0564"/>
    <w:rsid w:val="00AE057E"/>
    <w:rsid w:val="00AE0615"/>
    <w:rsid w:val="00AE061E"/>
    <w:rsid w:val="00AE063E"/>
    <w:rsid w:val="00AE07AA"/>
    <w:rsid w:val="00AE07DE"/>
    <w:rsid w:val="00AE08B5"/>
    <w:rsid w:val="00AE0A24"/>
    <w:rsid w:val="00AE0A4E"/>
    <w:rsid w:val="00AE0ABF"/>
    <w:rsid w:val="00AE0B10"/>
    <w:rsid w:val="00AE0E2A"/>
    <w:rsid w:val="00AE0E95"/>
    <w:rsid w:val="00AE0F3C"/>
    <w:rsid w:val="00AE105E"/>
    <w:rsid w:val="00AE1130"/>
    <w:rsid w:val="00AE11C9"/>
    <w:rsid w:val="00AE120A"/>
    <w:rsid w:val="00AE1231"/>
    <w:rsid w:val="00AE138C"/>
    <w:rsid w:val="00AE13DB"/>
    <w:rsid w:val="00AE142D"/>
    <w:rsid w:val="00AE147E"/>
    <w:rsid w:val="00AE1505"/>
    <w:rsid w:val="00AE153E"/>
    <w:rsid w:val="00AE1548"/>
    <w:rsid w:val="00AE1693"/>
    <w:rsid w:val="00AE1706"/>
    <w:rsid w:val="00AE1793"/>
    <w:rsid w:val="00AE1818"/>
    <w:rsid w:val="00AE197D"/>
    <w:rsid w:val="00AE19A9"/>
    <w:rsid w:val="00AE19BE"/>
    <w:rsid w:val="00AE1AA6"/>
    <w:rsid w:val="00AE1AC3"/>
    <w:rsid w:val="00AE1B46"/>
    <w:rsid w:val="00AE1B55"/>
    <w:rsid w:val="00AE1D73"/>
    <w:rsid w:val="00AE1D88"/>
    <w:rsid w:val="00AE1E2F"/>
    <w:rsid w:val="00AE1F2B"/>
    <w:rsid w:val="00AE2177"/>
    <w:rsid w:val="00AE21D2"/>
    <w:rsid w:val="00AE21F4"/>
    <w:rsid w:val="00AE225C"/>
    <w:rsid w:val="00AE22A0"/>
    <w:rsid w:val="00AE231E"/>
    <w:rsid w:val="00AE2545"/>
    <w:rsid w:val="00AE257B"/>
    <w:rsid w:val="00AE27F3"/>
    <w:rsid w:val="00AE28ED"/>
    <w:rsid w:val="00AE2941"/>
    <w:rsid w:val="00AE2A93"/>
    <w:rsid w:val="00AE2AA0"/>
    <w:rsid w:val="00AE2AFA"/>
    <w:rsid w:val="00AE2B76"/>
    <w:rsid w:val="00AE2BB6"/>
    <w:rsid w:val="00AE2DE4"/>
    <w:rsid w:val="00AE2E1C"/>
    <w:rsid w:val="00AE2E31"/>
    <w:rsid w:val="00AE2E5A"/>
    <w:rsid w:val="00AE2F94"/>
    <w:rsid w:val="00AE2FB4"/>
    <w:rsid w:val="00AE30EB"/>
    <w:rsid w:val="00AE32BD"/>
    <w:rsid w:val="00AE3328"/>
    <w:rsid w:val="00AE337D"/>
    <w:rsid w:val="00AE3380"/>
    <w:rsid w:val="00AE3393"/>
    <w:rsid w:val="00AE33CD"/>
    <w:rsid w:val="00AE3491"/>
    <w:rsid w:val="00AE3531"/>
    <w:rsid w:val="00AE3544"/>
    <w:rsid w:val="00AE355F"/>
    <w:rsid w:val="00AE356C"/>
    <w:rsid w:val="00AE35AD"/>
    <w:rsid w:val="00AE382E"/>
    <w:rsid w:val="00AE38AB"/>
    <w:rsid w:val="00AE3932"/>
    <w:rsid w:val="00AE3AF8"/>
    <w:rsid w:val="00AE3B3F"/>
    <w:rsid w:val="00AE3B72"/>
    <w:rsid w:val="00AE3BA8"/>
    <w:rsid w:val="00AE3BCE"/>
    <w:rsid w:val="00AE3C61"/>
    <w:rsid w:val="00AE3CEE"/>
    <w:rsid w:val="00AE3E05"/>
    <w:rsid w:val="00AE3E73"/>
    <w:rsid w:val="00AE3F14"/>
    <w:rsid w:val="00AE3F7A"/>
    <w:rsid w:val="00AE3FD5"/>
    <w:rsid w:val="00AE4000"/>
    <w:rsid w:val="00AE4093"/>
    <w:rsid w:val="00AE41C7"/>
    <w:rsid w:val="00AE4268"/>
    <w:rsid w:val="00AE4283"/>
    <w:rsid w:val="00AE42E2"/>
    <w:rsid w:val="00AE43EE"/>
    <w:rsid w:val="00AE447F"/>
    <w:rsid w:val="00AE456B"/>
    <w:rsid w:val="00AE4764"/>
    <w:rsid w:val="00AE47E1"/>
    <w:rsid w:val="00AE486F"/>
    <w:rsid w:val="00AE4889"/>
    <w:rsid w:val="00AE488C"/>
    <w:rsid w:val="00AE48CC"/>
    <w:rsid w:val="00AE4A3F"/>
    <w:rsid w:val="00AE4B29"/>
    <w:rsid w:val="00AE4C6C"/>
    <w:rsid w:val="00AE4C8F"/>
    <w:rsid w:val="00AE4CA2"/>
    <w:rsid w:val="00AE4EC5"/>
    <w:rsid w:val="00AE4F2C"/>
    <w:rsid w:val="00AE4FB8"/>
    <w:rsid w:val="00AE5060"/>
    <w:rsid w:val="00AE508A"/>
    <w:rsid w:val="00AE5094"/>
    <w:rsid w:val="00AE50CE"/>
    <w:rsid w:val="00AE516A"/>
    <w:rsid w:val="00AE5184"/>
    <w:rsid w:val="00AE53A2"/>
    <w:rsid w:val="00AE5426"/>
    <w:rsid w:val="00AE5513"/>
    <w:rsid w:val="00AE5576"/>
    <w:rsid w:val="00AE55DB"/>
    <w:rsid w:val="00AE560E"/>
    <w:rsid w:val="00AE5623"/>
    <w:rsid w:val="00AE576D"/>
    <w:rsid w:val="00AE587A"/>
    <w:rsid w:val="00AE594D"/>
    <w:rsid w:val="00AE59A4"/>
    <w:rsid w:val="00AE59E2"/>
    <w:rsid w:val="00AE5A10"/>
    <w:rsid w:val="00AE5A48"/>
    <w:rsid w:val="00AE5B52"/>
    <w:rsid w:val="00AE5B62"/>
    <w:rsid w:val="00AE5C23"/>
    <w:rsid w:val="00AE5E3F"/>
    <w:rsid w:val="00AE5E7C"/>
    <w:rsid w:val="00AE5E9B"/>
    <w:rsid w:val="00AE5EFA"/>
    <w:rsid w:val="00AE5FF5"/>
    <w:rsid w:val="00AE6014"/>
    <w:rsid w:val="00AE6035"/>
    <w:rsid w:val="00AE6061"/>
    <w:rsid w:val="00AE608C"/>
    <w:rsid w:val="00AE608E"/>
    <w:rsid w:val="00AE611F"/>
    <w:rsid w:val="00AE6181"/>
    <w:rsid w:val="00AE61A1"/>
    <w:rsid w:val="00AE61E7"/>
    <w:rsid w:val="00AE6288"/>
    <w:rsid w:val="00AE62E8"/>
    <w:rsid w:val="00AE63F2"/>
    <w:rsid w:val="00AE643E"/>
    <w:rsid w:val="00AE649A"/>
    <w:rsid w:val="00AE64A0"/>
    <w:rsid w:val="00AE64AD"/>
    <w:rsid w:val="00AE658D"/>
    <w:rsid w:val="00AE66BA"/>
    <w:rsid w:val="00AE673B"/>
    <w:rsid w:val="00AE678C"/>
    <w:rsid w:val="00AE67A9"/>
    <w:rsid w:val="00AE67FD"/>
    <w:rsid w:val="00AE6800"/>
    <w:rsid w:val="00AE683D"/>
    <w:rsid w:val="00AE69A8"/>
    <w:rsid w:val="00AE6AA2"/>
    <w:rsid w:val="00AE6B5C"/>
    <w:rsid w:val="00AE6BD5"/>
    <w:rsid w:val="00AE6CC4"/>
    <w:rsid w:val="00AE6CD4"/>
    <w:rsid w:val="00AE6EB0"/>
    <w:rsid w:val="00AE6EF9"/>
    <w:rsid w:val="00AE7002"/>
    <w:rsid w:val="00AE7033"/>
    <w:rsid w:val="00AE709E"/>
    <w:rsid w:val="00AE713C"/>
    <w:rsid w:val="00AE7196"/>
    <w:rsid w:val="00AE7205"/>
    <w:rsid w:val="00AE728C"/>
    <w:rsid w:val="00AE7297"/>
    <w:rsid w:val="00AE72D3"/>
    <w:rsid w:val="00AE734D"/>
    <w:rsid w:val="00AE738E"/>
    <w:rsid w:val="00AE764E"/>
    <w:rsid w:val="00AE7654"/>
    <w:rsid w:val="00AE7687"/>
    <w:rsid w:val="00AE7739"/>
    <w:rsid w:val="00AE774C"/>
    <w:rsid w:val="00AE77AF"/>
    <w:rsid w:val="00AE78C6"/>
    <w:rsid w:val="00AE78CE"/>
    <w:rsid w:val="00AE78E2"/>
    <w:rsid w:val="00AE7912"/>
    <w:rsid w:val="00AE799F"/>
    <w:rsid w:val="00AE7BDF"/>
    <w:rsid w:val="00AE7C64"/>
    <w:rsid w:val="00AE7C6B"/>
    <w:rsid w:val="00AE7C7E"/>
    <w:rsid w:val="00AE7CC8"/>
    <w:rsid w:val="00AE7CDF"/>
    <w:rsid w:val="00AE7D9A"/>
    <w:rsid w:val="00AE7DE3"/>
    <w:rsid w:val="00AE7EA9"/>
    <w:rsid w:val="00AE7F1F"/>
    <w:rsid w:val="00AF0056"/>
    <w:rsid w:val="00AF0090"/>
    <w:rsid w:val="00AF019A"/>
    <w:rsid w:val="00AF0350"/>
    <w:rsid w:val="00AF036E"/>
    <w:rsid w:val="00AF052C"/>
    <w:rsid w:val="00AF06DE"/>
    <w:rsid w:val="00AF0711"/>
    <w:rsid w:val="00AF075B"/>
    <w:rsid w:val="00AF083D"/>
    <w:rsid w:val="00AF087C"/>
    <w:rsid w:val="00AF0997"/>
    <w:rsid w:val="00AF0AB9"/>
    <w:rsid w:val="00AF0B5C"/>
    <w:rsid w:val="00AF0B7F"/>
    <w:rsid w:val="00AF0D51"/>
    <w:rsid w:val="00AF0E21"/>
    <w:rsid w:val="00AF0EA6"/>
    <w:rsid w:val="00AF0F18"/>
    <w:rsid w:val="00AF0F1A"/>
    <w:rsid w:val="00AF0FCD"/>
    <w:rsid w:val="00AF0FD9"/>
    <w:rsid w:val="00AF0FF2"/>
    <w:rsid w:val="00AF10CB"/>
    <w:rsid w:val="00AF1175"/>
    <w:rsid w:val="00AF12DD"/>
    <w:rsid w:val="00AF12EF"/>
    <w:rsid w:val="00AF13AF"/>
    <w:rsid w:val="00AF1424"/>
    <w:rsid w:val="00AF162C"/>
    <w:rsid w:val="00AF1832"/>
    <w:rsid w:val="00AF184D"/>
    <w:rsid w:val="00AF19A9"/>
    <w:rsid w:val="00AF19F5"/>
    <w:rsid w:val="00AF1B22"/>
    <w:rsid w:val="00AF1D01"/>
    <w:rsid w:val="00AF1D13"/>
    <w:rsid w:val="00AF1DBE"/>
    <w:rsid w:val="00AF1DC5"/>
    <w:rsid w:val="00AF1E42"/>
    <w:rsid w:val="00AF1EAC"/>
    <w:rsid w:val="00AF2063"/>
    <w:rsid w:val="00AF20D0"/>
    <w:rsid w:val="00AF218F"/>
    <w:rsid w:val="00AF2258"/>
    <w:rsid w:val="00AF2284"/>
    <w:rsid w:val="00AF23F7"/>
    <w:rsid w:val="00AF245F"/>
    <w:rsid w:val="00AF248F"/>
    <w:rsid w:val="00AF24C8"/>
    <w:rsid w:val="00AF24D7"/>
    <w:rsid w:val="00AF258E"/>
    <w:rsid w:val="00AF27E6"/>
    <w:rsid w:val="00AF293A"/>
    <w:rsid w:val="00AF2AB6"/>
    <w:rsid w:val="00AF2AEB"/>
    <w:rsid w:val="00AF2B48"/>
    <w:rsid w:val="00AF2B7A"/>
    <w:rsid w:val="00AF2D1D"/>
    <w:rsid w:val="00AF2FF8"/>
    <w:rsid w:val="00AF312B"/>
    <w:rsid w:val="00AF3165"/>
    <w:rsid w:val="00AF32D1"/>
    <w:rsid w:val="00AF3303"/>
    <w:rsid w:val="00AF3308"/>
    <w:rsid w:val="00AF331D"/>
    <w:rsid w:val="00AF337F"/>
    <w:rsid w:val="00AF346F"/>
    <w:rsid w:val="00AF34C5"/>
    <w:rsid w:val="00AF34DB"/>
    <w:rsid w:val="00AF355E"/>
    <w:rsid w:val="00AF35E9"/>
    <w:rsid w:val="00AF3623"/>
    <w:rsid w:val="00AF374D"/>
    <w:rsid w:val="00AF375D"/>
    <w:rsid w:val="00AF37B0"/>
    <w:rsid w:val="00AF385B"/>
    <w:rsid w:val="00AF3894"/>
    <w:rsid w:val="00AF38BA"/>
    <w:rsid w:val="00AF3A4F"/>
    <w:rsid w:val="00AF3A74"/>
    <w:rsid w:val="00AF3BB2"/>
    <w:rsid w:val="00AF3CB1"/>
    <w:rsid w:val="00AF3DCD"/>
    <w:rsid w:val="00AF3E16"/>
    <w:rsid w:val="00AF3EB6"/>
    <w:rsid w:val="00AF3F7D"/>
    <w:rsid w:val="00AF3FD1"/>
    <w:rsid w:val="00AF4167"/>
    <w:rsid w:val="00AF4207"/>
    <w:rsid w:val="00AF430C"/>
    <w:rsid w:val="00AF4392"/>
    <w:rsid w:val="00AF43A4"/>
    <w:rsid w:val="00AF43E4"/>
    <w:rsid w:val="00AF4465"/>
    <w:rsid w:val="00AF454D"/>
    <w:rsid w:val="00AF4555"/>
    <w:rsid w:val="00AF468B"/>
    <w:rsid w:val="00AF476B"/>
    <w:rsid w:val="00AF481D"/>
    <w:rsid w:val="00AF48D6"/>
    <w:rsid w:val="00AF4B12"/>
    <w:rsid w:val="00AF4C0B"/>
    <w:rsid w:val="00AF4C3E"/>
    <w:rsid w:val="00AF4CEB"/>
    <w:rsid w:val="00AF4D21"/>
    <w:rsid w:val="00AF4E90"/>
    <w:rsid w:val="00AF4EBD"/>
    <w:rsid w:val="00AF4FAD"/>
    <w:rsid w:val="00AF4FBB"/>
    <w:rsid w:val="00AF50E9"/>
    <w:rsid w:val="00AF5138"/>
    <w:rsid w:val="00AF521E"/>
    <w:rsid w:val="00AF52DE"/>
    <w:rsid w:val="00AF531D"/>
    <w:rsid w:val="00AF53D1"/>
    <w:rsid w:val="00AF54ED"/>
    <w:rsid w:val="00AF55BA"/>
    <w:rsid w:val="00AF5620"/>
    <w:rsid w:val="00AF5685"/>
    <w:rsid w:val="00AF57F7"/>
    <w:rsid w:val="00AF5888"/>
    <w:rsid w:val="00AF5A5E"/>
    <w:rsid w:val="00AF5B82"/>
    <w:rsid w:val="00AF5BCD"/>
    <w:rsid w:val="00AF5F2B"/>
    <w:rsid w:val="00AF6051"/>
    <w:rsid w:val="00AF610C"/>
    <w:rsid w:val="00AF616F"/>
    <w:rsid w:val="00AF62AA"/>
    <w:rsid w:val="00AF632B"/>
    <w:rsid w:val="00AF646C"/>
    <w:rsid w:val="00AF6694"/>
    <w:rsid w:val="00AF6829"/>
    <w:rsid w:val="00AF6917"/>
    <w:rsid w:val="00AF6942"/>
    <w:rsid w:val="00AF6973"/>
    <w:rsid w:val="00AF6A49"/>
    <w:rsid w:val="00AF6B3E"/>
    <w:rsid w:val="00AF6B5D"/>
    <w:rsid w:val="00AF6B83"/>
    <w:rsid w:val="00AF6B8A"/>
    <w:rsid w:val="00AF6BAB"/>
    <w:rsid w:val="00AF6C4B"/>
    <w:rsid w:val="00AF6CE4"/>
    <w:rsid w:val="00AF6D66"/>
    <w:rsid w:val="00AF6DF0"/>
    <w:rsid w:val="00AF6E4B"/>
    <w:rsid w:val="00AF6EC3"/>
    <w:rsid w:val="00AF6EEE"/>
    <w:rsid w:val="00AF6EFF"/>
    <w:rsid w:val="00AF6F50"/>
    <w:rsid w:val="00AF70A5"/>
    <w:rsid w:val="00AF70D0"/>
    <w:rsid w:val="00AF710D"/>
    <w:rsid w:val="00AF711F"/>
    <w:rsid w:val="00AF7127"/>
    <w:rsid w:val="00AF71B0"/>
    <w:rsid w:val="00AF73AF"/>
    <w:rsid w:val="00AF7442"/>
    <w:rsid w:val="00AF74C3"/>
    <w:rsid w:val="00AF7557"/>
    <w:rsid w:val="00AF7714"/>
    <w:rsid w:val="00AF7738"/>
    <w:rsid w:val="00AF7749"/>
    <w:rsid w:val="00AF78BA"/>
    <w:rsid w:val="00AF792A"/>
    <w:rsid w:val="00AF792C"/>
    <w:rsid w:val="00AF7941"/>
    <w:rsid w:val="00AF7A9A"/>
    <w:rsid w:val="00AF7ACB"/>
    <w:rsid w:val="00AF7B7B"/>
    <w:rsid w:val="00AF7BEB"/>
    <w:rsid w:val="00AF7C2B"/>
    <w:rsid w:val="00AF7C98"/>
    <w:rsid w:val="00AF7DBE"/>
    <w:rsid w:val="00AF7E4E"/>
    <w:rsid w:val="00AF7E7D"/>
    <w:rsid w:val="00AF7EE6"/>
    <w:rsid w:val="00AF7F14"/>
    <w:rsid w:val="00AF7F18"/>
    <w:rsid w:val="00AF7F1E"/>
    <w:rsid w:val="00AF7F41"/>
    <w:rsid w:val="00AF7F85"/>
    <w:rsid w:val="00B00031"/>
    <w:rsid w:val="00B00082"/>
    <w:rsid w:val="00B000AC"/>
    <w:rsid w:val="00B00285"/>
    <w:rsid w:val="00B002D3"/>
    <w:rsid w:val="00B00363"/>
    <w:rsid w:val="00B005C9"/>
    <w:rsid w:val="00B00681"/>
    <w:rsid w:val="00B0074E"/>
    <w:rsid w:val="00B007AB"/>
    <w:rsid w:val="00B00804"/>
    <w:rsid w:val="00B0089E"/>
    <w:rsid w:val="00B00974"/>
    <w:rsid w:val="00B009C8"/>
    <w:rsid w:val="00B00C2D"/>
    <w:rsid w:val="00B00C91"/>
    <w:rsid w:val="00B00D42"/>
    <w:rsid w:val="00B00D9A"/>
    <w:rsid w:val="00B00DBD"/>
    <w:rsid w:val="00B00DDD"/>
    <w:rsid w:val="00B00E3E"/>
    <w:rsid w:val="00B00FB5"/>
    <w:rsid w:val="00B01001"/>
    <w:rsid w:val="00B010A1"/>
    <w:rsid w:val="00B010C0"/>
    <w:rsid w:val="00B0115C"/>
    <w:rsid w:val="00B01223"/>
    <w:rsid w:val="00B0131A"/>
    <w:rsid w:val="00B01329"/>
    <w:rsid w:val="00B013D0"/>
    <w:rsid w:val="00B0145E"/>
    <w:rsid w:val="00B01576"/>
    <w:rsid w:val="00B01589"/>
    <w:rsid w:val="00B01B06"/>
    <w:rsid w:val="00B01BF1"/>
    <w:rsid w:val="00B01CCE"/>
    <w:rsid w:val="00B01DB7"/>
    <w:rsid w:val="00B01DC2"/>
    <w:rsid w:val="00B01DFB"/>
    <w:rsid w:val="00B01E39"/>
    <w:rsid w:val="00B01EA7"/>
    <w:rsid w:val="00B01EC1"/>
    <w:rsid w:val="00B01ED6"/>
    <w:rsid w:val="00B02030"/>
    <w:rsid w:val="00B020A5"/>
    <w:rsid w:val="00B020C0"/>
    <w:rsid w:val="00B0210B"/>
    <w:rsid w:val="00B02163"/>
    <w:rsid w:val="00B02164"/>
    <w:rsid w:val="00B0233C"/>
    <w:rsid w:val="00B02398"/>
    <w:rsid w:val="00B024B6"/>
    <w:rsid w:val="00B027D9"/>
    <w:rsid w:val="00B028E7"/>
    <w:rsid w:val="00B0290B"/>
    <w:rsid w:val="00B02920"/>
    <w:rsid w:val="00B029C4"/>
    <w:rsid w:val="00B02D90"/>
    <w:rsid w:val="00B02EEE"/>
    <w:rsid w:val="00B02EF5"/>
    <w:rsid w:val="00B02F01"/>
    <w:rsid w:val="00B02F41"/>
    <w:rsid w:val="00B0332B"/>
    <w:rsid w:val="00B033A6"/>
    <w:rsid w:val="00B033FA"/>
    <w:rsid w:val="00B03437"/>
    <w:rsid w:val="00B03445"/>
    <w:rsid w:val="00B035EC"/>
    <w:rsid w:val="00B035F4"/>
    <w:rsid w:val="00B0364F"/>
    <w:rsid w:val="00B0389A"/>
    <w:rsid w:val="00B039C9"/>
    <w:rsid w:val="00B03A08"/>
    <w:rsid w:val="00B03A12"/>
    <w:rsid w:val="00B03A6E"/>
    <w:rsid w:val="00B03C3C"/>
    <w:rsid w:val="00B03CE5"/>
    <w:rsid w:val="00B03D14"/>
    <w:rsid w:val="00B03D7B"/>
    <w:rsid w:val="00B03DCF"/>
    <w:rsid w:val="00B03EA6"/>
    <w:rsid w:val="00B03EC2"/>
    <w:rsid w:val="00B04024"/>
    <w:rsid w:val="00B0403A"/>
    <w:rsid w:val="00B04069"/>
    <w:rsid w:val="00B040A5"/>
    <w:rsid w:val="00B0416A"/>
    <w:rsid w:val="00B04171"/>
    <w:rsid w:val="00B041C0"/>
    <w:rsid w:val="00B041F2"/>
    <w:rsid w:val="00B04220"/>
    <w:rsid w:val="00B042FC"/>
    <w:rsid w:val="00B04548"/>
    <w:rsid w:val="00B0457A"/>
    <w:rsid w:val="00B045F9"/>
    <w:rsid w:val="00B04601"/>
    <w:rsid w:val="00B046E6"/>
    <w:rsid w:val="00B047EC"/>
    <w:rsid w:val="00B047F4"/>
    <w:rsid w:val="00B049C4"/>
    <w:rsid w:val="00B049C7"/>
    <w:rsid w:val="00B04D51"/>
    <w:rsid w:val="00B04E4B"/>
    <w:rsid w:val="00B04FA8"/>
    <w:rsid w:val="00B050A7"/>
    <w:rsid w:val="00B05279"/>
    <w:rsid w:val="00B0531A"/>
    <w:rsid w:val="00B053E5"/>
    <w:rsid w:val="00B05426"/>
    <w:rsid w:val="00B0543D"/>
    <w:rsid w:val="00B0548B"/>
    <w:rsid w:val="00B05513"/>
    <w:rsid w:val="00B05567"/>
    <w:rsid w:val="00B0556A"/>
    <w:rsid w:val="00B0558F"/>
    <w:rsid w:val="00B05648"/>
    <w:rsid w:val="00B05737"/>
    <w:rsid w:val="00B0581D"/>
    <w:rsid w:val="00B059FD"/>
    <w:rsid w:val="00B05A50"/>
    <w:rsid w:val="00B05AAB"/>
    <w:rsid w:val="00B05D03"/>
    <w:rsid w:val="00B05EBC"/>
    <w:rsid w:val="00B05F05"/>
    <w:rsid w:val="00B05F73"/>
    <w:rsid w:val="00B06093"/>
    <w:rsid w:val="00B061C3"/>
    <w:rsid w:val="00B06203"/>
    <w:rsid w:val="00B06262"/>
    <w:rsid w:val="00B06278"/>
    <w:rsid w:val="00B062C7"/>
    <w:rsid w:val="00B06365"/>
    <w:rsid w:val="00B063A8"/>
    <w:rsid w:val="00B063E3"/>
    <w:rsid w:val="00B0643B"/>
    <w:rsid w:val="00B064AB"/>
    <w:rsid w:val="00B06627"/>
    <w:rsid w:val="00B06704"/>
    <w:rsid w:val="00B06723"/>
    <w:rsid w:val="00B06755"/>
    <w:rsid w:val="00B06872"/>
    <w:rsid w:val="00B06875"/>
    <w:rsid w:val="00B068B6"/>
    <w:rsid w:val="00B06997"/>
    <w:rsid w:val="00B06B1B"/>
    <w:rsid w:val="00B06C61"/>
    <w:rsid w:val="00B06D93"/>
    <w:rsid w:val="00B06DAD"/>
    <w:rsid w:val="00B06E4E"/>
    <w:rsid w:val="00B06F6A"/>
    <w:rsid w:val="00B07093"/>
    <w:rsid w:val="00B07103"/>
    <w:rsid w:val="00B0716F"/>
    <w:rsid w:val="00B0717B"/>
    <w:rsid w:val="00B0733C"/>
    <w:rsid w:val="00B07415"/>
    <w:rsid w:val="00B07417"/>
    <w:rsid w:val="00B074DA"/>
    <w:rsid w:val="00B0753B"/>
    <w:rsid w:val="00B076E6"/>
    <w:rsid w:val="00B07715"/>
    <w:rsid w:val="00B077BA"/>
    <w:rsid w:val="00B077E5"/>
    <w:rsid w:val="00B07AF2"/>
    <w:rsid w:val="00B07BA2"/>
    <w:rsid w:val="00B07C3C"/>
    <w:rsid w:val="00B07C85"/>
    <w:rsid w:val="00B07D26"/>
    <w:rsid w:val="00B07D6A"/>
    <w:rsid w:val="00B07DDD"/>
    <w:rsid w:val="00B07E28"/>
    <w:rsid w:val="00B07E5A"/>
    <w:rsid w:val="00B07F5E"/>
    <w:rsid w:val="00B07F61"/>
    <w:rsid w:val="00B1001B"/>
    <w:rsid w:val="00B1005E"/>
    <w:rsid w:val="00B1007D"/>
    <w:rsid w:val="00B100ED"/>
    <w:rsid w:val="00B10144"/>
    <w:rsid w:val="00B101D8"/>
    <w:rsid w:val="00B102BE"/>
    <w:rsid w:val="00B10302"/>
    <w:rsid w:val="00B10313"/>
    <w:rsid w:val="00B10358"/>
    <w:rsid w:val="00B10432"/>
    <w:rsid w:val="00B104AF"/>
    <w:rsid w:val="00B104D1"/>
    <w:rsid w:val="00B104D5"/>
    <w:rsid w:val="00B10503"/>
    <w:rsid w:val="00B1052E"/>
    <w:rsid w:val="00B10561"/>
    <w:rsid w:val="00B106DA"/>
    <w:rsid w:val="00B106DC"/>
    <w:rsid w:val="00B107B3"/>
    <w:rsid w:val="00B10860"/>
    <w:rsid w:val="00B1087D"/>
    <w:rsid w:val="00B108DA"/>
    <w:rsid w:val="00B10A2A"/>
    <w:rsid w:val="00B10AA4"/>
    <w:rsid w:val="00B10AAA"/>
    <w:rsid w:val="00B10AD4"/>
    <w:rsid w:val="00B10C23"/>
    <w:rsid w:val="00B10D62"/>
    <w:rsid w:val="00B10DD0"/>
    <w:rsid w:val="00B10EC0"/>
    <w:rsid w:val="00B10F1A"/>
    <w:rsid w:val="00B10FEE"/>
    <w:rsid w:val="00B11068"/>
    <w:rsid w:val="00B110BC"/>
    <w:rsid w:val="00B110E2"/>
    <w:rsid w:val="00B1111A"/>
    <w:rsid w:val="00B111A3"/>
    <w:rsid w:val="00B113D7"/>
    <w:rsid w:val="00B11436"/>
    <w:rsid w:val="00B11474"/>
    <w:rsid w:val="00B114B9"/>
    <w:rsid w:val="00B11534"/>
    <w:rsid w:val="00B1160E"/>
    <w:rsid w:val="00B11652"/>
    <w:rsid w:val="00B11714"/>
    <w:rsid w:val="00B11721"/>
    <w:rsid w:val="00B11752"/>
    <w:rsid w:val="00B11801"/>
    <w:rsid w:val="00B11874"/>
    <w:rsid w:val="00B11900"/>
    <w:rsid w:val="00B11951"/>
    <w:rsid w:val="00B11957"/>
    <w:rsid w:val="00B11968"/>
    <w:rsid w:val="00B119AE"/>
    <w:rsid w:val="00B11B90"/>
    <w:rsid w:val="00B11CE7"/>
    <w:rsid w:val="00B11D9B"/>
    <w:rsid w:val="00B11DEA"/>
    <w:rsid w:val="00B11E98"/>
    <w:rsid w:val="00B11F35"/>
    <w:rsid w:val="00B11F48"/>
    <w:rsid w:val="00B11F65"/>
    <w:rsid w:val="00B120C2"/>
    <w:rsid w:val="00B120CA"/>
    <w:rsid w:val="00B12182"/>
    <w:rsid w:val="00B121B2"/>
    <w:rsid w:val="00B121DF"/>
    <w:rsid w:val="00B12344"/>
    <w:rsid w:val="00B123DF"/>
    <w:rsid w:val="00B1248F"/>
    <w:rsid w:val="00B12632"/>
    <w:rsid w:val="00B12643"/>
    <w:rsid w:val="00B1267C"/>
    <w:rsid w:val="00B126C0"/>
    <w:rsid w:val="00B12739"/>
    <w:rsid w:val="00B12744"/>
    <w:rsid w:val="00B128C3"/>
    <w:rsid w:val="00B128D2"/>
    <w:rsid w:val="00B12C2A"/>
    <w:rsid w:val="00B12CB6"/>
    <w:rsid w:val="00B12CF1"/>
    <w:rsid w:val="00B12DB5"/>
    <w:rsid w:val="00B12E62"/>
    <w:rsid w:val="00B12E80"/>
    <w:rsid w:val="00B12F1B"/>
    <w:rsid w:val="00B12F75"/>
    <w:rsid w:val="00B12F9A"/>
    <w:rsid w:val="00B12FD9"/>
    <w:rsid w:val="00B130A0"/>
    <w:rsid w:val="00B130F7"/>
    <w:rsid w:val="00B13142"/>
    <w:rsid w:val="00B1330C"/>
    <w:rsid w:val="00B133D5"/>
    <w:rsid w:val="00B13495"/>
    <w:rsid w:val="00B134F9"/>
    <w:rsid w:val="00B13537"/>
    <w:rsid w:val="00B135D5"/>
    <w:rsid w:val="00B13663"/>
    <w:rsid w:val="00B13665"/>
    <w:rsid w:val="00B138A2"/>
    <w:rsid w:val="00B138D7"/>
    <w:rsid w:val="00B1390F"/>
    <w:rsid w:val="00B13911"/>
    <w:rsid w:val="00B139C9"/>
    <w:rsid w:val="00B139EE"/>
    <w:rsid w:val="00B13A09"/>
    <w:rsid w:val="00B13AFD"/>
    <w:rsid w:val="00B13B17"/>
    <w:rsid w:val="00B13B37"/>
    <w:rsid w:val="00B13B53"/>
    <w:rsid w:val="00B13BE2"/>
    <w:rsid w:val="00B13C67"/>
    <w:rsid w:val="00B13D3B"/>
    <w:rsid w:val="00B13D9E"/>
    <w:rsid w:val="00B13DB9"/>
    <w:rsid w:val="00B13FB6"/>
    <w:rsid w:val="00B1402F"/>
    <w:rsid w:val="00B140BF"/>
    <w:rsid w:val="00B1415E"/>
    <w:rsid w:val="00B14232"/>
    <w:rsid w:val="00B142C0"/>
    <w:rsid w:val="00B14337"/>
    <w:rsid w:val="00B1452C"/>
    <w:rsid w:val="00B145C1"/>
    <w:rsid w:val="00B14665"/>
    <w:rsid w:val="00B146A2"/>
    <w:rsid w:val="00B146F2"/>
    <w:rsid w:val="00B14713"/>
    <w:rsid w:val="00B14724"/>
    <w:rsid w:val="00B14758"/>
    <w:rsid w:val="00B1478B"/>
    <w:rsid w:val="00B14818"/>
    <w:rsid w:val="00B14899"/>
    <w:rsid w:val="00B148F2"/>
    <w:rsid w:val="00B14979"/>
    <w:rsid w:val="00B14EC4"/>
    <w:rsid w:val="00B14F47"/>
    <w:rsid w:val="00B15054"/>
    <w:rsid w:val="00B150F4"/>
    <w:rsid w:val="00B151AD"/>
    <w:rsid w:val="00B151F4"/>
    <w:rsid w:val="00B1520D"/>
    <w:rsid w:val="00B1527D"/>
    <w:rsid w:val="00B15289"/>
    <w:rsid w:val="00B1537F"/>
    <w:rsid w:val="00B15448"/>
    <w:rsid w:val="00B15540"/>
    <w:rsid w:val="00B1557E"/>
    <w:rsid w:val="00B15715"/>
    <w:rsid w:val="00B1572B"/>
    <w:rsid w:val="00B1579F"/>
    <w:rsid w:val="00B1587F"/>
    <w:rsid w:val="00B158A3"/>
    <w:rsid w:val="00B1596E"/>
    <w:rsid w:val="00B15A0A"/>
    <w:rsid w:val="00B15C00"/>
    <w:rsid w:val="00B15CC2"/>
    <w:rsid w:val="00B15D64"/>
    <w:rsid w:val="00B15FF2"/>
    <w:rsid w:val="00B16002"/>
    <w:rsid w:val="00B160BE"/>
    <w:rsid w:val="00B160C3"/>
    <w:rsid w:val="00B16165"/>
    <w:rsid w:val="00B161D4"/>
    <w:rsid w:val="00B16298"/>
    <w:rsid w:val="00B162A4"/>
    <w:rsid w:val="00B16353"/>
    <w:rsid w:val="00B163DB"/>
    <w:rsid w:val="00B16415"/>
    <w:rsid w:val="00B164AF"/>
    <w:rsid w:val="00B164F8"/>
    <w:rsid w:val="00B16505"/>
    <w:rsid w:val="00B16607"/>
    <w:rsid w:val="00B167C5"/>
    <w:rsid w:val="00B16848"/>
    <w:rsid w:val="00B168AE"/>
    <w:rsid w:val="00B16928"/>
    <w:rsid w:val="00B16979"/>
    <w:rsid w:val="00B16A26"/>
    <w:rsid w:val="00B16AA1"/>
    <w:rsid w:val="00B16B39"/>
    <w:rsid w:val="00B16B3C"/>
    <w:rsid w:val="00B16C65"/>
    <w:rsid w:val="00B16CA0"/>
    <w:rsid w:val="00B16DD2"/>
    <w:rsid w:val="00B16E71"/>
    <w:rsid w:val="00B16EE2"/>
    <w:rsid w:val="00B17017"/>
    <w:rsid w:val="00B170BD"/>
    <w:rsid w:val="00B170DA"/>
    <w:rsid w:val="00B1721F"/>
    <w:rsid w:val="00B17258"/>
    <w:rsid w:val="00B172CC"/>
    <w:rsid w:val="00B173A7"/>
    <w:rsid w:val="00B173E6"/>
    <w:rsid w:val="00B17451"/>
    <w:rsid w:val="00B17486"/>
    <w:rsid w:val="00B17497"/>
    <w:rsid w:val="00B17589"/>
    <w:rsid w:val="00B17668"/>
    <w:rsid w:val="00B176CA"/>
    <w:rsid w:val="00B176EF"/>
    <w:rsid w:val="00B1794C"/>
    <w:rsid w:val="00B17A19"/>
    <w:rsid w:val="00B17ABF"/>
    <w:rsid w:val="00B17AC9"/>
    <w:rsid w:val="00B17B5F"/>
    <w:rsid w:val="00B17C90"/>
    <w:rsid w:val="00B17D3E"/>
    <w:rsid w:val="00B17EB0"/>
    <w:rsid w:val="00B17F6F"/>
    <w:rsid w:val="00B17F96"/>
    <w:rsid w:val="00B200A6"/>
    <w:rsid w:val="00B200C0"/>
    <w:rsid w:val="00B20133"/>
    <w:rsid w:val="00B2015A"/>
    <w:rsid w:val="00B20161"/>
    <w:rsid w:val="00B2016F"/>
    <w:rsid w:val="00B20228"/>
    <w:rsid w:val="00B20274"/>
    <w:rsid w:val="00B20362"/>
    <w:rsid w:val="00B2057B"/>
    <w:rsid w:val="00B2070F"/>
    <w:rsid w:val="00B207BE"/>
    <w:rsid w:val="00B2083E"/>
    <w:rsid w:val="00B2084A"/>
    <w:rsid w:val="00B20885"/>
    <w:rsid w:val="00B20B1F"/>
    <w:rsid w:val="00B20BFD"/>
    <w:rsid w:val="00B20CCC"/>
    <w:rsid w:val="00B20D0B"/>
    <w:rsid w:val="00B20D6C"/>
    <w:rsid w:val="00B20E57"/>
    <w:rsid w:val="00B20EFB"/>
    <w:rsid w:val="00B20FC8"/>
    <w:rsid w:val="00B21242"/>
    <w:rsid w:val="00B21297"/>
    <w:rsid w:val="00B212FD"/>
    <w:rsid w:val="00B21316"/>
    <w:rsid w:val="00B21387"/>
    <w:rsid w:val="00B21398"/>
    <w:rsid w:val="00B213A6"/>
    <w:rsid w:val="00B21548"/>
    <w:rsid w:val="00B21733"/>
    <w:rsid w:val="00B2179F"/>
    <w:rsid w:val="00B219DD"/>
    <w:rsid w:val="00B219FF"/>
    <w:rsid w:val="00B21B02"/>
    <w:rsid w:val="00B21B82"/>
    <w:rsid w:val="00B21C27"/>
    <w:rsid w:val="00B21CFD"/>
    <w:rsid w:val="00B21E29"/>
    <w:rsid w:val="00B21E7B"/>
    <w:rsid w:val="00B21E9A"/>
    <w:rsid w:val="00B22010"/>
    <w:rsid w:val="00B220E6"/>
    <w:rsid w:val="00B2230F"/>
    <w:rsid w:val="00B22371"/>
    <w:rsid w:val="00B223C0"/>
    <w:rsid w:val="00B22453"/>
    <w:rsid w:val="00B22504"/>
    <w:rsid w:val="00B22589"/>
    <w:rsid w:val="00B226BD"/>
    <w:rsid w:val="00B22758"/>
    <w:rsid w:val="00B22849"/>
    <w:rsid w:val="00B22858"/>
    <w:rsid w:val="00B22A3A"/>
    <w:rsid w:val="00B22B71"/>
    <w:rsid w:val="00B22D31"/>
    <w:rsid w:val="00B22D9F"/>
    <w:rsid w:val="00B22E5F"/>
    <w:rsid w:val="00B22E6E"/>
    <w:rsid w:val="00B22E96"/>
    <w:rsid w:val="00B22F72"/>
    <w:rsid w:val="00B22FC6"/>
    <w:rsid w:val="00B23030"/>
    <w:rsid w:val="00B230BA"/>
    <w:rsid w:val="00B231A3"/>
    <w:rsid w:val="00B231C5"/>
    <w:rsid w:val="00B23254"/>
    <w:rsid w:val="00B23279"/>
    <w:rsid w:val="00B23365"/>
    <w:rsid w:val="00B23507"/>
    <w:rsid w:val="00B23628"/>
    <w:rsid w:val="00B23653"/>
    <w:rsid w:val="00B236A4"/>
    <w:rsid w:val="00B23799"/>
    <w:rsid w:val="00B23877"/>
    <w:rsid w:val="00B239EC"/>
    <w:rsid w:val="00B23CF9"/>
    <w:rsid w:val="00B23DC4"/>
    <w:rsid w:val="00B23E91"/>
    <w:rsid w:val="00B23ECB"/>
    <w:rsid w:val="00B23F69"/>
    <w:rsid w:val="00B23FD3"/>
    <w:rsid w:val="00B23FF6"/>
    <w:rsid w:val="00B240F2"/>
    <w:rsid w:val="00B241CD"/>
    <w:rsid w:val="00B242B0"/>
    <w:rsid w:val="00B244DF"/>
    <w:rsid w:val="00B245FB"/>
    <w:rsid w:val="00B24627"/>
    <w:rsid w:val="00B2468E"/>
    <w:rsid w:val="00B24872"/>
    <w:rsid w:val="00B248F6"/>
    <w:rsid w:val="00B24A77"/>
    <w:rsid w:val="00B24A8F"/>
    <w:rsid w:val="00B24AF1"/>
    <w:rsid w:val="00B24B5D"/>
    <w:rsid w:val="00B24C97"/>
    <w:rsid w:val="00B24D34"/>
    <w:rsid w:val="00B24D3B"/>
    <w:rsid w:val="00B24F3B"/>
    <w:rsid w:val="00B24FFB"/>
    <w:rsid w:val="00B25060"/>
    <w:rsid w:val="00B2519F"/>
    <w:rsid w:val="00B25220"/>
    <w:rsid w:val="00B25237"/>
    <w:rsid w:val="00B25259"/>
    <w:rsid w:val="00B25497"/>
    <w:rsid w:val="00B254DC"/>
    <w:rsid w:val="00B2550C"/>
    <w:rsid w:val="00B25641"/>
    <w:rsid w:val="00B25758"/>
    <w:rsid w:val="00B258DF"/>
    <w:rsid w:val="00B25928"/>
    <w:rsid w:val="00B25944"/>
    <w:rsid w:val="00B25991"/>
    <w:rsid w:val="00B25999"/>
    <w:rsid w:val="00B25A85"/>
    <w:rsid w:val="00B25ADD"/>
    <w:rsid w:val="00B25B2A"/>
    <w:rsid w:val="00B25B92"/>
    <w:rsid w:val="00B25B9F"/>
    <w:rsid w:val="00B25C58"/>
    <w:rsid w:val="00B25E8D"/>
    <w:rsid w:val="00B25E98"/>
    <w:rsid w:val="00B25F2F"/>
    <w:rsid w:val="00B25FD2"/>
    <w:rsid w:val="00B2604D"/>
    <w:rsid w:val="00B260EF"/>
    <w:rsid w:val="00B2611D"/>
    <w:rsid w:val="00B26138"/>
    <w:rsid w:val="00B261D9"/>
    <w:rsid w:val="00B261F8"/>
    <w:rsid w:val="00B2626F"/>
    <w:rsid w:val="00B262B8"/>
    <w:rsid w:val="00B26350"/>
    <w:rsid w:val="00B263F0"/>
    <w:rsid w:val="00B26455"/>
    <w:rsid w:val="00B26517"/>
    <w:rsid w:val="00B265BA"/>
    <w:rsid w:val="00B2665E"/>
    <w:rsid w:val="00B266BD"/>
    <w:rsid w:val="00B266DD"/>
    <w:rsid w:val="00B26728"/>
    <w:rsid w:val="00B2672E"/>
    <w:rsid w:val="00B267CA"/>
    <w:rsid w:val="00B267D0"/>
    <w:rsid w:val="00B26852"/>
    <w:rsid w:val="00B26A75"/>
    <w:rsid w:val="00B26AEA"/>
    <w:rsid w:val="00B26AF9"/>
    <w:rsid w:val="00B26B0B"/>
    <w:rsid w:val="00B26B19"/>
    <w:rsid w:val="00B26BE9"/>
    <w:rsid w:val="00B26C61"/>
    <w:rsid w:val="00B26CC2"/>
    <w:rsid w:val="00B26D4C"/>
    <w:rsid w:val="00B26D64"/>
    <w:rsid w:val="00B26D6E"/>
    <w:rsid w:val="00B26DB0"/>
    <w:rsid w:val="00B26EA6"/>
    <w:rsid w:val="00B26F9D"/>
    <w:rsid w:val="00B27119"/>
    <w:rsid w:val="00B27153"/>
    <w:rsid w:val="00B27160"/>
    <w:rsid w:val="00B2726F"/>
    <w:rsid w:val="00B272EA"/>
    <w:rsid w:val="00B27303"/>
    <w:rsid w:val="00B27320"/>
    <w:rsid w:val="00B273A0"/>
    <w:rsid w:val="00B273C6"/>
    <w:rsid w:val="00B275A1"/>
    <w:rsid w:val="00B275E3"/>
    <w:rsid w:val="00B2769D"/>
    <w:rsid w:val="00B278D8"/>
    <w:rsid w:val="00B27923"/>
    <w:rsid w:val="00B27994"/>
    <w:rsid w:val="00B27A25"/>
    <w:rsid w:val="00B27B63"/>
    <w:rsid w:val="00B27BAD"/>
    <w:rsid w:val="00B27BBB"/>
    <w:rsid w:val="00B27C2D"/>
    <w:rsid w:val="00B27D0E"/>
    <w:rsid w:val="00B27DA7"/>
    <w:rsid w:val="00B27E88"/>
    <w:rsid w:val="00B27EA3"/>
    <w:rsid w:val="00B27EE7"/>
    <w:rsid w:val="00B27EEC"/>
    <w:rsid w:val="00B27F39"/>
    <w:rsid w:val="00B27F96"/>
    <w:rsid w:val="00B30012"/>
    <w:rsid w:val="00B30083"/>
    <w:rsid w:val="00B3012E"/>
    <w:rsid w:val="00B30132"/>
    <w:rsid w:val="00B3018A"/>
    <w:rsid w:val="00B30240"/>
    <w:rsid w:val="00B30344"/>
    <w:rsid w:val="00B30410"/>
    <w:rsid w:val="00B30419"/>
    <w:rsid w:val="00B30427"/>
    <w:rsid w:val="00B3047C"/>
    <w:rsid w:val="00B30529"/>
    <w:rsid w:val="00B30557"/>
    <w:rsid w:val="00B3058A"/>
    <w:rsid w:val="00B30694"/>
    <w:rsid w:val="00B30731"/>
    <w:rsid w:val="00B30762"/>
    <w:rsid w:val="00B307D2"/>
    <w:rsid w:val="00B307FA"/>
    <w:rsid w:val="00B308FA"/>
    <w:rsid w:val="00B30921"/>
    <w:rsid w:val="00B30992"/>
    <w:rsid w:val="00B309AB"/>
    <w:rsid w:val="00B30AA7"/>
    <w:rsid w:val="00B30B4C"/>
    <w:rsid w:val="00B30C22"/>
    <w:rsid w:val="00B30C69"/>
    <w:rsid w:val="00B30D7A"/>
    <w:rsid w:val="00B30DC1"/>
    <w:rsid w:val="00B30E79"/>
    <w:rsid w:val="00B30F9F"/>
    <w:rsid w:val="00B31014"/>
    <w:rsid w:val="00B3105C"/>
    <w:rsid w:val="00B31075"/>
    <w:rsid w:val="00B31264"/>
    <w:rsid w:val="00B31273"/>
    <w:rsid w:val="00B31276"/>
    <w:rsid w:val="00B312ED"/>
    <w:rsid w:val="00B31356"/>
    <w:rsid w:val="00B313D3"/>
    <w:rsid w:val="00B3142B"/>
    <w:rsid w:val="00B314A4"/>
    <w:rsid w:val="00B314D1"/>
    <w:rsid w:val="00B31555"/>
    <w:rsid w:val="00B3157F"/>
    <w:rsid w:val="00B315F9"/>
    <w:rsid w:val="00B31604"/>
    <w:rsid w:val="00B316C2"/>
    <w:rsid w:val="00B316D6"/>
    <w:rsid w:val="00B3178E"/>
    <w:rsid w:val="00B317EE"/>
    <w:rsid w:val="00B31816"/>
    <w:rsid w:val="00B318D1"/>
    <w:rsid w:val="00B319DF"/>
    <w:rsid w:val="00B31D09"/>
    <w:rsid w:val="00B31D6D"/>
    <w:rsid w:val="00B31E23"/>
    <w:rsid w:val="00B31F1E"/>
    <w:rsid w:val="00B31FB4"/>
    <w:rsid w:val="00B32003"/>
    <w:rsid w:val="00B320C7"/>
    <w:rsid w:val="00B32176"/>
    <w:rsid w:val="00B321D9"/>
    <w:rsid w:val="00B322C6"/>
    <w:rsid w:val="00B323F3"/>
    <w:rsid w:val="00B32549"/>
    <w:rsid w:val="00B32605"/>
    <w:rsid w:val="00B3265B"/>
    <w:rsid w:val="00B3267B"/>
    <w:rsid w:val="00B32686"/>
    <w:rsid w:val="00B326E5"/>
    <w:rsid w:val="00B32731"/>
    <w:rsid w:val="00B32776"/>
    <w:rsid w:val="00B327A1"/>
    <w:rsid w:val="00B32A4F"/>
    <w:rsid w:val="00B32A5C"/>
    <w:rsid w:val="00B32B10"/>
    <w:rsid w:val="00B32D18"/>
    <w:rsid w:val="00B32E0B"/>
    <w:rsid w:val="00B3302D"/>
    <w:rsid w:val="00B330C1"/>
    <w:rsid w:val="00B330D3"/>
    <w:rsid w:val="00B33124"/>
    <w:rsid w:val="00B33126"/>
    <w:rsid w:val="00B331EC"/>
    <w:rsid w:val="00B332EF"/>
    <w:rsid w:val="00B333C7"/>
    <w:rsid w:val="00B33492"/>
    <w:rsid w:val="00B3361B"/>
    <w:rsid w:val="00B33775"/>
    <w:rsid w:val="00B338A4"/>
    <w:rsid w:val="00B338CD"/>
    <w:rsid w:val="00B338DB"/>
    <w:rsid w:val="00B338E2"/>
    <w:rsid w:val="00B3395C"/>
    <w:rsid w:val="00B339E1"/>
    <w:rsid w:val="00B33A4E"/>
    <w:rsid w:val="00B33C9A"/>
    <w:rsid w:val="00B33CA8"/>
    <w:rsid w:val="00B33D70"/>
    <w:rsid w:val="00B33E59"/>
    <w:rsid w:val="00B33EE6"/>
    <w:rsid w:val="00B33F31"/>
    <w:rsid w:val="00B33F40"/>
    <w:rsid w:val="00B33F4A"/>
    <w:rsid w:val="00B33F5C"/>
    <w:rsid w:val="00B3429E"/>
    <w:rsid w:val="00B342C4"/>
    <w:rsid w:val="00B343A3"/>
    <w:rsid w:val="00B343B9"/>
    <w:rsid w:val="00B344F0"/>
    <w:rsid w:val="00B3460D"/>
    <w:rsid w:val="00B34751"/>
    <w:rsid w:val="00B34810"/>
    <w:rsid w:val="00B34840"/>
    <w:rsid w:val="00B34909"/>
    <w:rsid w:val="00B34A4D"/>
    <w:rsid w:val="00B34BD5"/>
    <w:rsid w:val="00B34D41"/>
    <w:rsid w:val="00B34D65"/>
    <w:rsid w:val="00B34DBF"/>
    <w:rsid w:val="00B34E76"/>
    <w:rsid w:val="00B34EA5"/>
    <w:rsid w:val="00B34EB5"/>
    <w:rsid w:val="00B34F16"/>
    <w:rsid w:val="00B34F33"/>
    <w:rsid w:val="00B34FCA"/>
    <w:rsid w:val="00B34FF4"/>
    <w:rsid w:val="00B35014"/>
    <w:rsid w:val="00B35019"/>
    <w:rsid w:val="00B3505A"/>
    <w:rsid w:val="00B351AB"/>
    <w:rsid w:val="00B3524F"/>
    <w:rsid w:val="00B35254"/>
    <w:rsid w:val="00B353EE"/>
    <w:rsid w:val="00B35445"/>
    <w:rsid w:val="00B35488"/>
    <w:rsid w:val="00B354CD"/>
    <w:rsid w:val="00B354E6"/>
    <w:rsid w:val="00B35503"/>
    <w:rsid w:val="00B35629"/>
    <w:rsid w:val="00B3563A"/>
    <w:rsid w:val="00B356A5"/>
    <w:rsid w:val="00B3572A"/>
    <w:rsid w:val="00B357A9"/>
    <w:rsid w:val="00B3586F"/>
    <w:rsid w:val="00B3598E"/>
    <w:rsid w:val="00B359BA"/>
    <w:rsid w:val="00B35A31"/>
    <w:rsid w:val="00B35AF1"/>
    <w:rsid w:val="00B35B6C"/>
    <w:rsid w:val="00B35B86"/>
    <w:rsid w:val="00B35C13"/>
    <w:rsid w:val="00B35C77"/>
    <w:rsid w:val="00B35D7C"/>
    <w:rsid w:val="00B35DD8"/>
    <w:rsid w:val="00B35E04"/>
    <w:rsid w:val="00B35E7C"/>
    <w:rsid w:val="00B36061"/>
    <w:rsid w:val="00B3614B"/>
    <w:rsid w:val="00B3617E"/>
    <w:rsid w:val="00B36189"/>
    <w:rsid w:val="00B36190"/>
    <w:rsid w:val="00B362CD"/>
    <w:rsid w:val="00B36667"/>
    <w:rsid w:val="00B367A4"/>
    <w:rsid w:val="00B367A6"/>
    <w:rsid w:val="00B3684A"/>
    <w:rsid w:val="00B368B4"/>
    <w:rsid w:val="00B368F0"/>
    <w:rsid w:val="00B36901"/>
    <w:rsid w:val="00B369D8"/>
    <w:rsid w:val="00B36B45"/>
    <w:rsid w:val="00B36C5F"/>
    <w:rsid w:val="00B36CB1"/>
    <w:rsid w:val="00B36CDD"/>
    <w:rsid w:val="00B36F39"/>
    <w:rsid w:val="00B36F43"/>
    <w:rsid w:val="00B36F98"/>
    <w:rsid w:val="00B370D6"/>
    <w:rsid w:val="00B370DA"/>
    <w:rsid w:val="00B371A4"/>
    <w:rsid w:val="00B37320"/>
    <w:rsid w:val="00B37371"/>
    <w:rsid w:val="00B37470"/>
    <w:rsid w:val="00B3762B"/>
    <w:rsid w:val="00B37806"/>
    <w:rsid w:val="00B37898"/>
    <w:rsid w:val="00B37928"/>
    <w:rsid w:val="00B379EF"/>
    <w:rsid w:val="00B37AE0"/>
    <w:rsid w:val="00B37B30"/>
    <w:rsid w:val="00B37B5F"/>
    <w:rsid w:val="00B37BCE"/>
    <w:rsid w:val="00B37C0F"/>
    <w:rsid w:val="00B37C60"/>
    <w:rsid w:val="00B37F2F"/>
    <w:rsid w:val="00B37FA9"/>
    <w:rsid w:val="00B400B1"/>
    <w:rsid w:val="00B40192"/>
    <w:rsid w:val="00B40208"/>
    <w:rsid w:val="00B4020A"/>
    <w:rsid w:val="00B402B5"/>
    <w:rsid w:val="00B402D8"/>
    <w:rsid w:val="00B40450"/>
    <w:rsid w:val="00B404E9"/>
    <w:rsid w:val="00B404FC"/>
    <w:rsid w:val="00B40555"/>
    <w:rsid w:val="00B40584"/>
    <w:rsid w:val="00B406C3"/>
    <w:rsid w:val="00B407EA"/>
    <w:rsid w:val="00B40835"/>
    <w:rsid w:val="00B4096C"/>
    <w:rsid w:val="00B40A1B"/>
    <w:rsid w:val="00B40BA7"/>
    <w:rsid w:val="00B40BC4"/>
    <w:rsid w:val="00B40BF9"/>
    <w:rsid w:val="00B40C61"/>
    <w:rsid w:val="00B40CC0"/>
    <w:rsid w:val="00B40D6C"/>
    <w:rsid w:val="00B40EB9"/>
    <w:rsid w:val="00B40F4D"/>
    <w:rsid w:val="00B40F5E"/>
    <w:rsid w:val="00B40FFA"/>
    <w:rsid w:val="00B41079"/>
    <w:rsid w:val="00B410B3"/>
    <w:rsid w:val="00B41168"/>
    <w:rsid w:val="00B4119C"/>
    <w:rsid w:val="00B4121D"/>
    <w:rsid w:val="00B41247"/>
    <w:rsid w:val="00B412F2"/>
    <w:rsid w:val="00B41310"/>
    <w:rsid w:val="00B41464"/>
    <w:rsid w:val="00B41514"/>
    <w:rsid w:val="00B41556"/>
    <w:rsid w:val="00B415AD"/>
    <w:rsid w:val="00B41745"/>
    <w:rsid w:val="00B4186A"/>
    <w:rsid w:val="00B41872"/>
    <w:rsid w:val="00B41929"/>
    <w:rsid w:val="00B41AE6"/>
    <w:rsid w:val="00B41B75"/>
    <w:rsid w:val="00B41BC6"/>
    <w:rsid w:val="00B41C32"/>
    <w:rsid w:val="00B41C66"/>
    <w:rsid w:val="00B41C71"/>
    <w:rsid w:val="00B41CDE"/>
    <w:rsid w:val="00B41CE9"/>
    <w:rsid w:val="00B41DB0"/>
    <w:rsid w:val="00B41DC0"/>
    <w:rsid w:val="00B41E15"/>
    <w:rsid w:val="00B41EA4"/>
    <w:rsid w:val="00B41F79"/>
    <w:rsid w:val="00B42025"/>
    <w:rsid w:val="00B42031"/>
    <w:rsid w:val="00B42090"/>
    <w:rsid w:val="00B420AE"/>
    <w:rsid w:val="00B42134"/>
    <w:rsid w:val="00B42229"/>
    <w:rsid w:val="00B4227D"/>
    <w:rsid w:val="00B422AF"/>
    <w:rsid w:val="00B42356"/>
    <w:rsid w:val="00B423D9"/>
    <w:rsid w:val="00B42425"/>
    <w:rsid w:val="00B425EB"/>
    <w:rsid w:val="00B42633"/>
    <w:rsid w:val="00B42824"/>
    <w:rsid w:val="00B4297A"/>
    <w:rsid w:val="00B42994"/>
    <w:rsid w:val="00B42A10"/>
    <w:rsid w:val="00B42A2F"/>
    <w:rsid w:val="00B42BE5"/>
    <w:rsid w:val="00B42C05"/>
    <w:rsid w:val="00B42D2D"/>
    <w:rsid w:val="00B42D46"/>
    <w:rsid w:val="00B42EE7"/>
    <w:rsid w:val="00B42EFC"/>
    <w:rsid w:val="00B42F53"/>
    <w:rsid w:val="00B43005"/>
    <w:rsid w:val="00B4305B"/>
    <w:rsid w:val="00B43094"/>
    <w:rsid w:val="00B430A3"/>
    <w:rsid w:val="00B431EA"/>
    <w:rsid w:val="00B4325A"/>
    <w:rsid w:val="00B432D7"/>
    <w:rsid w:val="00B43302"/>
    <w:rsid w:val="00B435DF"/>
    <w:rsid w:val="00B436CB"/>
    <w:rsid w:val="00B43724"/>
    <w:rsid w:val="00B43768"/>
    <w:rsid w:val="00B43807"/>
    <w:rsid w:val="00B43821"/>
    <w:rsid w:val="00B43857"/>
    <w:rsid w:val="00B438F8"/>
    <w:rsid w:val="00B43929"/>
    <w:rsid w:val="00B4394B"/>
    <w:rsid w:val="00B439CB"/>
    <w:rsid w:val="00B43B10"/>
    <w:rsid w:val="00B43E5E"/>
    <w:rsid w:val="00B4408E"/>
    <w:rsid w:val="00B440CD"/>
    <w:rsid w:val="00B44126"/>
    <w:rsid w:val="00B441A0"/>
    <w:rsid w:val="00B441BF"/>
    <w:rsid w:val="00B441C2"/>
    <w:rsid w:val="00B4421B"/>
    <w:rsid w:val="00B44223"/>
    <w:rsid w:val="00B44312"/>
    <w:rsid w:val="00B44377"/>
    <w:rsid w:val="00B44488"/>
    <w:rsid w:val="00B444E6"/>
    <w:rsid w:val="00B44503"/>
    <w:rsid w:val="00B445DA"/>
    <w:rsid w:val="00B446AC"/>
    <w:rsid w:val="00B4476A"/>
    <w:rsid w:val="00B447D7"/>
    <w:rsid w:val="00B4480B"/>
    <w:rsid w:val="00B44B0A"/>
    <w:rsid w:val="00B44B0D"/>
    <w:rsid w:val="00B44B3C"/>
    <w:rsid w:val="00B44D44"/>
    <w:rsid w:val="00B44F14"/>
    <w:rsid w:val="00B4540B"/>
    <w:rsid w:val="00B4549F"/>
    <w:rsid w:val="00B454B2"/>
    <w:rsid w:val="00B455AE"/>
    <w:rsid w:val="00B456D2"/>
    <w:rsid w:val="00B4586D"/>
    <w:rsid w:val="00B458DD"/>
    <w:rsid w:val="00B45900"/>
    <w:rsid w:val="00B45996"/>
    <w:rsid w:val="00B45A89"/>
    <w:rsid w:val="00B45B79"/>
    <w:rsid w:val="00B45B84"/>
    <w:rsid w:val="00B45BA3"/>
    <w:rsid w:val="00B45C66"/>
    <w:rsid w:val="00B45C97"/>
    <w:rsid w:val="00B45D3E"/>
    <w:rsid w:val="00B45D89"/>
    <w:rsid w:val="00B45EDF"/>
    <w:rsid w:val="00B45F20"/>
    <w:rsid w:val="00B45FB0"/>
    <w:rsid w:val="00B45FEC"/>
    <w:rsid w:val="00B460EA"/>
    <w:rsid w:val="00B461D5"/>
    <w:rsid w:val="00B462CD"/>
    <w:rsid w:val="00B4638C"/>
    <w:rsid w:val="00B463C4"/>
    <w:rsid w:val="00B46432"/>
    <w:rsid w:val="00B4643A"/>
    <w:rsid w:val="00B46509"/>
    <w:rsid w:val="00B4650E"/>
    <w:rsid w:val="00B4654E"/>
    <w:rsid w:val="00B4658F"/>
    <w:rsid w:val="00B46643"/>
    <w:rsid w:val="00B466C1"/>
    <w:rsid w:val="00B4674C"/>
    <w:rsid w:val="00B4675A"/>
    <w:rsid w:val="00B46872"/>
    <w:rsid w:val="00B46879"/>
    <w:rsid w:val="00B468A7"/>
    <w:rsid w:val="00B468C0"/>
    <w:rsid w:val="00B469DE"/>
    <w:rsid w:val="00B46AA3"/>
    <w:rsid w:val="00B46B0E"/>
    <w:rsid w:val="00B46C08"/>
    <w:rsid w:val="00B46C8D"/>
    <w:rsid w:val="00B46CD2"/>
    <w:rsid w:val="00B46D21"/>
    <w:rsid w:val="00B46DDB"/>
    <w:rsid w:val="00B46DF7"/>
    <w:rsid w:val="00B46E8E"/>
    <w:rsid w:val="00B46EC0"/>
    <w:rsid w:val="00B46F36"/>
    <w:rsid w:val="00B46F78"/>
    <w:rsid w:val="00B46FED"/>
    <w:rsid w:val="00B47062"/>
    <w:rsid w:val="00B4709E"/>
    <w:rsid w:val="00B470BA"/>
    <w:rsid w:val="00B471F4"/>
    <w:rsid w:val="00B472AA"/>
    <w:rsid w:val="00B4736B"/>
    <w:rsid w:val="00B47381"/>
    <w:rsid w:val="00B473C7"/>
    <w:rsid w:val="00B4757B"/>
    <w:rsid w:val="00B4757F"/>
    <w:rsid w:val="00B476BB"/>
    <w:rsid w:val="00B476CC"/>
    <w:rsid w:val="00B47760"/>
    <w:rsid w:val="00B477A5"/>
    <w:rsid w:val="00B477F1"/>
    <w:rsid w:val="00B4782B"/>
    <w:rsid w:val="00B4784C"/>
    <w:rsid w:val="00B47989"/>
    <w:rsid w:val="00B47A83"/>
    <w:rsid w:val="00B47CC4"/>
    <w:rsid w:val="00B47CF1"/>
    <w:rsid w:val="00B47DE4"/>
    <w:rsid w:val="00B47ED5"/>
    <w:rsid w:val="00B47EE5"/>
    <w:rsid w:val="00B47F2F"/>
    <w:rsid w:val="00B50006"/>
    <w:rsid w:val="00B5002F"/>
    <w:rsid w:val="00B501C4"/>
    <w:rsid w:val="00B50288"/>
    <w:rsid w:val="00B5029A"/>
    <w:rsid w:val="00B5036B"/>
    <w:rsid w:val="00B5038C"/>
    <w:rsid w:val="00B503F5"/>
    <w:rsid w:val="00B503F9"/>
    <w:rsid w:val="00B50417"/>
    <w:rsid w:val="00B5048D"/>
    <w:rsid w:val="00B50536"/>
    <w:rsid w:val="00B50577"/>
    <w:rsid w:val="00B505A1"/>
    <w:rsid w:val="00B50640"/>
    <w:rsid w:val="00B506EC"/>
    <w:rsid w:val="00B50758"/>
    <w:rsid w:val="00B507C1"/>
    <w:rsid w:val="00B507F4"/>
    <w:rsid w:val="00B5083F"/>
    <w:rsid w:val="00B5086F"/>
    <w:rsid w:val="00B50879"/>
    <w:rsid w:val="00B5087D"/>
    <w:rsid w:val="00B50A0C"/>
    <w:rsid w:val="00B50AA9"/>
    <w:rsid w:val="00B50ABA"/>
    <w:rsid w:val="00B50B47"/>
    <w:rsid w:val="00B50C83"/>
    <w:rsid w:val="00B50CB4"/>
    <w:rsid w:val="00B50CEC"/>
    <w:rsid w:val="00B50D5D"/>
    <w:rsid w:val="00B50D69"/>
    <w:rsid w:val="00B50E68"/>
    <w:rsid w:val="00B51051"/>
    <w:rsid w:val="00B51060"/>
    <w:rsid w:val="00B51091"/>
    <w:rsid w:val="00B5111F"/>
    <w:rsid w:val="00B5112D"/>
    <w:rsid w:val="00B5113F"/>
    <w:rsid w:val="00B5119A"/>
    <w:rsid w:val="00B512A0"/>
    <w:rsid w:val="00B512DB"/>
    <w:rsid w:val="00B51315"/>
    <w:rsid w:val="00B5141E"/>
    <w:rsid w:val="00B5159C"/>
    <w:rsid w:val="00B51615"/>
    <w:rsid w:val="00B51819"/>
    <w:rsid w:val="00B51901"/>
    <w:rsid w:val="00B519C9"/>
    <w:rsid w:val="00B519E0"/>
    <w:rsid w:val="00B51A1F"/>
    <w:rsid w:val="00B51A8F"/>
    <w:rsid w:val="00B51BE3"/>
    <w:rsid w:val="00B51C63"/>
    <w:rsid w:val="00B51CBE"/>
    <w:rsid w:val="00B51CEC"/>
    <w:rsid w:val="00B51E35"/>
    <w:rsid w:val="00B51E6B"/>
    <w:rsid w:val="00B51EAE"/>
    <w:rsid w:val="00B51EBF"/>
    <w:rsid w:val="00B51FCA"/>
    <w:rsid w:val="00B51FDA"/>
    <w:rsid w:val="00B52028"/>
    <w:rsid w:val="00B5203A"/>
    <w:rsid w:val="00B520AE"/>
    <w:rsid w:val="00B52130"/>
    <w:rsid w:val="00B521BA"/>
    <w:rsid w:val="00B523B5"/>
    <w:rsid w:val="00B5244E"/>
    <w:rsid w:val="00B524CA"/>
    <w:rsid w:val="00B52570"/>
    <w:rsid w:val="00B52662"/>
    <w:rsid w:val="00B5266F"/>
    <w:rsid w:val="00B5271E"/>
    <w:rsid w:val="00B52868"/>
    <w:rsid w:val="00B528A8"/>
    <w:rsid w:val="00B52A40"/>
    <w:rsid w:val="00B52BD4"/>
    <w:rsid w:val="00B52BE1"/>
    <w:rsid w:val="00B52C16"/>
    <w:rsid w:val="00B52D24"/>
    <w:rsid w:val="00B52DE4"/>
    <w:rsid w:val="00B52EB9"/>
    <w:rsid w:val="00B52F93"/>
    <w:rsid w:val="00B530A9"/>
    <w:rsid w:val="00B531B6"/>
    <w:rsid w:val="00B531F3"/>
    <w:rsid w:val="00B5329D"/>
    <w:rsid w:val="00B53460"/>
    <w:rsid w:val="00B53475"/>
    <w:rsid w:val="00B534FF"/>
    <w:rsid w:val="00B5359B"/>
    <w:rsid w:val="00B5360B"/>
    <w:rsid w:val="00B5364D"/>
    <w:rsid w:val="00B536C3"/>
    <w:rsid w:val="00B536FD"/>
    <w:rsid w:val="00B53822"/>
    <w:rsid w:val="00B53838"/>
    <w:rsid w:val="00B53A41"/>
    <w:rsid w:val="00B53C03"/>
    <w:rsid w:val="00B53D20"/>
    <w:rsid w:val="00B53D48"/>
    <w:rsid w:val="00B53DA5"/>
    <w:rsid w:val="00B53EF1"/>
    <w:rsid w:val="00B53EF5"/>
    <w:rsid w:val="00B53F87"/>
    <w:rsid w:val="00B53FC1"/>
    <w:rsid w:val="00B53FE8"/>
    <w:rsid w:val="00B53FF3"/>
    <w:rsid w:val="00B54060"/>
    <w:rsid w:val="00B5406E"/>
    <w:rsid w:val="00B540B3"/>
    <w:rsid w:val="00B540FD"/>
    <w:rsid w:val="00B54111"/>
    <w:rsid w:val="00B5427A"/>
    <w:rsid w:val="00B5431D"/>
    <w:rsid w:val="00B54558"/>
    <w:rsid w:val="00B545F6"/>
    <w:rsid w:val="00B546DB"/>
    <w:rsid w:val="00B54741"/>
    <w:rsid w:val="00B54768"/>
    <w:rsid w:val="00B547A5"/>
    <w:rsid w:val="00B54863"/>
    <w:rsid w:val="00B548B8"/>
    <w:rsid w:val="00B548D4"/>
    <w:rsid w:val="00B54921"/>
    <w:rsid w:val="00B54950"/>
    <w:rsid w:val="00B5495E"/>
    <w:rsid w:val="00B54981"/>
    <w:rsid w:val="00B54A09"/>
    <w:rsid w:val="00B54AB8"/>
    <w:rsid w:val="00B54B79"/>
    <w:rsid w:val="00B54BB3"/>
    <w:rsid w:val="00B54C0B"/>
    <w:rsid w:val="00B54D0E"/>
    <w:rsid w:val="00B54DD4"/>
    <w:rsid w:val="00B54E50"/>
    <w:rsid w:val="00B54E6C"/>
    <w:rsid w:val="00B54EAF"/>
    <w:rsid w:val="00B54ED6"/>
    <w:rsid w:val="00B54F02"/>
    <w:rsid w:val="00B54F15"/>
    <w:rsid w:val="00B550E0"/>
    <w:rsid w:val="00B550E3"/>
    <w:rsid w:val="00B550F2"/>
    <w:rsid w:val="00B551B4"/>
    <w:rsid w:val="00B552C7"/>
    <w:rsid w:val="00B552CE"/>
    <w:rsid w:val="00B553EC"/>
    <w:rsid w:val="00B55411"/>
    <w:rsid w:val="00B5556D"/>
    <w:rsid w:val="00B555AA"/>
    <w:rsid w:val="00B5573E"/>
    <w:rsid w:val="00B55744"/>
    <w:rsid w:val="00B558C6"/>
    <w:rsid w:val="00B5591C"/>
    <w:rsid w:val="00B55AE0"/>
    <w:rsid w:val="00B55AF3"/>
    <w:rsid w:val="00B55DA6"/>
    <w:rsid w:val="00B55EFA"/>
    <w:rsid w:val="00B56029"/>
    <w:rsid w:val="00B560AD"/>
    <w:rsid w:val="00B5619A"/>
    <w:rsid w:val="00B562A0"/>
    <w:rsid w:val="00B56314"/>
    <w:rsid w:val="00B56329"/>
    <w:rsid w:val="00B56395"/>
    <w:rsid w:val="00B563A1"/>
    <w:rsid w:val="00B564E7"/>
    <w:rsid w:val="00B56530"/>
    <w:rsid w:val="00B5666A"/>
    <w:rsid w:val="00B5687B"/>
    <w:rsid w:val="00B56B50"/>
    <w:rsid w:val="00B56BA1"/>
    <w:rsid w:val="00B56BB1"/>
    <w:rsid w:val="00B56BC7"/>
    <w:rsid w:val="00B56D01"/>
    <w:rsid w:val="00B56D80"/>
    <w:rsid w:val="00B56D84"/>
    <w:rsid w:val="00B56E38"/>
    <w:rsid w:val="00B56E43"/>
    <w:rsid w:val="00B56E83"/>
    <w:rsid w:val="00B56EF6"/>
    <w:rsid w:val="00B56F98"/>
    <w:rsid w:val="00B5707C"/>
    <w:rsid w:val="00B570A0"/>
    <w:rsid w:val="00B5726B"/>
    <w:rsid w:val="00B572FA"/>
    <w:rsid w:val="00B5732B"/>
    <w:rsid w:val="00B573AA"/>
    <w:rsid w:val="00B57421"/>
    <w:rsid w:val="00B57536"/>
    <w:rsid w:val="00B57568"/>
    <w:rsid w:val="00B575A1"/>
    <w:rsid w:val="00B575CA"/>
    <w:rsid w:val="00B575E4"/>
    <w:rsid w:val="00B575F0"/>
    <w:rsid w:val="00B57704"/>
    <w:rsid w:val="00B57761"/>
    <w:rsid w:val="00B57889"/>
    <w:rsid w:val="00B578DF"/>
    <w:rsid w:val="00B579E9"/>
    <w:rsid w:val="00B57A1B"/>
    <w:rsid w:val="00B57BE9"/>
    <w:rsid w:val="00B57CF1"/>
    <w:rsid w:val="00B57DEE"/>
    <w:rsid w:val="00B57E42"/>
    <w:rsid w:val="00B57E46"/>
    <w:rsid w:val="00B57F22"/>
    <w:rsid w:val="00B57F73"/>
    <w:rsid w:val="00B57FAD"/>
    <w:rsid w:val="00B57FB9"/>
    <w:rsid w:val="00B57FC0"/>
    <w:rsid w:val="00B60144"/>
    <w:rsid w:val="00B6023E"/>
    <w:rsid w:val="00B60367"/>
    <w:rsid w:val="00B603D6"/>
    <w:rsid w:val="00B605C2"/>
    <w:rsid w:val="00B60640"/>
    <w:rsid w:val="00B60896"/>
    <w:rsid w:val="00B609DA"/>
    <w:rsid w:val="00B609E5"/>
    <w:rsid w:val="00B60A94"/>
    <w:rsid w:val="00B60AFF"/>
    <w:rsid w:val="00B60B40"/>
    <w:rsid w:val="00B60BDA"/>
    <w:rsid w:val="00B60C14"/>
    <w:rsid w:val="00B60CC3"/>
    <w:rsid w:val="00B60E10"/>
    <w:rsid w:val="00B60E52"/>
    <w:rsid w:val="00B60E7C"/>
    <w:rsid w:val="00B60E99"/>
    <w:rsid w:val="00B60EE6"/>
    <w:rsid w:val="00B610AE"/>
    <w:rsid w:val="00B611E0"/>
    <w:rsid w:val="00B61219"/>
    <w:rsid w:val="00B61319"/>
    <w:rsid w:val="00B6133F"/>
    <w:rsid w:val="00B614A1"/>
    <w:rsid w:val="00B615F2"/>
    <w:rsid w:val="00B61614"/>
    <w:rsid w:val="00B616A5"/>
    <w:rsid w:val="00B616F9"/>
    <w:rsid w:val="00B619E0"/>
    <w:rsid w:val="00B61AC0"/>
    <w:rsid w:val="00B61B3B"/>
    <w:rsid w:val="00B61CBA"/>
    <w:rsid w:val="00B61F1A"/>
    <w:rsid w:val="00B61F67"/>
    <w:rsid w:val="00B61FC2"/>
    <w:rsid w:val="00B61FDC"/>
    <w:rsid w:val="00B62085"/>
    <w:rsid w:val="00B6217E"/>
    <w:rsid w:val="00B62231"/>
    <w:rsid w:val="00B62267"/>
    <w:rsid w:val="00B62308"/>
    <w:rsid w:val="00B623C7"/>
    <w:rsid w:val="00B62415"/>
    <w:rsid w:val="00B624F0"/>
    <w:rsid w:val="00B626A1"/>
    <w:rsid w:val="00B626FE"/>
    <w:rsid w:val="00B62712"/>
    <w:rsid w:val="00B62720"/>
    <w:rsid w:val="00B627BF"/>
    <w:rsid w:val="00B62989"/>
    <w:rsid w:val="00B6298D"/>
    <w:rsid w:val="00B629A1"/>
    <w:rsid w:val="00B62AB6"/>
    <w:rsid w:val="00B62B83"/>
    <w:rsid w:val="00B62CC0"/>
    <w:rsid w:val="00B62CE8"/>
    <w:rsid w:val="00B62E5F"/>
    <w:rsid w:val="00B62E60"/>
    <w:rsid w:val="00B62F66"/>
    <w:rsid w:val="00B6301E"/>
    <w:rsid w:val="00B63041"/>
    <w:rsid w:val="00B630B7"/>
    <w:rsid w:val="00B630CD"/>
    <w:rsid w:val="00B632B0"/>
    <w:rsid w:val="00B632DF"/>
    <w:rsid w:val="00B63463"/>
    <w:rsid w:val="00B635B4"/>
    <w:rsid w:val="00B63637"/>
    <w:rsid w:val="00B636C3"/>
    <w:rsid w:val="00B63795"/>
    <w:rsid w:val="00B63817"/>
    <w:rsid w:val="00B6384D"/>
    <w:rsid w:val="00B6385E"/>
    <w:rsid w:val="00B63920"/>
    <w:rsid w:val="00B63970"/>
    <w:rsid w:val="00B63972"/>
    <w:rsid w:val="00B639B6"/>
    <w:rsid w:val="00B639C0"/>
    <w:rsid w:val="00B63AC1"/>
    <w:rsid w:val="00B63C6A"/>
    <w:rsid w:val="00B63CD7"/>
    <w:rsid w:val="00B63DA8"/>
    <w:rsid w:val="00B63DE0"/>
    <w:rsid w:val="00B63DE2"/>
    <w:rsid w:val="00B63E59"/>
    <w:rsid w:val="00B63EA3"/>
    <w:rsid w:val="00B63F83"/>
    <w:rsid w:val="00B64059"/>
    <w:rsid w:val="00B6405B"/>
    <w:rsid w:val="00B64104"/>
    <w:rsid w:val="00B64141"/>
    <w:rsid w:val="00B641BF"/>
    <w:rsid w:val="00B64248"/>
    <w:rsid w:val="00B644A6"/>
    <w:rsid w:val="00B647E2"/>
    <w:rsid w:val="00B6485A"/>
    <w:rsid w:val="00B64923"/>
    <w:rsid w:val="00B649B0"/>
    <w:rsid w:val="00B649C4"/>
    <w:rsid w:val="00B64A87"/>
    <w:rsid w:val="00B64AFA"/>
    <w:rsid w:val="00B64C04"/>
    <w:rsid w:val="00B64C0E"/>
    <w:rsid w:val="00B64C86"/>
    <w:rsid w:val="00B64CB9"/>
    <w:rsid w:val="00B64D32"/>
    <w:rsid w:val="00B64E74"/>
    <w:rsid w:val="00B65018"/>
    <w:rsid w:val="00B65090"/>
    <w:rsid w:val="00B6509F"/>
    <w:rsid w:val="00B6518B"/>
    <w:rsid w:val="00B6527D"/>
    <w:rsid w:val="00B65301"/>
    <w:rsid w:val="00B6543F"/>
    <w:rsid w:val="00B65578"/>
    <w:rsid w:val="00B656CF"/>
    <w:rsid w:val="00B656ED"/>
    <w:rsid w:val="00B6578E"/>
    <w:rsid w:val="00B657A4"/>
    <w:rsid w:val="00B65843"/>
    <w:rsid w:val="00B65870"/>
    <w:rsid w:val="00B65A00"/>
    <w:rsid w:val="00B65B7F"/>
    <w:rsid w:val="00B65C98"/>
    <w:rsid w:val="00B65CC0"/>
    <w:rsid w:val="00B65CDC"/>
    <w:rsid w:val="00B65ECF"/>
    <w:rsid w:val="00B66072"/>
    <w:rsid w:val="00B66174"/>
    <w:rsid w:val="00B661DD"/>
    <w:rsid w:val="00B661F5"/>
    <w:rsid w:val="00B66209"/>
    <w:rsid w:val="00B662B3"/>
    <w:rsid w:val="00B662BA"/>
    <w:rsid w:val="00B66376"/>
    <w:rsid w:val="00B66452"/>
    <w:rsid w:val="00B664EE"/>
    <w:rsid w:val="00B665AD"/>
    <w:rsid w:val="00B6662A"/>
    <w:rsid w:val="00B6662F"/>
    <w:rsid w:val="00B666CB"/>
    <w:rsid w:val="00B66731"/>
    <w:rsid w:val="00B6686F"/>
    <w:rsid w:val="00B668FF"/>
    <w:rsid w:val="00B66D58"/>
    <w:rsid w:val="00B66E86"/>
    <w:rsid w:val="00B66FA5"/>
    <w:rsid w:val="00B67066"/>
    <w:rsid w:val="00B67104"/>
    <w:rsid w:val="00B67144"/>
    <w:rsid w:val="00B6717C"/>
    <w:rsid w:val="00B671EF"/>
    <w:rsid w:val="00B6720B"/>
    <w:rsid w:val="00B6736A"/>
    <w:rsid w:val="00B673E4"/>
    <w:rsid w:val="00B67624"/>
    <w:rsid w:val="00B6768F"/>
    <w:rsid w:val="00B67731"/>
    <w:rsid w:val="00B677D7"/>
    <w:rsid w:val="00B6789A"/>
    <w:rsid w:val="00B678E6"/>
    <w:rsid w:val="00B67997"/>
    <w:rsid w:val="00B67A40"/>
    <w:rsid w:val="00B67AD5"/>
    <w:rsid w:val="00B67B8D"/>
    <w:rsid w:val="00B67C6B"/>
    <w:rsid w:val="00B67CBD"/>
    <w:rsid w:val="00B67CE2"/>
    <w:rsid w:val="00B67E64"/>
    <w:rsid w:val="00B7010D"/>
    <w:rsid w:val="00B70138"/>
    <w:rsid w:val="00B703EE"/>
    <w:rsid w:val="00B703F9"/>
    <w:rsid w:val="00B70534"/>
    <w:rsid w:val="00B70586"/>
    <w:rsid w:val="00B706F2"/>
    <w:rsid w:val="00B70717"/>
    <w:rsid w:val="00B7073A"/>
    <w:rsid w:val="00B7073D"/>
    <w:rsid w:val="00B70786"/>
    <w:rsid w:val="00B707CE"/>
    <w:rsid w:val="00B709ED"/>
    <w:rsid w:val="00B70A46"/>
    <w:rsid w:val="00B70A76"/>
    <w:rsid w:val="00B70AE7"/>
    <w:rsid w:val="00B70C4E"/>
    <w:rsid w:val="00B70CA4"/>
    <w:rsid w:val="00B70CCD"/>
    <w:rsid w:val="00B70DA3"/>
    <w:rsid w:val="00B70DE6"/>
    <w:rsid w:val="00B710D6"/>
    <w:rsid w:val="00B71103"/>
    <w:rsid w:val="00B7111A"/>
    <w:rsid w:val="00B71121"/>
    <w:rsid w:val="00B7114B"/>
    <w:rsid w:val="00B7128A"/>
    <w:rsid w:val="00B712F0"/>
    <w:rsid w:val="00B7135E"/>
    <w:rsid w:val="00B713AF"/>
    <w:rsid w:val="00B713F8"/>
    <w:rsid w:val="00B71467"/>
    <w:rsid w:val="00B71612"/>
    <w:rsid w:val="00B7179E"/>
    <w:rsid w:val="00B717BB"/>
    <w:rsid w:val="00B7199F"/>
    <w:rsid w:val="00B71AF3"/>
    <w:rsid w:val="00B71B75"/>
    <w:rsid w:val="00B71BD9"/>
    <w:rsid w:val="00B71CAD"/>
    <w:rsid w:val="00B71D15"/>
    <w:rsid w:val="00B71D4D"/>
    <w:rsid w:val="00B71D53"/>
    <w:rsid w:val="00B71E24"/>
    <w:rsid w:val="00B71E94"/>
    <w:rsid w:val="00B71F09"/>
    <w:rsid w:val="00B71F6F"/>
    <w:rsid w:val="00B72139"/>
    <w:rsid w:val="00B72175"/>
    <w:rsid w:val="00B7228B"/>
    <w:rsid w:val="00B7230F"/>
    <w:rsid w:val="00B72461"/>
    <w:rsid w:val="00B724A9"/>
    <w:rsid w:val="00B725F4"/>
    <w:rsid w:val="00B7260F"/>
    <w:rsid w:val="00B726BC"/>
    <w:rsid w:val="00B72739"/>
    <w:rsid w:val="00B7278A"/>
    <w:rsid w:val="00B7293E"/>
    <w:rsid w:val="00B7294E"/>
    <w:rsid w:val="00B72954"/>
    <w:rsid w:val="00B72960"/>
    <w:rsid w:val="00B72A35"/>
    <w:rsid w:val="00B72AAE"/>
    <w:rsid w:val="00B72AC5"/>
    <w:rsid w:val="00B72B08"/>
    <w:rsid w:val="00B72B6F"/>
    <w:rsid w:val="00B72C9E"/>
    <w:rsid w:val="00B72CB9"/>
    <w:rsid w:val="00B72CDE"/>
    <w:rsid w:val="00B72DBD"/>
    <w:rsid w:val="00B72E15"/>
    <w:rsid w:val="00B72EF5"/>
    <w:rsid w:val="00B72FEC"/>
    <w:rsid w:val="00B7312A"/>
    <w:rsid w:val="00B7314A"/>
    <w:rsid w:val="00B73253"/>
    <w:rsid w:val="00B73448"/>
    <w:rsid w:val="00B73527"/>
    <w:rsid w:val="00B7356C"/>
    <w:rsid w:val="00B7358D"/>
    <w:rsid w:val="00B735A0"/>
    <w:rsid w:val="00B73648"/>
    <w:rsid w:val="00B736AC"/>
    <w:rsid w:val="00B736EB"/>
    <w:rsid w:val="00B73829"/>
    <w:rsid w:val="00B738DD"/>
    <w:rsid w:val="00B7395F"/>
    <w:rsid w:val="00B73AE8"/>
    <w:rsid w:val="00B73C6C"/>
    <w:rsid w:val="00B73CB0"/>
    <w:rsid w:val="00B73CE7"/>
    <w:rsid w:val="00B73EA9"/>
    <w:rsid w:val="00B73F45"/>
    <w:rsid w:val="00B73F72"/>
    <w:rsid w:val="00B73F7E"/>
    <w:rsid w:val="00B73FE7"/>
    <w:rsid w:val="00B73FF9"/>
    <w:rsid w:val="00B74026"/>
    <w:rsid w:val="00B74032"/>
    <w:rsid w:val="00B7404B"/>
    <w:rsid w:val="00B7409C"/>
    <w:rsid w:val="00B740AF"/>
    <w:rsid w:val="00B740D9"/>
    <w:rsid w:val="00B741B7"/>
    <w:rsid w:val="00B7427C"/>
    <w:rsid w:val="00B7430E"/>
    <w:rsid w:val="00B74423"/>
    <w:rsid w:val="00B7449A"/>
    <w:rsid w:val="00B7457C"/>
    <w:rsid w:val="00B745F5"/>
    <w:rsid w:val="00B7463F"/>
    <w:rsid w:val="00B7464A"/>
    <w:rsid w:val="00B7471C"/>
    <w:rsid w:val="00B74905"/>
    <w:rsid w:val="00B7492B"/>
    <w:rsid w:val="00B74961"/>
    <w:rsid w:val="00B749F1"/>
    <w:rsid w:val="00B74AC3"/>
    <w:rsid w:val="00B74B3F"/>
    <w:rsid w:val="00B74BA7"/>
    <w:rsid w:val="00B74CCF"/>
    <w:rsid w:val="00B74DAE"/>
    <w:rsid w:val="00B74DD1"/>
    <w:rsid w:val="00B74F09"/>
    <w:rsid w:val="00B74FAF"/>
    <w:rsid w:val="00B74FD8"/>
    <w:rsid w:val="00B7507C"/>
    <w:rsid w:val="00B750DD"/>
    <w:rsid w:val="00B75189"/>
    <w:rsid w:val="00B751C1"/>
    <w:rsid w:val="00B75276"/>
    <w:rsid w:val="00B75285"/>
    <w:rsid w:val="00B752C9"/>
    <w:rsid w:val="00B752E0"/>
    <w:rsid w:val="00B75485"/>
    <w:rsid w:val="00B75583"/>
    <w:rsid w:val="00B75596"/>
    <w:rsid w:val="00B755D4"/>
    <w:rsid w:val="00B7568E"/>
    <w:rsid w:val="00B756E8"/>
    <w:rsid w:val="00B756EF"/>
    <w:rsid w:val="00B75719"/>
    <w:rsid w:val="00B75833"/>
    <w:rsid w:val="00B75858"/>
    <w:rsid w:val="00B75A1E"/>
    <w:rsid w:val="00B75ABC"/>
    <w:rsid w:val="00B75B1A"/>
    <w:rsid w:val="00B75B4B"/>
    <w:rsid w:val="00B75CCC"/>
    <w:rsid w:val="00B75E14"/>
    <w:rsid w:val="00B75E15"/>
    <w:rsid w:val="00B75E63"/>
    <w:rsid w:val="00B76019"/>
    <w:rsid w:val="00B76067"/>
    <w:rsid w:val="00B760C9"/>
    <w:rsid w:val="00B760CA"/>
    <w:rsid w:val="00B76100"/>
    <w:rsid w:val="00B7618A"/>
    <w:rsid w:val="00B7618C"/>
    <w:rsid w:val="00B761C1"/>
    <w:rsid w:val="00B76294"/>
    <w:rsid w:val="00B7648D"/>
    <w:rsid w:val="00B76491"/>
    <w:rsid w:val="00B76555"/>
    <w:rsid w:val="00B765CD"/>
    <w:rsid w:val="00B7666D"/>
    <w:rsid w:val="00B766D7"/>
    <w:rsid w:val="00B766E5"/>
    <w:rsid w:val="00B7676B"/>
    <w:rsid w:val="00B767E1"/>
    <w:rsid w:val="00B76813"/>
    <w:rsid w:val="00B768E0"/>
    <w:rsid w:val="00B76924"/>
    <w:rsid w:val="00B7699A"/>
    <w:rsid w:val="00B769A3"/>
    <w:rsid w:val="00B769B4"/>
    <w:rsid w:val="00B76B10"/>
    <w:rsid w:val="00B76BA7"/>
    <w:rsid w:val="00B76CCE"/>
    <w:rsid w:val="00B76D9E"/>
    <w:rsid w:val="00B76F23"/>
    <w:rsid w:val="00B76F9A"/>
    <w:rsid w:val="00B770D0"/>
    <w:rsid w:val="00B770D4"/>
    <w:rsid w:val="00B77109"/>
    <w:rsid w:val="00B771CB"/>
    <w:rsid w:val="00B772EB"/>
    <w:rsid w:val="00B774DD"/>
    <w:rsid w:val="00B774FC"/>
    <w:rsid w:val="00B77747"/>
    <w:rsid w:val="00B7782E"/>
    <w:rsid w:val="00B7784B"/>
    <w:rsid w:val="00B778C2"/>
    <w:rsid w:val="00B779CB"/>
    <w:rsid w:val="00B77A1D"/>
    <w:rsid w:val="00B77A2E"/>
    <w:rsid w:val="00B77A35"/>
    <w:rsid w:val="00B77A82"/>
    <w:rsid w:val="00B77A87"/>
    <w:rsid w:val="00B77BBE"/>
    <w:rsid w:val="00B77BF1"/>
    <w:rsid w:val="00B77CA0"/>
    <w:rsid w:val="00B77CCC"/>
    <w:rsid w:val="00B77CE1"/>
    <w:rsid w:val="00B77D14"/>
    <w:rsid w:val="00B77E10"/>
    <w:rsid w:val="00B77E64"/>
    <w:rsid w:val="00B77F92"/>
    <w:rsid w:val="00B77FC5"/>
    <w:rsid w:val="00B80194"/>
    <w:rsid w:val="00B801C6"/>
    <w:rsid w:val="00B8029D"/>
    <w:rsid w:val="00B80360"/>
    <w:rsid w:val="00B804C4"/>
    <w:rsid w:val="00B80540"/>
    <w:rsid w:val="00B805F8"/>
    <w:rsid w:val="00B80601"/>
    <w:rsid w:val="00B806FF"/>
    <w:rsid w:val="00B807DB"/>
    <w:rsid w:val="00B80921"/>
    <w:rsid w:val="00B809C2"/>
    <w:rsid w:val="00B809FA"/>
    <w:rsid w:val="00B80A12"/>
    <w:rsid w:val="00B80A77"/>
    <w:rsid w:val="00B80B30"/>
    <w:rsid w:val="00B80BAE"/>
    <w:rsid w:val="00B80C15"/>
    <w:rsid w:val="00B80CED"/>
    <w:rsid w:val="00B80DA7"/>
    <w:rsid w:val="00B80DE1"/>
    <w:rsid w:val="00B80FB2"/>
    <w:rsid w:val="00B810AE"/>
    <w:rsid w:val="00B814A6"/>
    <w:rsid w:val="00B8166E"/>
    <w:rsid w:val="00B8178E"/>
    <w:rsid w:val="00B81800"/>
    <w:rsid w:val="00B81830"/>
    <w:rsid w:val="00B8198D"/>
    <w:rsid w:val="00B8199A"/>
    <w:rsid w:val="00B819C7"/>
    <w:rsid w:val="00B81A92"/>
    <w:rsid w:val="00B81B50"/>
    <w:rsid w:val="00B81C95"/>
    <w:rsid w:val="00B81EF4"/>
    <w:rsid w:val="00B81F6C"/>
    <w:rsid w:val="00B820CD"/>
    <w:rsid w:val="00B820F4"/>
    <w:rsid w:val="00B8213E"/>
    <w:rsid w:val="00B8234A"/>
    <w:rsid w:val="00B82384"/>
    <w:rsid w:val="00B823FA"/>
    <w:rsid w:val="00B82464"/>
    <w:rsid w:val="00B82698"/>
    <w:rsid w:val="00B8270B"/>
    <w:rsid w:val="00B82724"/>
    <w:rsid w:val="00B82850"/>
    <w:rsid w:val="00B828B6"/>
    <w:rsid w:val="00B8297C"/>
    <w:rsid w:val="00B829D5"/>
    <w:rsid w:val="00B82A3E"/>
    <w:rsid w:val="00B82ADA"/>
    <w:rsid w:val="00B82BCB"/>
    <w:rsid w:val="00B82DB9"/>
    <w:rsid w:val="00B82E51"/>
    <w:rsid w:val="00B82E7F"/>
    <w:rsid w:val="00B82EF4"/>
    <w:rsid w:val="00B82F80"/>
    <w:rsid w:val="00B82FB7"/>
    <w:rsid w:val="00B83059"/>
    <w:rsid w:val="00B830E9"/>
    <w:rsid w:val="00B830EE"/>
    <w:rsid w:val="00B8310D"/>
    <w:rsid w:val="00B83227"/>
    <w:rsid w:val="00B8324E"/>
    <w:rsid w:val="00B8332F"/>
    <w:rsid w:val="00B834D2"/>
    <w:rsid w:val="00B83529"/>
    <w:rsid w:val="00B8367B"/>
    <w:rsid w:val="00B836B4"/>
    <w:rsid w:val="00B836BD"/>
    <w:rsid w:val="00B836EB"/>
    <w:rsid w:val="00B837B5"/>
    <w:rsid w:val="00B837BC"/>
    <w:rsid w:val="00B838B9"/>
    <w:rsid w:val="00B83919"/>
    <w:rsid w:val="00B83934"/>
    <w:rsid w:val="00B8399E"/>
    <w:rsid w:val="00B83A07"/>
    <w:rsid w:val="00B83A2D"/>
    <w:rsid w:val="00B83B48"/>
    <w:rsid w:val="00B83BDD"/>
    <w:rsid w:val="00B83C63"/>
    <w:rsid w:val="00B83CAC"/>
    <w:rsid w:val="00B83D32"/>
    <w:rsid w:val="00B83E03"/>
    <w:rsid w:val="00B83E66"/>
    <w:rsid w:val="00B83EA6"/>
    <w:rsid w:val="00B83EB4"/>
    <w:rsid w:val="00B83F78"/>
    <w:rsid w:val="00B83FC4"/>
    <w:rsid w:val="00B8402A"/>
    <w:rsid w:val="00B84049"/>
    <w:rsid w:val="00B8406C"/>
    <w:rsid w:val="00B84079"/>
    <w:rsid w:val="00B84082"/>
    <w:rsid w:val="00B840A4"/>
    <w:rsid w:val="00B840B6"/>
    <w:rsid w:val="00B8410E"/>
    <w:rsid w:val="00B84186"/>
    <w:rsid w:val="00B8425E"/>
    <w:rsid w:val="00B843AA"/>
    <w:rsid w:val="00B843EF"/>
    <w:rsid w:val="00B84444"/>
    <w:rsid w:val="00B8446D"/>
    <w:rsid w:val="00B844FF"/>
    <w:rsid w:val="00B84668"/>
    <w:rsid w:val="00B847EE"/>
    <w:rsid w:val="00B8484E"/>
    <w:rsid w:val="00B848A5"/>
    <w:rsid w:val="00B84A0A"/>
    <w:rsid w:val="00B84AB8"/>
    <w:rsid w:val="00B84B9E"/>
    <w:rsid w:val="00B84CFF"/>
    <w:rsid w:val="00B84D9F"/>
    <w:rsid w:val="00B84DD6"/>
    <w:rsid w:val="00B84E66"/>
    <w:rsid w:val="00B84F52"/>
    <w:rsid w:val="00B84F94"/>
    <w:rsid w:val="00B84F99"/>
    <w:rsid w:val="00B84FB8"/>
    <w:rsid w:val="00B84FB9"/>
    <w:rsid w:val="00B8501F"/>
    <w:rsid w:val="00B85023"/>
    <w:rsid w:val="00B851AE"/>
    <w:rsid w:val="00B852AD"/>
    <w:rsid w:val="00B85369"/>
    <w:rsid w:val="00B8537F"/>
    <w:rsid w:val="00B853B0"/>
    <w:rsid w:val="00B854B4"/>
    <w:rsid w:val="00B854FA"/>
    <w:rsid w:val="00B856F4"/>
    <w:rsid w:val="00B85724"/>
    <w:rsid w:val="00B85765"/>
    <w:rsid w:val="00B85849"/>
    <w:rsid w:val="00B858CC"/>
    <w:rsid w:val="00B85993"/>
    <w:rsid w:val="00B85995"/>
    <w:rsid w:val="00B85ACE"/>
    <w:rsid w:val="00B85B91"/>
    <w:rsid w:val="00B85BE9"/>
    <w:rsid w:val="00B85BF3"/>
    <w:rsid w:val="00B85D52"/>
    <w:rsid w:val="00B85DEE"/>
    <w:rsid w:val="00B85E00"/>
    <w:rsid w:val="00B85EBF"/>
    <w:rsid w:val="00B85EDD"/>
    <w:rsid w:val="00B85EFE"/>
    <w:rsid w:val="00B85FBC"/>
    <w:rsid w:val="00B85FC6"/>
    <w:rsid w:val="00B860FE"/>
    <w:rsid w:val="00B861B1"/>
    <w:rsid w:val="00B862D8"/>
    <w:rsid w:val="00B86378"/>
    <w:rsid w:val="00B8653A"/>
    <w:rsid w:val="00B86654"/>
    <w:rsid w:val="00B86772"/>
    <w:rsid w:val="00B867C6"/>
    <w:rsid w:val="00B8682F"/>
    <w:rsid w:val="00B86A14"/>
    <w:rsid w:val="00B86A2F"/>
    <w:rsid w:val="00B86A48"/>
    <w:rsid w:val="00B86B4A"/>
    <w:rsid w:val="00B86CA7"/>
    <w:rsid w:val="00B86CCD"/>
    <w:rsid w:val="00B86DAA"/>
    <w:rsid w:val="00B86DB0"/>
    <w:rsid w:val="00B86DD6"/>
    <w:rsid w:val="00B86DEB"/>
    <w:rsid w:val="00B86EA4"/>
    <w:rsid w:val="00B86FE1"/>
    <w:rsid w:val="00B870AE"/>
    <w:rsid w:val="00B87145"/>
    <w:rsid w:val="00B87156"/>
    <w:rsid w:val="00B8718A"/>
    <w:rsid w:val="00B871B8"/>
    <w:rsid w:val="00B871FD"/>
    <w:rsid w:val="00B8736E"/>
    <w:rsid w:val="00B873EF"/>
    <w:rsid w:val="00B874A9"/>
    <w:rsid w:val="00B87508"/>
    <w:rsid w:val="00B87635"/>
    <w:rsid w:val="00B8767A"/>
    <w:rsid w:val="00B876E3"/>
    <w:rsid w:val="00B8773D"/>
    <w:rsid w:val="00B87783"/>
    <w:rsid w:val="00B8778D"/>
    <w:rsid w:val="00B87893"/>
    <w:rsid w:val="00B87971"/>
    <w:rsid w:val="00B8799A"/>
    <w:rsid w:val="00B879A4"/>
    <w:rsid w:val="00B879C9"/>
    <w:rsid w:val="00B87C43"/>
    <w:rsid w:val="00B87CF0"/>
    <w:rsid w:val="00B87D6C"/>
    <w:rsid w:val="00B87F31"/>
    <w:rsid w:val="00B87F5B"/>
    <w:rsid w:val="00B90020"/>
    <w:rsid w:val="00B9010F"/>
    <w:rsid w:val="00B90134"/>
    <w:rsid w:val="00B9025B"/>
    <w:rsid w:val="00B9027B"/>
    <w:rsid w:val="00B902A1"/>
    <w:rsid w:val="00B90350"/>
    <w:rsid w:val="00B90376"/>
    <w:rsid w:val="00B90406"/>
    <w:rsid w:val="00B90445"/>
    <w:rsid w:val="00B904DA"/>
    <w:rsid w:val="00B9073F"/>
    <w:rsid w:val="00B907F3"/>
    <w:rsid w:val="00B908DD"/>
    <w:rsid w:val="00B90921"/>
    <w:rsid w:val="00B90AE1"/>
    <w:rsid w:val="00B90CD8"/>
    <w:rsid w:val="00B90FAF"/>
    <w:rsid w:val="00B90FCA"/>
    <w:rsid w:val="00B911DD"/>
    <w:rsid w:val="00B9121B"/>
    <w:rsid w:val="00B91451"/>
    <w:rsid w:val="00B91518"/>
    <w:rsid w:val="00B91591"/>
    <w:rsid w:val="00B915A1"/>
    <w:rsid w:val="00B915BC"/>
    <w:rsid w:val="00B916BB"/>
    <w:rsid w:val="00B9185D"/>
    <w:rsid w:val="00B918D7"/>
    <w:rsid w:val="00B91AA6"/>
    <w:rsid w:val="00B91B7B"/>
    <w:rsid w:val="00B91C68"/>
    <w:rsid w:val="00B91CAE"/>
    <w:rsid w:val="00B91CF0"/>
    <w:rsid w:val="00B91D46"/>
    <w:rsid w:val="00B91D85"/>
    <w:rsid w:val="00B91D9F"/>
    <w:rsid w:val="00B91E81"/>
    <w:rsid w:val="00B91EFD"/>
    <w:rsid w:val="00B91F17"/>
    <w:rsid w:val="00B91FAB"/>
    <w:rsid w:val="00B92017"/>
    <w:rsid w:val="00B92082"/>
    <w:rsid w:val="00B92137"/>
    <w:rsid w:val="00B92154"/>
    <w:rsid w:val="00B921EC"/>
    <w:rsid w:val="00B92246"/>
    <w:rsid w:val="00B922AA"/>
    <w:rsid w:val="00B922B2"/>
    <w:rsid w:val="00B92315"/>
    <w:rsid w:val="00B9232B"/>
    <w:rsid w:val="00B923BD"/>
    <w:rsid w:val="00B923FB"/>
    <w:rsid w:val="00B924E7"/>
    <w:rsid w:val="00B9256C"/>
    <w:rsid w:val="00B92582"/>
    <w:rsid w:val="00B9259E"/>
    <w:rsid w:val="00B9265E"/>
    <w:rsid w:val="00B927CD"/>
    <w:rsid w:val="00B92817"/>
    <w:rsid w:val="00B928D6"/>
    <w:rsid w:val="00B928D8"/>
    <w:rsid w:val="00B92925"/>
    <w:rsid w:val="00B92929"/>
    <w:rsid w:val="00B92972"/>
    <w:rsid w:val="00B92998"/>
    <w:rsid w:val="00B929C0"/>
    <w:rsid w:val="00B92B0D"/>
    <w:rsid w:val="00B92B4F"/>
    <w:rsid w:val="00B92C14"/>
    <w:rsid w:val="00B92CDB"/>
    <w:rsid w:val="00B92D44"/>
    <w:rsid w:val="00B92DBE"/>
    <w:rsid w:val="00B92E21"/>
    <w:rsid w:val="00B92E26"/>
    <w:rsid w:val="00B92E4C"/>
    <w:rsid w:val="00B92F41"/>
    <w:rsid w:val="00B92FCB"/>
    <w:rsid w:val="00B93064"/>
    <w:rsid w:val="00B93127"/>
    <w:rsid w:val="00B931B2"/>
    <w:rsid w:val="00B9320A"/>
    <w:rsid w:val="00B93236"/>
    <w:rsid w:val="00B93245"/>
    <w:rsid w:val="00B93251"/>
    <w:rsid w:val="00B93283"/>
    <w:rsid w:val="00B932BE"/>
    <w:rsid w:val="00B932DA"/>
    <w:rsid w:val="00B932F0"/>
    <w:rsid w:val="00B934E6"/>
    <w:rsid w:val="00B93530"/>
    <w:rsid w:val="00B93636"/>
    <w:rsid w:val="00B93656"/>
    <w:rsid w:val="00B93698"/>
    <w:rsid w:val="00B9369D"/>
    <w:rsid w:val="00B93732"/>
    <w:rsid w:val="00B93769"/>
    <w:rsid w:val="00B938CC"/>
    <w:rsid w:val="00B938F5"/>
    <w:rsid w:val="00B93916"/>
    <w:rsid w:val="00B9394D"/>
    <w:rsid w:val="00B93963"/>
    <w:rsid w:val="00B93A5F"/>
    <w:rsid w:val="00B93A9F"/>
    <w:rsid w:val="00B93ABB"/>
    <w:rsid w:val="00B93ED7"/>
    <w:rsid w:val="00B93F56"/>
    <w:rsid w:val="00B93F86"/>
    <w:rsid w:val="00B93F8D"/>
    <w:rsid w:val="00B94002"/>
    <w:rsid w:val="00B9413E"/>
    <w:rsid w:val="00B941A6"/>
    <w:rsid w:val="00B94210"/>
    <w:rsid w:val="00B94275"/>
    <w:rsid w:val="00B9429D"/>
    <w:rsid w:val="00B94351"/>
    <w:rsid w:val="00B94385"/>
    <w:rsid w:val="00B94387"/>
    <w:rsid w:val="00B9449F"/>
    <w:rsid w:val="00B94584"/>
    <w:rsid w:val="00B9465E"/>
    <w:rsid w:val="00B946B5"/>
    <w:rsid w:val="00B9470F"/>
    <w:rsid w:val="00B947C4"/>
    <w:rsid w:val="00B947D3"/>
    <w:rsid w:val="00B947DB"/>
    <w:rsid w:val="00B947E1"/>
    <w:rsid w:val="00B94851"/>
    <w:rsid w:val="00B94961"/>
    <w:rsid w:val="00B94977"/>
    <w:rsid w:val="00B94A8D"/>
    <w:rsid w:val="00B94AC6"/>
    <w:rsid w:val="00B94AE7"/>
    <w:rsid w:val="00B94B6D"/>
    <w:rsid w:val="00B94C22"/>
    <w:rsid w:val="00B94C2C"/>
    <w:rsid w:val="00B94D42"/>
    <w:rsid w:val="00B94F88"/>
    <w:rsid w:val="00B94FAB"/>
    <w:rsid w:val="00B94FAC"/>
    <w:rsid w:val="00B9502F"/>
    <w:rsid w:val="00B950B0"/>
    <w:rsid w:val="00B950DC"/>
    <w:rsid w:val="00B95125"/>
    <w:rsid w:val="00B9513A"/>
    <w:rsid w:val="00B951D7"/>
    <w:rsid w:val="00B952C7"/>
    <w:rsid w:val="00B95352"/>
    <w:rsid w:val="00B9536E"/>
    <w:rsid w:val="00B953CF"/>
    <w:rsid w:val="00B95449"/>
    <w:rsid w:val="00B9550C"/>
    <w:rsid w:val="00B95612"/>
    <w:rsid w:val="00B958B4"/>
    <w:rsid w:val="00B95900"/>
    <w:rsid w:val="00B95964"/>
    <w:rsid w:val="00B95A0D"/>
    <w:rsid w:val="00B95B5B"/>
    <w:rsid w:val="00B95BE1"/>
    <w:rsid w:val="00B95E7C"/>
    <w:rsid w:val="00B95F7C"/>
    <w:rsid w:val="00B95FDA"/>
    <w:rsid w:val="00B960DA"/>
    <w:rsid w:val="00B960E5"/>
    <w:rsid w:val="00B961B6"/>
    <w:rsid w:val="00B961DA"/>
    <w:rsid w:val="00B96232"/>
    <w:rsid w:val="00B9627F"/>
    <w:rsid w:val="00B9628A"/>
    <w:rsid w:val="00B962D5"/>
    <w:rsid w:val="00B96400"/>
    <w:rsid w:val="00B96537"/>
    <w:rsid w:val="00B96600"/>
    <w:rsid w:val="00B966E6"/>
    <w:rsid w:val="00B96836"/>
    <w:rsid w:val="00B9683F"/>
    <w:rsid w:val="00B9699D"/>
    <w:rsid w:val="00B969DD"/>
    <w:rsid w:val="00B96A05"/>
    <w:rsid w:val="00B96A2F"/>
    <w:rsid w:val="00B96CC9"/>
    <w:rsid w:val="00B96DBA"/>
    <w:rsid w:val="00B96DEE"/>
    <w:rsid w:val="00B96EEE"/>
    <w:rsid w:val="00B97030"/>
    <w:rsid w:val="00B97047"/>
    <w:rsid w:val="00B97159"/>
    <w:rsid w:val="00B97274"/>
    <w:rsid w:val="00B9729D"/>
    <w:rsid w:val="00B97429"/>
    <w:rsid w:val="00B974D6"/>
    <w:rsid w:val="00B97553"/>
    <w:rsid w:val="00B9758D"/>
    <w:rsid w:val="00B975C0"/>
    <w:rsid w:val="00B97771"/>
    <w:rsid w:val="00B977A2"/>
    <w:rsid w:val="00B97801"/>
    <w:rsid w:val="00B978DF"/>
    <w:rsid w:val="00B97A35"/>
    <w:rsid w:val="00B97AEC"/>
    <w:rsid w:val="00B97B11"/>
    <w:rsid w:val="00B97B71"/>
    <w:rsid w:val="00B97C87"/>
    <w:rsid w:val="00B97DDE"/>
    <w:rsid w:val="00B97EF9"/>
    <w:rsid w:val="00B97FC4"/>
    <w:rsid w:val="00BA0120"/>
    <w:rsid w:val="00BA0124"/>
    <w:rsid w:val="00BA0139"/>
    <w:rsid w:val="00BA0186"/>
    <w:rsid w:val="00BA01A8"/>
    <w:rsid w:val="00BA01DE"/>
    <w:rsid w:val="00BA02E7"/>
    <w:rsid w:val="00BA042E"/>
    <w:rsid w:val="00BA0506"/>
    <w:rsid w:val="00BA0546"/>
    <w:rsid w:val="00BA05C4"/>
    <w:rsid w:val="00BA06A7"/>
    <w:rsid w:val="00BA072E"/>
    <w:rsid w:val="00BA0788"/>
    <w:rsid w:val="00BA0850"/>
    <w:rsid w:val="00BA089F"/>
    <w:rsid w:val="00BA095C"/>
    <w:rsid w:val="00BA097F"/>
    <w:rsid w:val="00BA0A01"/>
    <w:rsid w:val="00BA0A57"/>
    <w:rsid w:val="00BA0A6C"/>
    <w:rsid w:val="00BA0AA3"/>
    <w:rsid w:val="00BA0BF2"/>
    <w:rsid w:val="00BA0C34"/>
    <w:rsid w:val="00BA0C73"/>
    <w:rsid w:val="00BA0D6E"/>
    <w:rsid w:val="00BA0D7D"/>
    <w:rsid w:val="00BA0DBE"/>
    <w:rsid w:val="00BA0E03"/>
    <w:rsid w:val="00BA0E4F"/>
    <w:rsid w:val="00BA0EF5"/>
    <w:rsid w:val="00BA0F63"/>
    <w:rsid w:val="00BA0FDD"/>
    <w:rsid w:val="00BA104D"/>
    <w:rsid w:val="00BA11BC"/>
    <w:rsid w:val="00BA1240"/>
    <w:rsid w:val="00BA127D"/>
    <w:rsid w:val="00BA12F5"/>
    <w:rsid w:val="00BA14F1"/>
    <w:rsid w:val="00BA1544"/>
    <w:rsid w:val="00BA162B"/>
    <w:rsid w:val="00BA1778"/>
    <w:rsid w:val="00BA1791"/>
    <w:rsid w:val="00BA1851"/>
    <w:rsid w:val="00BA1899"/>
    <w:rsid w:val="00BA190A"/>
    <w:rsid w:val="00BA1A08"/>
    <w:rsid w:val="00BA1A81"/>
    <w:rsid w:val="00BA1AAE"/>
    <w:rsid w:val="00BA1C0B"/>
    <w:rsid w:val="00BA1C58"/>
    <w:rsid w:val="00BA1D24"/>
    <w:rsid w:val="00BA1D42"/>
    <w:rsid w:val="00BA1DFE"/>
    <w:rsid w:val="00BA1E18"/>
    <w:rsid w:val="00BA1E52"/>
    <w:rsid w:val="00BA1EC4"/>
    <w:rsid w:val="00BA1ECA"/>
    <w:rsid w:val="00BA1F29"/>
    <w:rsid w:val="00BA1F39"/>
    <w:rsid w:val="00BA1FB6"/>
    <w:rsid w:val="00BA2049"/>
    <w:rsid w:val="00BA2050"/>
    <w:rsid w:val="00BA2098"/>
    <w:rsid w:val="00BA212C"/>
    <w:rsid w:val="00BA237D"/>
    <w:rsid w:val="00BA248E"/>
    <w:rsid w:val="00BA2650"/>
    <w:rsid w:val="00BA279A"/>
    <w:rsid w:val="00BA285E"/>
    <w:rsid w:val="00BA28B1"/>
    <w:rsid w:val="00BA295C"/>
    <w:rsid w:val="00BA2A0B"/>
    <w:rsid w:val="00BA2AA8"/>
    <w:rsid w:val="00BA2AB8"/>
    <w:rsid w:val="00BA2AE2"/>
    <w:rsid w:val="00BA2AE9"/>
    <w:rsid w:val="00BA2B22"/>
    <w:rsid w:val="00BA2B60"/>
    <w:rsid w:val="00BA2C01"/>
    <w:rsid w:val="00BA2CAF"/>
    <w:rsid w:val="00BA2D24"/>
    <w:rsid w:val="00BA2E12"/>
    <w:rsid w:val="00BA3018"/>
    <w:rsid w:val="00BA3023"/>
    <w:rsid w:val="00BA3104"/>
    <w:rsid w:val="00BA3341"/>
    <w:rsid w:val="00BA3342"/>
    <w:rsid w:val="00BA346E"/>
    <w:rsid w:val="00BA34A6"/>
    <w:rsid w:val="00BA352F"/>
    <w:rsid w:val="00BA3567"/>
    <w:rsid w:val="00BA365E"/>
    <w:rsid w:val="00BA376F"/>
    <w:rsid w:val="00BA37D9"/>
    <w:rsid w:val="00BA39CC"/>
    <w:rsid w:val="00BA3A61"/>
    <w:rsid w:val="00BA3AD3"/>
    <w:rsid w:val="00BA3B21"/>
    <w:rsid w:val="00BA3C73"/>
    <w:rsid w:val="00BA3C77"/>
    <w:rsid w:val="00BA3CA7"/>
    <w:rsid w:val="00BA3CC2"/>
    <w:rsid w:val="00BA3D86"/>
    <w:rsid w:val="00BA3DA8"/>
    <w:rsid w:val="00BA3DFA"/>
    <w:rsid w:val="00BA3E81"/>
    <w:rsid w:val="00BA3ED3"/>
    <w:rsid w:val="00BA3EDE"/>
    <w:rsid w:val="00BA3EF3"/>
    <w:rsid w:val="00BA4119"/>
    <w:rsid w:val="00BA417B"/>
    <w:rsid w:val="00BA419C"/>
    <w:rsid w:val="00BA432D"/>
    <w:rsid w:val="00BA4355"/>
    <w:rsid w:val="00BA43B5"/>
    <w:rsid w:val="00BA4474"/>
    <w:rsid w:val="00BA447B"/>
    <w:rsid w:val="00BA4498"/>
    <w:rsid w:val="00BA4609"/>
    <w:rsid w:val="00BA461F"/>
    <w:rsid w:val="00BA4764"/>
    <w:rsid w:val="00BA4781"/>
    <w:rsid w:val="00BA47F3"/>
    <w:rsid w:val="00BA4805"/>
    <w:rsid w:val="00BA483D"/>
    <w:rsid w:val="00BA49EC"/>
    <w:rsid w:val="00BA4ACE"/>
    <w:rsid w:val="00BA4B8F"/>
    <w:rsid w:val="00BA4BDD"/>
    <w:rsid w:val="00BA4CDE"/>
    <w:rsid w:val="00BA4D21"/>
    <w:rsid w:val="00BA4E0A"/>
    <w:rsid w:val="00BA4E2D"/>
    <w:rsid w:val="00BA4ED4"/>
    <w:rsid w:val="00BA5065"/>
    <w:rsid w:val="00BA52C7"/>
    <w:rsid w:val="00BA5318"/>
    <w:rsid w:val="00BA5494"/>
    <w:rsid w:val="00BA54B3"/>
    <w:rsid w:val="00BA5598"/>
    <w:rsid w:val="00BA56C1"/>
    <w:rsid w:val="00BA5780"/>
    <w:rsid w:val="00BA58DF"/>
    <w:rsid w:val="00BA5904"/>
    <w:rsid w:val="00BA59C9"/>
    <w:rsid w:val="00BA5AEF"/>
    <w:rsid w:val="00BA5B33"/>
    <w:rsid w:val="00BA5B7D"/>
    <w:rsid w:val="00BA5C43"/>
    <w:rsid w:val="00BA5C80"/>
    <w:rsid w:val="00BA5D28"/>
    <w:rsid w:val="00BA5DCA"/>
    <w:rsid w:val="00BA5F22"/>
    <w:rsid w:val="00BA5F59"/>
    <w:rsid w:val="00BA6053"/>
    <w:rsid w:val="00BA6090"/>
    <w:rsid w:val="00BA6143"/>
    <w:rsid w:val="00BA6145"/>
    <w:rsid w:val="00BA6176"/>
    <w:rsid w:val="00BA62BD"/>
    <w:rsid w:val="00BA6429"/>
    <w:rsid w:val="00BA6435"/>
    <w:rsid w:val="00BA6462"/>
    <w:rsid w:val="00BA64E1"/>
    <w:rsid w:val="00BA64FF"/>
    <w:rsid w:val="00BA65F1"/>
    <w:rsid w:val="00BA6909"/>
    <w:rsid w:val="00BA69A2"/>
    <w:rsid w:val="00BA6A18"/>
    <w:rsid w:val="00BA6ABE"/>
    <w:rsid w:val="00BA6B54"/>
    <w:rsid w:val="00BA6B93"/>
    <w:rsid w:val="00BA6BC5"/>
    <w:rsid w:val="00BA6C74"/>
    <w:rsid w:val="00BA6C81"/>
    <w:rsid w:val="00BA6C8E"/>
    <w:rsid w:val="00BA6D31"/>
    <w:rsid w:val="00BA6E34"/>
    <w:rsid w:val="00BA6E3F"/>
    <w:rsid w:val="00BA6E4B"/>
    <w:rsid w:val="00BA6EE7"/>
    <w:rsid w:val="00BA704C"/>
    <w:rsid w:val="00BA70DB"/>
    <w:rsid w:val="00BA71A6"/>
    <w:rsid w:val="00BA71AA"/>
    <w:rsid w:val="00BA7226"/>
    <w:rsid w:val="00BA7236"/>
    <w:rsid w:val="00BA72D7"/>
    <w:rsid w:val="00BA73DD"/>
    <w:rsid w:val="00BA744B"/>
    <w:rsid w:val="00BA74DF"/>
    <w:rsid w:val="00BA75AA"/>
    <w:rsid w:val="00BA76BF"/>
    <w:rsid w:val="00BA7743"/>
    <w:rsid w:val="00BA77FF"/>
    <w:rsid w:val="00BA7844"/>
    <w:rsid w:val="00BA794A"/>
    <w:rsid w:val="00BA7A0E"/>
    <w:rsid w:val="00BA7A1A"/>
    <w:rsid w:val="00BA7B86"/>
    <w:rsid w:val="00BA7C17"/>
    <w:rsid w:val="00BA7CA6"/>
    <w:rsid w:val="00BA7D1E"/>
    <w:rsid w:val="00BA7D3E"/>
    <w:rsid w:val="00BA7D5A"/>
    <w:rsid w:val="00BA7DE0"/>
    <w:rsid w:val="00BA7E29"/>
    <w:rsid w:val="00BA7E37"/>
    <w:rsid w:val="00BA7E53"/>
    <w:rsid w:val="00BA7E89"/>
    <w:rsid w:val="00BA7EBA"/>
    <w:rsid w:val="00BA7F4C"/>
    <w:rsid w:val="00BA7F4E"/>
    <w:rsid w:val="00BA7F57"/>
    <w:rsid w:val="00BA7F65"/>
    <w:rsid w:val="00BA7F91"/>
    <w:rsid w:val="00BB0004"/>
    <w:rsid w:val="00BB00B8"/>
    <w:rsid w:val="00BB01BE"/>
    <w:rsid w:val="00BB0268"/>
    <w:rsid w:val="00BB0295"/>
    <w:rsid w:val="00BB0302"/>
    <w:rsid w:val="00BB0318"/>
    <w:rsid w:val="00BB036A"/>
    <w:rsid w:val="00BB03F8"/>
    <w:rsid w:val="00BB0401"/>
    <w:rsid w:val="00BB04D1"/>
    <w:rsid w:val="00BB0516"/>
    <w:rsid w:val="00BB0545"/>
    <w:rsid w:val="00BB0585"/>
    <w:rsid w:val="00BB07A8"/>
    <w:rsid w:val="00BB07C2"/>
    <w:rsid w:val="00BB07E9"/>
    <w:rsid w:val="00BB090E"/>
    <w:rsid w:val="00BB0912"/>
    <w:rsid w:val="00BB0975"/>
    <w:rsid w:val="00BB0A08"/>
    <w:rsid w:val="00BB0A68"/>
    <w:rsid w:val="00BB0B09"/>
    <w:rsid w:val="00BB0B11"/>
    <w:rsid w:val="00BB0B39"/>
    <w:rsid w:val="00BB0BA5"/>
    <w:rsid w:val="00BB0C77"/>
    <w:rsid w:val="00BB0C88"/>
    <w:rsid w:val="00BB0D6D"/>
    <w:rsid w:val="00BB0FD2"/>
    <w:rsid w:val="00BB0FF3"/>
    <w:rsid w:val="00BB1030"/>
    <w:rsid w:val="00BB10CE"/>
    <w:rsid w:val="00BB1114"/>
    <w:rsid w:val="00BB1141"/>
    <w:rsid w:val="00BB12EF"/>
    <w:rsid w:val="00BB1303"/>
    <w:rsid w:val="00BB1341"/>
    <w:rsid w:val="00BB139B"/>
    <w:rsid w:val="00BB1495"/>
    <w:rsid w:val="00BB155B"/>
    <w:rsid w:val="00BB1671"/>
    <w:rsid w:val="00BB1833"/>
    <w:rsid w:val="00BB18B2"/>
    <w:rsid w:val="00BB18FC"/>
    <w:rsid w:val="00BB1A57"/>
    <w:rsid w:val="00BB1D7D"/>
    <w:rsid w:val="00BB1DE8"/>
    <w:rsid w:val="00BB1E67"/>
    <w:rsid w:val="00BB1E97"/>
    <w:rsid w:val="00BB1EB0"/>
    <w:rsid w:val="00BB1EDD"/>
    <w:rsid w:val="00BB1F70"/>
    <w:rsid w:val="00BB1FF6"/>
    <w:rsid w:val="00BB2009"/>
    <w:rsid w:val="00BB2157"/>
    <w:rsid w:val="00BB2177"/>
    <w:rsid w:val="00BB2203"/>
    <w:rsid w:val="00BB2249"/>
    <w:rsid w:val="00BB2260"/>
    <w:rsid w:val="00BB23E9"/>
    <w:rsid w:val="00BB24B6"/>
    <w:rsid w:val="00BB24FC"/>
    <w:rsid w:val="00BB2634"/>
    <w:rsid w:val="00BB26EC"/>
    <w:rsid w:val="00BB271E"/>
    <w:rsid w:val="00BB275A"/>
    <w:rsid w:val="00BB2776"/>
    <w:rsid w:val="00BB27A8"/>
    <w:rsid w:val="00BB280B"/>
    <w:rsid w:val="00BB28EF"/>
    <w:rsid w:val="00BB299B"/>
    <w:rsid w:val="00BB2E7E"/>
    <w:rsid w:val="00BB2F68"/>
    <w:rsid w:val="00BB2F8B"/>
    <w:rsid w:val="00BB2F98"/>
    <w:rsid w:val="00BB3125"/>
    <w:rsid w:val="00BB3216"/>
    <w:rsid w:val="00BB3438"/>
    <w:rsid w:val="00BB3487"/>
    <w:rsid w:val="00BB3491"/>
    <w:rsid w:val="00BB34D8"/>
    <w:rsid w:val="00BB361D"/>
    <w:rsid w:val="00BB37BD"/>
    <w:rsid w:val="00BB3842"/>
    <w:rsid w:val="00BB3866"/>
    <w:rsid w:val="00BB389C"/>
    <w:rsid w:val="00BB399D"/>
    <w:rsid w:val="00BB3A40"/>
    <w:rsid w:val="00BB3B61"/>
    <w:rsid w:val="00BB3B7C"/>
    <w:rsid w:val="00BB3BC6"/>
    <w:rsid w:val="00BB3DEA"/>
    <w:rsid w:val="00BB3E35"/>
    <w:rsid w:val="00BB3E57"/>
    <w:rsid w:val="00BB3F9B"/>
    <w:rsid w:val="00BB3FD1"/>
    <w:rsid w:val="00BB4029"/>
    <w:rsid w:val="00BB4090"/>
    <w:rsid w:val="00BB40A3"/>
    <w:rsid w:val="00BB4104"/>
    <w:rsid w:val="00BB4168"/>
    <w:rsid w:val="00BB426E"/>
    <w:rsid w:val="00BB429A"/>
    <w:rsid w:val="00BB42C7"/>
    <w:rsid w:val="00BB42CC"/>
    <w:rsid w:val="00BB430D"/>
    <w:rsid w:val="00BB431F"/>
    <w:rsid w:val="00BB4425"/>
    <w:rsid w:val="00BB442C"/>
    <w:rsid w:val="00BB4644"/>
    <w:rsid w:val="00BB47E9"/>
    <w:rsid w:val="00BB49BF"/>
    <w:rsid w:val="00BB4A5F"/>
    <w:rsid w:val="00BB4A6C"/>
    <w:rsid w:val="00BB4AB2"/>
    <w:rsid w:val="00BB4AFF"/>
    <w:rsid w:val="00BB4B34"/>
    <w:rsid w:val="00BB4B4E"/>
    <w:rsid w:val="00BB4B8F"/>
    <w:rsid w:val="00BB4BEC"/>
    <w:rsid w:val="00BB4DFC"/>
    <w:rsid w:val="00BB4E0E"/>
    <w:rsid w:val="00BB4E8A"/>
    <w:rsid w:val="00BB4ED6"/>
    <w:rsid w:val="00BB5097"/>
    <w:rsid w:val="00BB50A0"/>
    <w:rsid w:val="00BB51FC"/>
    <w:rsid w:val="00BB520C"/>
    <w:rsid w:val="00BB525A"/>
    <w:rsid w:val="00BB5335"/>
    <w:rsid w:val="00BB53C9"/>
    <w:rsid w:val="00BB53EB"/>
    <w:rsid w:val="00BB5507"/>
    <w:rsid w:val="00BB569C"/>
    <w:rsid w:val="00BB56F6"/>
    <w:rsid w:val="00BB5955"/>
    <w:rsid w:val="00BB5B83"/>
    <w:rsid w:val="00BB5BC5"/>
    <w:rsid w:val="00BB5C1E"/>
    <w:rsid w:val="00BB5C20"/>
    <w:rsid w:val="00BB5C59"/>
    <w:rsid w:val="00BB5E73"/>
    <w:rsid w:val="00BB5EA7"/>
    <w:rsid w:val="00BB5EE4"/>
    <w:rsid w:val="00BB6041"/>
    <w:rsid w:val="00BB60AA"/>
    <w:rsid w:val="00BB60C9"/>
    <w:rsid w:val="00BB60CB"/>
    <w:rsid w:val="00BB613A"/>
    <w:rsid w:val="00BB61F4"/>
    <w:rsid w:val="00BB62A4"/>
    <w:rsid w:val="00BB62BC"/>
    <w:rsid w:val="00BB6318"/>
    <w:rsid w:val="00BB64D1"/>
    <w:rsid w:val="00BB65EE"/>
    <w:rsid w:val="00BB65EF"/>
    <w:rsid w:val="00BB6603"/>
    <w:rsid w:val="00BB66C4"/>
    <w:rsid w:val="00BB66E5"/>
    <w:rsid w:val="00BB674B"/>
    <w:rsid w:val="00BB67DA"/>
    <w:rsid w:val="00BB69F3"/>
    <w:rsid w:val="00BB6A2D"/>
    <w:rsid w:val="00BB6A4F"/>
    <w:rsid w:val="00BB6AAF"/>
    <w:rsid w:val="00BB6B1F"/>
    <w:rsid w:val="00BB6B43"/>
    <w:rsid w:val="00BB6BA1"/>
    <w:rsid w:val="00BB6CF2"/>
    <w:rsid w:val="00BB6D79"/>
    <w:rsid w:val="00BB6DFB"/>
    <w:rsid w:val="00BB6E1A"/>
    <w:rsid w:val="00BB6EDD"/>
    <w:rsid w:val="00BB6F41"/>
    <w:rsid w:val="00BB6FA7"/>
    <w:rsid w:val="00BB6FEF"/>
    <w:rsid w:val="00BB70A5"/>
    <w:rsid w:val="00BB7359"/>
    <w:rsid w:val="00BB73FA"/>
    <w:rsid w:val="00BB749A"/>
    <w:rsid w:val="00BB74A7"/>
    <w:rsid w:val="00BB74B4"/>
    <w:rsid w:val="00BB7594"/>
    <w:rsid w:val="00BB7630"/>
    <w:rsid w:val="00BB7685"/>
    <w:rsid w:val="00BB772D"/>
    <w:rsid w:val="00BB77EC"/>
    <w:rsid w:val="00BB7839"/>
    <w:rsid w:val="00BB7896"/>
    <w:rsid w:val="00BB79B5"/>
    <w:rsid w:val="00BB79D3"/>
    <w:rsid w:val="00BB7A48"/>
    <w:rsid w:val="00BB7AAF"/>
    <w:rsid w:val="00BB7B2A"/>
    <w:rsid w:val="00BB7B56"/>
    <w:rsid w:val="00BB7C05"/>
    <w:rsid w:val="00BB7C7C"/>
    <w:rsid w:val="00BB7DE7"/>
    <w:rsid w:val="00BB7E2D"/>
    <w:rsid w:val="00BB7F72"/>
    <w:rsid w:val="00BB7FAE"/>
    <w:rsid w:val="00BC0001"/>
    <w:rsid w:val="00BC0084"/>
    <w:rsid w:val="00BC0094"/>
    <w:rsid w:val="00BC009B"/>
    <w:rsid w:val="00BC00A7"/>
    <w:rsid w:val="00BC0144"/>
    <w:rsid w:val="00BC01AB"/>
    <w:rsid w:val="00BC02C2"/>
    <w:rsid w:val="00BC0390"/>
    <w:rsid w:val="00BC0820"/>
    <w:rsid w:val="00BC08A6"/>
    <w:rsid w:val="00BC08D1"/>
    <w:rsid w:val="00BC08D2"/>
    <w:rsid w:val="00BC09A7"/>
    <w:rsid w:val="00BC0AD8"/>
    <w:rsid w:val="00BC0C45"/>
    <w:rsid w:val="00BC0DA6"/>
    <w:rsid w:val="00BC0DEB"/>
    <w:rsid w:val="00BC0E55"/>
    <w:rsid w:val="00BC0E61"/>
    <w:rsid w:val="00BC0F88"/>
    <w:rsid w:val="00BC0FC6"/>
    <w:rsid w:val="00BC0FCB"/>
    <w:rsid w:val="00BC124C"/>
    <w:rsid w:val="00BC129D"/>
    <w:rsid w:val="00BC12D8"/>
    <w:rsid w:val="00BC14B8"/>
    <w:rsid w:val="00BC16C4"/>
    <w:rsid w:val="00BC17E0"/>
    <w:rsid w:val="00BC1819"/>
    <w:rsid w:val="00BC18CD"/>
    <w:rsid w:val="00BC1970"/>
    <w:rsid w:val="00BC19C1"/>
    <w:rsid w:val="00BC19FF"/>
    <w:rsid w:val="00BC1A7D"/>
    <w:rsid w:val="00BC1B3F"/>
    <w:rsid w:val="00BC1B97"/>
    <w:rsid w:val="00BC1C00"/>
    <w:rsid w:val="00BC1C29"/>
    <w:rsid w:val="00BC1C93"/>
    <w:rsid w:val="00BC1D07"/>
    <w:rsid w:val="00BC1EE3"/>
    <w:rsid w:val="00BC1F17"/>
    <w:rsid w:val="00BC21B2"/>
    <w:rsid w:val="00BC2289"/>
    <w:rsid w:val="00BC23DA"/>
    <w:rsid w:val="00BC24CC"/>
    <w:rsid w:val="00BC2558"/>
    <w:rsid w:val="00BC259C"/>
    <w:rsid w:val="00BC25F1"/>
    <w:rsid w:val="00BC282F"/>
    <w:rsid w:val="00BC2991"/>
    <w:rsid w:val="00BC29CD"/>
    <w:rsid w:val="00BC2A17"/>
    <w:rsid w:val="00BC2A3F"/>
    <w:rsid w:val="00BC2B4D"/>
    <w:rsid w:val="00BC2B9B"/>
    <w:rsid w:val="00BC2BEF"/>
    <w:rsid w:val="00BC2DB2"/>
    <w:rsid w:val="00BC2F4F"/>
    <w:rsid w:val="00BC2FC3"/>
    <w:rsid w:val="00BC3000"/>
    <w:rsid w:val="00BC3170"/>
    <w:rsid w:val="00BC3181"/>
    <w:rsid w:val="00BC3390"/>
    <w:rsid w:val="00BC3394"/>
    <w:rsid w:val="00BC33CE"/>
    <w:rsid w:val="00BC3513"/>
    <w:rsid w:val="00BC355B"/>
    <w:rsid w:val="00BC3576"/>
    <w:rsid w:val="00BC35CB"/>
    <w:rsid w:val="00BC35D9"/>
    <w:rsid w:val="00BC35E7"/>
    <w:rsid w:val="00BC373D"/>
    <w:rsid w:val="00BC3875"/>
    <w:rsid w:val="00BC390B"/>
    <w:rsid w:val="00BC3916"/>
    <w:rsid w:val="00BC3ABE"/>
    <w:rsid w:val="00BC3B59"/>
    <w:rsid w:val="00BC3B7E"/>
    <w:rsid w:val="00BC3B8F"/>
    <w:rsid w:val="00BC3C9F"/>
    <w:rsid w:val="00BC3D84"/>
    <w:rsid w:val="00BC3DB1"/>
    <w:rsid w:val="00BC3DFE"/>
    <w:rsid w:val="00BC3EA6"/>
    <w:rsid w:val="00BC3EEA"/>
    <w:rsid w:val="00BC3F06"/>
    <w:rsid w:val="00BC4006"/>
    <w:rsid w:val="00BC4092"/>
    <w:rsid w:val="00BC40CD"/>
    <w:rsid w:val="00BC4130"/>
    <w:rsid w:val="00BC421E"/>
    <w:rsid w:val="00BC43FB"/>
    <w:rsid w:val="00BC4499"/>
    <w:rsid w:val="00BC4548"/>
    <w:rsid w:val="00BC463A"/>
    <w:rsid w:val="00BC46CC"/>
    <w:rsid w:val="00BC4718"/>
    <w:rsid w:val="00BC47BF"/>
    <w:rsid w:val="00BC4807"/>
    <w:rsid w:val="00BC4826"/>
    <w:rsid w:val="00BC492C"/>
    <w:rsid w:val="00BC4A46"/>
    <w:rsid w:val="00BC4B04"/>
    <w:rsid w:val="00BC4B44"/>
    <w:rsid w:val="00BC4BDC"/>
    <w:rsid w:val="00BC4D35"/>
    <w:rsid w:val="00BC4D5A"/>
    <w:rsid w:val="00BC4DE6"/>
    <w:rsid w:val="00BC4E84"/>
    <w:rsid w:val="00BC4E8C"/>
    <w:rsid w:val="00BC4EC2"/>
    <w:rsid w:val="00BC4ED0"/>
    <w:rsid w:val="00BC4F4A"/>
    <w:rsid w:val="00BC5019"/>
    <w:rsid w:val="00BC5076"/>
    <w:rsid w:val="00BC50EA"/>
    <w:rsid w:val="00BC5139"/>
    <w:rsid w:val="00BC517B"/>
    <w:rsid w:val="00BC52FB"/>
    <w:rsid w:val="00BC532F"/>
    <w:rsid w:val="00BC53EC"/>
    <w:rsid w:val="00BC54C7"/>
    <w:rsid w:val="00BC5551"/>
    <w:rsid w:val="00BC558E"/>
    <w:rsid w:val="00BC5594"/>
    <w:rsid w:val="00BC564E"/>
    <w:rsid w:val="00BC591E"/>
    <w:rsid w:val="00BC5AC6"/>
    <w:rsid w:val="00BC5B2E"/>
    <w:rsid w:val="00BC5BE0"/>
    <w:rsid w:val="00BC5C5D"/>
    <w:rsid w:val="00BC5CDE"/>
    <w:rsid w:val="00BC5E25"/>
    <w:rsid w:val="00BC5F6F"/>
    <w:rsid w:val="00BC5FBC"/>
    <w:rsid w:val="00BC6068"/>
    <w:rsid w:val="00BC6185"/>
    <w:rsid w:val="00BC6190"/>
    <w:rsid w:val="00BC619B"/>
    <w:rsid w:val="00BC6250"/>
    <w:rsid w:val="00BC6299"/>
    <w:rsid w:val="00BC62EA"/>
    <w:rsid w:val="00BC630D"/>
    <w:rsid w:val="00BC633E"/>
    <w:rsid w:val="00BC6342"/>
    <w:rsid w:val="00BC64A2"/>
    <w:rsid w:val="00BC6554"/>
    <w:rsid w:val="00BC6640"/>
    <w:rsid w:val="00BC6648"/>
    <w:rsid w:val="00BC6778"/>
    <w:rsid w:val="00BC6798"/>
    <w:rsid w:val="00BC67BC"/>
    <w:rsid w:val="00BC68FE"/>
    <w:rsid w:val="00BC6915"/>
    <w:rsid w:val="00BC6921"/>
    <w:rsid w:val="00BC6933"/>
    <w:rsid w:val="00BC69C3"/>
    <w:rsid w:val="00BC6A08"/>
    <w:rsid w:val="00BC6A2C"/>
    <w:rsid w:val="00BC6A71"/>
    <w:rsid w:val="00BC6A80"/>
    <w:rsid w:val="00BC6BD2"/>
    <w:rsid w:val="00BC6CA2"/>
    <w:rsid w:val="00BC6D90"/>
    <w:rsid w:val="00BC6DA6"/>
    <w:rsid w:val="00BC6F22"/>
    <w:rsid w:val="00BC6F64"/>
    <w:rsid w:val="00BC7054"/>
    <w:rsid w:val="00BC7091"/>
    <w:rsid w:val="00BC70B1"/>
    <w:rsid w:val="00BC71C1"/>
    <w:rsid w:val="00BC7235"/>
    <w:rsid w:val="00BC726A"/>
    <w:rsid w:val="00BC726E"/>
    <w:rsid w:val="00BC730D"/>
    <w:rsid w:val="00BC73B1"/>
    <w:rsid w:val="00BC7498"/>
    <w:rsid w:val="00BC7593"/>
    <w:rsid w:val="00BC759E"/>
    <w:rsid w:val="00BC7617"/>
    <w:rsid w:val="00BC7632"/>
    <w:rsid w:val="00BC76BB"/>
    <w:rsid w:val="00BC770A"/>
    <w:rsid w:val="00BC7916"/>
    <w:rsid w:val="00BC79EF"/>
    <w:rsid w:val="00BC7A74"/>
    <w:rsid w:val="00BC7B61"/>
    <w:rsid w:val="00BC7BB9"/>
    <w:rsid w:val="00BC7C0F"/>
    <w:rsid w:val="00BC7D27"/>
    <w:rsid w:val="00BC7F92"/>
    <w:rsid w:val="00BD0032"/>
    <w:rsid w:val="00BD0089"/>
    <w:rsid w:val="00BD017E"/>
    <w:rsid w:val="00BD03D4"/>
    <w:rsid w:val="00BD05B3"/>
    <w:rsid w:val="00BD05D7"/>
    <w:rsid w:val="00BD05F2"/>
    <w:rsid w:val="00BD0632"/>
    <w:rsid w:val="00BD078D"/>
    <w:rsid w:val="00BD0801"/>
    <w:rsid w:val="00BD084D"/>
    <w:rsid w:val="00BD086F"/>
    <w:rsid w:val="00BD08C3"/>
    <w:rsid w:val="00BD0A51"/>
    <w:rsid w:val="00BD0C3D"/>
    <w:rsid w:val="00BD0C62"/>
    <w:rsid w:val="00BD0CF1"/>
    <w:rsid w:val="00BD0D01"/>
    <w:rsid w:val="00BD0D8D"/>
    <w:rsid w:val="00BD0E45"/>
    <w:rsid w:val="00BD0EBA"/>
    <w:rsid w:val="00BD0EDA"/>
    <w:rsid w:val="00BD0F6B"/>
    <w:rsid w:val="00BD0F93"/>
    <w:rsid w:val="00BD105A"/>
    <w:rsid w:val="00BD1125"/>
    <w:rsid w:val="00BD122F"/>
    <w:rsid w:val="00BD12C9"/>
    <w:rsid w:val="00BD12E6"/>
    <w:rsid w:val="00BD137F"/>
    <w:rsid w:val="00BD1505"/>
    <w:rsid w:val="00BD15D1"/>
    <w:rsid w:val="00BD168B"/>
    <w:rsid w:val="00BD1777"/>
    <w:rsid w:val="00BD17BA"/>
    <w:rsid w:val="00BD17DB"/>
    <w:rsid w:val="00BD189F"/>
    <w:rsid w:val="00BD1934"/>
    <w:rsid w:val="00BD1948"/>
    <w:rsid w:val="00BD1983"/>
    <w:rsid w:val="00BD1995"/>
    <w:rsid w:val="00BD19E5"/>
    <w:rsid w:val="00BD19E8"/>
    <w:rsid w:val="00BD19F9"/>
    <w:rsid w:val="00BD19FC"/>
    <w:rsid w:val="00BD1A2F"/>
    <w:rsid w:val="00BD1AA2"/>
    <w:rsid w:val="00BD1ADB"/>
    <w:rsid w:val="00BD1AEB"/>
    <w:rsid w:val="00BD1B0F"/>
    <w:rsid w:val="00BD1B4A"/>
    <w:rsid w:val="00BD1B74"/>
    <w:rsid w:val="00BD1BB2"/>
    <w:rsid w:val="00BD1BF1"/>
    <w:rsid w:val="00BD1CAF"/>
    <w:rsid w:val="00BD1CB4"/>
    <w:rsid w:val="00BD1DCA"/>
    <w:rsid w:val="00BD1E46"/>
    <w:rsid w:val="00BD1ED2"/>
    <w:rsid w:val="00BD1F7C"/>
    <w:rsid w:val="00BD20FB"/>
    <w:rsid w:val="00BD212E"/>
    <w:rsid w:val="00BD2158"/>
    <w:rsid w:val="00BD215F"/>
    <w:rsid w:val="00BD2280"/>
    <w:rsid w:val="00BD228C"/>
    <w:rsid w:val="00BD22C6"/>
    <w:rsid w:val="00BD23A4"/>
    <w:rsid w:val="00BD23D1"/>
    <w:rsid w:val="00BD245A"/>
    <w:rsid w:val="00BD255B"/>
    <w:rsid w:val="00BD25C6"/>
    <w:rsid w:val="00BD25EC"/>
    <w:rsid w:val="00BD2629"/>
    <w:rsid w:val="00BD268C"/>
    <w:rsid w:val="00BD2728"/>
    <w:rsid w:val="00BD275A"/>
    <w:rsid w:val="00BD27A2"/>
    <w:rsid w:val="00BD27C3"/>
    <w:rsid w:val="00BD28B0"/>
    <w:rsid w:val="00BD2A13"/>
    <w:rsid w:val="00BD2A62"/>
    <w:rsid w:val="00BD2AE3"/>
    <w:rsid w:val="00BD2B2C"/>
    <w:rsid w:val="00BD2BE3"/>
    <w:rsid w:val="00BD2D2C"/>
    <w:rsid w:val="00BD2EF5"/>
    <w:rsid w:val="00BD2F0F"/>
    <w:rsid w:val="00BD2F92"/>
    <w:rsid w:val="00BD2FAE"/>
    <w:rsid w:val="00BD2FFB"/>
    <w:rsid w:val="00BD3005"/>
    <w:rsid w:val="00BD30E8"/>
    <w:rsid w:val="00BD30F8"/>
    <w:rsid w:val="00BD31A6"/>
    <w:rsid w:val="00BD31D5"/>
    <w:rsid w:val="00BD3248"/>
    <w:rsid w:val="00BD328C"/>
    <w:rsid w:val="00BD34D3"/>
    <w:rsid w:val="00BD3579"/>
    <w:rsid w:val="00BD3582"/>
    <w:rsid w:val="00BD35B3"/>
    <w:rsid w:val="00BD3673"/>
    <w:rsid w:val="00BD3797"/>
    <w:rsid w:val="00BD37F7"/>
    <w:rsid w:val="00BD3895"/>
    <w:rsid w:val="00BD39E6"/>
    <w:rsid w:val="00BD3ADA"/>
    <w:rsid w:val="00BD3C12"/>
    <w:rsid w:val="00BD3CAC"/>
    <w:rsid w:val="00BD3DBC"/>
    <w:rsid w:val="00BD3E68"/>
    <w:rsid w:val="00BD3F2D"/>
    <w:rsid w:val="00BD3F40"/>
    <w:rsid w:val="00BD3FC6"/>
    <w:rsid w:val="00BD405F"/>
    <w:rsid w:val="00BD40BE"/>
    <w:rsid w:val="00BD4160"/>
    <w:rsid w:val="00BD420A"/>
    <w:rsid w:val="00BD4242"/>
    <w:rsid w:val="00BD427A"/>
    <w:rsid w:val="00BD4295"/>
    <w:rsid w:val="00BD43B9"/>
    <w:rsid w:val="00BD455B"/>
    <w:rsid w:val="00BD45F8"/>
    <w:rsid w:val="00BD4811"/>
    <w:rsid w:val="00BD4849"/>
    <w:rsid w:val="00BD495D"/>
    <w:rsid w:val="00BD4995"/>
    <w:rsid w:val="00BD4997"/>
    <w:rsid w:val="00BD49DB"/>
    <w:rsid w:val="00BD4AD8"/>
    <w:rsid w:val="00BD4C35"/>
    <w:rsid w:val="00BD4C3A"/>
    <w:rsid w:val="00BD4C3F"/>
    <w:rsid w:val="00BD4C53"/>
    <w:rsid w:val="00BD4D05"/>
    <w:rsid w:val="00BD4D42"/>
    <w:rsid w:val="00BD4DA2"/>
    <w:rsid w:val="00BD4EB7"/>
    <w:rsid w:val="00BD4F4B"/>
    <w:rsid w:val="00BD4F76"/>
    <w:rsid w:val="00BD5033"/>
    <w:rsid w:val="00BD513D"/>
    <w:rsid w:val="00BD517C"/>
    <w:rsid w:val="00BD52B5"/>
    <w:rsid w:val="00BD52C3"/>
    <w:rsid w:val="00BD530A"/>
    <w:rsid w:val="00BD54D6"/>
    <w:rsid w:val="00BD54DD"/>
    <w:rsid w:val="00BD55AB"/>
    <w:rsid w:val="00BD5655"/>
    <w:rsid w:val="00BD5674"/>
    <w:rsid w:val="00BD56DC"/>
    <w:rsid w:val="00BD5741"/>
    <w:rsid w:val="00BD5787"/>
    <w:rsid w:val="00BD57BE"/>
    <w:rsid w:val="00BD585C"/>
    <w:rsid w:val="00BD58B0"/>
    <w:rsid w:val="00BD58BE"/>
    <w:rsid w:val="00BD5945"/>
    <w:rsid w:val="00BD5BBB"/>
    <w:rsid w:val="00BD5CB7"/>
    <w:rsid w:val="00BD5CFE"/>
    <w:rsid w:val="00BD5E24"/>
    <w:rsid w:val="00BD5E2E"/>
    <w:rsid w:val="00BD5F3B"/>
    <w:rsid w:val="00BD5F9E"/>
    <w:rsid w:val="00BD5FC9"/>
    <w:rsid w:val="00BD6368"/>
    <w:rsid w:val="00BD63A7"/>
    <w:rsid w:val="00BD650F"/>
    <w:rsid w:val="00BD6579"/>
    <w:rsid w:val="00BD6635"/>
    <w:rsid w:val="00BD66C2"/>
    <w:rsid w:val="00BD66EB"/>
    <w:rsid w:val="00BD6799"/>
    <w:rsid w:val="00BD6928"/>
    <w:rsid w:val="00BD6A51"/>
    <w:rsid w:val="00BD6AD7"/>
    <w:rsid w:val="00BD6AFB"/>
    <w:rsid w:val="00BD6B47"/>
    <w:rsid w:val="00BD6BE5"/>
    <w:rsid w:val="00BD6CA8"/>
    <w:rsid w:val="00BD6CBC"/>
    <w:rsid w:val="00BD6D02"/>
    <w:rsid w:val="00BD6D34"/>
    <w:rsid w:val="00BD6D45"/>
    <w:rsid w:val="00BD6D61"/>
    <w:rsid w:val="00BD6E1B"/>
    <w:rsid w:val="00BD6E97"/>
    <w:rsid w:val="00BD6F5E"/>
    <w:rsid w:val="00BD6FA2"/>
    <w:rsid w:val="00BD7194"/>
    <w:rsid w:val="00BD7210"/>
    <w:rsid w:val="00BD7220"/>
    <w:rsid w:val="00BD7279"/>
    <w:rsid w:val="00BD72DB"/>
    <w:rsid w:val="00BD72DC"/>
    <w:rsid w:val="00BD72F8"/>
    <w:rsid w:val="00BD738C"/>
    <w:rsid w:val="00BD73B5"/>
    <w:rsid w:val="00BD758E"/>
    <w:rsid w:val="00BD77FE"/>
    <w:rsid w:val="00BD7902"/>
    <w:rsid w:val="00BD7A1A"/>
    <w:rsid w:val="00BD7A7F"/>
    <w:rsid w:val="00BD7B1F"/>
    <w:rsid w:val="00BD7C08"/>
    <w:rsid w:val="00BD7C4D"/>
    <w:rsid w:val="00BD7CA9"/>
    <w:rsid w:val="00BD7CEC"/>
    <w:rsid w:val="00BD7D76"/>
    <w:rsid w:val="00BD7EDF"/>
    <w:rsid w:val="00BE000D"/>
    <w:rsid w:val="00BE0052"/>
    <w:rsid w:val="00BE00BC"/>
    <w:rsid w:val="00BE0156"/>
    <w:rsid w:val="00BE01A7"/>
    <w:rsid w:val="00BE01B6"/>
    <w:rsid w:val="00BE0262"/>
    <w:rsid w:val="00BE03BF"/>
    <w:rsid w:val="00BE04B3"/>
    <w:rsid w:val="00BE04CE"/>
    <w:rsid w:val="00BE070A"/>
    <w:rsid w:val="00BE07F4"/>
    <w:rsid w:val="00BE08A0"/>
    <w:rsid w:val="00BE08FB"/>
    <w:rsid w:val="00BE094B"/>
    <w:rsid w:val="00BE0995"/>
    <w:rsid w:val="00BE0A0B"/>
    <w:rsid w:val="00BE0A3E"/>
    <w:rsid w:val="00BE0A50"/>
    <w:rsid w:val="00BE0AA2"/>
    <w:rsid w:val="00BE0AA3"/>
    <w:rsid w:val="00BE0AA7"/>
    <w:rsid w:val="00BE0AD8"/>
    <w:rsid w:val="00BE0AFC"/>
    <w:rsid w:val="00BE0B89"/>
    <w:rsid w:val="00BE0B8A"/>
    <w:rsid w:val="00BE0CF9"/>
    <w:rsid w:val="00BE0D1C"/>
    <w:rsid w:val="00BE0DC3"/>
    <w:rsid w:val="00BE0F3A"/>
    <w:rsid w:val="00BE10EF"/>
    <w:rsid w:val="00BE140D"/>
    <w:rsid w:val="00BE1493"/>
    <w:rsid w:val="00BE14B4"/>
    <w:rsid w:val="00BE14FB"/>
    <w:rsid w:val="00BE150C"/>
    <w:rsid w:val="00BE1539"/>
    <w:rsid w:val="00BE1898"/>
    <w:rsid w:val="00BE19DC"/>
    <w:rsid w:val="00BE1B08"/>
    <w:rsid w:val="00BE1BE3"/>
    <w:rsid w:val="00BE1C00"/>
    <w:rsid w:val="00BE1C34"/>
    <w:rsid w:val="00BE1D28"/>
    <w:rsid w:val="00BE1D7B"/>
    <w:rsid w:val="00BE1D9C"/>
    <w:rsid w:val="00BE1E5A"/>
    <w:rsid w:val="00BE1E84"/>
    <w:rsid w:val="00BE1F83"/>
    <w:rsid w:val="00BE1FE3"/>
    <w:rsid w:val="00BE20FF"/>
    <w:rsid w:val="00BE2152"/>
    <w:rsid w:val="00BE2156"/>
    <w:rsid w:val="00BE2191"/>
    <w:rsid w:val="00BE21D6"/>
    <w:rsid w:val="00BE2221"/>
    <w:rsid w:val="00BE231A"/>
    <w:rsid w:val="00BE236B"/>
    <w:rsid w:val="00BE23ED"/>
    <w:rsid w:val="00BE2571"/>
    <w:rsid w:val="00BE25D4"/>
    <w:rsid w:val="00BE271A"/>
    <w:rsid w:val="00BE27B3"/>
    <w:rsid w:val="00BE27D7"/>
    <w:rsid w:val="00BE27E0"/>
    <w:rsid w:val="00BE285C"/>
    <w:rsid w:val="00BE28F9"/>
    <w:rsid w:val="00BE2904"/>
    <w:rsid w:val="00BE2913"/>
    <w:rsid w:val="00BE298A"/>
    <w:rsid w:val="00BE29B3"/>
    <w:rsid w:val="00BE29E4"/>
    <w:rsid w:val="00BE2A48"/>
    <w:rsid w:val="00BE2A70"/>
    <w:rsid w:val="00BE2B0E"/>
    <w:rsid w:val="00BE2BB8"/>
    <w:rsid w:val="00BE2DCF"/>
    <w:rsid w:val="00BE2E84"/>
    <w:rsid w:val="00BE2F1B"/>
    <w:rsid w:val="00BE2F4B"/>
    <w:rsid w:val="00BE302C"/>
    <w:rsid w:val="00BE3031"/>
    <w:rsid w:val="00BE30C5"/>
    <w:rsid w:val="00BE3111"/>
    <w:rsid w:val="00BE319B"/>
    <w:rsid w:val="00BE31D9"/>
    <w:rsid w:val="00BE31E6"/>
    <w:rsid w:val="00BE32A6"/>
    <w:rsid w:val="00BE331E"/>
    <w:rsid w:val="00BE3333"/>
    <w:rsid w:val="00BE33E3"/>
    <w:rsid w:val="00BE3457"/>
    <w:rsid w:val="00BE347C"/>
    <w:rsid w:val="00BE34D7"/>
    <w:rsid w:val="00BE3539"/>
    <w:rsid w:val="00BE354F"/>
    <w:rsid w:val="00BE356A"/>
    <w:rsid w:val="00BE3759"/>
    <w:rsid w:val="00BE385B"/>
    <w:rsid w:val="00BE38CA"/>
    <w:rsid w:val="00BE3917"/>
    <w:rsid w:val="00BE3B54"/>
    <w:rsid w:val="00BE3CB2"/>
    <w:rsid w:val="00BE3DB5"/>
    <w:rsid w:val="00BE3E4F"/>
    <w:rsid w:val="00BE3F47"/>
    <w:rsid w:val="00BE3FC2"/>
    <w:rsid w:val="00BE4041"/>
    <w:rsid w:val="00BE41C7"/>
    <w:rsid w:val="00BE41EC"/>
    <w:rsid w:val="00BE4268"/>
    <w:rsid w:val="00BE4320"/>
    <w:rsid w:val="00BE434B"/>
    <w:rsid w:val="00BE4499"/>
    <w:rsid w:val="00BE454A"/>
    <w:rsid w:val="00BE45D2"/>
    <w:rsid w:val="00BE462B"/>
    <w:rsid w:val="00BE4952"/>
    <w:rsid w:val="00BE4C3E"/>
    <w:rsid w:val="00BE4C4A"/>
    <w:rsid w:val="00BE4CF2"/>
    <w:rsid w:val="00BE4D27"/>
    <w:rsid w:val="00BE4D31"/>
    <w:rsid w:val="00BE4E24"/>
    <w:rsid w:val="00BE4E44"/>
    <w:rsid w:val="00BE4EAD"/>
    <w:rsid w:val="00BE4EB5"/>
    <w:rsid w:val="00BE4EDB"/>
    <w:rsid w:val="00BE4F52"/>
    <w:rsid w:val="00BE4F97"/>
    <w:rsid w:val="00BE4FE4"/>
    <w:rsid w:val="00BE538A"/>
    <w:rsid w:val="00BE53B4"/>
    <w:rsid w:val="00BE53C7"/>
    <w:rsid w:val="00BE540D"/>
    <w:rsid w:val="00BE5481"/>
    <w:rsid w:val="00BE55A9"/>
    <w:rsid w:val="00BE5739"/>
    <w:rsid w:val="00BE5749"/>
    <w:rsid w:val="00BE5865"/>
    <w:rsid w:val="00BE58EA"/>
    <w:rsid w:val="00BE594E"/>
    <w:rsid w:val="00BE5999"/>
    <w:rsid w:val="00BE5A27"/>
    <w:rsid w:val="00BE5B2C"/>
    <w:rsid w:val="00BE5C0C"/>
    <w:rsid w:val="00BE5C84"/>
    <w:rsid w:val="00BE5C9F"/>
    <w:rsid w:val="00BE5D61"/>
    <w:rsid w:val="00BE5D94"/>
    <w:rsid w:val="00BE5DD4"/>
    <w:rsid w:val="00BE5E53"/>
    <w:rsid w:val="00BE5EE8"/>
    <w:rsid w:val="00BE5F87"/>
    <w:rsid w:val="00BE616C"/>
    <w:rsid w:val="00BE6183"/>
    <w:rsid w:val="00BE619C"/>
    <w:rsid w:val="00BE628A"/>
    <w:rsid w:val="00BE6512"/>
    <w:rsid w:val="00BE654D"/>
    <w:rsid w:val="00BE6577"/>
    <w:rsid w:val="00BE6653"/>
    <w:rsid w:val="00BE66A9"/>
    <w:rsid w:val="00BE6762"/>
    <w:rsid w:val="00BE67A3"/>
    <w:rsid w:val="00BE67D7"/>
    <w:rsid w:val="00BE67F9"/>
    <w:rsid w:val="00BE691A"/>
    <w:rsid w:val="00BE6947"/>
    <w:rsid w:val="00BE6B71"/>
    <w:rsid w:val="00BE6BB1"/>
    <w:rsid w:val="00BE6C0D"/>
    <w:rsid w:val="00BE6C9B"/>
    <w:rsid w:val="00BE6CEF"/>
    <w:rsid w:val="00BE6D3D"/>
    <w:rsid w:val="00BE6D52"/>
    <w:rsid w:val="00BE6DD0"/>
    <w:rsid w:val="00BE6E0F"/>
    <w:rsid w:val="00BE6F8D"/>
    <w:rsid w:val="00BE7012"/>
    <w:rsid w:val="00BE70DD"/>
    <w:rsid w:val="00BE7281"/>
    <w:rsid w:val="00BE72DF"/>
    <w:rsid w:val="00BE732E"/>
    <w:rsid w:val="00BE7392"/>
    <w:rsid w:val="00BE7441"/>
    <w:rsid w:val="00BE74C6"/>
    <w:rsid w:val="00BE750F"/>
    <w:rsid w:val="00BE7528"/>
    <w:rsid w:val="00BE757D"/>
    <w:rsid w:val="00BE758C"/>
    <w:rsid w:val="00BE75E1"/>
    <w:rsid w:val="00BE75FA"/>
    <w:rsid w:val="00BE78A7"/>
    <w:rsid w:val="00BE7943"/>
    <w:rsid w:val="00BE7B3A"/>
    <w:rsid w:val="00BE7CAA"/>
    <w:rsid w:val="00BE7E67"/>
    <w:rsid w:val="00BE7E6A"/>
    <w:rsid w:val="00BE7EB8"/>
    <w:rsid w:val="00BE7ECC"/>
    <w:rsid w:val="00BEB339"/>
    <w:rsid w:val="00BF0034"/>
    <w:rsid w:val="00BF02AC"/>
    <w:rsid w:val="00BF02DB"/>
    <w:rsid w:val="00BF0366"/>
    <w:rsid w:val="00BF03A4"/>
    <w:rsid w:val="00BF03C7"/>
    <w:rsid w:val="00BF04C1"/>
    <w:rsid w:val="00BF0512"/>
    <w:rsid w:val="00BF055C"/>
    <w:rsid w:val="00BF057C"/>
    <w:rsid w:val="00BF0CA7"/>
    <w:rsid w:val="00BF0D53"/>
    <w:rsid w:val="00BF0D7E"/>
    <w:rsid w:val="00BF0E54"/>
    <w:rsid w:val="00BF1077"/>
    <w:rsid w:val="00BF10D6"/>
    <w:rsid w:val="00BF1129"/>
    <w:rsid w:val="00BF11DF"/>
    <w:rsid w:val="00BF126E"/>
    <w:rsid w:val="00BF12DA"/>
    <w:rsid w:val="00BF130B"/>
    <w:rsid w:val="00BF1326"/>
    <w:rsid w:val="00BF1441"/>
    <w:rsid w:val="00BF14DD"/>
    <w:rsid w:val="00BF1743"/>
    <w:rsid w:val="00BF1791"/>
    <w:rsid w:val="00BF1796"/>
    <w:rsid w:val="00BF17BD"/>
    <w:rsid w:val="00BF189B"/>
    <w:rsid w:val="00BF1904"/>
    <w:rsid w:val="00BF1936"/>
    <w:rsid w:val="00BF199C"/>
    <w:rsid w:val="00BF1A19"/>
    <w:rsid w:val="00BF1A24"/>
    <w:rsid w:val="00BF1BD6"/>
    <w:rsid w:val="00BF1C8A"/>
    <w:rsid w:val="00BF1D06"/>
    <w:rsid w:val="00BF1DC1"/>
    <w:rsid w:val="00BF1E0C"/>
    <w:rsid w:val="00BF1E41"/>
    <w:rsid w:val="00BF1E7B"/>
    <w:rsid w:val="00BF1FFA"/>
    <w:rsid w:val="00BF20AF"/>
    <w:rsid w:val="00BF211C"/>
    <w:rsid w:val="00BF21FD"/>
    <w:rsid w:val="00BF2270"/>
    <w:rsid w:val="00BF22E7"/>
    <w:rsid w:val="00BF230E"/>
    <w:rsid w:val="00BF2370"/>
    <w:rsid w:val="00BF23FA"/>
    <w:rsid w:val="00BF24F6"/>
    <w:rsid w:val="00BF2507"/>
    <w:rsid w:val="00BF2520"/>
    <w:rsid w:val="00BF252E"/>
    <w:rsid w:val="00BF2548"/>
    <w:rsid w:val="00BF27DA"/>
    <w:rsid w:val="00BF2892"/>
    <w:rsid w:val="00BF28AF"/>
    <w:rsid w:val="00BF28C2"/>
    <w:rsid w:val="00BF28E5"/>
    <w:rsid w:val="00BF2906"/>
    <w:rsid w:val="00BF2A9E"/>
    <w:rsid w:val="00BF2B6E"/>
    <w:rsid w:val="00BF2B80"/>
    <w:rsid w:val="00BF2BFB"/>
    <w:rsid w:val="00BF2C91"/>
    <w:rsid w:val="00BF2C9C"/>
    <w:rsid w:val="00BF2CC1"/>
    <w:rsid w:val="00BF2D24"/>
    <w:rsid w:val="00BF2DB8"/>
    <w:rsid w:val="00BF2DBA"/>
    <w:rsid w:val="00BF2F1B"/>
    <w:rsid w:val="00BF2F1E"/>
    <w:rsid w:val="00BF2F61"/>
    <w:rsid w:val="00BF2F69"/>
    <w:rsid w:val="00BF31BA"/>
    <w:rsid w:val="00BF31F5"/>
    <w:rsid w:val="00BF3259"/>
    <w:rsid w:val="00BF3286"/>
    <w:rsid w:val="00BF330A"/>
    <w:rsid w:val="00BF3544"/>
    <w:rsid w:val="00BF35A2"/>
    <w:rsid w:val="00BF379A"/>
    <w:rsid w:val="00BF38EF"/>
    <w:rsid w:val="00BF390E"/>
    <w:rsid w:val="00BF3A8C"/>
    <w:rsid w:val="00BF3B1B"/>
    <w:rsid w:val="00BF3C35"/>
    <w:rsid w:val="00BF3DA9"/>
    <w:rsid w:val="00BF3F1E"/>
    <w:rsid w:val="00BF3FBB"/>
    <w:rsid w:val="00BF4098"/>
    <w:rsid w:val="00BF42A3"/>
    <w:rsid w:val="00BF4311"/>
    <w:rsid w:val="00BF4357"/>
    <w:rsid w:val="00BF4375"/>
    <w:rsid w:val="00BF43AB"/>
    <w:rsid w:val="00BF4506"/>
    <w:rsid w:val="00BF4535"/>
    <w:rsid w:val="00BF46A5"/>
    <w:rsid w:val="00BF474E"/>
    <w:rsid w:val="00BF47A2"/>
    <w:rsid w:val="00BF480F"/>
    <w:rsid w:val="00BF4818"/>
    <w:rsid w:val="00BF49C6"/>
    <w:rsid w:val="00BF49E9"/>
    <w:rsid w:val="00BF4A18"/>
    <w:rsid w:val="00BF4A57"/>
    <w:rsid w:val="00BF4B1A"/>
    <w:rsid w:val="00BF4B2C"/>
    <w:rsid w:val="00BF4C07"/>
    <w:rsid w:val="00BF4C3B"/>
    <w:rsid w:val="00BF4DAC"/>
    <w:rsid w:val="00BF4DB7"/>
    <w:rsid w:val="00BF4F55"/>
    <w:rsid w:val="00BF4F7F"/>
    <w:rsid w:val="00BF4FBB"/>
    <w:rsid w:val="00BF50A9"/>
    <w:rsid w:val="00BF50C0"/>
    <w:rsid w:val="00BF5167"/>
    <w:rsid w:val="00BF51B2"/>
    <w:rsid w:val="00BF5331"/>
    <w:rsid w:val="00BF5378"/>
    <w:rsid w:val="00BF5383"/>
    <w:rsid w:val="00BF5407"/>
    <w:rsid w:val="00BF54C0"/>
    <w:rsid w:val="00BF550A"/>
    <w:rsid w:val="00BF5559"/>
    <w:rsid w:val="00BF559F"/>
    <w:rsid w:val="00BF5610"/>
    <w:rsid w:val="00BF56E2"/>
    <w:rsid w:val="00BF5701"/>
    <w:rsid w:val="00BF57A7"/>
    <w:rsid w:val="00BF5843"/>
    <w:rsid w:val="00BF58A3"/>
    <w:rsid w:val="00BF59D7"/>
    <w:rsid w:val="00BF5B04"/>
    <w:rsid w:val="00BF5B34"/>
    <w:rsid w:val="00BF5CFA"/>
    <w:rsid w:val="00BF5D28"/>
    <w:rsid w:val="00BF5D58"/>
    <w:rsid w:val="00BF5EA9"/>
    <w:rsid w:val="00BF5F67"/>
    <w:rsid w:val="00BF5FEE"/>
    <w:rsid w:val="00BF6029"/>
    <w:rsid w:val="00BF604F"/>
    <w:rsid w:val="00BF6054"/>
    <w:rsid w:val="00BF611D"/>
    <w:rsid w:val="00BF624C"/>
    <w:rsid w:val="00BF62A1"/>
    <w:rsid w:val="00BF62AC"/>
    <w:rsid w:val="00BF62C3"/>
    <w:rsid w:val="00BF62F1"/>
    <w:rsid w:val="00BF6454"/>
    <w:rsid w:val="00BF655D"/>
    <w:rsid w:val="00BF67A1"/>
    <w:rsid w:val="00BF69D9"/>
    <w:rsid w:val="00BF6A37"/>
    <w:rsid w:val="00BF6AC4"/>
    <w:rsid w:val="00BF6B29"/>
    <w:rsid w:val="00BF6B44"/>
    <w:rsid w:val="00BF6B6E"/>
    <w:rsid w:val="00BF6C1F"/>
    <w:rsid w:val="00BF6C2A"/>
    <w:rsid w:val="00BF6D15"/>
    <w:rsid w:val="00BF6E70"/>
    <w:rsid w:val="00BF6EE8"/>
    <w:rsid w:val="00BF6F76"/>
    <w:rsid w:val="00BF6F83"/>
    <w:rsid w:val="00BF6FA5"/>
    <w:rsid w:val="00BF708E"/>
    <w:rsid w:val="00BF7155"/>
    <w:rsid w:val="00BF7305"/>
    <w:rsid w:val="00BF73E1"/>
    <w:rsid w:val="00BF749F"/>
    <w:rsid w:val="00BF74E9"/>
    <w:rsid w:val="00BF75B0"/>
    <w:rsid w:val="00BF764E"/>
    <w:rsid w:val="00BF7858"/>
    <w:rsid w:val="00BF7860"/>
    <w:rsid w:val="00BF78E8"/>
    <w:rsid w:val="00BF797C"/>
    <w:rsid w:val="00BF79A3"/>
    <w:rsid w:val="00BF79C2"/>
    <w:rsid w:val="00BF79E8"/>
    <w:rsid w:val="00BF7ADB"/>
    <w:rsid w:val="00BF7C2E"/>
    <w:rsid w:val="00BF7C7E"/>
    <w:rsid w:val="00BF7E0D"/>
    <w:rsid w:val="00BF7EAA"/>
    <w:rsid w:val="00BF7EDA"/>
    <w:rsid w:val="00BF7FAE"/>
    <w:rsid w:val="00BF7FBE"/>
    <w:rsid w:val="00C00147"/>
    <w:rsid w:val="00C001A1"/>
    <w:rsid w:val="00C001BA"/>
    <w:rsid w:val="00C002A7"/>
    <w:rsid w:val="00C00339"/>
    <w:rsid w:val="00C00421"/>
    <w:rsid w:val="00C0043F"/>
    <w:rsid w:val="00C004C7"/>
    <w:rsid w:val="00C00525"/>
    <w:rsid w:val="00C00536"/>
    <w:rsid w:val="00C00552"/>
    <w:rsid w:val="00C005DD"/>
    <w:rsid w:val="00C00603"/>
    <w:rsid w:val="00C00646"/>
    <w:rsid w:val="00C0069A"/>
    <w:rsid w:val="00C00827"/>
    <w:rsid w:val="00C0086A"/>
    <w:rsid w:val="00C00A2E"/>
    <w:rsid w:val="00C00A5E"/>
    <w:rsid w:val="00C00AD7"/>
    <w:rsid w:val="00C00ADD"/>
    <w:rsid w:val="00C00B51"/>
    <w:rsid w:val="00C00B94"/>
    <w:rsid w:val="00C00BDF"/>
    <w:rsid w:val="00C00C97"/>
    <w:rsid w:val="00C00D79"/>
    <w:rsid w:val="00C00D7D"/>
    <w:rsid w:val="00C00E5E"/>
    <w:rsid w:val="00C00E87"/>
    <w:rsid w:val="00C00ED2"/>
    <w:rsid w:val="00C00F20"/>
    <w:rsid w:val="00C00F4E"/>
    <w:rsid w:val="00C0104A"/>
    <w:rsid w:val="00C010A2"/>
    <w:rsid w:val="00C013EC"/>
    <w:rsid w:val="00C014CB"/>
    <w:rsid w:val="00C01702"/>
    <w:rsid w:val="00C0175C"/>
    <w:rsid w:val="00C01833"/>
    <w:rsid w:val="00C018E4"/>
    <w:rsid w:val="00C0191A"/>
    <w:rsid w:val="00C01967"/>
    <w:rsid w:val="00C01971"/>
    <w:rsid w:val="00C01A18"/>
    <w:rsid w:val="00C01B4F"/>
    <w:rsid w:val="00C01C49"/>
    <w:rsid w:val="00C01CA1"/>
    <w:rsid w:val="00C01CA6"/>
    <w:rsid w:val="00C01D09"/>
    <w:rsid w:val="00C01D2E"/>
    <w:rsid w:val="00C01DED"/>
    <w:rsid w:val="00C01E05"/>
    <w:rsid w:val="00C01F12"/>
    <w:rsid w:val="00C01F13"/>
    <w:rsid w:val="00C01F4B"/>
    <w:rsid w:val="00C01F87"/>
    <w:rsid w:val="00C01FB4"/>
    <w:rsid w:val="00C0216D"/>
    <w:rsid w:val="00C02176"/>
    <w:rsid w:val="00C0238A"/>
    <w:rsid w:val="00C02415"/>
    <w:rsid w:val="00C02654"/>
    <w:rsid w:val="00C0268A"/>
    <w:rsid w:val="00C02718"/>
    <w:rsid w:val="00C027B5"/>
    <w:rsid w:val="00C02800"/>
    <w:rsid w:val="00C02813"/>
    <w:rsid w:val="00C0291D"/>
    <w:rsid w:val="00C02AE7"/>
    <w:rsid w:val="00C02BC7"/>
    <w:rsid w:val="00C02D4B"/>
    <w:rsid w:val="00C02D53"/>
    <w:rsid w:val="00C02D98"/>
    <w:rsid w:val="00C02F60"/>
    <w:rsid w:val="00C02F84"/>
    <w:rsid w:val="00C031B9"/>
    <w:rsid w:val="00C03344"/>
    <w:rsid w:val="00C0334B"/>
    <w:rsid w:val="00C0341F"/>
    <w:rsid w:val="00C03423"/>
    <w:rsid w:val="00C03540"/>
    <w:rsid w:val="00C0357D"/>
    <w:rsid w:val="00C03616"/>
    <w:rsid w:val="00C0375B"/>
    <w:rsid w:val="00C0375D"/>
    <w:rsid w:val="00C0377B"/>
    <w:rsid w:val="00C03784"/>
    <w:rsid w:val="00C0382C"/>
    <w:rsid w:val="00C03841"/>
    <w:rsid w:val="00C03988"/>
    <w:rsid w:val="00C039F3"/>
    <w:rsid w:val="00C03A01"/>
    <w:rsid w:val="00C03AF5"/>
    <w:rsid w:val="00C03B65"/>
    <w:rsid w:val="00C03B7C"/>
    <w:rsid w:val="00C03B9F"/>
    <w:rsid w:val="00C03C7C"/>
    <w:rsid w:val="00C03D28"/>
    <w:rsid w:val="00C03D76"/>
    <w:rsid w:val="00C03E28"/>
    <w:rsid w:val="00C03E2A"/>
    <w:rsid w:val="00C03E46"/>
    <w:rsid w:val="00C03EB1"/>
    <w:rsid w:val="00C04005"/>
    <w:rsid w:val="00C04010"/>
    <w:rsid w:val="00C04086"/>
    <w:rsid w:val="00C040ED"/>
    <w:rsid w:val="00C0412B"/>
    <w:rsid w:val="00C04241"/>
    <w:rsid w:val="00C04540"/>
    <w:rsid w:val="00C0460B"/>
    <w:rsid w:val="00C046A2"/>
    <w:rsid w:val="00C04726"/>
    <w:rsid w:val="00C0473A"/>
    <w:rsid w:val="00C04790"/>
    <w:rsid w:val="00C047AD"/>
    <w:rsid w:val="00C047BE"/>
    <w:rsid w:val="00C04954"/>
    <w:rsid w:val="00C049E9"/>
    <w:rsid w:val="00C04A76"/>
    <w:rsid w:val="00C04A9A"/>
    <w:rsid w:val="00C04AB9"/>
    <w:rsid w:val="00C04B78"/>
    <w:rsid w:val="00C04BD3"/>
    <w:rsid w:val="00C04C1B"/>
    <w:rsid w:val="00C04C59"/>
    <w:rsid w:val="00C04DC8"/>
    <w:rsid w:val="00C04EBA"/>
    <w:rsid w:val="00C05065"/>
    <w:rsid w:val="00C050FD"/>
    <w:rsid w:val="00C05120"/>
    <w:rsid w:val="00C051AD"/>
    <w:rsid w:val="00C051C1"/>
    <w:rsid w:val="00C05287"/>
    <w:rsid w:val="00C052B6"/>
    <w:rsid w:val="00C052E2"/>
    <w:rsid w:val="00C0541A"/>
    <w:rsid w:val="00C0547C"/>
    <w:rsid w:val="00C054EF"/>
    <w:rsid w:val="00C0556C"/>
    <w:rsid w:val="00C0579E"/>
    <w:rsid w:val="00C057D0"/>
    <w:rsid w:val="00C0587F"/>
    <w:rsid w:val="00C058DA"/>
    <w:rsid w:val="00C059BC"/>
    <w:rsid w:val="00C05B28"/>
    <w:rsid w:val="00C05C4E"/>
    <w:rsid w:val="00C05C53"/>
    <w:rsid w:val="00C05CE8"/>
    <w:rsid w:val="00C05DF8"/>
    <w:rsid w:val="00C05E01"/>
    <w:rsid w:val="00C05E52"/>
    <w:rsid w:val="00C05E90"/>
    <w:rsid w:val="00C05EBF"/>
    <w:rsid w:val="00C05EF7"/>
    <w:rsid w:val="00C05EFC"/>
    <w:rsid w:val="00C05F89"/>
    <w:rsid w:val="00C061DA"/>
    <w:rsid w:val="00C06289"/>
    <w:rsid w:val="00C06299"/>
    <w:rsid w:val="00C062AB"/>
    <w:rsid w:val="00C06419"/>
    <w:rsid w:val="00C064CF"/>
    <w:rsid w:val="00C0653B"/>
    <w:rsid w:val="00C0654B"/>
    <w:rsid w:val="00C06583"/>
    <w:rsid w:val="00C065BA"/>
    <w:rsid w:val="00C0660B"/>
    <w:rsid w:val="00C066C8"/>
    <w:rsid w:val="00C0684B"/>
    <w:rsid w:val="00C06864"/>
    <w:rsid w:val="00C0693C"/>
    <w:rsid w:val="00C06964"/>
    <w:rsid w:val="00C06978"/>
    <w:rsid w:val="00C06998"/>
    <w:rsid w:val="00C069AD"/>
    <w:rsid w:val="00C069CC"/>
    <w:rsid w:val="00C06A01"/>
    <w:rsid w:val="00C06CB0"/>
    <w:rsid w:val="00C06D3B"/>
    <w:rsid w:val="00C06D6B"/>
    <w:rsid w:val="00C06D81"/>
    <w:rsid w:val="00C06D9E"/>
    <w:rsid w:val="00C06E9B"/>
    <w:rsid w:val="00C06FF0"/>
    <w:rsid w:val="00C0700F"/>
    <w:rsid w:val="00C0709F"/>
    <w:rsid w:val="00C070AA"/>
    <w:rsid w:val="00C070E7"/>
    <w:rsid w:val="00C07153"/>
    <w:rsid w:val="00C0715D"/>
    <w:rsid w:val="00C0719E"/>
    <w:rsid w:val="00C071C3"/>
    <w:rsid w:val="00C07351"/>
    <w:rsid w:val="00C074A9"/>
    <w:rsid w:val="00C074AE"/>
    <w:rsid w:val="00C0751D"/>
    <w:rsid w:val="00C07526"/>
    <w:rsid w:val="00C075A7"/>
    <w:rsid w:val="00C07666"/>
    <w:rsid w:val="00C076A7"/>
    <w:rsid w:val="00C076DF"/>
    <w:rsid w:val="00C07706"/>
    <w:rsid w:val="00C077E7"/>
    <w:rsid w:val="00C0788A"/>
    <w:rsid w:val="00C079D3"/>
    <w:rsid w:val="00C07A03"/>
    <w:rsid w:val="00C07A6E"/>
    <w:rsid w:val="00C07AAA"/>
    <w:rsid w:val="00C07AE2"/>
    <w:rsid w:val="00C07B4C"/>
    <w:rsid w:val="00C07C4F"/>
    <w:rsid w:val="00C07C62"/>
    <w:rsid w:val="00C07C6A"/>
    <w:rsid w:val="00C07CA7"/>
    <w:rsid w:val="00C07CED"/>
    <w:rsid w:val="00C07F68"/>
    <w:rsid w:val="00C100B5"/>
    <w:rsid w:val="00C1013C"/>
    <w:rsid w:val="00C101BB"/>
    <w:rsid w:val="00C101FF"/>
    <w:rsid w:val="00C1024D"/>
    <w:rsid w:val="00C1025C"/>
    <w:rsid w:val="00C102D0"/>
    <w:rsid w:val="00C102D3"/>
    <w:rsid w:val="00C10445"/>
    <w:rsid w:val="00C10480"/>
    <w:rsid w:val="00C1056B"/>
    <w:rsid w:val="00C10571"/>
    <w:rsid w:val="00C10649"/>
    <w:rsid w:val="00C10665"/>
    <w:rsid w:val="00C106D8"/>
    <w:rsid w:val="00C106ED"/>
    <w:rsid w:val="00C1071D"/>
    <w:rsid w:val="00C1072F"/>
    <w:rsid w:val="00C1088A"/>
    <w:rsid w:val="00C1089A"/>
    <w:rsid w:val="00C108B4"/>
    <w:rsid w:val="00C10B3A"/>
    <w:rsid w:val="00C10B62"/>
    <w:rsid w:val="00C10BA3"/>
    <w:rsid w:val="00C10BE9"/>
    <w:rsid w:val="00C10C0C"/>
    <w:rsid w:val="00C10C19"/>
    <w:rsid w:val="00C10CC0"/>
    <w:rsid w:val="00C10EC9"/>
    <w:rsid w:val="00C10F12"/>
    <w:rsid w:val="00C10FEF"/>
    <w:rsid w:val="00C111D2"/>
    <w:rsid w:val="00C11282"/>
    <w:rsid w:val="00C112BD"/>
    <w:rsid w:val="00C11353"/>
    <w:rsid w:val="00C113E3"/>
    <w:rsid w:val="00C1142D"/>
    <w:rsid w:val="00C11434"/>
    <w:rsid w:val="00C11526"/>
    <w:rsid w:val="00C11532"/>
    <w:rsid w:val="00C115CD"/>
    <w:rsid w:val="00C11629"/>
    <w:rsid w:val="00C1164F"/>
    <w:rsid w:val="00C11732"/>
    <w:rsid w:val="00C11776"/>
    <w:rsid w:val="00C117EB"/>
    <w:rsid w:val="00C11851"/>
    <w:rsid w:val="00C11B5E"/>
    <w:rsid w:val="00C11D0B"/>
    <w:rsid w:val="00C11D2B"/>
    <w:rsid w:val="00C11D2F"/>
    <w:rsid w:val="00C11D4F"/>
    <w:rsid w:val="00C11D5D"/>
    <w:rsid w:val="00C11F2E"/>
    <w:rsid w:val="00C11F8F"/>
    <w:rsid w:val="00C11FAA"/>
    <w:rsid w:val="00C120DC"/>
    <w:rsid w:val="00C12283"/>
    <w:rsid w:val="00C12338"/>
    <w:rsid w:val="00C12355"/>
    <w:rsid w:val="00C1236B"/>
    <w:rsid w:val="00C123AE"/>
    <w:rsid w:val="00C124D1"/>
    <w:rsid w:val="00C12505"/>
    <w:rsid w:val="00C12695"/>
    <w:rsid w:val="00C12707"/>
    <w:rsid w:val="00C127EC"/>
    <w:rsid w:val="00C1283D"/>
    <w:rsid w:val="00C128EC"/>
    <w:rsid w:val="00C1294D"/>
    <w:rsid w:val="00C1295E"/>
    <w:rsid w:val="00C129ED"/>
    <w:rsid w:val="00C12A97"/>
    <w:rsid w:val="00C12C10"/>
    <w:rsid w:val="00C12C16"/>
    <w:rsid w:val="00C12C30"/>
    <w:rsid w:val="00C12D22"/>
    <w:rsid w:val="00C12FD0"/>
    <w:rsid w:val="00C12FF3"/>
    <w:rsid w:val="00C1300F"/>
    <w:rsid w:val="00C1302C"/>
    <w:rsid w:val="00C1310A"/>
    <w:rsid w:val="00C13126"/>
    <w:rsid w:val="00C1317A"/>
    <w:rsid w:val="00C131EB"/>
    <w:rsid w:val="00C13253"/>
    <w:rsid w:val="00C132D3"/>
    <w:rsid w:val="00C1339E"/>
    <w:rsid w:val="00C1340C"/>
    <w:rsid w:val="00C13477"/>
    <w:rsid w:val="00C134AC"/>
    <w:rsid w:val="00C13530"/>
    <w:rsid w:val="00C1356E"/>
    <w:rsid w:val="00C13640"/>
    <w:rsid w:val="00C13761"/>
    <w:rsid w:val="00C13769"/>
    <w:rsid w:val="00C13784"/>
    <w:rsid w:val="00C13886"/>
    <w:rsid w:val="00C13944"/>
    <w:rsid w:val="00C13A0A"/>
    <w:rsid w:val="00C13B59"/>
    <w:rsid w:val="00C13C05"/>
    <w:rsid w:val="00C13C19"/>
    <w:rsid w:val="00C13CC6"/>
    <w:rsid w:val="00C13F07"/>
    <w:rsid w:val="00C13F77"/>
    <w:rsid w:val="00C14008"/>
    <w:rsid w:val="00C140EA"/>
    <w:rsid w:val="00C141B8"/>
    <w:rsid w:val="00C141F7"/>
    <w:rsid w:val="00C14247"/>
    <w:rsid w:val="00C14254"/>
    <w:rsid w:val="00C144A1"/>
    <w:rsid w:val="00C144AA"/>
    <w:rsid w:val="00C145B3"/>
    <w:rsid w:val="00C145C3"/>
    <w:rsid w:val="00C1462C"/>
    <w:rsid w:val="00C14743"/>
    <w:rsid w:val="00C147C3"/>
    <w:rsid w:val="00C147FF"/>
    <w:rsid w:val="00C14848"/>
    <w:rsid w:val="00C14881"/>
    <w:rsid w:val="00C149FB"/>
    <w:rsid w:val="00C14B4E"/>
    <w:rsid w:val="00C14C6C"/>
    <w:rsid w:val="00C14D5E"/>
    <w:rsid w:val="00C14D9F"/>
    <w:rsid w:val="00C14DC6"/>
    <w:rsid w:val="00C14FDE"/>
    <w:rsid w:val="00C15085"/>
    <w:rsid w:val="00C150AB"/>
    <w:rsid w:val="00C151B9"/>
    <w:rsid w:val="00C151DC"/>
    <w:rsid w:val="00C151FD"/>
    <w:rsid w:val="00C15204"/>
    <w:rsid w:val="00C152CE"/>
    <w:rsid w:val="00C1530F"/>
    <w:rsid w:val="00C153DE"/>
    <w:rsid w:val="00C1548C"/>
    <w:rsid w:val="00C154E8"/>
    <w:rsid w:val="00C154F1"/>
    <w:rsid w:val="00C15564"/>
    <w:rsid w:val="00C155BA"/>
    <w:rsid w:val="00C157FC"/>
    <w:rsid w:val="00C15901"/>
    <w:rsid w:val="00C1597C"/>
    <w:rsid w:val="00C15A3A"/>
    <w:rsid w:val="00C15B6F"/>
    <w:rsid w:val="00C15D08"/>
    <w:rsid w:val="00C15D1B"/>
    <w:rsid w:val="00C15D48"/>
    <w:rsid w:val="00C15E6C"/>
    <w:rsid w:val="00C15EFD"/>
    <w:rsid w:val="00C15F35"/>
    <w:rsid w:val="00C15F38"/>
    <w:rsid w:val="00C15FB6"/>
    <w:rsid w:val="00C15FDA"/>
    <w:rsid w:val="00C1612E"/>
    <w:rsid w:val="00C16155"/>
    <w:rsid w:val="00C16175"/>
    <w:rsid w:val="00C16270"/>
    <w:rsid w:val="00C16272"/>
    <w:rsid w:val="00C16327"/>
    <w:rsid w:val="00C16332"/>
    <w:rsid w:val="00C1639C"/>
    <w:rsid w:val="00C16417"/>
    <w:rsid w:val="00C164FD"/>
    <w:rsid w:val="00C164FE"/>
    <w:rsid w:val="00C16518"/>
    <w:rsid w:val="00C1669E"/>
    <w:rsid w:val="00C16773"/>
    <w:rsid w:val="00C167BC"/>
    <w:rsid w:val="00C16807"/>
    <w:rsid w:val="00C1683F"/>
    <w:rsid w:val="00C16874"/>
    <w:rsid w:val="00C1694A"/>
    <w:rsid w:val="00C169E7"/>
    <w:rsid w:val="00C169FA"/>
    <w:rsid w:val="00C16A93"/>
    <w:rsid w:val="00C16AB4"/>
    <w:rsid w:val="00C16B06"/>
    <w:rsid w:val="00C16B4E"/>
    <w:rsid w:val="00C16BAA"/>
    <w:rsid w:val="00C16BAB"/>
    <w:rsid w:val="00C16BE5"/>
    <w:rsid w:val="00C16C0F"/>
    <w:rsid w:val="00C16CD0"/>
    <w:rsid w:val="00C16E27"/>
    <w:rsid w:val="00C16EE3"/>
    <w:rsid w:val="00C16EE9"/>
    <w:rsid w:val="00C1713C"/>
    <w:rsid w:val="00C1715F"/>
    <w:rsid w:val="00C1716D"/>
    <w:rsid w:val="00C171C9"/>
    <w:rsid w:val="00C17292"/>
    <w:rsid w:val="00C172F3"/>
    <w:rsid w:val="00C17411"/>
    <w:rsid w:val="00C175F1"/>
    <w:rsid w:val="00C1761E"/>
    <w:rsid w:val="00C17694"/>
    <w:rsid w:val="00C177FC"/>
    <w:rsid w:val="00C17850"/>
    <w:rsid w:val="00C179AC"/>
    <w:rsid w:val="00C17A0E"/>
    <w:rsid w:val="00C17B17"/>
    <w:rsid w:val="00C17B48"/>
    <w:rsid w:val="00C17BEE"/>
    <w:rsid w:val="00C17D87"/>
    <w:rsid w:val="00C17EA6"/>
    <w:rsid w:val="00C17EAA"/>
    <w:rsid w:val="00C17EFB"/>
    <w:rsid w:val="00C17F59"/>
    <w:rsid w:val="00C17F70"/>
    <w:rsid w:val="00C17FCB"/>
    <w:rsid w:val="00C17FD2"/>
    <w:rsid w:val="00C20180"/>
    <w:rsid w:val="00C202A6"/>
    <w:rsid w:val="00C2033F"/>
    <w:rsid w:val="00C20402"/>
    <w:rsid w:val="00C20589"/>
    <w:rsid w:val="00C205EC"/>
    <w:rsid w:val="00C20754"/>
    <w:rsid w:val="00C207A0"/>
    <w:rsid w:val="00C207F3"/>
    <w:rsid w:val="00C208DD"/>
    <w:rsid w:val="00C209FD"/>
    <w:rsid w:val="00C20A4A"/>
    <w:rsid w:val="00C20AA0"/>
    <w:rsid w:val="00C20B05"/>
    <w:rsid w:val="00C20B45"/>
    <w:rsid w:val="00C20BAF"/>
    <w:rsid w:val="00C20BD8"/>
    <w:rsid w:val="00C20C6C"/>
    <w:rsid w:val="00C20D0F"/>
    <w:rsid w:val="00C20D47"/>
    <w:rsid w:val="00C20D81"/>
    <w:rsid w:val="00C20E8A"/>
    <w:rsid w:val="00C20FC1"/>
    <w:rsid w:val="00C21014"/>
    <w:rsid w:val="00C210C5"/>
    <w:rsid w:val="00C2116A"/>
    <w:rsid w:val="00C211A8"/>
    <w:rsid w:val="00C211E1"/>
    <w:rsid w:val="00C211F0"/>
    <w:rsid w:val="00C21293"/>
    <w:rsid w:val="00C2129D"/>
    <w:rsid w:val="00C2139B"/>
    <w:rsid w:val="00C214A5"/>
    <w:rsid w:val="00C2194F"/>
    <w:rsid w:val="00C219D2"/>
    <w:rsid w:val="00C21A28"/>
    <w:rsid w:val="00C21A43"/>
    <w:rsid w:val="00C21B06"/>
    <w:rsid w:val="00C21C1F"/>
    <w:rsid w:val="00C21CBB"/>
    <w:rsid w:val="00C21CC9"/>
    <w:rsid w:val="00C21D26"/>
    <w:rsid w:val="00C21D92"/>
    <w:rsid w:val="00C21E7E"/>
    <w:rsid w:val="00C21F92"/>
    <w:rsid w:val="00C22057"/>
    <w:rsid w:val="00C220AA"/>
    <w:rsid w:val="00C220DA"/>
    <w:rsid w:val="00C2217F"/>
    <w:rsid w:val="00C221AE"/>
    <w:rsid w:val="00C221C7"/>
    <w:rsid w:val="00C2232B"/>
    <w:rsid w:val="00C2234B"/>
    <w:rsid w:val="00C22359"/>
    <w:rsid w:val="00C2246E"/>
    <w:rsid w:val="00C2246F"/>
    <w:rsid w:val="00C22501"/>
    <w:rsid w:val="00C2256D"/>
    <w:rsid w:val="00C22792"/>
    <w:rsid w:val="00C228FF"/>
    <w:rsid w:val="00C2290D"/>
    <w:rsid w:val="00C229CA"/>
    <w:rsid w:val="00C229CC"/>
    <w:rsid w:val="00C22AC1"/>
    <w:rsid w:val="00C22AFE"/>
    <w:rsid w:val="00C22B1D"/>
    <w:rsid w:val="00C22B22"/>
    <w:rsid w:val="00C22B7B"/>
    <w:rsid w:val="00C22D07"/>
    <w:rsid w:val="00C22D20"/>
    <w:rsid w:val="00C22F74"/>
    <w:rsid w:val="00C23078"/>
    <w:rsid w:val="00C23093"/>
    <w:rsid w:val="00C2310F"/>
    <w:rsid w:val="00C23144"/>
    <w:rsid w:val="00C23175"/>
    <w:rsid w:val="00C231EF"/>
    <w:rsid w:val="00C232DB"/>
    <w:rsid w:val="00C23483"/>
    <w:rsid w:val="00C23627"/>
    <w:rsid w:val="00C23650"/>
    <w:rsid w:val="00C2365C"/>
    <w:rsid w:val="00C23759"/>
    <w:rsid w:val="00C23764"/>
    <w:rsid w:val="00C237BB"/>
    <w:rsid w:val="00C237CA"/>
    <w:rsid w:val="00C23A14"/>
    <w:rsid w:val="00C23A80"/>
    <w:rsid w:val="00C23A92"/>
    <w:rsid w:val="00C23B26"/>
    <w:rsid w:val="00C23BB4"/>
    <w:rsid w:val="00C23C98"/>
    <w:rsid w:val="00C23E0B"/>
    <w:rsid w:val="00C23E21"/>
    <w:rsid w:val="00C23ED2"/>
    <w:rsid w:val="00C23EF7"/>
    <w:rsid w:val="00C23F1E"/>
    <w:rsid w:val="00C23F35"/>
    <w:rsid w:val="00C23F69"/>
    <w:rsid w:val="00C241C3"/>
    <w:rsid w:val="00C241D8"/>
    <w:rsid w:val="00C242CA"/>
    <w:rsid w:val="00C24374"/>
    <w:rsid w:val="00C2447F"/>
    <w:rsid w:val="00C244F1"/>
    <w:rsid w:val="00C24620"/>
    <w:rsid w:val="00C2471C"/>
    <w:rsid w:val="00C24747"/>
    <w:rsid w:val="00C2475E"/>
    <w:rsid w:val="00C24818"/>
    <w:rsid w:val="00C24887"/>
    <w:rsid w:val="00C248EE"/>
    <w:rsid w:val="00C24B85"/>
    <w:rsid w:val="00C24C44"/>
    <w:rsid w:val="00C24D16"/>
    <w:rsid w:val="00C24D2E"/>
    <w:rsid w:val="00C24E9C"/>
    <w:rsid w:val="00C24F24"/>
    <w:rsid w:val="00C24F4C"/>
    <w:rsid w:val="00C25099"/>
    <w:rsid w:val="00C2513E"/>
    <w:rsid w:val="00C2520A"/>
    <w:rsid w:val="00C25367"/>
    <w:rsid w:val="00C2536E"/>
    <w:rsid w:val="00C25478"/>
    <w:rsid w:val="00C2547D"/>
    <w:rsid w:val="00C254B1"/>
    <w:rsid w:val="00C25669"/>
    <w:rsid w:val="00C25739"/>
    <w:rsid w:val="00C25811"/>
    <w:rsid w:val="00C25828"/>
    <w:rsid w:val="00C2584F"/>
    <w:rsid w:val="00C258A0"/>
    <w:rsid w:val="00C25935"/>
    <w:rsid w:val="00C25980"/>
    <w:rsid w:val="00C25A03"/>
    <w:rsid w:val="00C25B0C"/>
    <w:rsid w:val="00C25BC4"/>
    <w:rsid w:val="00C25C16"/>
    <w:rsid w:val="00C25C79"/>
    <w:rsid w:val="00C25D81"/>
    <w:rsid w:val="00C25E7D"/>
    <w:rsid w:val="00C25EB9"/>
    <w:rsid w:val="00C25EC0"/>
    <w:rsid w:val="00C25EDF"/>
    <w:rsid w:val="00C25FE2"/>
    <w:rsid w:val="00C26011"/>
    <w:rsid w:val="00C26018"/>
    <w:rsid w:val="00C26060"/>
    <w:rsid w:val="00C26066"/>
    <w:rsid w:val="00C2614D"/>
    <w:rsid w:val="00C261EA"/>
    <w:rsid w:val="00C26322"/>
    <w:rsid w:val="00C264C6"/>
    <w:rsid w:val="00C26663"/>
    <w:rsid w:val="00C2668E"/>
    <w:rsid w:val="00C26692"/>
    <w:rsid w:val="00C266DA"/>
    <w:rsid w:val="00C267A9"/>
    <w:rsid w:val="00C267C1"/>
    <w:rsid w:val="00C2685B"/>
    <w:rsid w:val="00C26896"/>
    <w:rsid w:val="00C26A3F"/>
    <w:rsid w:val="00C26B4F"/>
    <w:rsid w:val="00C26B64"/>
    <w:rsid w:val="00C26BB1"/>
    <w:rsid w:val="00C26BC8"/>
    <w:rsid w:val="00C26C14"/>
    <w:rsid w:val="00C26C4B"/>
    <w:rsid w:val="00C26C72"/>
    <w:rsid w:val="00C26D54"/>
    <w:rsid w:val="00C26DF6"/>
    <w:rsid w:val="00C26E15"/>
    <w:rsid w:val="00C26EE0"/>
    <w:rsid w:val="00C26EF9"/>
    <w:rsid w:val="00C26F2A"/>
    <w:rsid w:val="00C26FC1"/>
    <w:rsid w:val="00C270EC"/>
    <w:rsid w:val="00C2717B"/>
    <w:rsid w:val="00C27344"/>
    <w:rsid w:val="00C2741E"/>
    <w:rsid w:val="00C27439"/>
    <w:rsid w:val="00C274F1"/>
    <w:rsid w:val="00C275F6"/>
    <w:rsid w:val="00C2776A"/>
    <w:rsid w:val="00C27785"/>
    <w:rsid w:val="00C277A8"/>
    <w:rsid w:val="00C27814"/>
    <w:rsid w:val="00C27895"/>
    <w:rsid w:val="00C279CF"/>
    <w:rsid w:val="00C27A14"/>
    <w:rsid w:val="00C27A22"/>
    <w:rsid w:val="00C27B32"/>
    <w:rsid w:val="00C27B3C"/>
    <w:rsid w:val="00C27D48"/>
    <w:rsid w:val="00C27E8B"/>
    <w:rsid w:val="00C27EB5"/>
    <w:rsid w:val="00C27F11"/>
    <w:rsid w:val="00C300D0"/>
    <w:rsid w:val="00C30133"/>
    <w:rsid w:val="00C3023A"/>
    <w:rsid w:val="00C3027E"/>
    <w:rsid w:val="00C30360"/>
    <w:rsid w:val="00C30403"/>
    <w:rsid w:val="00C3045E"/>
    <w:rsid w:val="00C3048A"/>
    <w:rsid w:val="00C304DA"/>
    <w:rsid w:val="00C30585"/>
    <w:rsid w:val="00C306DD"/>
    <w:rsid w:val="00C306FE"/>
    <w:rsid w:val="00C3089B"/>
    <w:rsid w:val="00C308DE"/>
    <w:rsid w:val="00C3097E"/>
    <w:rsid w:val="00C30A9A"/>
    <w:rsid w:val="00C30AF8"/>
    <w:rsid w:val="00C30B76"/>
    <w:rsid w:val="00C30BE3"/>
    <w:rsid w:val="00C30C69"/>
    <w:rsid w:val="00C30C92"/>
    <w:rsid w:val="00C30D77"/>
    <w:rsid w:val="00C30DFC"/>
    <w:rsid w:val="00C30EB0"/>
    <w:rsid w:val="00C30EC0"/>
    <w:rsid w:val="00C31007"/>
    <w:rsid w:val="00C310B1"/>
    <w:rsid w:val="00C310EE"/>
    <w:rsid w:val="00C3110C"/>
    <w:rsid w:val="00C3111A"/>
    <w:rsid w:val="00C311D7"/>
    <w:rsid w:val="00C311F3"/>
    <w:rsid w:val="00C311FA"/>
    <w:rsid w:val="00C312DF"/>
    <w:rsid w:val="00C31337"/>
    <w:rsid w:val="00C314A7"/>
    <w:rsid w:val="00C31504"/>
    <w:rsid w:val="00C31677"/>
    <w:rsid w:val="00C3167D"/>
    <w:rsid w:val="00C316BF"/>
    <w:rsid w:val="00C31763"/>
    <w:rsid w:val="00C31A13"/>
    <w:rsid w:val="00C31A4A"/>
    <w:rsid w:val="00C31AA7"/>
    <w:rsid w:val="00C31AFF"/>
    <w:rsid w:val="00C31C29"/>
    <w:rsid w:val="00C31CD7"/>
    <w:rsid w:val="00C31DA7"/>
    <w:rsid w:val="00C31DB0"/>
    <w:rsid w:val="00C31E14"/>
    <w:rsid w:val="00C31E22"/>
    <w:rsid w:val="00C31F03"/>
    <w:rsid w:val="00C31F37"/>
    <w:rsid w:val="00C31FCA"/>
    <w:rsid w:val="00C31FCE"/>
    <w:rsid w:val="00C32152"/>
    <w:rsid w:val="00C321A7"/>
    <w:rsid w:val="00C321AF"/>
    <w:rsid w:val="00C322B4"/>
    <w:rsid w:val="00C322C3"/>
    <w:rsid w:val="00C322FC"/>
    <w:rsid w:val="00C3237C"/>
    <w:rsid w:val="00C323C4"/>
    <w:rsid w:val="00C32474"/>
    <w:rsid w:val="00C326CF"/>
    <w:rsid w:val="00C326F4"/>
    <w:rsid w:val="00C32756"/>
    <w:rsid w:val="00C327CE"/>
    <w:rsid w:val="00C3292D"/>
    <w:rsid w:val="00C3298E"/>
    <w:rsid w:val="00C329F0"/>
    <w:rsid w:val="00C32A09"/>
    <w:rsid w:val="00C32B98"/>
    <w:rsid w:val="00C32C8C"/>
    <w:rsid w:val="00C32F93"/>
    <w:rsid w:val="00C32FF5"/>
    <w:rsid w:val="00C33239"/>
    <w:rsid w:val="00C3327C"/>
    <w:rsid w:val="00C33435"/>
    <w:rsid w:val="00C33442"/>
    <w:rsid w:val="00C3345B"/>
    <w:rsid w:val="00C33576"/>
    <w:rsid w:val="00C335DF"/>
    <w:rsid w:val="00C33630"/>
    <w:rsid w:val="00C33638"/>
    <w:rsid w:val="00C33654"/>
    <w:rsid w:val="00C33894"/>
    <w:rsid w:val="00C3391B"/>
    <w:rsid w:val="00C33933"/>
    <w:rsid w:val="00C33998"/>
    <w:rsid w:val="00C33B1E"/>
    <w:rsid w:val="00C33B8C"/>
    <w:rsid w:val="00C33C87"/>
    <w:rsid w:val="00C33D0C"/>
    <w:rsid w:val="00C33D27"/>
    <w:rsid w:val="00C33D54"/>
    <w:rsid w:val="00C33DC4"/>
    <w:rsid w:val="00C33F03"/>
    <w:rsid w:val="00C33F1B"/>
    <w:rsid w:val="00C34044"/>
    <w:rsid w:val="00C340B0"/>
    <w:rsid w:val="00C341B4"/>
    <w:rsid w:val="00C341F9"/>
    <w:rsid w:val="00C34305"/>
    <w:rsid w:val="00C34369"/>
    <w:rsid w:val="00C343F1"/>
    <w:rsid w:val="00C34588"/>
    <w:rsid w:val="00C34626"/>
    <w:rsid w:val="00C346B5"/>
    <w:rsid w:val="00C346CC"/>
    <w:rsid w:val="00C347D3"/>
    <w:rsid w:val="00C347ED"/>
    <w:rsid w:val="00C348E7"/>
    <w:rsid w:val="00C348EA"/>
    <w:rsid w:val="00C3494A"/>
    <w:rsid w:val="00C34989"/>
    <w:rsid w:val="00C349AA"/>
    <w:rsid w:val="00C349BC"/>
    <w:rsid w:val="00C34B13"/>
    <w:rsid w:val="00C34B66"/>
    <w:rsid w:val="00C34B8A"/>
    <w:rsid w:val="00C34CE6"/>
    <w:rsid w:val="00C34D6F"/>
    <w:rsid w:val="00C34F08"/>
    <w:rsid w:val="00C34F24"/>
    <w:rsid w:val="00C34FCD"/>
    <w:rsid w:val="00C3508D"/>
    <w:rsid w:val="00C350AF"/>
    <w:rsid w:val="00C35195"/>
    <w:rsid w:val="00C351A6"/>
    <w:rsid w:val="00C35259"/>
    <w:rsid w:val="00C3530E"/>
    <w:rsid w:val="00C35346"/>
    <w:rsid w:val="00C354B2"/>
    <w:rsid w:val="00C354B6"/>
    <w:rsid w:val="00C354FB"/>
    <w:rsid w:val="00C35536"/>
    <w:rsid w:val="00C355BD"/>
    <w:rsid w:val="00C35647"/>
    <w:rsid w:val="00C357D8"/>
    <w:rsid w:val="00C359C3"/>
    <w:rsid w:val="00C35A84"/>
    <w:rsid w:val="00C35BA4"/>
    <w:rsid w:val="00C35BE3"/>
    <w:rsid w:val="00C35BE6"/>
    <w:rsid w:val="00C35C33"/>
    <w:rsid w:val="00C35C48"/>
    <w:rsid w:val="00C35C9F"/>
    <w:rsid w:val="00C35CAA"/>
    <w:rsid w:val="00C35CFF"/>
    <w:rsid w:val="00C35E16"/>
    <w:rsid w:val="00C35E78"/>
    <w:rsid w:val="00C35EB9"/>
    <w:rsid w:val="00C36024"/>
    <w:rsid w:val="00C360E6"/>
    <w:rsid w:val="00C361EA"/>
    <w:rsid w:val="00C362EE"/>
    <w:rsid w:val="00C36414"/>
    <w:rsid w:val="00C367B8"/>
    <w:rsid w:val="00C36923"/>
    <w:rsid w:val="00C36937"/>
    <w:rsid w:val="00C3694C"/>
    <w:rsid w:val="00C369F3"/>
    <w:rsid w:val="00C36AD2"/>
    <w:rsid w:val="00C36AE0"/>
    <w:rsid w:val="00C36B1F"/>
    <w:rsid w:val="00C36B50"/>
    <w:rsid w:val="00C36D08"/>
    <w:rsid w:val="00C36D7A"/>
    <w:rsid w:val="00C36DC8"/>
    <w:rsid w:val="00C36E41"/>
    <w:rsid w:val="00C36EB5"/>
    <w:rsid w:val="00C36F40"/>
    <w:rsid w:val="00C36F98"/>
    <w:rsid w:val="00C36FEE"/>
    <w:rsid w:val="00C36FFB"/>
    <w:rsid w:val="00C3704F"/>
    <w:rsid w:val="00C37178"/>
    <w:rsid w:val="00C371C6"/>
    <w:rsid w:val="00C37270"/>
    <w:rsid w:val="00C37362"/>
    <w:rsid w:val="00C37371"/>
    <w:rsid w:val="00C37399"/>
    <w:rsid w:val="00C3741E"/>
    <w:rsid w:val="00C37460"/>
    <w:rsid w:val="00C37499"/>
    <w:rsid w:val="00C374DD"/>
    <w:rsid w:val="00C37716"/>
    <w:rsid w:val="00C37722"/>
    <w:rsid w:val="00C3782C"/>
    <w:rsid w:val="00C3786C"/>
    <w:rsid w:val="00C3787A"/>
    <w:rsid w:val="00C37947"/>
    <w:rsid w:val="00C37957"/>
    <w:rsid w:val="00C379B7"/>
    <w:rsid w:val="00C37A32"/>
    <w:rsid w:val="00C37ABA"/>
    <w:rsid w:val="00C37B65"/>
    <w:rsid w:val="00C37C88"/>
    <w:rsid w:val="00C37E05"/>
    <w:rsid w:val="00C37FA8"/>
    <w:rsid w:val="00C37FD3"/>
    <w:rsid w:val="00C40046"/>
    <w:rsid w:val="00C40067"/>
    <w:rsid w:val="00C40190"/>
    <w:rsid w:val="00C401CF"/>
    <w:rsid w:val="00C401EF"/>
    <w:rsid w:val="00C4028F"/>
    <w:rsid w:val="00C4029D"/>
    <w:rsid w:val="00C40430"/>
    <w:rsid w:val="00C40496"/>
    <w:rsid w:val="00C404EE"/>
    <w:rsid w:val="00C40588"/>
    <w:rsid w:val="00C405C5"/>
    <w:rsid w:val="00C405C6"/>
    <w:rsid w:val="00C406FD"/>
    <w:rsid w:val="00C4078A"/>
    <w:rsid w:val="00C407F5"/>
    <w:rsid w:val="00C408EB"/>
    <w:rsid w:val="00C40900"/>
    <w:rsid w:val="00C40959"/>
    <w:rsid w:val="00C40967"/>
    <w:rsid w:val="00C40973"/>
    <w:rsid w:val="00C40C24"/>
    <w:rsid w:val="00C40CB7"/>
    <w:rsid w:val="00C40F17"/>
    <w:rsid w:val="00C41088"/>
    <w:rsid w:val="00C410A9"/>
    <w:rsid w:val="00C4117B"/>
    <w:rsid w:val="00C411AC"/>
    <w:rsid w:val="00C411D7"/>
    <w:rsid w:val="00C41215"/>
    <w:rsid w:val="00C41240"/>
    <w:rsid w:val="00C4127A"/>
    <w:rsid w:val="00C412CA"/>
    <w:rsid w:val="00C412F1"/>
    <w:rsid w:val="00C41385"/>
    <w:rsid w:val="00C413CC"/>
    <w:rsid w:val="00C413EA"/>
    <w:rsid w:val="00C41528"/>
    <w:rsid w:val="00C4160C"/>
    <w:rsid w:val="00C4162F"/>
    <w:rsid w:val="00C4169F"/>
    <w:rsid w:val="00C41730"/>
    <w:rsid w:val="00C41904"/>
    <w:rsid w:val="00C41A0A"/>
    <w:rsid w:val="00C41A8A"/>
    <w:rsid w:val="00C41B4B"/>
    <w:rsid w:val="00C41C29"/>
    <w:rsid w:val="00C41D56"/>
    <w:rsid w:val="00C41DB9"/>
    <w:rsid w:val="00C41E2C"/>
    <w:rsid w:val="00C41E76"/>
    <w:rsid w:val="00C41F06"/>
    <w:rsid w:val="00C42040"/>
    <w:rsid w:val="00C42044"/>
    <w:rsid w:val="00C4229B"/>
    <w:rsid w:val="00C422C1"/>
    <w:rsid w:val="00C423E2"/>
    <w:rsid w:val="00C42475"/>
    <w:rsid w:val="00C42480"/>
    <w:rsid w:val="00C4249B"/>
    <w:rsid w:val="00C424CF"/>
    <w:rsid w:val="00C426A3"/>
    <w:rsid w:val="00C427BE"/>
    <w:rsid w:val="00C42848"/>
    <w:rsid w:val="00C42A64"/>
    <w:rsid w:val="00C42AA9"/>
    <w:rsid w:val="00C42AF1"/>
    <w:rsid w:val="00C42C06"/>
    <w:rsid w:val="00C42C40"/>
    <w:rsid w:val="00C42D24"/>
    <w:rsid w:val="00C42D32"/>
    <w:rsid w:val="00C42D5A"/>
    <w:rsid w:val="00C42DA8"/>
    <w:rsid w:val="00C42E60"/>
    <w:rsid w:val="00C42F2C"/>
    <w:rsid w:val="00C430AA"/>
    <w:rsid w:val="00C431DE"/>
    <w:rsid w:val="00C43319"/>
    <w:rsid w:val="00C433EE"/>
    <w:rsid w:val="00C43539"/>
    <w:rsid w:val="00C436D6"/>
    <w:rsid w:val="00C436E2"/>
    <w:rsid w:val="00C4375F"/>
    <w:rsid w:val="00C437F8"/>
    <w:rsid w:val="00C43876"/>
    <w:rsid w:val="00C438C6"/>
    <w:rsid w:val="00C439A8"/>
    <w:rsid w:val="00C43BC7"/>
    <w:rsid w:val="00C44006"/>
    <w:rsid w:val="00C441D6"/>
    <w:rsid w:val="00C441F3"/>
    <w:rsid w:val="00C44207"/>
    <w:rsid w:val="00C44217"/>
    <w:rsid w:val="00C44228"/>
    <w:rsid w:val="00C44266"/>
    <w:rsid w:val="00C442A1"/>
    <w:rsid w:val="00C4430C"/>
    <w:rsid w:val="00C443C0"/>
    <w:rsid w:val="00C44592"/>
    <w:rsid w:val="00C44823"/>
    <w:rsid w:val="00C4482C"/>
    <w:rsid w:val="00C4487A"/>
    <w:rsid w:val="00C44912"/>
    <w:rsid w:val="00C44AC8"/>
    <w:rsid w:val="00C44B33"/>
    <w:rsid w:val="00C44BBD"/>
    <w:rsid w:val="00C44C38"/>
    <w:rsid w:val="00C44C51"/>
    <w:rsid w:val="00C44D66"/>
    <w:rsid w:val="00C44D86"/>
    <w:rsid w:val="00C44E18"/>
    <w:rsid w:val="00C44E40"/>
    <w:rsid w:val="00C44EDD"/>
    <w:rsid w:val="00C44EE8"/>
    <w:rsid w:val="00C44FD0"/>
    <w:rsid w:val="00C4503C"/>
    <w:rsid w:val="00C450AA"/>
    <w:rsid w:val="00C45176"/>
    <w:rsid w:val="00C451BD"/>
    <w:rsid w:val="00C45272"/>
    <w:rsid w:val="00C4528C"/>
    <w:rsid w:val="00C452EC"/>
    <w:rsid w:val="00C453C2"/>
    <w:rsid w:val="00C4563F"/>
    <w:rsid w:val="00C45703"/>
    <w:rsid w:val="00C457AA"/>
    <w:rsid w:val="00C457BC"/>
    <w:rsid w:val="00C457E2"/>
    <w:rsid w:val="00C45802"/>
    <w:rsid w:val="00C459DE"/>
    <w:rsid w:val="00C45A5E"/>
    <w:rsid w:val="00C45C38"/>
    <w:rsid w:val="00C45C50"/>
    <w:rsid w:val="00C45CDC"/>
    <w:rsid w:val="00C45D13"/>
    <w:rsid w:val="00C45D85"/>
    <w:rsid w:val="00C45DB8"/>
    <w:rsid w:val="00C45E29"/>
    <w:rsid w:val="00C45F3D"/>
    <w:rsid w:val="00C45F56"/>
    <w:rsid w:val="00C460B0"/>
    <w:rsid w:val="00C46112"/>
    <w:rsid w:val="00C461B7"/>
    <w:rsid w:val="00C46331"/>
    <w:rsid w:val="00C46469"/>
    <w:rsid w:val="00C4653D"/>
    <w:rsid w:val="00C465B4"/>
    <w:rsid w:val="00C4673A"/>
    <w:rsid w:val="00C46744"/>
    <w:rsid w:val="00C467DB"/>
    <w:rsid w:val="00C46893"/>
    <w:rsid w:val="00C468A7"/>
    <w:rsid w:val="00C468D5"/>
    <w:rsid w:val="00C468FC"/>
    <w:rsid w:val="00C46CCB"/>
    <w:rsid w:val="00C46D68"/>
    <w:rsid w:val="00C46DAB"/>
    <w:rsid w:val="00C46DC7"/>
    <w:rsid w:val="00C46EA6"/>
    <w:rsid w:val="00C46F4E"/>
    <w:rsid w:val="00C47034"/>
    <w:rsid w:val="00C47062"/>
    <w:rsid w:val="00C47095"/>
    <w:rsid w:val="00C470B5"/>
    <w:rsid w:val="00C47136"/>
    <w:rsid w:val="00C471EC"/>
    <w:rsid w:val="00C47216"/>
    <w:rsid w:val="00C4728C"/>
    <w:rsid w:val="00C4732C"/>
    <w:rsid w:val="00C4736E"/>
    <w:rsid w:val="00C473C6"/>
    <w:rsid w:val="00C474E5"/>
    <w:rsid w:val="00C47527"/>
    <w:rsid w:val="00C475CB"/>
    <w:rsid w:val="00C47605"/>
    <w:rsid w:val="00C47729"/>
    <w:rsid w:val="00C47B8F"/>
    <w:rsid w:val="00C47BF5"/>
    <w:rsid w:val="00C47C9F"/>
    <w:rsid w:val="00C47D75"/>
    <w:rsid w:val="00C47DBD"/>
    <w:rsid w:val="00C5001C"/>
    <w:rsid w:val="00C500B8"/>
    <w:rsid w:val="00C502A8"/>
    <w:rsid w:val="00C5032B"/>
    <w:rsid w:val="00C50352"/>
    <w:rsid w:val="00C50375"/>
    <w:rsid w:val="00C503EC"/>
    <w:rsid w:val="00C5048E"/>
    <w:rsid w:val="00C50524"/>
    <w:rsid w:val="00C5057F"/>
    <w:rsid w:val="00C505D7"/>
    <w:rsid w:val="00C50631"/>
    <w:rsid w:val="00C50647"/>
    <w:rsid w:val="00C5065D"/>
    <w:rsid w:val="00C50805"/>
    <w:rsid w:val="00C5084A"/>
    <w:rsid w:val="00C5096D"/>
    <w:rsid w:val="00C50A1D"/>
    <w:rsid w:val="00C50A35"/>
    <w:rsid w:val="00C50AE1"/>
    <w:rsid w:val="00C50AF1"/>
    <w:rsid w:val="00C50B9F"/>
    <w:rsid w:val="00C50CBC"/>
    <w:rsid w:val="00C50D44"/>
    <w:rsid w:val="00C50DB4"/>
    <w:rsid w:val="00C50DE3"/>
    <w:rsid w:val="00C50E5D"/>
    <w:rsid w:val="00C50E82"/>
    <w:rsid w:val="00C50F02"/>
    <w:rsid w:val="00C50F4A"/>
    <w:rsid w:val="00C510FC"/>
    <w:rsid w:val="00C511A6"/>
    <w:rsid w:val="00C511AC"/>
    <w:rsid w:val="00C51345"/>
    <w:rsid w:val="00C514A2"/>
    <w:rsid w:val="00C51580"/>
    <w:rsid w:val="00C5178B"/>
    <w:rsid w:val="00C51818"/>
    <w:rsid w:val="00C51898"/>
    <w:rsid w:val="00C518EE"/>
    <w:rsid w:val="00C51919"/>
    <w:rsid w:val="00C51A09"/>
    <w:rsid w:val="00C51A0C"/>
    <w:rsid w:val="00C51A87"/>
    <w:rsid w:val="00C51ACC"/>
    <w:rsid w:val="00C51AD5"/>
    <w:rsid w:val="00C51B20"/>
    <w:rsid w:val="00C51C47"/>
    <w:rsid w:val="00C51C71"/>
    <w:rsid w:val="00C51CC8"/>
    <w:rsid w:val="00C51CD6"/>
    <w:rsid w:val="00C51D5C"/>
    <w:rsid w:val="00C51DBC"/>
    <w:rsid w:val="00C51DF2"/>
    <w:rsid w:val="00C51E51"/>
    <w:rsid w:val="00C51EA2"/>
    <w:rsid w:val="00C51ED9"/>
    <w:rsid w:val="00C51EDD"/>
    <w:rsid w:val="00C51EFB"/>
    <w:rsid w:val="00C51F4A"/>
    <w:rsid w:val="00C51FD0"/>
    <w:rsid w:val="00C5202D"/>
    <w:rsid w:val="00C52188"/>
    <w:rsid w:val="00C521B7"/>
    <w:rsid w:val="00C522A0"/>
    <w:rsid w:val="00C522C6"/>
    <w:rsid w:val="00C523D2"/>
    <w:rsid w:val="00C524EC"/>
    <w:rsid w:val="00C52532"/>
    <w:rsid w:val="00C525B8"/>
    <w:rsid w:val="00C5260F"/>
    <w:rsid w:val="00C5263A"/>
    <w:rsid w:val="00C526B2"/>
    <w:rsid w:val="00C526BC"/>
    <w:rsid w:val="00C527B9"/>
    <w:rsid w:val="00C527DC"/>
    <w:rsid w:val="00C52849"/>
    <w:rsid w:val="00C529C0"/>
    <w:rsid w:val="00C52B95"/>
    <w:rsid w:val="00C52CCD"/>
    <w:rsid w:val="00C52DA6"/>
    <w:rsid w:val="00C52DF2"/>
    <w:rsid w:val="00C52EB1"/>
    <w:rsid w:val="00C53034"/>
    <w:rsid w:val="00C5327D"/>
    <w:rsid w:val="00C53370"/>
    <w:rsid w:val="00C53390"/>
    <w:rsid w:val="00C5339F"/>
    <w:rsid w:val="00C53405"/>
    <w:rsid w:val="00C53416"/>
    <w:rsid w:val="00C5349C"/>
    <w:rsid w:val="00C534B9"/>
    <w:rsid w:val="00C53538"/>
    <w:rsid w:val="00C53580"/>
    <w:rsid w:val="00C536E2"/>
    <w:rsid w:val="00C53704"/>
    <w:rsid w:val="00C53729"/>
    <w:rsid w:val="00C53742"/>
    <w:rsid w:val="00C53834"/>
    <w:rsid w:val="00C53871"/>
    <w:rsid w:val="00C5393B"/>
    <w:rsid w:val="00C5398E"/>
    <w:rsid w:val="00C539A5"/>
    <w:rsid w:val="00C53AAD"/>
    <w:rsid w:val="00C53BB4"/>
    <w:rsid w:val="00C53C54"/>
    <w:rsid w:val="00C53C78"/>
    <w:rsid w:val="00C53CF4"/>
    <w:rsid w:val="00C53D1E"/>
    <w:rsid w:val="00C53F08"/>
    <w:rsid w:val="00C54022"/>
    <w:rsid w:val="00C54151"/>
    <w:rsid w:val="00C541CC"/>
    <w:rsid w:val="00C54229"/>
    <w:rsid w:val="00C542A1"/>
    <w:rsid w:val="00C542EC"/>
    <w:rsid w:val="00C54482"/>
    <w:rsid w:val="00C544F7"/>
    <w:rsid w:val="00C545BB"/>
    <w:rsid w:val="00C54604"/>
    <w:rsid w:val="00C54807"/>
    <w:rsid w:val="00C549F3"/>
    <w:rsid w:val="00C54A22"/>
    <w:rsid w:val="00C54ACC"/>
    <w:rsid w:val="00C54B21"/>
    <w:rsid w:val="00C54B63"/>
    <w:rsid w:val="00C54CEF"/>
    <w:rsid w:val="00C54D1D"/>
    <w:rsid w:val="00C54E14"/>
    <w:rsid w:val="00C54FE2"/>
    <w:rsid w:val="00C5500C"/>
    <w:rsid w:val="00C5519B"/>
    <w:rsid w:val="00C552BB"/>
    <w:rsid w:val="00C55327"/>
    <w:rsid w:val="00C5555B"/>
    <w:rsid w:val="00C55622"/>
    <w:rsid w:val="00C55665"/>
    <w:rsid w:val="00C556BA"/>
    <w:rsid w:val="00C556F1"/>
    <w:rsid w:val="00C557F0"/>
    <w:rsid w:val="00C559D0"/>
    <w:rsid w:val="00C559F3"/>
    <w:rsid w:val="00C55A90"/>
    <w:rsid w:val="00C55B01"/>
    <w:rsid w:val="00C55B4F"/>
    <w:rsid w:val="00C55D14"/>
    <w:rsid w:val="00C55E08"/>
    <w:rsid w:val="00C55E97"/>
    <w:rsid w:val="00C55E9C"/>
    <w:rsid w:val="00C55F48"/>
    <w:rsid w:val="00C55F7E"/>
    <w:rsid w:val="00C55F80"/>
    <w:rsid w:val="00C55F92"/>
    <w:rsid w:val="00C56054"/>
    <w:rsid w:val="00C56059"/>
    <w:rsid w:val="00C560C2"/>
    <w:rsid w:val="00C56110"/>
    <w:rsid w:val="00C5621E"/>
    <w:rsid w:val="00C562B4"/>
    <w:rsid w:val="00C56342"/>
    <w:rsid w:val="00C56526"/>
    <w:rsid w:val="00C565A4"/>
    <w:rsid w:val="00C565F0"/>
    <w:rsid w:val="00C56639"/>
    <w:rsid w:val="00C5668B"/>
    <w:rsid w:val="00C56703"/>
    <w:rsid w:val="00C56788"/>
    <w:rsid w:val="00C568DA"/>
    <w:rsid w:val="00C5691C"/>
    <w:rsid w:val="00C56A5D"/>
    <w:rsid w:val="00C56DB7"/>
    <w:rsid w:val="00C57023"/>
    <w:rsid w:val="00C570CB"/>
    <w:rsid w:val="00C57138"/>
    <w:rsid w:val="00C5715C"/>
    <w:rsid w:val="00C57245"/>
    <w:rsid w:val="00C573ED"/>
    <w:rsid w:val="00C573FB"/>
    <w:rsid w:val="00C574EE"/>
    <w:rsid w:val="00C57501"/>
    <w:rsid w:val="00C57515"/>
    <w:rsid w:val="00C575FA"/>
    <w:rsid w:val="00C576BC"/>
    <w:rsid w:val="00C5771C"/>
    <w:rsid w:val="00C57792"/>
    <w:rsid w:val="00C577DA"/>
    <w:rsid w:val="00C5784A"/>
    <w:rsid w:val="00C579D2"/>
    <w:rsid w:val="00C579E0"/>
    <w:rsid w:val="00C57A65"/>
    <w:rsid w:val="00C57AC0"/>
    <w:rsid w:val="00C57AC1"/>
    <w:rsid w:val="00C57AC8"/>
    <w:rsid w:val="00C57B25"/>
    <w:rsid w:val="00C57B7A"/>
    <w:rsid w:val="00C57BC4"/>
    <w:rsid w:val="00C57C9F"/>
    <w:rsid w:val="00C57CC9"/>
    <w:rsid w:val="00C57D04"/>
    <w:rsid w:val="00C57DA7"/>
    <w:rsid w:val="00C57DF9"/>
    <w:rsid w:val="00C57E94"/>
    <w:rsid w:val="00C57F4A"/>
    <w:rsid w:val="00C57F94"/>
    <w:rsid w:val="00C600F5"/>
    <w:rsid w:val="00C60166"/>
    <w:rsid w:val="00C6019C"/>
    <w:rsid w:val="00C6019F"/>
    <w:rsid w:val="00C601C8"/>
    <w:rsid w:val="00C60320"/>
    <w:rsid w:val="00C603C3"/>
    <w:rsid w:val="00C60432"/>
    <w:rsid w:val="00C6048B"/>
    <w:rsid w:val="00C6085E"/>
    <w:rsid w:val="00C60978"/>
    <w:rsid w:val="00C60984"/>
    <w:rsid w:val="00C609A1"/>
    <w:rsid w:val="00C609A8"/>
    <w:rsid w:val="00C609B2"/>
    <w:rsid w:val="00C60ADC"/>
    <w:rsid w:val="00C60C61"/>
    <w:rsid w:val="00C60E3F"/>
    <w:rsid w:val="00C60E84"/>
    <w:rsid w:val="00C60E92"/>
    <w:rsid w:val="00C60E9F"/>
    <w:rsid w:val="00C60EB7"/>
    <w:rsid w:val="00C60FE0"/>
    <w:rsid w:val="00C60FF8"/>
    <w:rsid w:val="00C61038"/>
    <w:rsid w:val="00C6106F"/>
    <w:rsid w:val="00C610B5"/>
    <w:rsid w:val="00C61129"/>
    <w:rsid w:val="00C611C8"/>
    <w:rsid w:val="00C611E3"/>
    <w:rsid w:val="00C6146A"/>
    <w:rsid w:val="00C6156C"/>
    <w:rsid w:val="00C61633"/>
    <w:rsid w:val="00C61662"/>
    <w:rsid w:val="00C61741"/>
    <w:rsid w:val="00C617B4"/>
    <w:rsid w:val="00C6182B"/>
    <w:rsid w:val="00C61870"/>
    <w:rsid w:val="00C6188B"/>
    <w:rsid w:val="00C61921"/>
    <w:rsid w:val="00C6199E"/>
    <w:rsid w:val="00C61A55"/>
    <w:rsid w:val="00C61AE5"/>
    <w:rsid w:val="00C61BD7"/>
    <w:rsid w:val="00C61BE9"/>
    <w:rsid w:val="00C61C22"/>
    <w:rsid w:val="00C61C3E"/>
    <w:rsid w:val="00C61C97"/>
    <w:rsid w:val="00C61E2E"/>
    <w:rsid w:val="00C61EB4"/>
    <w:rsid w:val="00C61F4C"/>
    <w:rsid w:val="00C61F4F"/>
    <w:rsid w:val="00C61FBD"/>
    <w:rsid w:val="00C621BE"/>
    <w:rsid w:val="00C621FB"/>
    <w:rsid w:val="00C62261"/>
    <w:rsid w:val="00C62475"/>
    <w:rsid w:val="00C62629"/>
    <w:rsid w:val="00C626CC"/>
    <w:rsid w:val="00C62705"/>
    <w:rsid w:val="00C62782"/>
    <w:rsid w:val="00C6285B"/>
    <w:rsid w:val="00C628F8"/>
    <w:rsid w:val="00C62A39"/>
    <w:rsid w:val="00C62BD8"/>
    <w:rsid w:val="00C62C5E"/>
    <w:rsid w:val="00C62D2F"/>
    <w:rsid w:val="00C62D39"/>
    <w:rsid w:val="00C62D76"/>
    <w:rsid w:val="00C62E92"/>
    <w:rsid w:val="00C62EB6"/>
    <w:rsid w:val="00C62EFA"/>
    <w:rsid w:val="00C62F29"/>
    <w:rsid w:val="00C62F2B"/>
    <w:rsid w:val="00C6337E"/>
    <w:rsid w:val="00C63398"/>
    <w:rsid w:val="00C6349C"/>
    <w:rsid w:val="00C634E0"/>
    <w:rsid w:val="00C634E1"/>
    <w:rsid w:val="00C63526"/>
    <w:rsid w:val="00C6353A"/>
    <w:rsid w:val="00C63607"/>
    <w:rsid w:val="00C63727"/>
    <w:rsid w:val="00C63757"/>
    <w:rsid w:val="00C63791"/>
    <w:rsid w:val="00C6396A"/>
    <w:rsid w:val="00C639A7"/>
    <w:rsid w:val="00C639CB"/>
    <w:rsid w:val="00C639F2"/>
    <w:rsid w:val="00C63A35"/>
    <w:rsid w:val="00C63A54"/>
    <w:rsid w:val="00C63BEA"/>
    <w:rsid w:val="00C63C13"/>
    <w:rsid w:val="00C63CBC"/>
    <w:rsid w:val="00C63CD8"/>
    <w:rsid w:val="00C63DFE"/>
    <w:rsid w:val="00C63E12"/>
    <w:rsid w:val="00C63E2B"/>
    <w:rsid w:val="00C63E34"/>
    <w:rsid w:val="00C63E64"/>
    <w:rsid w:val="00C63F7A"/>
    <w:rsid w:val="00C63FFB"/>
    <w:rsid w:val="00C64083"/>
    <w:rsid w:val="00C64164"/>
    <w:rsid w:val="00C64177"/>
    <w:rsid w:val="00C641B8"/>
    <w:rsid w:val="00C64283"/>
    <w:rsid w:val="00C642B3"/>
    <w:rsid w:val="00C642C9"/>
    <w:rsid w:val="00C64345"/>
    <w:rsid w:val="00C643AF"/>
    <w:rsid w:val="00C644C7"/>
    <w:rsid w:val="00C645DB"/>
    <w:rsid w:val="00C64820"/>
    <w:rsid w:val="00C64846"/>
    <w:rsid w:val="00C648A1"/>
    <w:rsid w:val="00C64935"/>
    <w:rsid w:val="00C649CB"/>
    <w:rsid w:val="00C64A67"/>
    <w:rsid w:val="00C64AA7"/>
    <w:rsid w:val="00C64BB6"/>
    <w:rsid w:val="00C64BDE"/>
    <w:rsid w:val="00C64C50"/>
    <w:rsid w:val="00C64C9D"/>
    <w:rsid w:val="00C64D2A"/>
    <w:rsid w:val="00C64D67"/>
    <w:rsid w:val="00C64E7A"/>
    <w:rsid w:val="00C64E87"/>
    <w:rsid w:val="00C64EA5"/>
    <w:rsid w:val="00C64EDC"/>
    <w:rsid w:val="00C64F8D"/>
    <w:rsid w:val="00C6501E"/>
    <w:rsid w:val="00C65047"/>
    <w:rsid w:val="00C65131"/>
    <w:rsid w:val="00C651DC"/>
    <w:rsid w:val="00C652A4"/>
    <w:rsid w:val="00C6530F"/>
    <w:rsid w:val="00C653DB"/>
    <w:rsid w:val="00C6555A"/>
    <w:rsid w:val="00C656E4"/>
    <w:rsid w:val="00C65784"/>
    <w:rsid w:val="00C65883"/>
    <w:rsid w:val="00C65887"/>
    <w:rsid w:val="00C65945"/>
    <w:rsid w:val="00C6595A"/>
    <w:rsid w:val="00C65971"/>
    <w:rsid w:val="00C659E1"/>
    <w:rsid w:val="00C65A31"/>
    <w:rsid w:val="00C65BC7"/>
    <w:rsid w:val="00C65C1B"/>
    <w:rsid w:val="00C65C73"/>
    <w:rsid w:val="00C65CAA"/>
    <w:rsid w:val="00C65CC8"/>
    <w:rsid w:val="00C65DAD"/>
    <w:rsid w:val="00C65DF4"/>
    <w:rsid w:val="00C65E18"/>
    <w:rsid w:val="00C65EEE"/>
    <w:rsid w:val="00C65FE4"/>
    <w:rsid w:val="00C66020"/>
    <w:rsid w:val="00C66024"/>
    <w:rsid w:val="00C66107"/>
    <w:rsid w:val="00C66191"/>
    <w:rsid w:val="00C661D6"/>
    <w:rsid w:val="00C66349"/>
    <w:rsid w:val="00C66362"/>
    <w:rsid w:val="00C663F7"/>
    <w:rsid w:val="00C6648C"/>
    <w:rsid w:val="00C664F8"/>
    <w:rsid w:val="00C6664F"/>
    <w:rsid w:val="00C668D4"/>
    <w:rsid w:val="00C6692F"/>
    <w:rsid w:val="00C669F1"/>
    <w:rsid w:val="00C66AF4"/>
    <w:rsid w:val="00C66B06"/>
    <w:rsid w:val="00C66C84"/>
    <w:rsid w:val="00C66CF9"/>
    <w:rsid w:val="00C66D3C"/>
    <w:rsid w:val="00C66E9E"/>
    <w:rsid w:val="00C66EDF"/>
    <w:rsid w:val="00C67001"/>
    <w:rsid w:val="00C670BA"/>
    <w:rsid w:val="00C670FA"/>
    <w:rsid w:val="00C6719E"/>
    <w:rsid w:val="00C671CA"/>
    <w:rsid w:val="00C67277"/>
    <w:rsid w:val="00C6728C"/>
    <w:rsid w:val="00C672C4"/>
    <w:rsid w:val="00C6732A"/>
    <w:rsid w:val="00C673B2"/>
    <w:rsid w:val="00C673C0"/>
    <w:rsid w:val="00C6745F"/>
    <w:rsid w:val="00C674F0"/>
    <w:rsid w:val="00C674FE"/>
    <w:rsid w:val="00C675E8"/>
    <w:rsid w:val="00C6764D"/>
    <w:rsid w:val="00C676E3"/>
    <w:rsid w:val="00C6786F"/>
    <w:rsid w:val="00C678EB"/>
    <w:rsid w:val="00C67942"/>
    <w:rsid w:val="00C67A3E"/>
    <w:rsid w:val="00C67B01"/>
    <w:rsid w:val="00C67B26"/>
    <w:rsid w:val="00C67C45"/>
    <w:rsid w:val="00C67F06"/>
    <w:rsid w:val="00C67F61"/>
    <w:rsid w:val="00C67FD9"/>
    <w:rsid w:val="00C70033"/>
    <w:rsid w:val="00C700B0"/>
    <w:rsid w:val="00C70101"/>
    <w:rsid w:val="00C70141"/>
    <w:rsid w:val="00C70144"/>
    <w:rsid w:val="00C7015A"/>
    <w:rsid w:val="00C7026A"/>
    <w:rsid w:val="00C70333"/>
    <w:rsid w:val="00C70376"/>
    <w:rsid w:val="00C703AA"/>
    <w:rsid w:val="00C703BB"/>
    <w:rsid w:val="00C70437"/>
    <w:rsid w:val="00C70476"/>
    <w:rsid w:val="00C704E9"/>
    <w:rsid w:val="00C706BB"/>
    <w:rsid w:val="00C70708"/>
    <w:rsid w:val="00C70768"/>
    <w:rsid w:val="00C707CA"/>
    <w:rsid w:val="00C70835"/>
    <w:rsid w:val="00C70894"/>
    <w:rsid w:val="00C709C4"/>
    <w:rsid w:val="00C70CDA"/>
    <w:rsid w:val="00C70F0B"/>
    <w:rsid w:val="00C70F76"/>
    <w:rsid w:val="00C7101F"/>
    <w:rsid w:val="00C710B4"/>
    <w:rsid w:val="00C710D2"/>
    <w:rsid w:val="00C711AD"/>
    <w:rsid w:val="00C711D7"/>
    <w:rsid w:val="00C71248"/>
    <w:rsid w:val="00C71343"/>
    <w:rsid w:val="00C7134F"/>
    <w:rsid w:val="00C7138E"/>
    <w:rsid w:val="00C71465"/>
    <w:rsid w:val="00C714BE"/>
    <w:rsid w:val="00C7152A"/>
    <w:rsid w:val="00C7152E"/>
    <w:rsid w:val="00C71556"/>
    <w:rsid w:val="00C7158C"/>
    <w:rsid w:val="00C716B5"/>
    <w:rsid w:val="00C718D4"/>
    <w:rsid w:val="00C7196F"/>
    <w:rsid w:val="00C71BD8"/>
    <w:rsid w:val="00C71C89"/>
    <w:rsid w:val="00C71D27"/>
    <w:rsid w:val="00C71D50"/>
    <w:rsid w:val="00C71E6C"/>
    <w:rsid w:val="00C71E72"/>
    <w:rsid w:val="00C71F1F"/>
    <w:rsid w:val="00C71F3C"/>
    <w:rsid w:val="00C71F41"/>
    <w:rsid w:val="00C71F6F"/>
    <w:rsid w:val="00C72094"/>
    <w:rsid w:val="00C720AA"/>
    <w:rsid w:val="00C72119"/>
    <w:rsid w:val="00C72177"/>
    <w:rsid w:val="00C72202"/>
    <w:rsid w:val="00C72367"/>
    <w:rsid w:val="00C723F6"/>
    <w:rsid w:val="00C7241A"/>
    <w:rsid w:val="00C7242C"/>
    <w:rsid w:val="00C72444"/>
    <w:rsid w:val="00C72445"/>
    <w:rsid w:val="00C724C5"/>
    <w:rsid w:val="00C724ED"/>
    <w:rsid w:val="00C72581"/>
    <w:rsid w:val="00C7259D"/>
    <w:rsid w:val="00C726E4"/>
    <w:rsid w:val="00C72723"/>
    <w:rsid w:val="00C7288A"/>
    <w:rsid w:val="00C7292E"/>
    <w:rsid w:val="00C72996"/>
    <w:rsid w:val="00C729A3"/>
    <w:rsid w:val="00C729BE"/>
    <w:rsid w:val="00C72B24"/>
    <w:rsid w:val="00C72BF1"/>
    <w:rsid w:val="00C72C39"/>
    <w:rsid w:val="00C72C82"/>
    <w:rsid w:val="00C72CB1"/>
    <w:rsid w:val="00C72E16"/>
    <w:rsid w:val="00C73045"/>
    <w:rsid w:val="00C73122"/>
    <w:rsid w:val="00C7330D"/>
    <w:rsid w:val="00C7331C"/>
    <w:rsid w:val="00C73433"/>
    <w:rsid w:val="00C73529"/>
    <w:rsid w:val="00C73539"/>
    <w:rsid w:val="00C7353D"/>
    <w:rsid w:val="00C73674"/>
    <w:rsid w:val="00C73683"/>
    <w:rsid w:val="00C7376F"/>
    <w:rsid w:val="00C737AB"/>
    <w:rsid w:val="00C737BB"/>
    <w:rsid w:val="00C7389A"/>
    <w:rsid w:val="00C738AB"/>
    <w:rsid w:val="00C739D8"/>
    <w:rsid w:val="00C73A75"/>
    <w:rsid w:val="00C73A7C"/>
    <w:rsid w:val="00C73AF8"/>
    <w:rsid w:val="00C73D81"/>
    <w:rsid w:val="00C73DCA"/>
    <w:rsid w:val="00C73E13"/>
    <w:rsid w:val="00C73E37"/>
    <w:rsid w:val="00C73EE7"/>
    <w:rsid w:val="00C73F33"/>
    <w:rsid w:val="00C73FAA"/>
    <w:rsid w:val="00C7403B"/>
    <w:rsid w:val="00C74079"/>
    <w:rsid w:val="00C741E8"/>
    <w:rsid w:val="00C742B7"/>
    <w:rsid w:val="00C743B2"/>
    <w:rsid w:val="00C743EC"/>
    <w:rsid w:val="00C7453D"/>
    <w:rsid w:val="00C745AF"/>
    <w:rsid w:val="00C74602"/>
    <w:rsid w:val="00C7460A"/>
    <w:rsid w:val="00C7467F"/>
    <w:rsid w:val="00C74687"/>
    <w:rsid w:val="00C74723"/>
    <w:rsid w:val="00C7475E"/>
    <w:rsid w:val="00C74786"/>
    <w:rsid w:val="00C747DE"/>
    <w:rsid w:val="00C74930"/>
    <w:rsid w:val="00C74C30"/>
    <w:rsid w:val="00C74D07"/>
    <w:rsid w:val="00C74D11"/>
    <w:rsid w:val="00C74D74"/>
    <w:rsid w:val="00C74D86"/>
    <w:rsid w:val="00C74F76"/>
    <w:rsid w:val="00C74F81"/>
    <w:rsid w:val="00C7502F"/>
    <w:rsid w:val="00C750B9"/>
    <w:rsid w:val="00C75284"/>
    <w:rsid w:val="00C752D3"/>
    <w:rsid w:val="00C7536E"/>
    <w:rsid w:val="00C753D7"/>
    <w:rsid w:val="00C7540C"/>
    <w:rsid w:val="00C75552"/>
    <w:rsid w:val="00C75590"/>
    <w:rsid w:val="00C755D0"/>
    <w:rsid w:val="00C755F8"/>
    <w:rsid w:val="00C75664"/>
    <w:rsid w:val="00C7571E"/>
    <w:rsid w:val="00C7581D"/>
    <w:rsid w:val="00C758F9"/>
    <w:rsid w:val="00C75A75"/>
    <w:rsid w:val="00C75B4E"/>
    <w:rsid w:val="00C75C1A"/>
    <w:rsid w:val="00C75C6D"/>
    <w:rsid w:val="00C75E74"/>
    <w:rsid w:val="00C75EC8"/>
    <w:rsid w:val="00C75F3B"/>
    <w:rsid w:val="00C76167"/>
    <w:rsid w:val="00C7626B"/>
    <w:rsid w:val="00C7627C"/>
    <w:rsid w:val="00C7629B"/>
    <w:rsid w:val="00C7634E"/>
    <w:rsid w:val="00C7640D"/>
    <w:rsid w:val="00C765CA"/>
    <w:rsid w:val="00C765D0"/>
    <w:rsid w:val="00C765E8"/>
    <w:rsid w:val="00C76709"/>
    <w:rsid w:val="00C76818"/>
    <w:rsid w:val="00C768EB"/>
    <w:rsid w:val="00C76922"/>
    <w:rsid w:val="00C769C7"/>
    <w:rsid w:val="00C769C9"/>
    <w:rsid w:val="00C76A9D"/>
    <w:rsid w:val="00C76AB8"/>
    <w:rsid w:val="00C76AF6"/>
    <w:rsid w:val="00C76CAA"/>
    <w:rsid w:val="00C76E3F"/>
    <w:rsid w:val="00C76EAF"/>
    <w:rsid w:val="00C76EC2"/>
    <w:rsid w:val="00C76F0E"/>
    <w:rsid w:val="00C76F36"/>
    <w:rsid w:val="00C76F4E"/>
    <w:rsid w:val="00C76FD6"/>
    <w:rsid w:val="00C770A7"/>
    <w:rsid w:val="00C771A3"/>
    <w:rsid w:val="00C771EE"/>
    <w:rsid w:val="00C772A8"/>
    <w:rsid w:val="00C772D7"/>
    <w:rsid w:val="00C772F7"/>
    <w:rsid w:val="00C7730A"/>
    <w:rsid w:val="00C774ED"/>
    <w:rsid w:val="00C77564"/>
    <w:rsid w:val="00C77576"/>
    <w:rsid w:val="00C776EC"/>
    <w:rsid w:val="00C7782B"/>
    <w:rsid w:val="00C7787E"/>
    <w:rsid w:val="00C778C7"/>
    <w:rsid w:val="00C778E9"/>
    <w:rsid w:val="00C778EE"/>
    <w:rsid w:val="00C77A17"/>
    <w:rsid w:val="00C77CDA"/>
    <w:rsid w:val="00C77CEF"/>
    <w:rsid w:val="00C77CF5"/>
    <w:rsid w:val="00C77D41"/>
    <w:rsid w:val="00C77D6E"/>
    <w:rsid w:val="00C77D8B"/>
    <w:rsid w:val="00C77DEF"/>
    <w:rsid w:val="00C77E14"/>
    <w:rsid w:val="00C77E83"/>
    <w:rsid w:val="00C80037"/>
    <w:rsid w:val="00C80070"/>
    <w:rsid w:val="00C80088"/>
    <w:rsid w:val="00C800B2"/>
    <w:rsid w:val="00C800C5"/>
    <w:rsid w:val="00C80188"/>
    <w:rsid w:val="00C802F5"/>
    <w:rsid w:val="00C803D2"/>
    <w:rsid w:val="00C80419"/>
    <w:rsid w:val="00C805D6"/>
    <w:rsid w:val="00C80617"/>
    <w:rsid w:val="00C8063A"/>
    <w:rsid w:val="00C80694"/>
    <w:rsid w:val="00C806C1"/>
    <w:rsid w:val="00C8074C"/>
    <w:rsid w:val="00C807B0"/>
    <w:rsid w:val="00C808DA"/>
    <w:rsid w:val="00C809A7"/>
    <w:rsid w:val="00C80AC0"/>
    <w:rsid w:val="00C80ACB"/>
    <w:rsid w:val="00C80B10"/>
    <w:rsid w:val="00C80BFF"/>
    <w:rsid w:val="00C80C4F"/>
    <w:rsid w:val="00C80C9C"/>
    <w:rsid w:val="00C80CEF"/>
    <w:rsid w:val="00C80F78"/>
    <w:rsid w:val="00C81039"/>
    <w:rsid w:val="00C81173"/>
    <w:rsid w:val="00C8133D"/>
    <w:rsid w:val="00C8147B"/>
    <w:rsid w:val="00C8147F"/>
    <w:rsid w:val="00C8153C"/>
    <w:rsid w:val="00C81569"/>
    <w:rsid w:val="00C81576"/>
    <w:rsid w:val="00C815C4"/>
    <w:rsid w:val="00C816C8"/>
    <w:rsid w:val="00C816FC"/>
    <w:rsid w:val="00C817C7"/>
    <w:rsid w:val="00C81916"/>
    <w:rsid w:val="00C81922"/>
    <w:rsid w:val="00C819E9"/>
    <w:rsid w:val="00C81A2D"/>
    <w:rsid w:val="00C81A6F"/>
    <w:rsid w:val="00C81ACB"/>
    <w:rsid w:val="00C81ACE"/>
    <w:rsid w:val="00C81AE9"/>
    <w:rsid w:val="00C81B44"/>
    <w:rsid w:val="00C81C02"/>
    <w:rsid w:val="00C81C06"/>
    <w:rsid w:val="00C81C38"/>
    <w:rsid w:val="00C81CCB"/>
    <w:rsid w:val="00C81D6B"/>
    <w:rsid w:val="00C81DAD"/>
    <w:rsid w:val="00C81F20"/>
    <w:rsid w:val="00C81F59"/>
    <w:rsid w:val="00C820A5"/>
    <w:rsid w:val="00C8236E"/>
    <w:rsid w:val="00C8239E"/>
    <w:rsid w:val="00C82463"/>
    <w:rsid w:val="00C824B0"/>
    <w:rsid w:val="00C824CE"/>
    <w:rsid w:val="00C824F5"/>
    <w:rsid w:val="00C82529"/>
    <w:rsid w:val="00C82548"/>
    <w:rsid w:val="00C825F2"/>
    <w:rsid w:val="00C82664"/>
    <w:rsid w:val="00C828DC"/>
    <w:rsid w:val="00C8295B"/>
    <w:rsid w:val="00C829C9"/>
    <w:rsid w:val="00C82AC8"/>
    <w:rsid w:val="00C82ADC"/>
    <w:rsid w:val="00C82BF2"/>
    <w:rsid w:val="00C82C0D"/>
    <w:rsid w:val="00C82C8C"/>
    <w:rsid w:val="00C82CA2"/>
    <w:rsid w:val="00C82CBA"/>
    <w:rsid w:val="00C82CCF"/>
    <w:rsid w:val="00C82CF9"/>
    <w:rsid w:val="00C82D35"/>
    <w:rsid w:val="00C82D56"/>
    <w:rsid w:val="00C82D76"/>
    <w:rsid w:val="00C82DA7"/>
    <w:rsid w:val="00C82DDC"/>
    <w:rsid w:val="00C82E14"/>
    <w:rsid w:val="00C82F64"/>
    <w:rsid w:val="00C82FE7"/>
    <w:rsid w:val="00C83101"/>
    <w:rsid w:val="00C83154"/>
    <w:rsid w:val="00C831DE"/>
    <w:rsid w:val="00C83206"/>
    <w:rsid w:val="00C83349"/>
    <w:rsid w:val="00C83415"/>
    <w:rsid w:val="00C8353D"/>
    <w:rsid w:val="00C83544"/>
    <w:rsid w:val="00C8357A"/>
    <w:rsid w:val="00C836F7"/>
    <w:rsid w:val="00C8371D"/>
    <w:rsid w:val="00C83796"/>
    <w:rsid w:val="00C837B1"/>
    <w:rsid w:val="00C837CB"/>
    <w:rsid w:val="00C8394C"/>
    <w:rsid w:val="00C839DB"/>
    <w:rsid w:val="00C83A3C"/>
    <w:rsid w:val="00C83A54"/>
    <w:rsid w:val="00C83BDA"/>
    <w:rsid w:val="00C83C36"/>
    <w:rsid w:val="00C83C5C"/>
    <w:rsid w:val="00C83D9E"/>
    <w:rsid w:val="00C83E2D"/>
    <w:rsid w:val="00C83E59"/>
    <w:rsid w:val="00C84042"/>
    <w:rsid w:val="00C8404A"/>
    <w:rsid w:val="00C8407E"/>
    <w:rsid w:val="00C842A4"/>
    <w:rsid w:val="00C842AD"/>
    <w:rsid w:val="00C842C5"/>
    <w:rsid w:val="00C8431A"/>
    <w:rsid w:val="00C8441C"/>
    <w:rsid w:val="00C84449"/>
    <w:rsid w:val="00C845D3"/>
    <w:rsid w:val="00C84749"/>
    <w:rsid w:val="00C84804"/>
    <w:rsid w:val="00C8485E"/>
    <w:rsid w:val="00C84934"/>
    <w:rsid w:val="00C849F6"/>
    <w:rsid w:val="00C84ADB"/>
    <w:rsid w:val="00C84B38"/>
    <w:rsid w:val="00C84B48"/>
    <w:rsid w:val="00C84B6A"/>
    <w:rsid w:val="00C84B8D"/>
    <w:rsid w:val="00C84C95"/>
    <w:rsid w:val="00C84E76"/>
    <w:rsid w:val="00C84EE9"/>
    <w:rsid w:val="00C850AA"/>
    <w:rsid w:val="00C85101"/>
    <w:rsid w:val="00C85140"/>
    <w:rsid w:val="00C85238"/>
    <w:rsid w:val="00C85453"/>
    <w:rsid w:val="00C8547A"/>
    <w:rsid w:val="00C8557F"/>
    <w:rsid w:val="00C855BC"/>
    <w:rsid w:val="00C85625"/>
    <w:rsid w:val="00C85655"/>
    <w:rsid w:val="00C8569C"/>
    <w:rsid w:val="00C8570B"/>
    <w:rsid w:val="00C8594E"/>
    <w:rsid w:val="00C85953"/>
    <w:rsid w:val="00C85AD0"/>
    <w:rsid w:val="00C85E1F"/>
    <w:rsid w:val="00C85E92"/>
    <w:rsid w:val="00C85E93"/>
    <w:rsid w:val="00C85F3F"/>
    <w:rsid w:val="00C85F72"/>
    <w:rsid w:val="00C86027"/>
    <w:rsid w:val="00C86084"/>
    <w:rsid w:val="00C86097"/>
    <w:rsid w:val="00C860DE"/>
    <w:rsid w:val="00C863C0"/>
    <w:rsid w:val="00C86571"/>
    <w:rsid w:val="00C86767"/>
    <w:rsid w:val="00C8699B"/>
    <w:rsid w:val="00C86A19"/>
    <w:rsid w:val="00C86A60"/>
    <w:rsid w:val="00C86A95"/>
    <w:rsid w:val="00C86ADF"/>
    <w:rsid w:val="00C86B19"/>
    <w:rsid w:val="00C86C1D"/>
    <w:rsid w:val="00C86DC4"/>
    <w:rsid w:val="00C86F27"/>
    <w:rsid w:val="00C86F54"/>
    <w:rsid w:val="00C8708A"/>
    <w:rsid w:val="00C87095"/>
    <w:rsid w:val="00C87344"/>
    <w:rsid w:val="00C87349"/>
    <w:rsid w:val="00C87376"/>
    <w:rsid w:val="00C87377"/>
    <w:rsid w:val="00C87382"/>
    <w:rsid w:val="00C87477"/>
    <w:rsid w:val="00C8751F"/>
    <w:rsid w:val="00C8752E"/>
    <w:rsid w:val="00C875C4"/>
    <w:rsid w:val="00C87643"/>
    <w:rsid w:val="00C87991"/>
    <w:rsid w:val="00C87ACA"/>
    <w:rsid w:val="00C87BBC"/>
    <w:rsid w:val="00C87DF4"/>
    <w:rsid w:val="00C87E40"/>
    <w:rsid w:val="00C87E63"/>
    <w:rsid w:val="00C87FEF"/>
    <w:rsid w:val="00C90012"/>
    <w:rsid w:val="00C90025"/>
    <w:rsid w:val="00C90158"/>
    <w:rsid w:val="00C901B2"/>
    <w:rsid w:val="00C9026D"/>
    <w:rsid w:val="00C902F7"/>
    <w:rsid w:val="00C902FB"/>
    <w:rsid w:val="00C90349"/>
    <w:rsid w:val="00C903E3"/>
    <w:rsid w:val="00C90439"/>
    <w:rsid w:val="00C9043D"/>
    <w:rsid w:val="00C9054A"/>
    <w:rsid w:val="00C9055E"/>
    <w:rsid w:val="00C905B3"/>
    <w:rsid w:val="00C90618"/>
    <w:rsid w:val="00C9067E"/>
    <w:rsid w:val="00C90756"/>
    <w:rsid w:val="00C90772"/>
    <w:rsid w:val="00C90830"/>
    <w:rsid w:val="00C90934"/>
    <w:rsid w:val="00C909AE"/>
    <w:rsid w:val="00C90A8D"/>
    <w:rsid w:val="00C90B14"/>
    <w:rsid w:val="00C90B22"/>
    <w:rsid w:val="00C90CC6"/>
    <w:rsid w:val="00C90D27"/>
    <w:rsid w:val="00C90D76"/>
    <w:rsid w:val="00C90E10"/>
    <w:rsid w:val="00C90F77"/>
    <w:rsid w:val="00C9100A"/>
    <w:rsid w:val="00C91070"/>
    <w:rsid w:val="00C91125"/>
    <w:rsid w:val="00C9115F"/>
    <w:rsid w:val="00C9116A"/>
    <w:rsid w:val="00C91236"/>
    <w:rsid w:val="00C913E2"/>
    <w:rsid w:val="00C91467"/>
    <w:rsid w:val="00C915D0"/>
    <w:rsid w:val="00C91608"/>
    <w:rsid w:val="00C91737"/>
    <w:rsid w:val="00C9178A"/>
    <w:rsid w:val="00C917E4"/>
    <w:rsid w:val="00C91884"/>
    <w:rsid w:val="00C919B8"/>
    <w:rsid w:val="00C91A12"/>
    <w:rsid w:val="00C91A3B"/>
    <w:rsid w:val="00C91A50"/>
    <w:rsid w:val="00C91AC9"/>
    <w:rsid w:val="00C91C8A"/>
    <w:rsid w:val="00C91FD0"/>
    <w:rsid w:val="00C92023"/>
    <w:rsid w:val="00C920CF"/>
    <w:rsid w:val="00C9217F"/>
    <w:rsid w:val="00C922A8"/>
    <w:rsid w:val="00C922E8"/>
    <w:rsid w:val="00C92321"/>
    <w:rsid w:val="00C92332"/>
    <w:rsid w:val="00C923A6"/>
    <w:rsid w:val="00C923F9"/>
    <w:rsid w:val="00C924BE"/>
    <w:rsid w:val="00C925E2"/>
    <w:rsid w:val="00C92603"/>
    <w:rsid w:val="00C92788"/>
    <w:rsid w:val="00C92855"/>
    <w:rsid w:val="00C92882"/>
    <w:rsid w:val="00C92978"/>
    <w:rsid w:val="00C92A60"/>
    <w:rsid w:val="00C92A8B"/>
    <w:rsid w:val="00C92A93"/>
    <w:rsid w:val="00C92AEE"/>
    <w:rsid w:val="00C92BCA"/>
    <w:rsid w:val="00C92BE7"/>
    <w:rsid w:val="00C92D13"/>
    <w:rsid w:val="00C92D6F"/>
    <w:rsid w:val="00C92D78"/>
    <w:rsid w:val="00C92DAD"/>
    <w:rsid w:val="00C92E0C"/>
    <w:rsid w:val="00C92F26"/>
    <w:rsid w:val="00C92FE4"/>
    <w:rsid w:val="00C93206"/>
    <w:rsid w:val="00C9320C"/>
    <w:rsid w:val="00C9323E"/>
    <w:rsid w:val="00C9333A"/>
    <w:rsid w:val="00C9341D"/>
    <w:rsid w:val="00C934A6"/>
    <w:rsid w:val="00C935F9"/>
    <w:rsid w:val="00C93631"/>
    <w:rsid w:val="00C936A4"/>
    <w:rsid w:val="00C93712"/>
    <w:rsid w:val="00C93720"/>
    <w:rsid w:val="00C9376F"/>
    <w:rsid w:val="00C937F4"/>
    <w:rsid w:val="00C93A0E"/>
    <w:rsid w:val="00C93B13"/>
    <w:rsid w:val="00C93B14"/>
    <w:rsid w:val="00C93B1E"/>
    <w:rsid w:val="00C93B85"/>
    <w:rsid w:val="00C93BCD"/>
    <w:rsid w:val="00C93CAB"/>
    <w:rsid w:val="00C93E48"/>
    <w:rsid w:val="00C93FA7"/>
    <w:rsid w:val="00C94122"/>
    <w:rsid w:val="00C9421D"/>
    <w:rsid w:val="00C942AD"/>
    <w:rsid w:val="00C942DE"/>
    <w:rsid w:val="00C942F7"/>
    <w:rsid w:val="00C944D7"/>
    <w:rsid w:val="00C94501"/>
    <w:rsid w:val="00C94705"/>
    <w:rsid w:val="00C949B7"/>
    <w:rsid w:val="00C94A71"/>
    <w:rsid w:val="00C94A78"/>
    <w:rsid w:val="00C94B58"/>
    <w:rsid w:val="00C94BC3"/>
    <w:rsid w:val="00C94C4A"/>
    <w:rsid w:val="00C94CBF"/>
    <w:rsid w:val="00C94CED"/>
    <w:rsid w:val="00C94D98"/>
    <w:rsid w:val="00C94DC5"/>
    <w:rsid w:val="00C94E99"/>
    <w:rsid w:val="00C94EAB"/>
    <w:rsid w:val="00C95033"/>
    <w:rsid w:val="00C95043"/>
    <w:rsid w:val="00C9513A"/>
    <w:rsid w:val="00C95145"/>
    <w:rsid w:val="00C951D8"/>
    <w:rsid w:val="00C9520E"/>
    <w:rsid w:val="00C95252"/>
    <w:rsid w:val="00C95272"/>
    <w:rsid w:val="00C952E6"/>
    <w:rsid w:val="00C9555B"/>
    <w:rsid w:val="00C95680"/>
    <w:rsid w:val="00C956E9"/>
    <w:rsid w:val="00C957AA"/>
    <w:rsid w:val="00C957F0"/>
    <w:rsid w:val="00C9592F"/>
    <w:rsid w:val="00C95ACD"/>
    <w:rsid w:val="00C95BD6"/>
    <w:rsid w:val="00C95C1F"/>
    <w:rsid w:val="00C95CBB"/>
    <w:rsid w:val="00C95CE3"/>
    <w:rsid w:val="00C95D4C"/>
    <w:rsid w:val="00C95DFC"/>
    <w:rsid w:val="00C95E0A"/>
    <w:rsid w:val="00C95E74"/>
    <w:rsid w:val="00C95F22"/>
    <w:rsid w:val="00C95FF6"/>
    <w:rsid w:val="00C96065"/>
    <w:rsid w:val="00C960E7"/>
    <w:rsid w:val="00C960FE"/>
    <w:rsid w:val="00C961C6"/>
    <w:rsid w:val="00C96216"/>
    <w:rsid w:val="00C9624A"/>
    <w:rsid w:val="00C96281"/>
    <w:rsid w:val="00C963E6"/>
    <w:rsid w:val="00C96550"/>
    <w:rsid w:val="00C965B2"/>
    <w:rsid w:val="00C965C7"/>
    <w:rsid w:val="00C966D3"/>
    <w:rsid w:val="00C9694C"/>
    <w:rsid w:val="00C96A1C"/>
    <w:rsid w:val="00C96D22"/>
    <w:rsid w:val="00C96D88"/>
    <w:rsid w:val="00C96E64"/>
    <w:rsid w:val="00C96F92"/>
    <w:rsid w:val="00C97035"/>
    <w:rsid w:val="00C971FF"/>
    <w:rsid w:val="00C97208"/>
    <w:rsid w:val="00C9744F"/>
    <w:rsid w:val="00C97598"/>
    <w:rsid w:val="00C975AD"/>
    <w:rsid w:val="00C975F1"/>
    <w:rsid w:val="00C9765D"/>
    <w:rsid w:val="00C976A8"/>
    <w:rsid w:val="00C977DF"/>
    <w:rsid w:val="00C9785C"/>
    <w:rsid w:val="00C97992"/>
    <w:rsid w:val="00C97B43"/>
    <w:rsid w:val="00C97CB3"/>
    <w:rsid w:val="00C97CD0"/>
    <w:rsid w:val="00C97DAE"/>
    <w:rsid w:val="00C97DE1"/>
    <w:rsid w:val="00C97DF2"/>
    <w:rsid w:val="00C97DF5"/>
    <w:rsid w:val="00C97E69"/>
    <w:rsid w:val="00C97EB6"/>
    <w:rsid w:val="00C97EBA"/>
    <w:rsid w:val="00C97EC8"/>
    <w:rsid w:val="00CA00E5"/>
    <w:rsid w:val="00CA03CB"/>
    <w:rsid w:val="00CA0601"/>
    <w:rsid w:val="00CA063E"/>
    <w:rsid w:val="00CA0674"/>
    <w:rsid w:val="00CA0778"/>
    <w:rsid w:val="00CA08DC"/>
    <w:rsid w:val="00CA096A"/>
    <w:rsid w:val="00CA0A53"/>
    <w:rsid w:val="00CA0A7D"/>
    <w:rsid w:val="00CA0BBA"/>
    <w:rsid w:val="00CA0BF5"/>
    <w:rsid w:val="00CA0C53"/>
    <w:rsid w:val="00CA0D9D"/>
    <w:rsid w:val="00CA0E7B"/>
    <w:rsid w:val="00CA0EAF"/>
    <w:rsid w:val="00CA0EBA"/>
    <w:rsid w:val="00CA1254"/>
    <w:rsid w:val="00CA13B4"/>
    <w:rsid w:val="00CA15DC"/>
    <w:rsid w:val="00CA160F"/>
    <w:rsid w:val="00CA1728"/>
    <w:rsid w:val="00CA173A"/>
    <w:rsid w:val="00CA1753"/>
    <w:rsid w:val="00CA1775"/>
    <w:rsid w:val="00CA186E"/>
    <w:rsid w:val="00CA1872"/>
    <w:rsid w:val="00CA187F"/>
    <w:rsid w:val="00CA196C"/>
    <w:rsid w:val="00CA1C16"/>
    <w:rsid w:val="00CA1D5B"/>
    <w:rsid w:val="00CA1D8F"/>
    <w:rsid w:val="00CA1D90"/>
    <w:rsid w:val="00CA1DF4"/>
    <w:rsid w:val="00CA1DFA"/>
    <w:rsid w:val="00CA1EA6"/>
    <w:rsid w:val="00CA1EFD"/>
    <w:rsid w:val="00CA1F11"/>
    <w:rsid w:val="00CA1F53"/>
    <w:rsid w:val="00CA202B"/>
    <w:rsid w:val="00CA2278"/>
    <w:rsid w:val="00CA22EA"/>
    <w:rsid w:val="00CA23B9"/>
    <w:rsid w:val="00CA23DD"/>
    <w:rsid w:val="00CA23E8"/>
    <w:rsid w:val="00CA246A"/>
    <w:rsid w:val="00CA2508"/>
    <w:rsid w:val="00CA2658"/>
    <w:rsid w:val="00CA2693"/>
    <w:rsid w:val="00CA2727"/>
    <w:rsid w:val="00CA272D"/>
    <w:rsid w:val="00CA2737"/>
    <w:rsid w:val="00CA294E"/>
    <w:rsid w:val="00CA2988"/>
    <w:rsid w:val="00CA2A43"/>
    <w:rsid w:val="00CA2A92"/>
    <w:rsid w:val="00CA2ACD"/>
    <w:rsid w:val="00CA2B60"/>
    <w:rsid w:val="00CA2B7E"/>
    <w:rsid w:val="00CA2BE5"/>
    <w:rsid w:val="00CA2C59"/>
    <w:rsid w:val="00CA2CA9"/>
    <w:rsid w:val="00CA2CDB"/>
    <w:rsid w:val="00CA2E10"/>
    <w:rsid w:val="00CA2E68"/>
    <w:rsid w:val="00CA302A"/>
    <w:rsid w:val="00CA3034"/>
    <w:rsid w:val="00CA3087"/>
    <w:rsid w:val="00CA310A"/>
    <w:rsid w:val="00CA310D"/>
    <w:rsid w:val="00CA317A"/>
    <w:rsid w:val="00CA31C6"/>
    <w:rsid w:val="00CA3299"/>
    <w:rsid w:val="00CA3585"/>
    <w:rsid w:val="00CA35D3"/>
    <w:rsid w:val="00CA35E9"/>
    <w:rsid w:val="00CA3617"/>
    <w:rsid w:val="00CA36BA"/>
    <w:rsid w:val="00CA3704"/>
    <w:rsid w:val="00CA39CB"/>
    <w:rsid w:val="00CA39E9"/>
    <w:rsid w:val="00CA3BB7"/>
    <w:rsid w:val="00CA3C36"/>
    <w:rsid w:val="00CA3C48"/>
    <w:rsid w:val="00CA3C7F"/>
    <w:rsid w:val="00CA3C84"/>
    <w:rsid w:val="00CA3D98"/>
    <w:rsid w:val="00CA3DE2"/>
    <w:rsid w:val="00CA3E31"/>
    <w:rsid w:val="00CA3E5A"/>
    <w:rsid w:val="00CA3F71"/>
    <w:rsid w:val="00CA3F9D"/>
    <w:rsid w:val="00CA4113"/>
    <w:rsid w:val="00CA413C"/>
    <w:rsid w:val="00CA4266"/>
    <w:rsid w:val="00CA43C5"/>
    <w:rsid w:val="00CA443D"/>
    <w:rsid w:val="00CA4504"/>
    <w:rsid w:val="00CA4547"/>
    <w:rsid w:val="00CA4623"/>
    <w:rsid w:val="00CA46BB"/>
    <w:rsid w:val="00CA4717"/>
    <w:rsid w:val="00CA473E"/>
    <w:rsid w:val="00CA478A"/>
    <w:rsid w:val="00CA48DF"/>
    <w:rsid w:val="00CA4929"/>
    <w:rsid w:val="00CA49B6"/>
    <w:rsid w:val="00CA49BA"/>
    <w:rsid w:val="00CA4A44"/>
    <w:rsid w:val="00CA4A94"/>
    <w:rsid w:val="00CA4AF2"/>
    <w:rsid w:val="00CA4B47"/>
    <w:rsid w:val="00CA4B6F"/>
    <w:rsid w:val="00CA4BA9"/>
    <w:rsid w:val="00CA4C23"/>
    <w:rsid w:val="00CA4C36"/>
    <w:rsid w:val="00CA4C40"/>
    <w:rsid w:val="00CA4C95"/>
    <w:rsid w:val="00CA4CBB"/>
    <w:rsid w:val="00CA4CCF"/>
    <w:rsid w:val="00CA4CE9"/>
    <w:rsid w:val="00CA4CEF"/>
    <w:rsid w:val="00CA4D70"/>
    <w:rsid w:val="00CA4F68"/>
    <w:rsid w:val="00CA5260"/>
    <w:rsid w:val="00CA53AA"/>
    <w:rsid w:val="00CA5401"/>
    <w:rsid w:val="00CA5569"/>
    <w:rsid w:val="00CA558F"/>
    <w:rsid w:val="00CA568B"/>
    <w:rsid w:val="00CA56C3"/>
    <w:rsid w:val="00CA56DA"/>
    <w:rsid w:val="00CA5792"/>
    <w:rsid w:val="00CA5820"/>
    <w:rsid w:val="00CA5895"/>
    <w:rsid w:val="00CA5938"/>
    <w:rsid w:val="00CA5A66"/>
    <w:rsid w:val="00CA5AA8"/>
    <w:rsid w:val="00CA5B06"/>
    <w:rsid w:val="00CA5B39"/>
    <w:rsid w:val="00CA5B64"/>
    <w:rsid w:val="00CA5BD9"/>
    <w:rsid w:val="00CA5C46"/>
    <w:rsid w:val="00CA5C80"/>
    <w:rsid w:val="00CA5EEB"/>
    <w:rsid w:val="00CA5F9A"/>
    <w:rsid w:val="00CA608A"/>
    <w:rsid w:val="00CA6150"/>
    <w:rsid w:val="00CA620F"/>
    <w:rsid w:val="00CA6246"/>
    <w:rsid w:val="00CA628F"/>
    <w:rsid w:val="00CA6395"/>
    <w:rsid w:val="00CA645C"/>
    <w:rsid w:val="00CA6465"/>
    <w:rsid w:val="00CA6513"/>
    <w:rsid w:val="00CA6544"/>
    <w:rsid w:val="00CA6568"/>
    <w:rsid w:val="00CA661F"/>
    <w:rsid w:val="00CA663C"/>
    <w:rsid w:val="00CA66A6"/>
    <w:rsid w:val="00CA66FD"/>
    <w:rsid w:val="00CA68D5"/>
    <w:rsid w:val="00CA68EB"/>
    <w:rsid w:val="00CA6937"/>
    <w:rsid w:val="00CA69B5"/>
    <w:rsid w:val="00CA6ADB"/>
    <w:rsid w:val="00CA6BB7"/>
    <w:rsid w:val="00CA6BCD"/>
    <w:rsid w:val="00CA6C50"/>
    <w:rsid w:val="00CA6C6F"/>
    <w:rsid w:val="00CA6CC6"/>
    <w:rsid w:val="00CA6D84"/>
    <w:rsid w:val="00CA6D8A"/>
    <w:rsid w:val="00CA6D90"/>
    <w:rsid w:val="00CA6DAB"/>
    <w:rsid w:val="00CA6DD1"/>
    <w:rsid w:val="00CA6F6E"/>
    <w:rsid w:val="00CA6FB3"/>
    <w:rsid w:val="00CA71BA"/>
    <w:rsid w:val="00CA71CD"/>
    <w:rsid w:val="00CA71EA"/>
    <w:rsid w:val="00CA727C"/>
    <w:rsid w:val="00CA7381"/>
    <w:rsid w:val="00CA7407"/>
    <w:rsid w:val="00CA758A"/>
    <w:rsid w:val="00CA762E"/>
    <w:rsid w:val="00CA76B4"/>
    <w:rsid w:val="00CA77AC"/>
    <w:rsid w:val="00CA781B"/>
    <w:rsid w:val="00CA78EF"/>
    <w:rsid w:val="00CA796A"/>
    <w:rsid w:val="00CA7A7B"/>
    <w:rsid w:val="00CA7A8B"/>
    <w:rsid w:val="00CA7AA6"/>
    <w:rsid w:val="00CA7B2D"/>
    <w:rsid w:val="00CA7C91"/>
    <w:rsid w:val="00CA7CDC"/>
    <w:rsid w:val="00CA7DA9"/>
    <w:rsid w:val="00CA7DF5"/>
    <w:rsid w:val="00CA7E6F"/>
    <w:rsid w:val="00CA7E8B"/>
    <w:rsid w:val="00CA7EA9"/>
    <w:rsid w:val="00CA7FBD"/>
    <w:rsid w:val="00CA7FDB"/>
    <w:rsid w:val="00CB00EA"/>
    <w:rsid w:val="00CB0143"/>
    <w:rsid w:val="00CB0161"/>
    <w:rsid w:val="00CB017A"/>
    <w:rsid w:val="00CB017E"/>
    <w:rsid w:val="00CB020A"/>
    <w:rsid w:val="00CB02C1"/>
    <w:rsid w:val="00CB02EF"/>
    <w:rsid w:val="00CB0312"/>
    <w:rsid w:val="00CB031E"/>
    <w:rsid w:val="00CB0397"/>
    <w:rsid w:val="00CB055C"/>
    <w:rsid w:val="00CB0696"/>
    <w:rsid w:val="00CB06F5"/>
    <w:rsid w:val="00CB07ED"/>
    <w:rsid w:val="00CB09A3"/>
    <w:rsid w:val="00CB0A62"/>
    <w:rsid w:val="00CB0B50"/>
    <w:rsid w:val="00CB0B72"/>
    <w:rsid w:val="00CB0C54"/>
    <w:rsid w:val="00CB0C92"/>
    <w:rsid w:val="00CB0D16"/>
    <w:rsid w:val="00CB0D2B"/>
    <w:rsid w:val="00CB0D92"/>
    <w:rsid w:val="00CB0DB5"/>
    <w:rsid w:val="00CB0E70"/>
    <w:rsid w:val="00CB0EA5"/>
    <w:rsid w:val="00CB0EB4"/>
    <w:rsid w:val="00CB0EC5"/>
    <w:rsid w:val="00CB0F26"/>
    <w:rsid w:val="00CB0F68"/>
    <w:rsid w:val="00CB0FA7"/>
    <w:rsid w:val="00CB1091"/>
    <w:rsid w:val="00CB1275"/>
    <w:rsid w:val="00CB1330"/>
    <w:rsid w:val="00CB13A6"/>
    <w:rsid w:val="00CB1414"/>
    <w:rsid w:val="00CB14CA"/>
    <w:rsid w:val="00CB153A"/>
    <w:rsid w:val="00CB16BB"/>
    <w:rsid w:val="00CB18C3"/>
    <w:rsid w:val="00CB1908"/>
    <w:rsid w:val="00CB1A6E"/>
    <w:rsid w:val="00CB1B57"/>
    <w:rsid w:val="00CB1B6D"/>
    <w:rsid w:val="00CB1C76"/>
    <w:rsid w:val="00CB1E8E"/>
    <w:rsid w:val="00CB1EE6"/>
    <w:rsid w:val="00CB1F1E"/>
    <w:rsid w:val="00CB1F39"/>
    <w:rsid w:val="00CB1F86"/>
    <w:rsid w:val="00CB206D"/>
    <w:rsid w:val="00CB20D6"/>
    <w:rsid w:val="00CB2163"/>
    <w:rsid w:val="00CB21D4"/>
    <w:rsid w:val="00CB22DA"/>
    <w:rsid w:val="00CB2301"/>
    <w:rsid w:val="00CB2355"/>
    <w:rsid w:val="00CB238A"/>
    <w:rsid w:val="00CB2435"/>
    <w:rsid w:val="00CB2525"/>
    <w:rsid w:val="00CB2566"/>
    <w:rsid w:val="00CB26D7"/>
    <w:rsid w:val="00CB27C5"/>
    <w:rsid w:val="00CB2921"/>
    <w:rsid w:val="00CB2969"/>
    <w:rsid w:val="00CB29BC"/>
    <w:rsid w:val="00CB2A80"/>
    <w:rsid w:val="00CB2B8B"/>
    <w:rsid w:val="00CB2CD0"/>
    <w:rsid w:val="00CB2CE4"/>
    <w:rsid w:val="00CB2D7C"/>
    <w:rsid w:val="00CB2DB2"/>
    <w:rsid w:val="00CB2DC3"/>
    <w:rsid w:val="00CB2E20"/>
    <w:rsid w:val="00CB2EB7"/>
    <w:rsid w:val="00CB2F0C"/>
    <w:rsid w:val="00CB2F97"/>
    <w:rsid w:val="00CB30E2"/>
    <w:rsid w:val="00CB31C4"/>
    <w:rsid w:val="00CB31EB"/>
    <w:rsid w:val="00CB345D"/>
    <w:rsid w:val="00CB346E"/>
    <w:rsid w:val="00CB349F"/>
    <w:rsid w:val="00CB3606"/>
    <w:rsid w:val="00CB36B9"/>
    <w:rsid w:val="00CB36CD"/>
    <w:rsid w:val="00CB36D0"/>
    <w:rsid w:val="00CB3978"/>
    <w:rsid w:val="00CB3B50"/>
    <w:rsid w:val="00CB3BD9"/>
    <w:rsid w:val="00CB3CDB"/>
    <w:rsid w:val="00CB3DB5"/>
    <w:rsid w:val="00CB3E17"/>
    <w:rsid w:val="00CB3E3B"/>
    <w:rsid w:val="00CB3EE5"/>
    <w:rsid w:val="00CB3F90"/>
    <w:rsid w:val="00CB419C"/>
    <w:rsid w:val="00CB4237"/>
    <w:rsid w:val="00CB42FE"/>
    <w:rsid w:val="00CB4305"/>
    <w:rsid w:val="00CB4343"/>
    <w:rsid w:val="00CB44C0"/>
    <w:rsid w:val="00CB44FC"/>
    <w:rsid w:val="00CB4521"/>
    <w:rsid w:val="00CB457C"/>
    <w:rsid w:val="00CB47E7"/>
    <w:rsid w:val="00CB47EC"/>
    <w:rsid w:val="00CB4829"/>
    <w:rsid w:val="00CB48DB"/>
    <w:rsid w:val="00CB4A4D"/>
    <w:rsid w:val="00CB4A55"/>
    <w:rsid w:val="00CB4BB0"/>
    <w:rsid w:val="00CB4C33"/>
    <w:rsid w:val="00CB4C47"/>
    <w:rsid w:val="00CB4DF4"/>
    <w:rsid w:val="00CB4F1F"/>
    <w:rsid w:val="00CB52C3"/>
    <w:rsid w:val="00CB52E5"/>
    <w:rsid w:val="00CB52FF"/>
    <w:rsid w:val="00CB5395"/>
    <w:rsid w:val="00CB54F8"/>
    <w:rsid w:val="00CB56C5"/>
    <w:rsid w:val="00CB57A5"/>
    <w:rsid w:val="00CB57C1"/>
    <w:rsid w:val="00CB5894"/>
    <w:rsid w:val="00CB58F0"/>
    <w:rsid w:val="00CB5968"/>
    <w:rsid w:val="00CB5B18"/>
    <w:rsid w:val="00CB5BC7"/>
    <w:rsid w:val="00CB5CBF"/>
    <w:rsid w:val="00CB5DA9"/>
    <w:rsid w:val="00CB5DDE"/>
    <w:rsid w:val="00CB5E4D"/>
    <w:rsid w:val="00CB5E5C"/>
    <w:rsid w:val="00CB5EA8"/>
    <w:rsid w:val="00CB5F82"/>
    <w:rsid w:val="00CB5F96"/>
    <w:rsid w:val="00CB60A7"/>
    <w:rsid w:val="00CB6116"/>
    <w:rsid w:val="00CB6150"/>
    <w:rsid w:val="00CB615F"/>
    <w:rsid w:val="00CB6342"/>
    <w:rsid w:val="00CB64B8"/>
    <w:rsid w:val="00CB6545"/>
    <w:rsid w:val="00CB6756"/>
    <w:rsid w:val="00CB6776"/>
    <w:rsid w:val="00CB6806"/>
    <w:rsid w:val="00CB68A2"/>
    <w:rsid w:val="00CB68A6"/>
    <w:rsid w:val="00CB69E5"/>
    <w:rsid w:val="00CB6A0C"/>
    <w:rsid w:val="00CB6A9C"/>
    <w:rsid w:val="00CB6B1D"/>
    <w:rsid w:val="00CB6E19"/>
    <w:rsid w:val="00CB6E5D"/>
    <w:rsid w:val="00CB6E66"/>
    <w:rsid w:val="00CB6F12"/>
    <w:rsid w:val="00CB6F3F"/>
    <w:rsid w:val="00CB6F46"/>
    <w:rsid w:val="00CB6FA7"/>
    <w:rsid w:val="00CB6FCD"/>
    <w:rsid w:val="00CB700D"/>
    <w:rsid w:val="00CB70DD"/>
    <w:rsid w:val="00CB71DE"/>
    <w:rsid w:val="00CB7332"/>
    <w:rsid w:val="00CB7394"/>
    <w:rsid w:val="00CB75A9"/>
    <w:rsid w:val="00CB790F"/>
    <w:rsid w:val="00CB79F9"/>
    <w:rsid w:val="00CB7A8F"/>
    <w:rsid w:val="00CB7AED"/>
    <w:rsid w:val="00CB7B17"/>
    <w:rsid w:val="00CB7B24"/>
    <w:rsid w:val="00CB7B94"/>
    <w:rsid w:val="00CB7D35"/>
    <w:rsid w:val="00CB7D36"/>
    <w:rsid w:val="00CB7D7B"/>
    <w:rsid w:val="00CB7DB5"/>
    <w:rsid w:val="00CB7E04"/>
    <w:rsid w:val="00CB7E0B"/>
    <w:rsid w:val="00CB7E29"/>
    <w:rsid w:val="00CB7E60"/>
    <w:rsid w:val="00CB7F69"/>
    <w:rsid w:val="00CB7FF7"/>
    <w:rsid w:val="00CC000B"/>
    <w:rsid w:val="00CC00D3"/>
    <w:rsid w:val="00CC00E0"/>
    <w:rsid w:val="00CC00EC"/>
    <w:rsid w:val="00CC0166"/>
    <w:rsid w:val="00CC020E"/>
    <w:rsid w:val="00CC027E"/>
    <w:rsid w:val="00CC02AF"/>
    <w:rsid w:val="00CC030F"/>
    <w:rsid w:val="00CC0547"/>
    <w:rsid w:val="00CC05D7"/>
    <w:rsid w:val="00CC0675"/>
    <w:rsid w:val="00CC06AB"/>
    <w:rsid w:val="00CC0769"/>
    <w:rsid w:val="00CC07C0"/>
    <w:rsid w:val="00CC085A"/>
    <w:rsid w:val="00CC0887"/>
    <w:rsid w:val="00CC094E"/>
    <w:rsid w:val="00CC0982"/>
    <w:rsid w:val="00CC0A05"/>
    <w:rsid w:val="00CC0AB9"/>
    <w:rsid w:val="00CC0C79"/>
    <w:rsid w:val="00CC0EBE"/>
    <w:rsid w:val="00CC0FB6"/>
    <w:rsid w:val="00CC0FF9"/>
    <w:rsid w:val="00CC103A"/>
    <w:rsid w:val="00CC1087"/>
    <w:rsid w:val="00CC119B"/>
    <w:rsid w:val="00CC125C"/>
    <w:rsid w:val="00CC143A"/>
    <w:rsid w:val="00CC14E8"/>
    <w:rsid w:val="00CC156D"/>
    <w:rsid w:val="00CC1660"/>
    <w:rsid w:val="00CC1674"/>
    <w:rsid w:val="00CC1680"/>
    <w:rsid w:val="00CC1722"/>
    <w:rsid w:val="00CC17E4"/>
    <w:rsid w:val="00CC17F3"/>
    <w:rsid w:val="00CC1807"/>
    <w:rsid w:val="00CC18FF"/>
    <w:rsid w:val="00CC1910"/>
    <w:rsid w:val="00CC196B"/>
    <w:rsid w:val="00CC1A14"/>
    <w:rsid w:val="00CC1D13"/>
    <w:rsid w:val="00CC1E88"/>
    <w:rsid w:val="00CC1F1F"/>
    <w:rsid w:val="00CC207A"/>
    <w:rsid w:val="00CC207D"/>
    <w:rsid w:val="00CC20C3"/>
    <w:rsid w:val="00CC2185"/>
    <w:rsid w:val="00CC21DC"/>
    <w:rsid w:val="00CC2219"/>
    <w:rsid w:val="00CC2243"/>
    <w:rsid w:val="00CC2473"/>
    <w:rsid w:val="00CC2485"/>
    <w:rsid w:val="00CC2488"/>
    <w:rsid w:val="00CC26A4"/>
    <w:rsid w:val="00CC2803"/>
    <w:rsid w:val="00CC289D"/>
    <w:rsid w:val="00CC28B6"/>
    <w:rsid w:val="00CC2A0B"/>
    <w:rsid w:val="00CC2A12"/>
    <w:rsid w:val="00CC2A85"/>
    <w:rsid w:val="00CC2B21"/>
    <w:rsid w:val="00CC2C1D"/>
    <w:rsid w:val="00CC2C38"/>
    <w:rsid w:val="00CC2C89"/>
    <w:rsid w:val="00CC2DC3"/>
    <w:rsid w:val="00CC2DD5"/>
    <w:rsid w:val="00CC2DE2"/>
    <w:rsid w:val="00CC2EE6"/>
    <w:rsid w:val="00CC3179"/>
    <w:rsid w:val="00CC317E"/>
    <w:rsid w:val="00CC3212"/>
    <w:rsid w:val="00CC32AF"/>
    <w:rsid w:val="00CC32B1"/>
    <w:rsid w:val="00CC33B0"/>
    <w:rsid w:val="00CC3455"/>
    <w:rsid w:val="00CC3523"/>
    <w:rsid w:val="00CC35B1"/>
    <w:rsid w:val="00CC35BD"/>
    <w:rsid w:val="00CC35EC"/>
    <w:rsid w:val="00CC3682"/>
    <w:rsid w:val="00CC36DD"/>
    <w:rsid w:val="00CC3853"/>
    <w:rsid w:val="00CC3936"/>
    <w:rsid w:val="00CC3961"/>
    <w:rsid w:val="00CC3A2F"/>
    <w:rsid w:val="00CC3B86"/>
    <w:rsid w:val="00CC3BCC"/>
    <w:rsid w:val="00CC3BDC"/>
    <w:rsid w:val="00CC3CBC"/>
    <w:rsid w:val="00CC3D78"/>
    <w:rsid w:val="00CC3D7E"/>
    <w:rsid w:val="00CC3DA3"/>
    <w:rsid w:val="00CC3E3B"/>
    <w:rsid w:val="00CC3E66"/>
    <w:rsid w:val="00CC3E8F"/>
    <w:rsid w:val="00CC4091"/>
    <w:rsid w:val="00CC40A5"/>
    <w:rsid w:val="00CC42E7"/>
    <w:rsid w:val="00CC4397"/>
    <w:rsid w:val="00CC43F6"/>
    <w:rsid w:val="00CC4403"/>
    <w:rsid w:val="00CC441E"/>
    <w:rsid w:val="00CC44CF"/>
    <w:rsid w:val="00CC4574"/>
    <w:rsid w:val="00CC45DD"/>
    <w:rsid w:val="00CC46DB"/>
    <w:rsid w:val="00CC46E6"/>
    <w:rsid w:val="00CC4836"/>
    <w:rsid w:val="00CC486F"/>
    <w:rsid w:val="00CC495C"/>
    <w:rsid w:val="00CC4979"/>
    <w:rsid w:val="00CC4B42"/>
    <w:rsid w:val="00CC4B9C"/>
    <w:rsid w:val="00CC4BA5"/>
    <w:rsid w:val="00CC4BF1"/>
    <w:rsid w:val="00CC4C35"/>
    <w:rsid w:val="00CC4C53"/>
    <w:rsid w:val="00CC4C93"/>
    <w:rsid w:val="00CC4D31"/>
    <w:rsid w:val="00CC4D64"/>
    <w:rsid w:val="00CC4D8B"/>
    <w:rsid w:val="00CC4E25"/>
    <w:rsid w:val="00CC4E82"/>
    <w:rsid w:val="00CC4EEA"/>
    <w:rsid w:val="00CC4F0B"/>
    <w:rsid w:val="00CC4F54"/>
    <w:rsid w:val="00CC4F94"/>
    <w:rsid w:val="00CC4F9B"/>
    <w:rsid w:val="00CC504C"/>
    <w:rsid w:val="00CC5063"/>
    <w:rsid w:val="00CC506F"/>
    <w:rsid w:val="00CC50C3"/>
    <w:rsid w:val="00CC50CB"/>
    <w:rsid w:val="00CC512A"/>
    <w:rsid w:val="00CC516F"/>
    <w:rsid w:val="00CC51E4"/>
    <w:rsid w:val="00CC5204"/>
    <w:rsid w:val="00CC5211"/>
    <w:rsid w:val="00CC52D1"/>
    <w:rsid w:val="00CC54CB"/>
    <w:rsid w:val="00CC551B"/>
    <w:rsid w:val="00CC563B"/>
    <w:rsid w:val="00CC56AC"/>
    <w:rsid w:val="00CC56F1"/>
    <w:rsid w:val="00CC57B4"/>
    <w:rsid w:val="00CC5885"/>
    <w:rsid w:val="00CC588F"/>
    <w:rsid w:val="00CC592B"/>
    <w:rsid w:val="00CC5955"/>
    <w:rsid w:val="00CC5973"/>
    <w:rsid w:val="00CC5976"/>
    <w:rsid w:val="00CC5989"/>
    <w:rsid w:val="00CC5AD4"/>
    <w:rsid w:val="00CC5AF6"/>
    <w:rsid w:val="00CC5B3E"/>
    <w:rsid w:val="00CC5C12"/>
    <w:rsid w:val="00CC5C1A"/>
    <w:rsid w:val="00CC5C49"/>
    <w:rsid w:val="00CC5CB8"/>
    <w:rsid w:val="00CC5D54"/>
    <w:rsid w:val="00CC5DF1"/>
    <w:rsid w:val="00CC5E6E"/>
    <w:rsid w:val="00CC5E80"/>
    <w:rsid w:val="00CC5E84"/>
    <w:rsid w:val="00CC5F77"/>
    <w:rsid w:val="00CC5FB7"/>
    <w:rsid w:val="00CC6007"/>
    <w:rsid w:val="00CC602E"/>
    <w:rsid w:val="00CC606B"/>
    <w:rsid w:val="00CC618D"/>
    <w:rsid w:val="00CC648B"/>
    <w:rsid w:val="00CC64E3"/>
    <w:rsid w:val="00CC6616"/>
    <w:rsid w:val="00CC6692"/>
    <w:rsid w:val="00CC6746"/>
    <w:rsid w:val="00CC6A24"/>
    <w:rsid w:val="00CC6BE7"/>
    <w:rsid w:val="00CC6BF1"/>
    <w:rsid w:val="00CC6C1A"/>
    <w:rsid w:val="00CC6CD5"/>
    <w:rsid w:val="00CC6D38"/>
    <w:rsid w:val="00CC6E44"/>
    <w:rsid w:val="00CC6EF8"/>
    <w:rsid w:val="00CC6F3A"/>
    <w:rsid w:val="00CC6F97"/>
    <w:rsid w:val="00CC6FA9"/>
    <w:rsid w:val="00CC7036"/>
    <w:rsid w:val="00CC707D"/>
    <w:rsid w:val="00CC7120"/>
    <w:rsid w:val="00CC71E1"/>
    <w:rsid w:val="00CC725E"/>
    <w:rsid w:val="00CC7303"/>
    <w:rsid w:val="00CC736F"/>
    <w:rsid w:val="00CC7375"/>
    <w:rsid w:val="00CC741B"/>
    <w:rsid w:val="00CC74A2"/>
    <w:rsid w:val="00CC7655"/>
    <w:rsid w:val="00CC768C"/>
    <w:rsid w:val="00CC77E5"/>
    <w:rsid w:val="00CC7873"/>
    <w:rsid w:val="00CC787C"/>
    <w:rsid w:val="00CC78FE"/>
    <w:rsid w:val="00CC793E"/>
    <w:rsid w:val="00CC7A39"/>
    <w:rsid w:val="00CC7AAC"/>
    <w:rsid w:val="00CC7C64"/>
    <w:rsid w:val="00CC7DEC"/>
    <w:rsid w:val="00CC7E90"/>
    <w:rsid w:val="00CC7FA4"/>
    <w:rsid w:val="00CC7FB6"/>
    <w:rsid w:val="00CC7FE9"/>
    <w:rsid w:val="00CD008F"/>
    <w:rsid w:val="00CD00E3"/>
    <w:rsid w:val="00CD00E8"/>
    <w:rsid w:val="00CD0190"/>
    <w:rsid w:val="00CD0227"/>
    <w:rsid w:val="00CD02A4"/>
    <w:rsid w:val="00CD03B6"/>
    <w:rsid w:val="00CD054D"/>
    <w:rsid w:val="00CD0694"/>
    <w:rsid w:val="00CD08A4"/>
    <w:rsid w:val="00CD08F9"/>
    <w:rsid w:val="00CD09FF"/>
    <w:rsid w:val="00CD0A34"/>
    <w:rsid w:val="00CD0AA9"/>
    <w:rsid w:val="00CD0CD3"/>
    <w:rsid w:val="00CD0D7E"/>
    <w:rsid w:val="00CD0D91"/>
    <w:rsid w:val="00CD0F5C"/>
    <w:rsid w:val="00CD122A"/>
    <w:rsid w:val="00CD1249"/>
    <w:rsid w:val="00CD12F6"/>
    <w:rsid w:val="00CD1682"/>
    <w:rsid w:val="00CD1759"/>
    <w:rsid w:val="00CD18AD"/>
    <w:rsid w:val="00CD190F"/>
    <w:rsid w:val="00CD1A13"/>
    <w:rsid w:val="00CD1B8E"/>
    <w:rsid w:val="00CD1C72"/>
    <w:rsid w:val="00CD1D06"/>
    <w:rsid w:val="00CD1D6A"/>
    <w:rsid w:val="00CD1E0E"/>
    <w:rsid w:val="00CD1FB1"/>
    <w:rsid w:val="00CD1FC1"/>
    <w:rsid w:val="00CD2141"/>
    <w:rsid w:val="00CD216C"/>
    <w:rsid w:val="00CD21EA"/>
    <w:rsid w:val="00CD226B"/>
    <w:rsid w:val="00CD23C9"/>
    <w:rsid w:val="00CD23E0"/>
    <w:rsid w:val="00CD242F"/>
    <w:rsid w:val="00CD248B"/>
    <w:rsid w:val="00CD251B"/>
    <w:rsid w:val="00CD26A8"/>
    <w:rsid w:val="00CD2740"/>
    <w:rsid w:val="00CD2767"/>
    <w:rsid w:val="00CD285A"/>
    <w:rsid w:val="00CD28BC"/>
    <w:rsid w:val="00CD290B"/>
    <w:rsid w:val="00CD2A5E"/>
    <w:rsid w:val="00CD2BA4"/>
    <w:rsid w:val="00CD2C21"/>
    <w:rsid w:val="00CD2C86"/>
    <w:rsid w:val="00CD2CC5"/>
    <w:rsid w:val="00CD2F54"/>
    <w:rsid w:val="00CD3041"/>
    <w:rsid w:val="00CD30C6"/>
    <w:rsid w:val="00CD30D0"/>
    <w:rsid w:val="00CD31C5"/>
    <w:rsid w:val="00CD33F5"/>
    <w:rsid w:val="00CD33F6"/>
    <w:rsid w:val="00CD3443"/>
    <w:rsid w:val="00CD34AF"/>
    <w:rsid w:val="00CD34DD"/>
    <w:rsid w:val="00CD34EF"/>
    <w:rsid w:val="00CD34F2"/>
    <w:rsid w:val="00CD359F"/>
    <w:rsid w:val="00CD35C9"/>
    <w:rsid w:val="00CD365E"/>
    <w:rsid w:val="00CD37DE"/>
    <w:rsid w:val="00CD39B9"/>
    <w:rsid w:val="00CD3A14"/>
    <w:rsid w:val="00CD3A19"/>
    <w:rsid w:val="00CD3A81"/>
    <w:rsid w:val="00CD3AA6"/>
    <w:rsid w:val="00CD3AF7"/>
    <w:rsid w:val="00CD3B71"/>
    <w:rsid w:val="00CD3B8D"/>
    <w:rsid w:val="00CD3BDE"/>
    <w:rsid w:val="00CD3C48"/>
    <w:rsid w:val="00CD3D92"/>
    <w:rsid w:val="00CD3ED6"/>
    <w:rsid w:val="00CD3F48"/>
    <w:rsid w:val="00CD3F8E"/>
    <w:rsid w:val="00CD3FB9"/>
    <w:rsid w:val="00CD3FBD"/>
    <w:rsid w:val="00CD4056"/>
    <w:rsid w:val="00CD414D"/>
    <w:rsid w:val="00CD422F"/>
    <w:rsid w:val="00CD4282"/>
    <w:rsid w:val="00CD43A0"/>
    <w:rsid w:val="00CD43B7"/>
    <w:rsid w:val="00CD44AA"/>
    <w:rsid w:val="00CD4518"/>
    <w:rsid w:val="00CD455C"/>
    <w:rsid w:val="00CD460F"/>
    <w:rsid w:val="00CD465F"/>
    <w:rsid w:val="00CD46C4"/>
    <w:rsid w:val="00CD48A1"/>
    <w:rsid w:val="00CD4974"/>
    <w:rsid w:val="00CD498C"/>
    <w:rsid w:val="00CD49DF"/>
    <w:rsid w:val="00CD4A4E"/>
    <w:rsid w:val="00CD4A97"/>
    <w:rsid w:val="00CD4B57"/>
    <w:rsid w:val="00CD4B8B"/>
    <w:rsid w:val="00CD4C07"/>
    <w:rsid w:val="00CD4C65"/>
    <w:rsid w:val="00CD4DA2"/>
    <w:rsid w:val="00CD5005"/>
    <w:rsid w:val="00CD51C0"/>
    <w:rsid w:val="00CD51F5"/>
    <w:rsid w:val="00CD5202"/>
    <w:rsid w:val="00CD5271"/>
    <w:rsid w:val="00CD52CF"/>
    <w:rsid w:val="00CD53E2"/>
    <w:rsid w:val="00CD53FF"/>
    <w:rsid w:val="00CD541C"/>
    <w:rsid w:val="00CD553B"/>
    <w:rsid w:val="00CD565C"/>
    <w:rsid w:val="00CD56E4"/>
    <w:rsid w:val="00CD56E8"/>
    <w:rsid w:val="00CD5805"/>
    <w:rsid w:val="00CD5921"/>
    <w:rsid w:val="00CD59EB"/>
    <w:rsid w:val="00CD5B7E"/>
    <w:rsid w:val="00CD5C14"/>
    <w:rsid w:val="00CD5CF0"/>
    <w:rsid w:val="00CD5CF1"/>
    <w:rsid w:val="00CD5D2A"/>
    <w:rsid w:val="00CD5F04"/>
    <w:rsid w:val="00CD5F1C"/>
    <w:rsid w:val="00CD5F8E"/>
    <w:rsid w:val="00CD605F"/>
    <w:rsid w:val="00CD610D"/>
    <w:rsid w:val="00CD62EF"/>
    <w:rsid w:val="00CD632E"/>
    <w:rsid w:val="00CD6334"/>
    <w:rsid w:val="00CD6346"/>
    <w:rsid w:val="00CD644D"/>
    <w:rsid w:val="00CD645A"/>
    <w:rsid w:val="00CD6463"/>
    <w:rsid w:val="00CD65AB"/>
    <w:rsid w:val="00CD65EC"/>
    <w:rsid w:val="00CD677E"/>
    <w:rsid w:val="00CD68A2"/>
    <w:rsid w:val="00CD6904"/>
    <w:rsid w:val="00CD691B"/>
    <w:rsid w:val="00CD6A18"/>
    <w:rsid w:val="00CD6A3A"/>
    <w:rsid w:val="00CD6AC6"/>
    <w:rsid w:val="00CD6B36"/>
    <w:rsid w:val="00CD6CD9"/>
    <w:rsid w:val="00CD6E6C"/>
    <w:rsid w:val="00CD6EC1"/>
    <w:rsid w:val="00CD6ED9"/>
    <w:rsid w:val="00CD6F73"/>
    <w:rsid w:val="00CD701D"/>
    <w:rsid w:val="00CD7156"/>
    <w:rsid w:val="00CD721D"/>
    <w:rsid w:val="00CD7231"/>
    <w:rsid w:val="00CD7239"/>
    <w:rsid w:val="00CD72B7"/>
    <w:rsid w:val="00CD72CC"/>
    <w:rsid w:val="00CD7300"/>
    <w:rsid w:val="00CD746F"/>
    <w:rsid w:val="00CD7580"/>
    <w:rsid w:val="00CD762C"/>
    <w:rsid w:val="00CD76EB"/>
    <w:rsid w:val="00CD7824"/>
    <w:rsid w:val="00CD7840"/>
    <w:rsid w:val="00CD798A"/>
    <w:rsid w:val="00CD79C5"/>
    <w:rsid w:val="00CD7C1F"/>
    <w:rsid w:val="00CD7C37"/>
    <w:rsid w:val="00CD7D9E"/>
    <w:rsid w:val="00CD7F16"/>
    <w:rsid w:val="00CD7F66"/>
    <w:rsid w:val="00CE00CC"/>
    <w:rsid w:val="00CE010B"/>
    <w:rsid w:val="00CE0137"/>
    <w:rsid w:val="00CE0178"/>
    <w:rsid w:val="00CE022A"/>
    <w:rsid w:val="00CE022C"/>
    <w:rsid w:val="00CE0233"/>
    <w:rsid w:val="00CE0370"/>
    <w:rsid w:val="00CE040E"/>
    <w:rsid w:val="00CE043A"/>
    <w:rsid w:val="00CE047D"/>
    <w:rsid w:val="00CE048E"/>
    <w:rsid w:val="00CE049C"/>
    <w:rsid w:val="00CE051C"/>
    <w:rsid w:val="00CE0578"/>
    <w:rsid w:val="00CE05FB"/>
    <w:rsid w:val="00CE06EC"/>
    <w:rsid w:val="00CE07F1"/>
    <w:rsid w:val="00CE082F"/>
    <w:rsid w:val="00CE090B"/>
    <w:rsid w:val="00CE0AFE"/>
    <w:rsid w:val="00CE0B1E"/>
    <w:rsid w:val="00CE0B79"/>
    <w:rsid w:val="00CE0BE3"/>
    <w:rsid w:val="00CE0C09"/>
    <w:rsid w:val="00CE0CEC"/>
    <w:rsid w:val="00CE0D16"/>
    <w:rsid w:val="00CE0E26"/>
    <w:rsid w:val="00CE0E98"/>
    <w:rsid w:val="00CE1435"/>
    <w:rsid w:val="00CE14E1"/>
    <w:rsid w:val="00CE1625"/>
    <w:rsid w:val="00CE1785"/>
    <w:rsid w:val="00CE178C"/>
    <w:rsid w:val="00CE17C3"/>
    <w:rsid w:val="00CE188D"/>
    <w:rsid w:val="00CE19B8"/>
    <w:rsid w:val="00CE1A53"/>
    <w:rsid w:val="00CE1A64"/>
    <w:rsid w:val="00CE1A6F"/>
    <w:rsid w:val="00CE1B66"/>
    <w:rsid w:val="00CE1BAD"/>
    <w:rsid w:val="00CE1D4D"/>
    <w:rsid w:val="00CE1D9A"/>
    <w:rsid w:val="00CE1E31"/>
    <w:rsid w:val="00CE1E88"/>
    <w:rsid w:val="00CE1F0E"/>
    <w:rsid w:val="00CE1FE3"/>
    <w:rsid w:val="00CE1FE6"/>
    <w:rsid w:val="00CE2033"/>
    <w:rsid w:val="00CE2045"/>
    <w:rsid w:val="00CE2201"/>
    <w:rsid w:val="00CE2410"/>
    <w:rsid w:val="00CE2510"/>
    <w:rsid w:val="00CE2559"/>
    <w:rsid w:val="00CE26FE"/>
    <w:rsid w:val="00CE271C"/>
    <w:rsid w:val="00CE2730"/>
    <w:rsid w:val="00CE283E"/>
    <w:rsid w:val="00CE287D"/>
    <w:rsid w:val="00CE28CE"/>
    <w:rsid w:val="00CE2A75"/>
    <w:rsid w:val="00CE2AE1"/>
    <w:rsid w:val="00CE2B59"/>
    <w:rsid w:val="00CE2C7C"/>
    <w:rsid w:val="00CE2E14"/>
    <w:rsid w:val="00CE2E5D"/>
    <w:rsid w:val="00CE2ED6"/>
    <w:rsid w:val="00CE2F1E"/>
    <w:rsid w:val="00CE2F7F"/>
    <w:rsid w:val="00CE2FFD"/>
    <w:rsid w:val="00CE318F"/>
    <w:rsid w:val="00CE31A5"/>
    <w:rsid w:val="00CE31C0"/>
    <w:rsid w:val="00CE3208"/>
    <w:rsid w:val="00CE3232"/>
    <w:rsid w:val="00CE3452"/>
    <w:rsid w:val="00CE35AB"/>
    <w:rsid w:val="00CE35ED"/>
    <w:rsid w:val="00CE361C"/>
    <w:rsid w:val="00CE3638"/>
    <w:rsid w:val="00CE36B5"/>
    <w:rsid w:val="00CE36E6"/>
    <w:rsid w:val="00CE36E7"/>
    <w:rsid w:val="00CE386F"/>
    <w:rsid w:val="00CE388D"/>
    <w:rsid w:val="00CE38B1"/>
    <w:rsid w:val="00CE38BB"/>
    <w:rsid w:val="00CE39E3"/>
    <w:rsid w:val="00CE3A5A"/>
    <w:rsid w:val="00CE3A6F"/>
    <w:rsid w:val="00CE3A87"/>
    <w:rsid w:val="00CE3DE2"/>
    <w:rsid w:val="00CE3FFA"/>
    <w:rsid w:val="00CE405C"/>
    <w:rsid w:val="00CE409E"/>
    <w:rsid w:val="00CE41F2"/>
    <w:rsid w:val="00CE4237"/>
    <w:rsid w:val="00CE42C4"/>
    <w:rsid w:val="00CE42F4"/>
    <w:rsid w:val="00CE4405"/>
    <w:rsid w:val="00CE4440"/>
    <w:rsid w:val="00CE4448"/>
    <w:rsid w:val="00CE44A1"/>
    <w:rsid w:val="00CE466C"/>
    <w:rsid w:val="00CE4771"/>
    <w:rsid w:val="00CE47B7"/>
    <w:rsid w:val="00CE47E6"/>
    <w:rsid w:val="00CE47E8"/>
    <w:rsid w:val="00CE480E"/>
    <w:rsid w:val="00CE4813"/>
    <w:rsid w:val="00CE487B"/>
    <w:rsid w:val="00CE49F3"/>
    <w:rsid w:val="00CE4AA7"/>
    <w:rsid w:val="00CE4B13"/>
    <w:rsid w:val="00CE4B42"/>
    <w:rsid w:val="00CE4BDA"/>
    <w:rsid w:val="00CE4C1E"/>
    <w:rsid w:val="00CE4D57"/>
    <w:rsid w:val="00CE4D9B"/>
    <w:rsid w:val="00CE4DB6"/>
    <w:rsid w:val="00CE4F15"/>
    <w:rsid w:val="00CE4F1E"/>
    <w:rsid w:val="00CE5079"/>
    <w:rsid w:val="00CE50F9"/>
    <w:rsid w:val="00CE51B0"/>
    <w:rsid w:val="00CE51BB"/>
    <w:rsid w:val="00CE5202"/>
    <w:rsid w:val="00CE5242"/>
    <w:rsid w:val="00CE524D"/>
    <w:rsid w:val="00CE5276"/>
    <w:rsid w:val="00CE537D"/>
    <w:rsid w:val="00CE53B3"/>
    <w:rsid w:val="00CE53E5"/>
    <w:rsid w:val="00CE54B1"/>
    <w:rsid w:val="00CE56EF"/>
    <w:rsid w:val="00CE584F"/>
    <w:rsid w:val="00CE585C"/>
    <w:rsid w:val="00CE58B6"/>
    <w:rsid w:val="00CE58BE"/>
    <w:rsid w:val="00CE58E2"/>
    <w:rsid w:val="00CE5A12"/>
    <w:rsid w:val="00CE5A95"/>
    <w:rsid w:val="00CE5AED"/>
    <w:rsid w:val="00CE5B14"/>
    <w:rsid w:val="00CE5B63"/>
    <w:rsid w:val="00CE5C76"/>
    <w:rsid w:val="00CE5E06"/>
    <w:rsid w:val="00CE5F2C"/>
    <w:rsid w:val="00CE5F51"/>
    <w:rsid w:val="00CE5FA2"/>
    <w:rsid w:val="00CE5FCE"/>
    <w:rsid w:val="00CE5FDB"/>
    <w:rsid w:val="00CE60C3"/>
    <w:rsid w:val="00CE60DC"/>
    <w:rsid w:val="00CE6214"/>
    <w:rsid w:val="00CE628A"/>
    <w:rsid w:val="00CE640B"/>
    <w:rsid w:val="00CE641E"/>
    <w:rsid w:val="00CE64B1"/>
    <w:rsid w:val="00CE64C6"/>
    <w:rsid w:val="00CE6526"/>
    <w:rsid w:val="00CE661A"/>
    <w:rsid w:val="00CE668B"/>
    <w:rsid w:val="00CE66B3"/>
    <w:rsid w:val="00CE66CD"/>
    <w:rsid w:val="00CE675F"/>
    <w:rsid w:val="00CE67F6"/>
    <w:rsid w:val="00CE6841"/>
    <w:rsid w:val="00CE68EA"/>
    <w:rsid w:val="00CE6939"/>
    <w:rsid w:val="00CE699D"/>
    <w:rsid w:val="00CE6AB4"/>
    <w:rsid w:val="00CE6BAA"/>
    <w:rsid w:val="00CE6C2B"/>
    <w:rsid w:val="00CE6C8A"/>
    <w:rsid w:val="00CE6CEC"/>
    <w:rsid w:val="00CE6D2B"/>
    <w:rsid w:val="00CE6ECE"/>
    <w:rsid w:val="00CE6F3E"/>
    <w:rsid w:val="00CE6F8B"/>
    <w:rsid w:val="00CE7021"/>
    <w:rsid w:val="00CE7082"/>
    <w:rsid w:val="00CE70BB"/>
    <w:rsid w:val="00CE71C1"/>
    <w:rsid w:val="00CE73B8"/>
    <w:rsid w:val="00CE73EA"/>
    <w:rsid w:val="00CE754F"/>
    <w:rsid w:val="00CE75DA"/>
    <w:rsid w:val="00CE761F"/>
    <w:rsid w:val="00CE765E"/>
    <w:rsid w:val="00CE76B8"/>
    <w:rsid w:val="00CE7788"/>
    <w:rsid w:val="00CE782E"/>
    <w:rsid w:val="00CE7953"/>
    <w:rsid w:val="00CE7AD4"/>
    <w:rsid w:val="00CE7AE1"/>
    <w:rsid w:val="00CE7C03"/>
    <w:rsid w:val="00CE7C0F"/>
    <w:rsid w:val="00CE7DC8"/>
    <w:rsid w:val="00CE7E93"/>
    <w:rsid w:val="00CE7F77"/>
    <w:rsid w:val="00CF0064"/>
    <w:rsid w:val="00CF0084"/>
    <w:rsid w:val="00CF00EA"/>
    <w:rsid w:val="00CF00ED"/>
    <w:rsid w:val="00CF0167"/>
    <w:rsid w:val="00CF016A"/>
    <w:rsid w:val="00CF017F"/>
    <w:rsid w:val="00CF02D1"/>
    <w:rsid w:val="00CF0376"/>
    <w:rsid w:val="00CF0399"/>
    <w:rsid w:val="00CF05DE"/>
    <w:rsid w:val="00CF0641"/>
    <w:rsid w:val="00CF06A8"/>
    <w:rsid w:val="00CF0780"/>
    <w:rsid w:val="00CF0872"/>
    <w:rsid w:val="00CF0932"/>
    <w:rsid w:val="00CF093B"/>
    <w:rsid w:val="00CF0968"/>
    <w:rsid w:val="00CF0B1E"/>
    <w:rsid w:val="00CF0C5C"/>
    <w:rsid w:val="00CF0C60"/>
    <w:rsid w:val="00CF0C6A"/>
    <w:rsid w:val="00CF0CAE"/>
    <w:rsid w:val="00CF0CD3"/>
    <w:rsid w:val="00CF0D4B"/>
    <w:rsid w:val="00CF0D8F"/>
    <w:rsid w:val="00CF0EA0"/>
    <w:rsid w:val="00CF0EAF"/>
    <w:rsid w:val="00CF0EFB"/>
    <w:rsid w:val="00CF0F0C"/>
    <w:rsid w:val="00CF0F13"/>
    <w:rsid w:val="00CF0F91"/>
    <w:rsid w:val="00CF0F9A"/>
    <w:rsid w:val="00CF0FA1"/>
    <w:rsid w:val="00CF1042"/>
    <w:rsid w:val="00CF10C3"/>
    <w:rsid w:val="00CF10FD"/>
    <w:rsid w:val="00CF112E"/>
    <w:rsid w:val="00CF116C"/>
    <w:rsid w:val="00CF124B"/>
    <w:rsid w:val="00CF1306"/>
    <w:rsid w:val="00CF15C0"/>
    <w:rsid w:val="00CF1783"/>
    <w:rsid w:val="00CF1856"/>
    <w:rsid w:val="00CF18F4"/>
    <w:rsid w:val="00CF1991"/>
    <w:rsid w:val="00CF19FA"/>
    <w:rsid w:val="00CF1A92"/>
    <w:rsid w:val="00CF1AEC"/>
    <w:rsid w:val="00CF1B14"/>
    <w:rsid w:val="00CF1B9F"/>
    <w:rsid w:val="00CF1BD2"/>
    <w:rsid w:val="00CF1C50"/>
    <w:rsid w:val="00CF1C62"/>
    <w:rsid w:val="00CF1D21"/>
    <w:rsid w:val="00CF1D6C"/>
    <w:rsid w:val="00CF1D8F"/>
    <w:rsid w:val="00CF1DE9"/>
    <w:rsid w:val="00CF1EA8"/>
    <w:rsid w:val="00CF1FAA"/>
    <w:rsid w:val="00CF22E5"/>
    <w:rsid w:val="00CF22F0"/>
    <w:rsid w:val="00CF230A"/>
    <w:rsid w:val="00CF239D"/>
    <w:rsid w:val="00CF2407"/>
    <w:rsid w:val="00CF2408"/>
    <w:rsid w:val="00CF242E"/>
    <w:rsid w:val="00CF24A5"/>
    <w:rsid w:val="00CF24F4"/>
    <w:rsid w:val="00CF253B"/>
    <w:rsid w:val="00CF2593"/>
    <w:rsid w:val="00CF2630"/>
    <w:rsid w:val="00CF2641"/>
    <w:rsid w:val="00CF26C0"/>
    <w:rsid w:val="00CF26C8"/>
    <w:rsid w:val="00CF26D8"/>
    <w:rsid w:val="00CF2801"/>
    <w:rsid w:val="00CF283A"/>
    <w:rsid w:val="00CF28A1"/>
    <w:rsid w:val="00CF2966"/>
    <w:rsid w:val="00CF2987"/>
    <w:rsid w:val="00CF29C5"/>
    <w:rsid w:val="00CF29D9"/>
    <w:rsid w:val="00CF2A2E"/>
    <w:rsid w:val="00CF2A76"/>
    <w:rsid w:val="00CF2AE1"/>
    <w:rsid w:val="00CF2B04"/>
    <w:rsid w:val="00CF2C6A"/>
    <w:rsid w:val="00CF2CC5"/>
    <w:rsid w:val="00CF2D37"/>
    <w:rsid w:val="00CF2D6A"/>
    <w:rsid w:val="00CF2DC1"/>
    <w:rsid w:val="00CF2E1F"/>
    <w:rsid w:val="00CF2E82"/>
    <w:rsid w:val="00CF2F05"/>
    <w:rsid w:val="00CF2F5F"/>
    <w:rsid w:val="00CF3016"/>
    <w:rsid w:val="00CF3019"/>
    <w:rsid w:val="00CF305E"/>
    <w:rsid w:val="00CF30B0"/>
    <w:rsid w:val="00CF315F"/>
    <w:rsid w:val="00CF31DE"/>
    <w:rsid w:val="00CF3306"/>
    <w:rsid w:val="00CF333E"/>
    <w:rsid w:val="00CF33A9"/>
    <w:rsid w:val="00CF33F8"/>
    <w:rsid w:val="00CF34B2"/>
    <w:rsid w:val="00CF354E"/>
    <w:rsid w:val="00CF355A"/>
    <w:rsid w:val="00CF359E"/>
    <w:rsid w:val="00CF3675"/>
    <w:rsid w:val="00CF3716"/>
    <w:rsid w:val="00CF37B0"/>
    <w:rsid w:val="00CF3901"/>
    <w:rsid w:val="00CF3965"/>
    <w:rsid w:val="00CF3A01"/>
    <w:rsid w:val="00CF3A37"/>
    <w:rsid w:val="00CF3AC6"/>
    <w:rsid w:val="00CF3B1C"/>
    <w:rsid w:val="00CF3C0E"/>
    <w:rsid w:val="00CF3C13"/>
    <w:rsid w:val="00CF3CD6"/>
    <w:rsid w:val="00CF3D33"/>
    <w:rsid w:val="00CF3D58"/>
    <w:rsid w:val="00CF3D61"/>
    <w:rsid w:val="00CF3E37"/>
    <w:rsid w:val="00CF3E69"/>
    <w:rsid w:val="00CF40D4"/>
    <w:rsid w:val="00CF4133"/>
    <w:rsid w:val="00CF425A"/>
    <w:rsid w:val="00CF4297"/>
    <w:rsid w:val="00CF42CB"/>
    <w:rsid w:val="00CF42F2"/>
    <w:rsid w:val="00CF43DF"/>
    <w:rsid w:val="00CF440F"/>
    <w:rsid w:val="00CF44EE"/>
    <w:rsid w:val="00CF452B"/>
    <w:rsid w:val="00CF4532"/>
    <w:rsid w:val="00CF45D2"/>
    <w:rsid w:val="00CF45D6"/>
    <w:rsid w:val="00CF45D8"/>
    <w:rsid w:val="00CF46B3"/>
    <w:rsid w:val="00CF4761"/>
    <w:rsid w:val="00CF482D"/>
    <w:rsid w:val="00CF4C96"/>
    <w:rsid w:val="00CF4CE1"/>
    <w:rsid w:val="00CF4DD2"/>
    <w:rsid w:val="00CF4E00"/>
    <w:rsid w:val="00CF4E35"/>
    <w:rsid w:val="00CF4F50"/>
    <w:rsid w:val="00CF4F95"/>
    <w:rsid w:val="00CF507F"/>
    <w:rsid w:val="00CF50EE"/>
    <w:rsid w:val="00CF5142"/>
    <w:rsid w:val="00CF514B"/>
    <w:rsid w:val="00CF51B1"/>
    <w:rsid w:val="00CF5292"/>
    <w:rsid w:val="00CF52CF"/>
    <w:rsid w:val="00CF5382"/>
    <w:rsid w:val="00CF538F"/>
    <w:rsid w:val="00CF558A"/>
    <w:rsid w:val="00CF55B7"/>
    <w:rsid w:val="00CF5634"/>
    <w:rsid w:val="00CF569D"/>
    <w:rsid w:val="00CF5864"/>
    <w:rsid w:val="00CF58C2"/>
    <w:rsid w:val="00CF5916"/>
    <w:rsid w:val="00CF5929"/>
    <w:rsid w:val="00CF59E7"/>
    <w:rsid w:val="00CF5A88"/>
    <w:rsid w:val="00CF5ACE"/>
    <w:rsid w:val="00CF5BCD"/>
    <w:rsid w:val="00CF5BF3"/>
    <w:rsid w:val="00CF5CF1"/>
    <w:rsid w:val="00CF5D72"/>
    <w:rsid w:val="00CF5DD7"/>
    <w:rsid w:val="00CF612B"/>
    <w:rsid w:val="00CF616C"/>
    <w:rsid w:val="00CF61A4"/>
    <w:rsid w:val="00CF6259"/>
    <w:rsid w:val="00CF6345"/>
    <w:rsid w:val="00CF6365"/>
    <w:rsid w:val="00CF646A"/>
    <w:rsid w:val="00CF650D"/>
    <w:rsid w:val="00CF666A"/>
    <w:rsid w:val="00CF6849"/>
    <w:rsid w:val="00CF68FE"/>
    <w:rsid w:val="00CF69B0"/>
    <w:rsid w:val="00CF69B1"/>
    <w:rsid w:val="00CF69C2"/>
    <w:rsid w:val="00CF69DE"/>
    <w:rsid w:val="00CF6A2B"/>
    <w:rsid w:val="00CF6ACA"/>
    <w:rsid w:val="00CF6B30"/>
    <w:rsid w:val="00CF6B56"/>
    <w:rsid w:val="00CF6B83"/>
    <w:rsid w:val="00CF6C9F"/>
    <w:rsid w:val="00CF6CDF"/>
    <w:rsid w:val="00CF6F09"/>
    <w:rsid w:val="00CF6F45"/>
    <w:rsid w:val="00CF6F51"/>
    <w:rsid w:val="00CF6F56"/>
    <w:rsid w:val="00CF70A4"/>
    <w:rsid w:val="00CF7188"/>
    <w:rsid w:val="00CF72AE"/>
    <w:rsid w:val="00CF7383"/>
    <w:rsid w:val="00CF7521"/>
    <w:rsid w:val="00CF754F"/>
    <w:rsid w:val="00CF75C6"/>
    <w:rsid w:val="00CF768B"/>
    <w:rsid w:val="00CF76C9"/>
    <w:rsid w:val="00CF76CE"/>
    <w:rsid w:val="00CF771C"/>
    <w:rsid w:val="00CF7756"/>
    <w:rsid w:val="00CF77B9"/>
    <w:rsid w:val="00CF7819"/>
    <w:rsid w:val="00CF782D"/>
    <w:rsid w:val="00CF78AD"/>
    <w:rsid w:val="00CF7935"/>
    <w:rsid w:val="00CF7A62"/>
    <w:rsid w:val="00CF7AC6"/>
    <w:rsid w:val="00CF7AFD"/>
    <w:rsid w:val="00CF7B00"/>
    <w:rsid w:val="00CF7B26"/>
    <w:rsid w:val="00CF7C16"/>
    <w:rsid w:val="00CF7C18"/>
    <w:rsid w:val="00CF7C37"/>
    <w:rsid w:val="00CF7DDC"/>
    <w:rsid w:val="00CF7EC1"/>
    <w:rsid w:val="00CF7FF0"/>
    <w:rsid w:val="00D00015"/>
    <w:rsid w:val="00D0004E"/>
    <w:rsid w:val="00D001E3"/>
    <w:rsid w:val="00D003E3"/>
    <w:rsid w:val="00D004A4"/>
    <w:rsid w:val="00D00502"/>
    <w:rsid w:val="00D00572"/>
    <w:rsid w:val="00D006A3"/>
    <w:rsid w:val="00D00737"/>
    <w:rsid w:val="00D0075F"/>
    <w:rsid w:val="00D00810"/>
    <w:rsid w:val="00D00876"/>
    <w:rsid w:val="00D0092E"/>
    <w:rsid w:val="00D00930"/>
    <w:rsid w:val="00D0094D"/>
    <w:rsid w:val="00D00B5C"/>
    <w:rsid w:val="00D00C3E"/>
    <w:rsid w:val="00D00CEC"/>
    <w:rsid w:val="00D00DBB"/>
    <w:rsid w:val="00D00F97"/>
    <w:rsid w:val="00D00FF5"/>
    <w:rsid w:val="00D01051"/>
    <w:rsid w:val="00D01132"/>
    <w:rsid w:val="00D012A8"/>
    <w:rsid w:val="00D012E9"/>
    <w:rsid w:val="00D013B7"/>
    <w:rsid w:val="00D01405"/>
    <w:rsid w:val="00D014CD"/>
    <w:rsid w:val="00D01556"/>
    <w:rsid w:val="00D0157A"/>
    <w:rsid w:val="00D015B8"/>
    <w:rsid w:val="00D01668"/>
    <w:rsid w:val="00D0168E"/>
    <w:rsid w:val="00D0173D"/>
    <w:rsid w:val="00D01741"/>
    <w:rsid w:val="00D017BC"/>
    <w:rsid w:val="00D0183B"/>
    <w:rsid w:val="00D01856"/>
    <w:rsid w:val="00D01869"/>
    <w:rsid w:val="00D01894"/>
    <w:rsid w:val="00D01918"/>
    <w:rsid w:val="00D0197A"/>
    <w:rsid w:val="00D019E5"/>
    <w:rsid w:val="00D01A34"/>
    <w:rsid w:val="00D01B76"/>
    <w:rsid w:val="00D01C40"/>
    <w:rsid w:val="00D01C44"/>
    <w:rsid w:val="00D01D63"/>
    <w:rsid w:val="00D01DBE"/>
    <w:rsid w:val="00D01F5F"/>
    <w:rsid w:val="00D01F6C"/>
    <w:rsid w:val="00D02021"/>
    <w:rsid w:val="00D0205C"/>
    <w:rsid w:val="00D02071"/>
    <w:rsid w:val="00D0215A"/>
    <w:rsid w:val="00D02216"/>
    <w:rsid w:val="00D02278"/>
    <w:rsid w:val="00D02379"/>
    <w:rsid w:val="00D02388"/>
    <w:rsid w:val="00D023D1"/>
    <w:rsid w:val="00D024D2"/>
    <w:rsid w:val="00D0252E"/>
    <w:rsid w:val="00D026DD"/>
    <w:rsid w:val="00D0276C"/>
    <w:rsid w:val="00D0282C"/>
    <w:rsid w:val="00D0290B"/>
    <w:rsid w:val="00D02922"/>
    <w:rsid w:val="00D029A8"/>
    <w:rsid w:val="00D029CD"/>
    <w:rsid w:val="00D029D5"/>
    <w:rsid w:val="00D02AA2"/>
    <w:rsid w:val="00D02C72"/>
    <w:rsid w:val="00D02C9C"/>
    <w:rsid w:val="00D02CCC"/>
    <w:rsid w:val="00D02D8C"/>
    <w:rsid w:val="00D02E49"/>
    <w:rsid w:val="00D02EA7"/>
    <w:rsid w:val="00D02EF2"/>
    <w:rsid w:val="00D02F4B"/>
    <w:rsid w:val="00D030B0"/>
    <w:rsid w:val="00D03125"/>
    <w:rsid w:val="00D031A5"/>
    <w:rsid w:val="00D031E7"/>
    <w:rsid w:val="00D031E9"/>
    <w:rsid w:val="00D03202"/>
    <w:rsid w:val="00D0328A"/>
    <w:rsid w:val="00D032A2"/>
    <w:rsid w:val="00D032EB"/>
    <w:rsid w:val="00D0359B"/>
    <w:rsid w:val="00D035D4"/>
    <w:rsid w:val="00D03701"/>
    <w:rsid w:val="00D0379F"/>
    <w:rsid w:val="00D038D4"/>
    <w:rsid w:val="00D03913"/>
    <w:rsid w:val="00D0395F"/>
    <w:rsid w:val="00D03DD7"/>
    <w:rsid w:val="00D03F02"/>
    <w:rsid w:val="00D03F62"/>
    <w:rsid w:val="00D03FEB"/>
    <w:rsid w:val="00D03FFD"/>
    <w:rsid w:val="00D04099"/>
    <w:rsid w:val="00D040B0"/>
    <w:rsid w:val="00D04414"/>
    <w:rsid w:val="00D0453D"/>
    <w:rsid w:val="00D045A0"/>
    <w:rsid w:val="00D04763"/>
    <w:rsid w:val="00D0485B"/>
    <w:rsid w:val="00D04981"/>
    <w:rsid w:val="00D049A8"/>
    <w:rsid w:val="00D049A9"/>
    <w:rsid w:val="00D049EE"/>
    <w:rsid w:val="00D04B18"/>
    <w:rsid w:val="00D04B9D"/>
    <w:rsid w:val="00D04BCE"/>
    <w:rsid w:val="00D04BDD"/>
    <w:rsid w:val="00D04CB0"/>
    <w:rsid w:val="00D04E36"/>
    <w:rsid w:val="00D04E40"/>
    <w:rsid w:val="00D04E86"/>
    <w:rsid w:val="00D04EE0"/>
    <w:rsid w:val="00D04F6D"/>
    <w:rsid w:val="00D04F8B"/>
    <w:rsid w:val="00D05143"/>
    <w:rsid w:val="00D051AE"/>
    <w:rsid w:val="00D051CC"/>
    <w:rsid w:val="00D0520F"/>
    <w:rsid w:val="00D0529A"/>
    <w:rsid w:val="00D052E2"/>
    <w:rsid w:val="00D0537A"/>
    <w:rsid w:val="00D056C1"/>
    <w:rsid w:val="00D05863"/>
    <w:rsid w:val="00D058E3"/>
    <w:rsid w:val="00D0596C"/>
    <w:rsid w:val="00D05988"/>
    <w:rsid w:val="00D05ABA"/>
    <w:rsid w:val="00D05B38"/>
    <w:rsid w:val="00D05B40"/>
    <w:rsid w:val="00D05BF5"/>
    <w:rsid w:val="00D05C63"/>
    <w:rsid w:val="00D05CCB"/>
    <w:rsid w:val="00D05D51"/>
    <w:rsid w:val="00D05D5F"/>
    <w:rsid w:val="00D05D7F"/>
    <w:rsid w:val="00D05DA2"/>
    <w:rsid w:val="00D05DBF"/>
    <w:rsid w:val="00D05DC1"/>
    <w:rsid w:val="00D05EB4"/>
    <w:rsid w:val="00D05F08"/>
    <w:rsid w:val="00D05F6A"/>
    <w:rsid w:val="00D06086"/>
    <w:rsid w:val="00D063FC"/>
    <w:rsid w:val="00D0640A"/>
    <w:rsid w:val="00D06479"/>
    <w:rsid w:val="00D06484"/>
    <w:rsid w:val="00D064CD"/>
    <w:rsid w:val="00D0653F"/>
    <w:rsid w:val="00D06557"/>
    <w:rsid w:val="00D065B0"/>
    <w:rsid w:val="00D06633"/>
    <w:rsid w:val="00D066C2"/>
    <w:rsid w:val="00D066CA"/>
    <w:rsid w:val="00D06746"/>
    <w:rsid w:val="00D0687C"/>
    <w:rsid w:val="00D068C2"/>
    <w:rsid w:val="00D069FA"/>
    <w:rsid w:val="00D06A09"/>
    <w:rsid w:val="00D06A2C"/>
    <w:rsid w:val="00D06A61"/>
    <w:rsid w:val="00D06A64"/>
    <w:rsid w:val="00D06B0A"/>
    <w:rsid w:val="00D06BF6"/>
    <w:rsid w:val="00D06C5A"/>
    <w:rsid w:val="00D06D1D"/>
    <w:rsid w:val="00D06DA9"/>
    <w:rsid w:val="00D06DAB"/>
    <w:rsid w:val="00D06E25"/>
    <w:rsid w:val="00D06EFC"/>
    <w:rsid w:val="00D07017"/>
    <w:rsid w:val="00D0704E"/>
    <w:rsid w:val="00D0712E"/>
    <w:rsid w:val="00D071D8"/>
    <w:rsid w:val="00D072D1"/>
    <w:rsid w:val="00D073E2"/>
    <w:rsid w:val="00D075C8"/>
    <w:rsid w:val="00D0760E"/>
    <w:rsid w:val="00D076AC"/>
    <w:rsid w:val="00D07743"/>
    <w:rsid w:val="00D07770"/>
    <w:rsid w:val="00D0778E"/>
    <w:rsid w:val="00D07793"/>
    <w:rsid w:val="00D077EE"/>
    <w:rsid w:val="00D0781E"/>
    <w:rsid w:val="00D0783D"/>
    <w:rsid w:val="00D0799C"/>
    <w:rsid w:val="00D07AF7"/>
    <w:rsid w:val="00D07B40"/>
    <w:rsid w:val="00D07CE0"/>
    <w:rsid w:val="00D07E8A"/>
    <w:rsid w:val="00D07EAF"/>
    <w:rsid w:val="00D07EC5"/>
    <w:rsid w:val="00D07F66"/>
    <w:rsid w:val="00D07F9E"/>
    <w:rsid w:val="00D07FAD"/>
    <w:rsid w:val="00D101FB"/>
    <w:rsid w:val="00D1020F"/>
    <w:rsid w:val="00D102CA"/>
    <w:rsid w:val="00D102E0"/>
    <w:rsid w:val="00D10535"/>
    <w:rsid w:val="00D10633"/>
    <w:rsid w:val="00D10680"/>
    <w:rsid w:val="00D106BD"/>
    <w:rsid w:val="00D10767"/>
    <w:rsid w:val="00D10860"/>
    <w:rsid w:val="00D1090E"/>
    <w:rsid w:val="00D1097D"/>
    <w:rsid w:val="00D1099B"/>
    <w:rsid w:val="00D109D0"/>
    <w:rsid w:val="00D10A3A"/>
    <w:rsid w:val="00D10AC9"/>
    <w:rsid w:val="00D10BB8"/>
    <w:rsid w:val="00D10BC6"/>
    <w:rsid w:val="00D10C50"/>
    <w:rsid w:val="00D10C79"/>
    <w:rsid w:val="00D10C97"/>
    <w:rsid w:val="00D10F3D"/>
    <w:rsid w:val="00D10FAB"/>
    <w:rsid w:val="00D1103E"/>
    <w:rsid w:val="00D1109D"/>
    <w:rsid w:val="00D11232"/>
    <w:rsid w:val="00D11306"/>
    <w:rsid w:val="00D113E7"/>
    <w:rsid w:val="00D1149F"/>
    <w:rsid w:val="00D11559"/>
    <w:rsid w:val="00D11705"/>
    <w:rsid w:val="00D11773"/>
    <w:rsid w:val="00D117E5"/>
    <w:rsid w:val="00D117F6"/>
    <w:rsid w:val="00D1190C"/>
    <w:rsid w:val="00D11A64"/>
    <w:rsid w:val="00D11C63"/>
    <w:rsid w:val="00D11D79"/>
    <w:rsid w:val="00D11E1C"/>
    <w:rsid w:val="00D11F57"/>
    <w:rsid w:val="00D11F6C"/>
    <w:rsid w:val="00D11FAB"/>
    <w:rsid w:val="00D12122"/>
    <w:rsid w:val="00D12367"/>
    <w:rsid w:val="00D1265E"/>
    <w:rsid w:val="00D12966"/>
    <w:rsid w:val="00D12A82"/>
    <w:rsid w:val="00D12B82"/>
    <w:rsid w:val="00D12BCD"/>
    <w:rsid w:val="00D12CF4"/>
    <w:rsid w:val="00D12E95"/>
    <w:rsid w:val="00D12F80"/>
    <w:rsid w:val="00D1307A"/>
    <w:rsid w:val="00D1313B"/>
    <w:rsid w:val="00D131D5"/>
    <w:rsid w:val="00D132CE"/>
    <w:rsid w:val="00D132DD"/>
    <w:rsid w:val="00D1351A"/>
    <w:rsid w:val="00D1358D"/>
    <w:rsid w:val="00D13628"/>
    <w:rsid w:val="00D13683"/>
    <w:rsid w:val="00D1369B"/>
    <w:rsid w:val="00D13701"/>
    <w:rsid w:val="00D1377A"/>
    <w:rsid w:val="00D13853"/>
    <w:rsid w:val="00D13858"/>
    <w:rsid w:val="00D13860"/>
    <w:rsid w:val="00D13896"/>
    <w:rsid w:val="00D138D9"/>
    <w:rsid w:val="00D138E8"/>
    <w:rsid w:val="00D13957"/>
    <w:rsid w:val="00D13961"/>
    <w:rsid w:val="00D13A00"/>
    <w:rsid w:val="00D13A04"/>
    <w:rsid w:val="00D13B1E"/>
    <w:rsid w:val="00D13BD3"/>
    <w:rsid w:val="00D13C61"/>
    <w:rsid w:val="00D13D5B"/>
    <w:rsid w:val="00D13DD6"/>
    <w:rsid w:val="00D13E8C"/>
    <w:rsid w:val="00D13ED4"/>
    <w:rsid w:val="00D13EFB"/>
    <w:rsid w:val="00D13F0D"/>
    <w:rsid w:val="00D1401D"/>
    <w:rsid w:val="00D14146"/>
    <w:rsid w:val="00D1415D"/>
    <w:rsid w:val="00D141A4"/>
    <w:rsid w:val="00D141A5"/>
    <w:rsid w:val="00D141EB"/>
    <w:rsid w:val="00D14241"/>
    <w:rsid w:val="00D1433E"/>
    <w:rsid w:val="00D143CA"/>
    <w:rsid w:val="00D14511"/>
    <w:rsid w:val="00D1460E"/>
    <w:rsid w:val="00D14635"/>
    <w:rsid w:val="00D146EE"/>
    <w:rsid w:val="00D14813"/>
    <w:rsid w:val="00D14950"/>
    <w:rsid w:val="00D14968"/>
    <w:rsid w:val="00D14A1F"/>
    <w:rsid w:val="00D14A2E"/>
    <w:rsid w:val="00D14BB5"/>
    <w:rsid w:val="00D14C18"/>
    <w:rsid w:val="00D14CD0"/>
    <w:rsid w:val="00D14D51"/>
    <w:rsid w:val="00D14DB1"/>
    <w:rsid w:val="00D14E15"/>
    <w:rsid w:val="00D14E25"/>
    <w:rsid w:val="00D1506C"/>
    <w:rsid w:val="00D1514D"/>
    <w:rsid w:val="00D1518B"/>
    <w:rsid w:val="00D151EE"/>
    <w:rsid w:val="00D1521C"/>
    <w:rsid w:val="00D1524D"/>
    <w:rsid w:val="00D15335"/>
    <w:rsid w:val="00D15343"/>
    <w:rsid w:val="00D1537A"/>
    <w:rsid w:val="00D153B3"/>
    <w:rsid w:val="00D153D8"/>
    <w:rsid w:val="00D154B5"/>
    <w:rsid w:val="00D154DA"/>
    <w:rsid w:val="00D154EE"/>
    <w:rsid w:val="00D1553E"/>
    <w:rsid w:val="00D15598"/>
    <w:rsid w:val="00D155D7"/>
    <w:rsid w:val="00D156E6"/>
    <w:rsid w:val="00D15945"/>
    <w:rsid w:val="00D159A1"/>
    <w:rsid w:val="00D159D0"/>
    <w:rsid w:val="00D159F0"/>
    <w:rsid w:val="00D15A32"/>
    <w:rsid w:val="00D15C28"/>
    <w:rsid w:val="00D15C40"/>
    <w:rsid w:val="00D15C54"/>
    <w:rsid w:val="00D15DB0"/>
    <w:rsid w:val="00D15E99"/>
    <w:rsid w:val="00D15EED"/>
    <w:rsid w:val="00D160A2"/>
    <w:rsid w:val="00D160C5"/>
    <w:rsid w:val="00D161D9"/>
    <w:rsid w:val="00D16238"/>
    <w:rsid w:val="00D16389"/>
    <w:rsid w:val="00D1638F"/>
    <w:rsid w:val="00D1642E"/>
    <w:rsid w:val="00D1645A"/>
    <w:rsid w:val="00D16506"/>
    <w:rsid w:val="00D165EF"/>
    <w:rsid w:val="00D16632"/>
    <w:rsid w:val="00D167C9"/>
    <w:rsid w:val="00D16831"/>
    <w:rsid w:val="00D1691B"/>
    <w:rsid w:val="00D16ABD"/>
    <w:rsid w:val="00D16B56"/>
    <w:rsid w:val="00D16BD9"/>
    <w:rsid w:val="00D16CBF"/>
    <w:rsid w:val="00D16D4A"/>
    <w:rsid w:val="00D16D6E"/>
    <w:rsid w:val="00D16D80"/>
    <w:rsid w:val="00D16DD7"/>
    <w:rsid w:val="00D16DE0"/>
    <w:rsid w:val="00D16E11"/>
    <w:rsid w:val="00D16E30"/>
    <w:rsid w:val="00D16E57"/>
    <w:rsid w:val="00D16E99"/>
    <w:rsid w:val="00D16FA1"/>
    <w:rsid w:val="00D170A6"/>
    <w:rsid w:val="00D170EA"/>
    <w:rsid w:val="00D17373"/>
    <w:rsid w:val="00D174B8"/>
    <w:rsid w:val="00D174D2"/>
    <w:rsid w:val="00D175B3"/>
    <w:rsid w:val="00D176A6"/>
    <w:rsid w:val="00D177CB"/>
    <w:rsid w:val="00D17845"/>
    <w:rsid w:val="00D17955"/>
    <w:rsid w:val="00D17A51"/>
    <w:rsid w:val="00D17B1B"/>
    <w:rsid w:val="00D17C86"/>
    <w:rsid w:val="00D17CAC"/>
    <w:rsid w:val="00D17CB5"/>
    <w:rsid w:val="00D17D0C"/>
    <w:rsid w:val="00D17D19"/>
    <w:rsid w:val="00D17E90"/>
    <w:rsid w:val="00D20076"/>
    <w:rsid w:val="00D200BB"/>
    <w:rsid w:val="00D20121"/>
    <w:rsid w:val="00D20132"/>
    <w:rsid w:val="00D2015C"/>
    <w:rsid w:val="00D2022B"/>
    <w:rsid w:val="00D20283"/>
    <w:rsid w:val="00D20379"/>
    <w:rsid w:val="00D203A4"/>
    <w:rsid w:val="00D204EB"/>
    <w:rsid w:val="00D20546"/>
    <w:rsid w:val="00D205CF"/>
    <w:rsid w:val="00D20611"/>
    <w:rsid w:val="00D20679"/>
    <w:rsid w:val="00D206AE"/>
    <w:rsid w:val="00D207FD"/>
    <w:rsid w:val="00D20810"/>
    <w:rsid w:val="00D2087A"/>
    <w:rsid w:val="00D20930"/>
    <w:rsid w:val="00D20A66"/>
    <w:rsid w:val="00D20B7B"/>
    <w:rsid w:val="00D20C63"/>
    <w:rsid w:val="00D20E82"/>
    <w:rsid w:val="00D20FA1"/>
    <w:rsid w:val="00D2105D"/>
    <w:rsid w:val="00D210FE"/>
    <w:rsid w:val="00D21208"/>
    <w:rsid w:val="00D2120A"/>
    <w:rsid w:val="00D21298"/>
    <w:rsid w:val="00D213FF"/>
    <w:rsid w:val="00D21477"/>
    <w:rsid w:val="00D2155F"/>
    <w:rsid w:val="00D21574"/>
    <w:rsid w:val="00D215E9"/>
    <w:rsid w:val="00D2167F"/>
    <w:rsid w:val="00D21692"/>
    <w:rsid w:val="00D216D9"/>
    <w:rsid w:val="00D21800"/>
    <w:rsid w:val="00D218D1"/>
    <w:rsid w:val="00D218F6"/>
    <w:rsid w:val="00D21988"/>
    <w:rsid w:val="00D21CCB"/>
    <w:rsid w:val="00D21D87"/>
    <w:rsid w:val="00D21D9D"/>
    <w:rsid w:val="00D21DA1"/>
    <w:rsid w:val="00D21DBF"/>
    <w:rsid w:val="00D21DE4"/>
    <w:rsid w:val="00D21EBA"/>
    <w:rsid w:val="00D21FA9"/>
    <w:rsid w:val="00D21FB3"/>
    <w:rsid w:val="00D21FF0"/>
    <w:rsid w:val="00D2210B"/>
    <w:rsid w:val="00D22129"/>
    <w:rsid w:val="00D221BD"/>
    <w:rsid w:val="00D2230F"/>
    <w:rsid w:val="00D223AD"/>
    <w:rsid w:val="00D223ED"/>
    <w:rsid w:val="00D2241C"/>
    <w:rsid w:val="00D2242A"/>
    <w:rsid w:val="00D2252E"/>
    <w:rsid w:val="00D2259A"/>
    <w:rsid w:val="00D225E1"/>
    <w:rsid w:val="00D22673"/>
    <w:rsid w:val="00D226C6"/>
    <w:rsid w:val="00D22765"/>
    <w:rsid w:val="00D228FF"/>
    <w:rsid w:val="00D22A96"/>
    <w:rsid w:val="00D22BCC"/>
    <w:rsid w:val="00D22BF6"/>
    <w:rsid w:val="00D22BF8"/>
    <w:rsid w:val="00D22BFB"/>
    <w:rsid w:val="00D22C25"/>
    <w:rsid w:val="00D22C86"/>
    <w:rsid w:val="00D22D7A"/>
    <w:rsid w:val="00D22E09"/>
    <w:rsid w:val="00D22EE9"/>
    <w:rsid w:val="00D230D8"/>
    <w:rsid w:val="00D230F6"/>
    <w:rsid w:val="00D23114"/>
    <w:rsid w:val="00D23235"/>
    <w:rsid w:val="00D23373"/>
    <w:rsid w:val="00D23556"/>
    <w:rsid w:val="00D2355C"/>
    <w:rsid w:val="00D23613"/>
    <w:rsid w:val="00D2367A"/>
    <w:rsid w:val="00D2375E"/>
    <w:rsid w:val="00D2379F"/>
    <w:rsid w:val="00D237B9"/>
    <w:rsid w:val="00D23811"/>
    <w:rsid w:val="00D2383C"/>
    <w:rsid w:val="00D23A3A"/>
    <w:rsid w:val="00D23A44"/>
    <w:rsid w:val="00D23AC1"/>
    <w:rsid w:val="00D23B96"/>
    <w:rsid w:val="00D23C08"/>
    <w:rsid w:val="00D23C0A"/>
    <w:rsid w:val="00D23C22"/>
    <w:rsid w:val="00D23C41"/>
    <w:rsid w:val="00D23C5F"/>
    <w:rsid w:val="00D23CA1"/>
    <w:rsid w:val="00D23D6B"/>
    <w:rsid w:val="00D23FAD"/>
    <w:rsid w:val="00D24039"/>
    <w:rsid w:val="00D240C2"/>
    <w:rsid w:val="00D240F4"/>
    <w:rsid w:val="00D2425F"/>
    <w:rsid w:val="00D243F1"/>
    <w:rsid w:val="00D24454"/>
    <w:rsid w:val="00D24598"/>
    <w:rsid w:val="00D24608"/>
    <w:rsid w:val="00D2463B"/>
    <w:rsid w:val="00D24663"/>
    <w:rsid w:val="00D24679"/>
    <w:rsid w:val="00D247AD"/>
    <w:rsid w:val="00D2484B"/>
    <w:rsid w:val="00D24860"/>
    <w:rsid w:val="00D2493A"/>
    <w:rsid w:val="00D24A4A"/>
    <w:rsid w:val="00D24AB3"/>
    <w:rsid w:val="00D24C1F"/>
    <w:rsid w:val="00D24CBE"/>
    <w:rsid w:val="00D24CF4"/>
    <w:rsid w:val="00D24F20"/>
    <w:rsid w:val="00D24F24"/>
    <w:rsid w:val="00D24F39"/>
    <w:rsid w:val="00D24F3A"/>
    <w:rsid w:val="00D24F85"/>
    <w:rsid w:val="00D25022"/>
    <w:rsid w:val="00D2504D"/>
    <w:rsid w:val="00D2507F"/>
    <w:rsid w:val="00D2526F"/>
    <w:rsid w:val="00D252D0"/>
    <w:rsid w:val="00D2557E"/>
    <w:rsid w:val="00D2559F"/>
    <w:rsid w:val="00D2565A"/>
    <w:rsid w:val="00D256C8"/>
    <w:rsid w:val="00D258D9"/>
    <w:rsid w:val="00D25967"/>
    <w:rsid w:val="00D25A0C"/>
    <w:rsid w:val="00D25B03"/>
    <w:rsid w:val="00D25C17"/>
    <w:rsid w:val="00D25CA0"/>
    <w:rsid w:val="00D25D56"/>
    <w:rsid w:val="00D25E52"/>
    <w:rsid w:val="00D25F7D"/>
    <w:rsid w:val="00D25FC6"/>
    <w:rsid w:val="00D260BE"/>
    <w:rsid w:val="00D260C6"/>
    <w:rsid w:val="00D2611A"/>
    <w:rsid w:val="00D2627C"/>
    <w:rsid w:val="00D2627F"/>
    <w:rsid w:val="00D26297"/>
    <w:rsid w:val="00D26356"/>
    <w:rsid w:val="00D2635A"/>
    <w:rsid w:val="00D2635F"/>
    <w:rsid w:val="00D26447"/>
    <w:rsid w:val="00D2650C"/>
    <w:rsid w:val="00D26549"/>
    <w:rsid w:val="00D2656D"/>
    <w:rsid w:val="00D265B1"/>
    <w:rsid w:val="00D26616"/>
    <w:rsid w:val="00D267C1"/>
    <w:rsid w:val="00D267E1"/>
    <w:rsid w:val="00D267F7"/>
    <w:rsid w:val="00D267F8"/>
    <w:rsid w:val="00D26800"/>
    <w:rsid w:val="00D2683A"/>
    <w:rsid w:val="00D26A5E"/>
    <w:rsid w:val="00D26A87"/>
    <w:rsid w:val="00D26A94"/>
    <w:rsid w:val="00D26C8C"/>
    <w:rsid w:val="00D26D56"/>
    <w:rsid w:val="00D26E7C"/>
    <w:rsid w:val="00D26FCA"/>
    <w:rsid w:val="00D27041"/>
    <w:rsid w:val="00D270C5"/>
    <w:rsid w:val="00D271DA"/>
    <w:rsid w:val="00D27499"/>
    <w:rsid w:val="00D27651"/>
    <w:rsid w:val="00D2773F"/>
    <w:rsid w:val="00D27860"/>
    <w:rsid w:val="00D2789F"/>
    <w:rsid w:val="00D278FA"/>
    <w:rsid w:val="00D27CC4"/>
    <w:rsid w:val="00D27CE1"/>
    <w:rsid w:val="00D27D6D"/>
    <w:rsid w:val="00D27DC3"/>
    <w:rsid w:val="00D27DD9"/>
    <w:rsid w:val="00D27E7F"/>
    <w:rsid w:val="00D30028"/>
    <w:rsid w:val="00D30068"/>
    <w:rsid w:val="00D300CD"/>
    <w:rsid w:val="00D300D6"/>
    <w:rsid w:val="00D3028F"/>
    <w:rsid w:val="00D30449"/>
    <w:rsid w:val="00D30524"/>
    <w:rsid w:val="00D30641"/>
    <w:rsid w:val="00D30655"/>
    <w:rsid w:val="00D3080C"/>
    <w:rsid w:val="00D308C3"/>
    <w:rsid w:val="00D30975"/>
    <w:rsid w:val="00D30B00"/>
    <w:rsid w:val="00D30C1E"/>
    <w:rsid w:val="00D30C74"/>
    <w:rsid w:val="00D30CE9"/>
    <w:rsid w:val="00D30D7F"/>
    <w:rsid w:val="00D30E21"/>
    <w:rsid w:val="00D30E9E"/>
    <w:rsid w:val="00D30EC6"/>
    <w:rsid w:val="00D30F29"/>
    <w:rsid w:val="00D31000"/>
    <w:rsid w:val="00D31093"/>
    <w:rsid w:val="00D311D3"/>
    <w:rsid w:val="00D31467"/>
    <w:rsid w:val="00D31518"/>
    <w:rsid w:val="00D31538"/>
    <w:rsid w:val="00D31583"/>
    <w:rsid w:val="00D31625"/>
    <w:rsid w:val="00D316B1"/>
    <w:rsid w:val="00D316EC"/>
    <w:rsid w:val="00D31748"/>
    <w:rsid w:val="00D31849"/>
    <w:rsid w:val="00D31874"/>
    <w:rsid w:val="00D31928"/>
    <w:rsid w:val="00D31A51"/>
    <w:rsid w:val="00D31A7C"/>
    <w:rsid w:val="00D31A83"/>
    <w:rsid w:val="00D31AE8"/>
    <w:rsid w:val="00D31BE6"/>
    <w:rsid w:val="00D31D39"/>
    <w:rsid w:val="00D31D6E"/>
    <w:rsid w:val="00D31DBB"/>
    <w:rsid w:val="00D31DD7"/>
    <w:rsid w:val="00D31E05"/>
    <w:rsid w:val="00D31E30"/>
    <w:rsid w:val="00D31E40"/>
    <w:rsid w:val="00D31E4A"/>
    <w:rsid w:val="00D32003"/>
    <w:rsid w:val="00D3207A"/>
    <w:rsid w:val="00D32105"/>
    <w:rsid w:val="00D32147"/>
    <w:rsid w:val="00D3227A"/>
    <w:rsid w:val="00D323D2"/>
    <w:rsid w:val="00D3240E"/>
    <w:rsid w:val="00D32436"/>
    <w:rsid w:val="00D32440"/>
    <w:rsid w:val="00D324BE"/>
    <w:rsid w:val="00D32572"/>
    <w:rsid w:val="00D325B2"/>
    <w:rsid w:val="00D32616"/>
    <w:rsid w:val="00D3263F"/>
    <w:rsid w:val="00D32714"/>
    <w:rsid w:val="00D32770"/>
    <w:rsid w:val="00D32812"/>
    <w:rsid w:val="00D3285B"/>
    <w:rsid w:val="00D328F6"/>
    <w:rsid w:val="00D329BE"/>
    <w:rsid w:val="00D329DB"/>
    <w:rsid w:val="00D32A3D"/>
    <w:rsid w:val="00D32A66"/>
    <w:rsid w:val="00D32A86"/>
    <w:rsid w:val="00D32A8F"/>
    <w:rsid w:val="00D32C97"/>
    <w:rsid w:val="00D32DB2"/>
    <w:rsid w:val="00D32E3F"/>
    <w:rsid w:val="00D32E4C"/>
    <w:rsid w:val="00D32F4B"/>
    <w:rsid w:val="00D32F71"/>
    <w:rsid w:val="00D32F8E"/>
    <w:rsid w:val="00D3303C"/>
    <w:rsid w:val="00D33262"/>
    <w:rsid w:val="00D33309"/>
    <w:rsid w:val="00D33371"/>
    <w:rsid w:val="00D333E6"/>
    <w:rsid w:val="00D33451"/>
    <w:rsid w:val="00D33477"/>
    <w:rsid w:val="00D334E1"/>
    <w:rsid w:val="00D334EB"/>
    <w:rsid w:val="00D335A6"/>
    <w:rsid w:val="00D33656"/>
    <w:rsid w:val="00D3367E"/>
    <w:rsid w:val="00D336E6"/>
    <w:rsid w:val="00D336F3"/>
    <w:rsid w:val="00D33763"/>
    <w:rsid w:val="00D33822"/>
    <w:rsid w:val="00D338AC"/>
    <w:rsid w:val="00D338D5"/>
    <w:rsid w:val="00D33923"/>
    <w:rsid w:val="00D33A23"/>
    <w:rsid w:val="00D33B2B"/>
    <w:rsid w:val="00D33B45"/>
    <w:rsid w:val="00D33B4C"/>
    <w:rsid w:val="00D33BB7"/>
    <w:rsid w:val="00D33C64"/>
    <w:rsid w:val="00D33D31"/>
    <w:rsid w:val="00D33D8E"/>
    <w:rsid w:val="00D33DCA"/>
    <w:rsid w:val="00D33EAA"/>
    <w:rsid w:val="00D33FAD"/>
    <w:rsid w:val="00D34007"/>
    <w:rsid w:val="00D34014"/>
    <w:rsid w:val="00D3413F"/>
    <w:rsid w:val="00D341A5"/>
    <w:rsid w:val="00D34232"/>
    <w:rsid w:val="00D34503"/>
    <w:rsid w:val="00D3454F"/>
    <w:rsid w:val="00D34675"/>
    <w:rsid w:val="00D34747"/>
    <w:rsid w:val="00D347D6"/>
    <w:rsid w:val="00D347FC"/>
    <w:rsid w:val="00D34815"/>
    <w:rsid w:val="00D3485B"/>
    <w:rsid w:val="00D3492B"/>
    <w:rsid w:val="00D34A63"/>
    <w:rsid w:val="00D34AEF"/>
    <w:rsid w:val="00D34D16"/>
    <w:rsid w:val="00D34DD5"/>
    <w:rsid w:val="00D34F22"/>
    <w:rsid w:val="00D34F95"/>
    <w:rsid w:val="00D34FC2"/>
    <w:rsid w:val="00D3501A"/>
    <w:rsid w:val="00D350F5"/>
    <w:rsid w:val="00D351CF"/>
    <w:rsid w:val="00D351F7"/>
    <w:rsid w:val="00D35214"/>
    <w:rsid w:val="00D35309"/>
    <w:rsid w:val="00D3531A"/>
    <w:rsid w:val="00D354A6"/>
    <w:rsid w:val="00D354D0"/>
    <w:rsid w:val="00D3567B"/>
    <w:rsid w:val="00D356DE"/>
    <w:rsid w:val="00D356FF"/>
    <w:rsid w:val="00D35703"/>
    <w:rsid w:val="00D35794"/>
    <w:rsid w:val="00D35834"/>
    <w:rsid w:val="00D3586C"/>
    <w:rsid w:val="00D35922"/>
    <w:rsid w:val="00D3593F"/>
    <w:rsid w:val="00D35C73"/>
    <w:rsid w:val="00D35CCD"/>
    <w:rsid w:val="00D35D14"/>
    <w:rsid w:val="00D35E1D"/>
    <w:rsid w:val="00D35E1F"/>
    <w:rsid w:val="00D35E38"/>
    <w:rsid w:val="00D35F3B"/>
    <w:rsid w:val="00D35F64"/>
    <w:rsid w:val="00D35FF4"/>
    <w:rsid w:val="00D360D1"/>
    <w:rsid w:val="00D36227"/>
    <w:rsid w:val="00D36352"/>
    <w:rsid w:val="00D363EA"/>
    <w:rsid w:val="00D363F4"/>
    <w:rsid w:val="00D364B2"/>
    <w:rsid w:val="00D364F6"/>
    <w:rsid w:val="00D3656C"/>
    <w:rsid w:val="00D3656E"/>
    <w:rsid w:val="00D3668D"/>
    <w:rsid w:val="00D36785"/>
    <w:rsid w:val="00D36791"/>
    <w:rsid w:val="00D36855"/>
    <w:rsid w:val="00D3687F"/>
    <w:rsid w:val="00D36894"/>
    <w:rsid w:val="00D368DC"/>
    <w:rsid w:val="00D36939"/>
    <w:rsid w:val="00D36963"/>
    <w:rsid w:val="00D36C93"/>
    <w:rsid w:val="00D36D5A"/>
    <w:rsid w:val="00D36DB3"/>
    <w:rsid w:val="00D36DEB"/>
    <w:rsid w:val="00D36E3F"/>
    <w:rsid w:val="00D36EDB"/>
    <w:rsid w:val="00D36EDF"/>
    <w:rsid w:val="00D370B8"/>
    <w:rsid w:val="00D371CE"/>
    <w:rsid w:val="00D371E2"/>
    <w:rsid w:val="00D37220"/>
    <w:rsid w:val="00D3725C"/>
    <w:rsid w:val="00D3726E"/>
    <w:rsid w:val="00D37276"/>
    <w:rsid w:val="00D3731C"/>
    <w:rsid w:val="00D37351"/>
    <w:rsid w:val="00D37386"/>
    <w:rsid w:val="00D373DF"/>
    <w:rsid w:val="00D37431"/>
    <w:rsid w:val="00D3745F"/>
    <w:rsid w:val="00D3749F"/>
    <w:rsid w:val="00D374A0"/>
    <w:rsid w:val="00D374CF"/>
    <w:rsid w:val="00D37559"/>
    <w:rsid w:val="00D37700"/>
    <w:rsid w:val="00D377A5"/>
    <w:rsid w:val="00D377E8"/>
    <w:rsid w:val="00D37803"/>
    <w:rsid w:val="00D379E6"/>
    <w:rsid w:val="00D37CA5"/>
    <w:rsid w:val="00D37D83"/>
    <w:rsid w:val="00D37DE6"/>
    <w:rsid w:val="00D37E54"/>
    <w:rsid w:val="00D40074"/>
    <w:rsid w:val="00D40076"/>
    <w:rsid w:val="00D402AB"/>
    <w:rsid w:val="00D402F4"/>
    <w:rsid w:val="00D4035F"/>
    <w:rsid w:val="00D40410"/>
    <w:rsid w:val="00D40415"/>
    <w:rsid w:val="00D4045B"/>
    <w:rsid w:val="00D404AA"/>
    <w:rsid w:val="00D40592"/>
    <w:rsid w:val="00D40664"/>
    <w:rsid w:val="00D4081E"/>
    <w:rsid w:val="00D40868"/>
    <w:rsid w:val="00D408CA"/>
    <w:rsid w:val="00D40914"/>
    <w:rsid w:val="00D40A46"/>
    <w:rsid w:val="00D40A8C"/>
    <w:rsid w:val="00D40ACC"/>
    <w:rsid w:val="00D40C4F"/>
    <w:rsid w:val="00D40C50"/>
    <w:rsid w:val="00D40C92"/>
    <w:rsid w:val="00D40F1E"/>
    <w:rsid w:val="00D40FC4"/>
    <w:rsid w:val="00D4100E"/>
    <w:rsid w:val="00D410A2"/>
    <w:rsid w:val="00D41200"/>
    <w:rsid w:val="00D413A9"/>
    <w:rsid w:val="00D41444"/>
    <w:rsid w:val="00D41549"/>
    <w:rsid w:val="00D41551"/>
    <w:rsid w:val="00D41559"/>
    <w:rsid w:val="00D416AF"/>
    <w:rsid w:val="00D4170E"/>
    <w:rsid w:val="00D41818"/>
    <w:rsid w:val="00D41930"/>
    <w:rsid w:val="00D41A5A"/>
    <w:rsid w:val="00D41A6F"/>
    <w:rsid w:val="00D41AF2"/>
    <w:rsid w:val="00D41B9D"/>
    <w:rsid w:val="00D41BC7"/>
    <w:rsid w:val="00D41C55"/>
    <w:rsid w:val="00D41CAD"/>
    <w:rsid w:val="00D41CD8"/>
    <w:rsid w:val="00D41D61"/>
    <w:rsid w:val="00D41D8E"/>
    <w:rsid w:val="00D41DC3"/>
    <w:rsid w:val="00D41E1C"/>
    <w:rsid w:val="00D41EFB"/>
    <w:rsid w:val="00D41FC1"/>
    <w:rsid w:val="00D41FEA"/>
    <w:rsid w:val="00D4204F"/>
    <w:rsid w:val="00D4224D"/>
    <w:rsid w:val="00D422AF"/>
    <w:rsid w:val="00D422C8"/>
    <w:rsid w:val="00D422EF"/>
    <w:rsid w:val="00D422F1"/>
    <w:rsid w:val="00D423BF"/>
    <w:rsid w:val="00D42420"/>
    <w:rsid w:val="00D424A8"/>
    <w:rsid w:val="00D42579"/>
    <w:rsid w:val="00D425DC"/>
    <w:rsid w:val="00D42675"/>
    <w:rsid w:val="00D42736"/>
    <w:rsid w:val="00D42768"/>
    <w:rsid w:val="00D428EC"/>
    <w:rsid w:val="00D428F4"/>
    <w:rsid w:val="00D42A53"/>
    <w:rsid w:val="00D42A99"/>
    <w:rsid w:val="00D42AC5"/>
    <w:rsid w:val="00D42B0C"/>
    <w:rsid w:val="00D42B6B"/>
    <w:rsid w:val="00D42BCC"/>
    <w:rsid w:val="00D42E82"/>
    <w:rsid w:val="00D42F1B"/>
    <w:rsid w:val="00D42F9F"/>
    <w:rsid w:val="00D42FCA"/>
    <w:rsid w:val="00D431A5"/>
    <w:rsid w:val="00D43252"/>
    <w:rsid w:val="00D43342"/>
    <w:rsid w:val="00D4336B"/>
    <w:rsid w:val="00D433AB"/>
    <w:rsid w:val="00D43433"/>
    <w:rsid w:val="00D434C1"/>
    <w:rsid w:val="00D435B6"/>
    <w:rsid w:val="00D43699"/>
    <w:rsid w:val="00D43707"/>
    <w:rsid w:val="00D43A28"/>
    <w:rsid w:val="00D43AB9"/>
    <w:rsid w:val="00D43AC6"/>
    <w:rsid w:val="00D43C39"/>
    <w:rsid w:val="00D43D98"/>
    <w:rsid w:val="00D43DE3"/>
    <w:rsid w:val="00D4407E"/>
    <w:rsid w:val="00D440EF"/>
    <w:rsid w:val="00D4423A"/>
    <w:rsid w:val="00D44253"/>
    <w:rsid w:val="00D44331"/>
    <w:rsid w:val="00D44463"/>
    <w:rsid w:val="00D444BC"/>
    <w:rsid w:val="00D44532"/>
    <w:rsid w:val="00D44610"/>
    <w:rsid w:val="00D446E8"/>
    <w:rsid w:val="00D44739"/>
    <w:rsid w:val="00D4477D"/>
    <w:rsid w:val="00D44852"/>
    <w:rsid w:val="00D448A0"/>
    <w:rsid w:val="00D44933"/>
    <w:rsid w:val="00D4496A"/>
    <w:rsid w:val="00D449A9"/>
    <w:rsid w:val="00D44A96"/>
    <w:rsid w:val="00D44BB8"/>
    <w:rsid w:val="00D44C7D"/>
    <w:rsid w:val="00D44CA4"/>
    <w:rsid w:val="00D44CFA"/>
    <w:rsid w:val="00D44D14"/>
    <w:rsid w:val="00D44D29"/>
    <w:rsid w:val="00D44D6D"/>
    <w:rsid w:val="00D44D9E"/>
    <w:rsid w:val="00D44F50"/>
    <w:rsid w:val="00D4501E"/>
    <w:rsid w:val="00D451B4"/>
    <w:rsid w:val="00D4543C"/>
    <w:rsid w:val="00D45619"/>
    <w:rsid w:val="00D4569C"/>
    <w:rsid w:val="00D456BE"/>
    <w:rsid w:val="00D45732"/>
    <w:rsid w:val="00D45778"/>
    <w:rsid w:val="00D459BA"/>
    <w:rsid w:val="00D45B50"/>
    <w:rsid w:val="00D45B68"/>
    <w:rsid w:val="00D45B88"/>
    <w:rsid w:val="00D45CC3"/>
    <w:rsid w:val="00D45D6A"/>
    <w:rsid w:val="00D45D71"/>
    <w:rsid w:val="00D45E5E"/>
    <w:rsid w:val="00D45F13"/>
    <w:rsid w:val="00D45F4B"/>
    <w:rsid w:val="00D460CF"/>
    <w:rsid w:val="00D4617F"/>
    <w:rsid w:val="00D4619D"/>
    <w:rsid w:val="00D4632B"/>
    <w:rsid w:val="00D46356"/>
    <w:rsid w:val="00D46372"/>
    <w:rsid w:val="00D464B1"/>
    <w:rsid w:val="00D46561"/>
    <w:rsid w:val="00D465A7"/>
    <w:rsid w:val="00D465E9"/>
    <w:rsid w:val="00D465F5"/>
    <w:rsid w:val="00D4663A"/>
    <w:rsid w:val="00D466FE"/>
    <w:rsid w:val="00D46782"/>
    <w:rsid w:val="00D468A4"/>
    <w:rsid w:val="00D468F6"/>
    <w:rsid w:val="00D46958"/>
    <w:rsid w:val="00D46B22"/>
    <w:rsid w:val="00D46CAF"/>
    <w:rsid w:val="00D46D27"/>
    <w:rsid w:val="00D46E84"/>
    <w:rsid w:val="00D46F32"/>
    <w:rsid w:val="00D4707C"/>
    <w:rsid w:val="00D47136"/>
    <w:rsid w:val="00D47218"/>
    <w:rsid w:val="00D4721C"/>
    <w:rsid w:val="00D4722F"/>
    <w:rsid w:val="00D47283"/>
    <w:rsid w:val="00D472C8"/>
    <w:rsid w:val="00D47567"/>
    <w:rsid w:val="00D475B6"/>
    <w:rsid w:val="00D4774C"/>
    <w:rsid w:val="00D47809"/>
    <w:rsid w:val="00D47B37"/>
    <w:rsid w:val="00D47C8D"/>
    <w:rsid w:val="00D47CF0"/>
    <w:rsid w:val="00D47DCE"/>
    <w:rsid w:val="00D47F15"/>
    <w:rsid w:val="00D47F69"/>
    <w:rsid w:val="00D47FC1"/>
    <w:rsid w:val="00D47FF4"/>
    <w:rsid w:val="00D500A9"/>
    <w:rsid w:val="00D5011A"/>
    <w:rsid w:val="00D501CD"/>
    <w:rsid w:val="00D50214"/>
    <w:rsid w:val="00D5021A"/>
    <w:rsid w:val="00D50262"/>
    <w:rsid w:val="00D50270"/>
    <w:rsid w:val="00D502C5"/>
    <w:rsid w:val="00D50329"/>
    <w:rsid w:val="00D503BF"/>
    <w:rsid w:val="00D5044B"/>
    <w:rsid w:val="00D504B1"/>
    <w:rsid w:val="00D504CE"/>
    <w:rsid w:val="00D505B7"/>
    <w:rsid w:val="00D50670"/>
    <w:rsid w:val="00D5069D"/>
    <w:rsid w:val="00D5077D"/>
    <w:rsid w:val="00D50789"/>
    <w:rsid w:val="00D507BD"/>
    <w:rsid w:val="00D508D7"/>
    <w:rsid w:val="00D50927"/>
    <w:rsid w:val="00D5099E"/>
    <w:rsid w:val="00D509F7"/>
    <w:rsid w:val="00D50A36"/>
    <w:rsid w:val="00D50BAC"/>
    <w:rsid w:val="00D50C9E"/>
    <w:rsid w:val="00D50D60"/>
    <w:rsid w:val="00D50DB2"/>
    <w:rsid w:val="00D50DCC"/>
    <w:rsid w:val="00D50E07"/>
    <w:rsid w:val="00D50E0F"/>
    <w:rsid w:val="00D50E2A"/>
    <w:rsid w:val="00D50F53"/>
    <w:rsid w:val="00D5110C"/>
    <w:rsid w:val="00D511CF"/>
    <w:rsid w:val="00D51308"/>
    <w:rsid w:val="00D514E4"/>
    <w:rsid w:val="00D5154D"/>
    <w:rsid w:val="00D51553"/>
    <w:rsid w:val="00D515FC"/>
    <w:rsid w:val="00D5160E"/>
    <w:rsid w:val="00D51613"/>
    <w:rsid w:val="00D51638"/>
    <w:rsid w:val="00D51686"/>
    <w:rsid w:val="00D517E9"/>
    <w:rsid w:val="00D51804"/>
    <w:rsid w:val="00D5188E"/>
    <w:rsid w:val="00D518C7"/>
    <w:rsid w:val="00D5193D"/>
    <w:rsid w:val="00D519B6"/>
    <w:rsid w:val="00D519EC"/>
    <w:rsid w:val="00D51D1E"/>
    <w:rsid w:val="00D51EB4"/>
    <w:rsid w:val="00D51ED6"/>
    <w:rsid w:val="00D51EEB"/>
    <w:rsid w:val="00D51F86"/>
    <w:rsid w:val="00D52006"/>
    <w:rsid w:val="00D520D1"/>
    <w:rsid w:val="00D5210A"/>
    <w:rsid w:val="00D523B0"/>
    <w:rsid w:val="00D52609"/>
    <w:rsid w:val="00D52676"/>
    <w:rsid w:val="00D526A6"/>
    <w:rsid w:val="00D526D8"/>
    <w:rsid w:val="00D52810"/>
    <w:rsid w:val="00D52834"/>
    <w:rsid w:val="00D52B57"/>
    <w:rsid w:val="00D52BB1"/>
    <w:rsid w:val="00D52C23"/>
    <w:rsid w:val="00D52C93"/>
    <w:rsid w:val="00D52CB2"/>
    <w:rsid w:val="00D52D0E"/>
    <w:rsid w:val="00D52E4A"/>
    <w:rsid w:val="00D52FBC"/>
    <w:rsid w:val="00D53085"/>
    <w:rsid w:val="00D5313E"/>
    <w:rsid w:val="00D534B7"/>
    <w:rsid w:val="00D53507"/>
    <w:rsid w:val="00D5353E"/>
    <w:rsid w:val="00D53583"/>
    <w:rsid w:val="00D535A9"/>
    <w:rsid w:val="00D53666"/>
    <w:rsid w:val="00D53670"/>
    <w:rsid w:val="00D536D5"/>
    <w:rsid w:val="00D536D9"/>
    <w:rsid w:val="00D53756"/>
    <w:rsid w:val="00D537A3"/>
    <w:rsid w:val="00D53899"/>
    <w:rsid w:val="00D53949"/>
    <w:rsid w:val="00D5394D"/>
    <w:rsid w:val="00D53A44"/>
    <w:rsid w:val="00D53EEA"/>
    <w:rsid w:val="00D53EF5"/>
    <w:rsid w:val="00D53F3E"/>
    <w:rsid w:val="00D53F5A"/>
    <w:rsid w:val="00D53F9B"/>
    <w:rsid w:val="00D540CD"/>
    <w:rsid w:val="00D5429A"/>
    <w:rsid w:val="00D5436A"/>
    <w:rsid w:val="00D543BC"/>
    <w:rsid w:val="00D543EB"/>
    <w:rsid w:val="00D543F6"/>
    <w:rsid w:val="00D5440E"/>
    <w:rsid w:val="00D5444C"/>
    <w:rsid w:val="00D544D3"/>
    <w:rsid w:val="00D54525"/>
    <w:rsid w:val="00D54613"/>
    <w:rsid w:val="00D54641"/>
    <w:rsid w:val="00D54669"/>
    <w:rsid w:val="00D546BD"/>
    <w:rsid w:val="00D5482A"/>
    <w:rsid w:val="00D548D8"/>
    <w:rsid w:val="00D548DD"/>
    <w:rsid w:val="00D54A16"/>
    <w:rsid w:val="00D54A5A"/>
    <w:rsid w:val="00D54AE5"/>
    <w:rsid w:val="00D54B44"/>
    <w:rsid w:val="00D54B9A"/>
    <w:rsid w:val="00D54C1A"/>
    <w:rsid w:val="00D54D0C"/>
    <w:rsid w:val="00D5509C"/>
    <w:rsid w:val="00D55126"/>
    <w:rsid w:val="00D5563C"/>
    <w:rsid w:val="00D5575B"/>
    <w:rsid w:val="00D5576E"/>
    <w:rsid w:val="00D55877"/>
    <w:rsid w:val="00D559A2"/>
    <w:rsid w:val="00D559BF"/>
    <w:rsid w:val="00D559D8"/>
    <w:rsid w:val="00D55A8D"/>
    <w:rsid w:val="00D55B4F"/>
    <w:rsid w:val="00D55B8E"/>
    <w:rsid w:val="00D55BB4"/>
    <w:rsid w:val="00D55BE8"/>
    <w:rsid w:val="00D55CF7"/>
    <w:rsid w:val="00D55D45"/>
    <w:rsid w:val="00D55E88"/>
    <w:rsid w:val="00D55F1E"/>
    <w:rsid w:val="00D5609D"/>
    <w:rsid w:val="00D563DB"/>
    <w:rsid w:val="00D5646F"/>
    <w:rsid w:val="00D56499"/>
    <w:rsid w:val="00D5649E"/>
    <w:rsid w:val="00D564F8"/>
    <w:rsid w:val="00D565CB"/>
    <w:rsid w:val="00D56638"/>
    <w:rsid w:val="00D5674F"/>
    <w:rsid w:val="00D567E4"/>
    <w:rsid w:val="00D5683A"/>
    <w:rsid w:val="00D568B2"/>
    <w:rsid w:val="00D56AF3"/>
    <w:rsid w:val="00D56B41"/>
    <w:rsid w:val="00D56B76"/>
    <w:rsid w:val="00D56CBB"/>
    <w:rsid w:val="00D56D3A"/>
    <w:rsid w:val="00D56D5E"/>
    <w:rsid w:val="00D56F03"/>
    <w:rsid w:val="00D56F3C"/>
    <w:rsid w:val="00D570CA"/>
    <w:rsid w:val="00D57173"/>
    <w:rsid w:val="00D571F6"/>
    <w:rsid w:val="00D572E2"/>
    <w:rsid w:val="00D5738A"/>
    <w:rsid w:val="00D573C0"/>
    <w:rsid w:val="00D57413"/>
    <w:rsid w:val="00D5746C"/>
    <w:rsid w:val="00D5753E"/>
    <w:rsid w:val="00D57607"/>
    <w:rsid w:val="00D576A2"/>
    <w:rsid w:val="00D576C0"/>
    <w:rsid w:val="00D57721"/>
    <w:rsid w:val="00D5775D"/>
    <w:rsid w:val="00D57870"/>
    <w:rsid w:val="00D578A7"/>
    <w:rsid w:val="00D578EB"/>
    <w:rsid w:val="00D57934"/>
    <w:rsid w:val="00D57A3E"/>
    <w:rsid w:val="00D57A52"/>
    <w:rsid w:val="00D57AB6"/>
    <w:rsid w:val="00D57B30"/>
    <w:rsid w:val="00D57CED"/>
    <w:rsid w:val="00D57D38"/>
    <w:rsid w:val="00D57DCF"/>
    <w:rsid w:val="00D57E0C"/>
    <w:rsid w:val="00D57E51"/>
    <w:rsid w:val="00D57EFE"/>
    <w:rsid w:val="00D57F34"/>
    <w:rsid w:val="00D600EC"/>
    <w:rsid w:val="00D601F8"/>
    <w:rsid w:val="00D60225"/>
    <w:rsid w:val="00D602A4"/>
    <w:rsid w:val="00D602CF"/>
    <w:rsid w:val="00D6034C"/>
    <w:rsid w:val="00D6039F"/>
    <w:rsid w:val="00D60500"/>
    <w:rsid w:val="00D60627"/>
    <w:rsid w:val="00D6065B"/>
    <w:rsid w:val="00D60779"/>
    <w:rsid w:val="00D60798"/>
    <w:rsid w:val="00D607BF"/>
    <w:rsid w:val="00D60807"/>
    <w:rsid w:val="00D60823"/>
    <w:rsid w:val="00D60854"/>
    <w:rsid w:val="00D6097D"/>
    <w:rsid w:val="00D60AD1"/>
    <w:rsid w:val="00D60AEC"/>
    <w:rsid w:val="00D60BF2"/>
    <w:rsid w:val="00D60C36"/>
    <w:rsid w:val="00D60C76"/>
    <w:rsid w:val="00D60DBF"/>
    <w:rsid w:val="00D60DD2"/>
    <w:rsid w:val="00D60DD7"/>
    <w:rsid w:val="00D60E6A"/>
    <w:rsid w:val="00D60F08"/>
    <w:rsid w:val="00D60F3A"/>
    <w:rsid w:val="00D60F50"/>
    <w:rsid w:val="00D60FD1"/>
    <w:rsid w:val="00D610C4"/>
    <w:rsid w:val="00D610E1"/>
    <w:rsid w:val="00D61155"/>
    <w:rsid w:val="00D61207"/>
    <w:rsid w:val="00D6123A"/>
    <w:rsid w:val="00D61403"/>
    <w:rsid w:val="00D61452"/>
    <w:rsid w:val="00D61479"/>
    <w:rsid w:val="00D61506"/>
    <w:rsid w:val="00D6153C"/>
    <w:rsid w:val="00D61676"/>
    <w:rsid w:val="00D61710"/>
    <w:rsid w:val="00D617FA"/>
    <w:rsid w:val="00D6199A"/>
    <w:rsid w:val="00D61A4A"/>
    <w:rsid w:val="00D61AF5"/>
    <w:rsid w:val="00D61B6F"/>
    <w:rsid w:val="00D61C3F"/>
    <w:rsid w:val="00D61CB6"/>
    <w:rsid w:val="00D61D00"/>
    <w:rsid w:val="00D61E24"/>
    <w:rsid w:val="00D61EBF"/>
    <w:rsid w:val="00D61FF9"/>
    <w:rsid w:val="00D62164"/>
    <w:rsid w:val="00D62328"/>
    <w:rsid w:val="00D6235F"/>
    <w:rsid w:val="00D6237E"/>
    <w:rsid w:val="00D62391"/>
    <w:rsid w:val="00D623C1"/>
    <w:rsid w:val="00D623D0"/>
    <w:rsid w:val="00D623E1"/>
    <w:rsid w:val="00D62445"/>
    <w:rsid w:val="00D624C9"/>
    <w:rsid w:val="00D62630"/>
    <w:rsid w:val="00D62637"/>
    <w:rsid w:val="00D62825"/>
    <w:rsid w:val="00D628E6"/>
    <w:rsid w:val="00D628FA"/>
    <w:rsid w:val="00D6293A"/>
    <w:rsid w:val="00D62946"/>
    <w:rsid w:val="00D62A14"/>
    <w:rsid w:val="00D62A84"/>
    <w:rsid w:val="00D62B2B"/>
    <w:rsid w:val="00D62C35"/>
    <w:rsid w:val="00D62DDF"/>
    <w:rsid w:val="00D62E5F"/>
    <w:rsid w:val="00D62ECA"/>
    <w:rsid w:val="00D62EE7"/>
    <w:rsid w:val="00D62FCC"/>
    <w:rsid w:val="00D62FFF"/>
    <w:rsid w:val="00D63079"/>
    <w:rsid w:val="00D630E4"/>
    <w:rsid w:val="00D631AB"/>
    <w:rsid w:val="00D631C9"/>
    <w:rsid w:val="00D631D7"/>
    <w:rsid w:val="00D63351"/>
    <w:rsid w:val="00D63448"/>
    <w:rsid w:val="00D635D1"/>
    <w:rsid w:val="00D635DF"/>
    <w:rsid w:val="00D6364B"/>
    <w:rsid w:val="00D63671"/>
    <w:rsid w:val="00D63688"/>
    <w:rsid w:val="00D63896"/>
    <w:rsid w:val="00D638D9"/>
    <w:rsid w:val="00D63A86"/>
    <w:rsid w:val="00D63B60"/>
    <w:rsid w:val="00D63BA5"/>
    <w:rsid w:val="00D63BE9"/>
    <w:rsid w:val="00D63BEF"/>
    <w:rsid w:val="00D63C30"/>
    <w:rsid w:val="00D63C85"/>
    <w:rsid w:val="00D63E4C"/>
    <w:rsid w:val="00D63E9F"/>
    <w:rsid w:val="00D63EEA"/>
    <w:rsid w:val="00D63F9D"/>
    <w:rsid w:val="00D6402F"/>
    <w:rsid w:val="00D64202"/>
    <w:rsid w:val="00D6421D"/>
    <w:rsid w:val="00D642FC"/>
    <w:rsid w:val="00D64329"/>
    <w:rsid w:val="00D643E3"/>
    <w:rsid w:val="00D64494"/>
    <w:rsid w:val="00D644F1"/>
    <w:rsid w:val="00D64595"/>
    <w:rsid w:val="00D64711"/>
    <w:rsid w:val="00D6474C"/>
    <w:rsid w:val="00D64788"/>
    <w:rsid w:val="00D64895"/>
    <w:rsid w:val="00D64988"/>
    <w:rsid w:val="00D649AA"/>
    <w:rsid w:val="00D64A51"/>
    <w:rsid w:val="00D64AB4"/>
    <w:rsid w:val="00D64B50"/>
    <w:rsid w:val="00D64CD9"/>
    <w:rsid w:val="00D64D97"/>
    <w:rsid w:val="00D64E18"/>
    <w:rsid w:val="00D65070"/>
    <w:rsid w:val="00D654A4"/>
    <w:rsid w:val="00D654CC"/>
    <w:rsid w:val="00D65503"/>
    <w:rsid w:val="00D656D6"/>
    <w:rsid w:val="00D6595E"/>
    <w:rsid w:val="00D65A10"/>
    <w:rsid w:val="00D65A1B"/>
    <w:rsid w:val="00D65BE2"/>
    <w:rsid w:val="00D65C2F"/>
    <w:rsid w:val="00D65DB5"/>
    <w:rsid w:val="00D65DE2"/>
    <w:rsid w:val="00D65E93"/>
    <w:rsid w:val="00D65F1A"/>
    <w:rsid w:val="00D65F92"/>
    <w:rsid w:val="00D660F1"/>
    <w:rsid w:val="00D66261"/>
    <w:rsid w:val="00D6626A"/>
    <w:rsid w:val="00D663F2"/>
    <w:rsid w:val="00D66499"/>
    <w:rsid w:val="00D664C8"/>
    <w:rsid w:val="00D66513"/>
    <w:rsid w:val="00D66518"/>
    <w:rsid w:val="00D6689B"/>
    <w:rsid w:val="00D669B9"/>
    <w:rsid w:val="00D669F4"/>
    <w:rsid w:val="00D66A2D"/>
    <w:rsid w:val="00D66AAA"/>
    <w:rsid w:val="00D66BB4"/>
    <w:rsid w:val="00D66BD1"/>
    <w:rsid w:val="00D66C1D"/>
    <w:rsid w:val="00D66D47"/>
    <w:rsid w:val="00D66E3C"/>
    <w:rsid w:val="00D66E67"/>
    <w:rsid w:val="00D66E9A"/>
    <w:rsid w:val="00D66EDC"/>
    <w:rsid w:val="00D66F79"/>
    <w:rsid w:val="00D66F97"/>
    <w:rsid w:val="00D671AB"/>
    <w:rsid w:val="00D67250"/>
    <w:rsid w:val="00D67253"/>
    <w:rsid w:val="00D6731D"/>
    <w:rsid w:val="00D67400"/>
    <w:rsid w:val="00D674C6"/>
    <w:rsid w:val="00D67625"/>
    <w:rsid w:val="00D6775D"/>
    <w:rsid w:val="00D6784A"/>
    <w:rsid w:val="00D6785C"/>
    <w:rsid w:val="00D679A1"/>
    <w:rsid w:val="00D67AC8"/>
    <w:rsid w:val="00D67C1A"/>
    <w:rsid w:val="00D67DBE"/>
    <w:rsid w:val="00D67E75"/>
    <w:rsid w:val="00D67F81"/>
    <w:rsid w:val="00D70003"/>
    <w:rsid w:val="00D70014"/>
    <w:rsid w:val="00D70059"/>
    <w:rsid w:val="00D7011B"/>
    <w:rsid w:val="00D70218"/>
    <w:rsid w:val="00D70223"/>
    <w:rsid w:val="00D70290"/>
    <w:rsid w:val="00D70301"/>
    <w:rsid w:val="00D7039E"/>
    <w:rsid w:val="00D704BB"/>
    <w:rsid w:val="00D70592"/>
    <w:rsid w:val="00D7060B"/>
    <w:rsid w:val="00D70768"/>
    <w:rsid w:val="00D70835"/>
    <w:rsid w:val="00D7085E"/>
    <w:rsid w:val="00D708EF"/>
    <w:rsid w:val="00D70A96"/>
    <w:rsid w:val="00D70AA1"/>
    <w:rsid w:val="00D70AF1"/>
    <w:rsid w:val="00D70C2A"/>
    <w:rsid w:val="00D70CCC"/>
    <w:rsid w:val="00D70CDC"/>
    <w:rsid w:val="00D70D9A"/>
    <w:rsid w:val="00D70F7A"/>
    <w:rsid w:val="00D70FFE"/>
    <w:rsid w:val="00D710D0"/>
    <w:rsid w:val="00D7127F"/>
    <w:rsid w:val="00D71292"/>
    <w:rsid w:val="00D712CA"/>
    <w:rsid w:val="00D7137D"/>
    <w:rsid w:val="00D7138E"/>
    <w:rsid w:val="00D7147B"/>
    <w:rsid w:val="00D7153C"/>
    <w:rsid w:val="00D71574"/>
    <w:rsid w:val="00D71666"/>
    <w:rsid w:val="00D7169E"/>
    <w:rsid w:val="00D716B2"/>
    <w:rsid w:val="00D71954"/>
    <w:rsid w:val="00D71961"/>
    <w:rsid w:val="00D719C7"/>
    <w:rsid w:val="00D71B38"/>
    <w:rsid w:val="00D71B73"/>
    <w:rsid w:val="00D71BA3"/>
    <w:rsid w:val="00D71D1F"/>
    <w:rsid w:val="00D71E42"/>
    <w:rsid w:val="00D71F16"/>
    <w:rsid w:val="00D71FEB"/>
    <w:rsid w:val="00D72003"/>
    <w:rsid w:val="00D72008"/>
    <w:rsid w:val="00D7214B"/>
    <w:rsid w:val="00D72196"/>
    <w:rsid w:val="00D7220B"/>
    <w:rsid w:val="00D7228B"/>
    <w:rsid w:val="00D7239F"/>
    <w:rsid w:val="00D723E0"/>
    <w:rsid w:val="00D72407"/>
    <w:rsid w:val="00D72660"/>
    <w:rsid w:val="00D726C7"/>
    <w:rsid w:val="00D7278A"/>
    <w:rsid w:val="00D729B8"/>
    <w:rsid w:val="00D72AD0"/>
    <w:rsid w:val="00D72B59"/>
    <w:rsid w:val="00D72D16"/>
    <w:rsid w:val="00D72DEF"/>
    <w:rsid w:val="00D72E27"/>
    <w:rsid w:val="00D72E3C"/>
    <w:rsid w:val="00D72EFD"/>
    <w:rsid w:val="00D73018"/>
    <w:rsid w:val="00D73087"/>
    <w:rsid w:val="00D7322B"/>
    <w:rsid w:val="00D732E5"/>
    <w:rsid w:val="00D73376"/>
    <w:rsid w:val="00D73403"/>
    <w:rsid w:val="00D73419"/>
    <w:rsid w:val="00D734D0"/>
    <w:rsid w:val="00D73585"/>
    <w:rsid w:val="00D73588"/>
    <w:rsid w:val="00D73671"/>
    <w:rsid w:val="00D736DE"/>
    <w:rsid w:val="00D73936"/>
    <w:rsid w:val="00D73948"/>
    <w:rsid w:val="00D739AD"/>
    <w:rsid w:val="00D739CF"/>
    <w:rsid w:val="00D73A9D"/>
    <w:rsid w:val="00D73AA0"/>
    <w:rsid w:val="00D73AB4"/>
    <w:rsid w:val="00D73AF0"/>
    <w:rsid w:val="00D73B27"/>
    <w:rsid w:val="00D73C32"/>
    <w:rsid w:val="00D73CFD"/>
    <w:rsid w:val="00D73F3F"/>
    <w:rsid w:val="00D73FF1"/>
    <w:rsid w:val="00D7424B"/>
    <w:rsid w:val="00D742E5"/>
    <w:rsid w:val="00D743DB"/>
    <w:rsid w:val="00D7453D"/>
    <w:rsid w:val="00D7454D"/>
    <w:rsid w:val="00D74573"/>
    <w:rsid w:val="00D746A5"/>
    <w:rsid w:val="00D7472C"/>
    <w:rsid w:val="00D7476E"/>
    <w:rsid w:val="00D748EF"/>
    <w:rsid w:val="00D74923"/>
    <w:rsid w:val="00D749EA"/>
    <w:rsid w:val="00D749FB"/>
    <w:rsid w:val="00D74A21"/>
    <w:rsid w:val="00D74A40"/>
    <w:rsid w:val="00D74B6C"/>
    <w:rsid w:val="00D74B97"/>
    <w:rsid w:val="00D74BD1"/>
    <w:rsid w:val="00D74BFA"/>
    <w:rsid w:val="00D74C16"/>
    <w:rsid w:val="00D74C29"/>
    <w:rsid w:val="00D74D2A"/>
    <w:rsid w:val="00D74DD3"/>
    <w:rsid w:val="00D74EB1"/>
    <w:rsid w:val="00D74EC9"/>
    <w:rsid w:val="00D75110"/>
    <w:rsid w:val="00D7515E"/>
    <w:rsid w:val="00D7521A"/>
    <w:rsid w:val="00D75230"/>
    <w:rsid w:val="00D752C3"/>
    <w:rsid w:val="00D752EF"/>
    <w:rsid w:val="00D7539D"/>
    <w:rsid w:val="00D7553A"/>
    <w:rsid w:val="00D755EC"/>
    <w:rsid w:val="00D756A3"/>
    <w:rsid w:val="00D756C1"/>
    <w:rsid w:val="00D757B8"/>
    <w:rsid w:val="00D757FA"/>
    <w:rsid w:val="00D7584F"/>
    <w:rsid w:val="00D75884"/>
    <w:rsid w:val="00D758E8"/>
    <w:rsid w:val="00D75B0F"/>
    <w:rsid w:val="00D75BAA"/>
    <w:rsid w:val="00D75D75"/>
    <w:rsid w:val="00D75DA4"/>
    <w:rsid w:val="00D75ECA"/>
    <w:rsid w:val="00D75ED8"/>
    <w:rsid w:val="00D76015"/>
    <w:rsid w:val="00D7613A"/>
    <w:rsid w:val="00D76176"/>
    <w:rsid w:val="00D7645C"/>
    <w:rsid w:val="00D7646C"/>
    <w:rsid w:val="00D764D5"/>
    <w:rsid w:val="00D76602"/>
    <w:rsid w:val="00D76896"/>
    <w:rsid w:val="00D768BA"/>
    <w:rsid w:val="00D768C3"/>
    <w:rsid w:val="00D76939"/>
    <w:rsid w:val="00D76C33"/>
    <w:rsid w:val="00D76C4E"/>
    <w:rsid w:val="00D76C58"/>
    <w:rsid w:val="00D76C5B"/>
    <w:rsid w:val="00D76C98"/>
    <w:rsid w:val="00D76DA1"/>
    <w:rsid w:val="00D76FF8"/>
    <w:rsid w:val="00D77040"/>
    <w:rsid w:val="00D7708F"/>
    <w:rsid w:val="00D770DE"/>
    <w:rsid w:val="00D7712E"/>
    <w:rsid w:val="00D772A8"/>
    <w:rsid w:val="00D772E5"/>
    <w:rsid w:val="00D7732B"/>
    <w:rsid w:val="00D77371"/>
    <w:rsid w:val="00D77575"/>
    <w:rsid w:val="00D776B0"/>
    <w:rsid w:val="00D77816"/>
    <w:rsid w:val="00D77838"/>
    <w:rsid w:val="00D77B0B"/>
    <w:rsid w:val="00D77FC3"/>
    <w:rsid w:val="00D800BA"/>
    <w:rsid w:val="00D800FB"/>
    <w:rsid w:val="00D8029B"/>
    <w:rsid w:val="00D802BC"/>
    <w:rsid w:val="00D80330"/>
    <w:rsid w:val="00D8035D"/>
    <w:rsid w:val="00D80389"/>
    <w:rsid w:val="00D80393"/>
    <w:rsid w:val="00D804F2"/>
    <w:rsid w:val="00D80679"/>
    <w:rsid w:val="00D8070A"/>
    <w:rsid w:val="00D80749"/>
    <w:rsid w:val="00D80793"/>
    <w:rsid w:val="00D807A1"/>
    <w:rsid w:val="00D80989"/>
    <w:rsid w:val="00D80A77"/>
    <w:rsid w:val="00D80A9E"/>
    <w:rsid w:val="00D80AB5"/>
    <w:rsid w:val="00D80ABA"/>
    <w:rsid w:val="00D80AE2"/>
    <w:rsid w:val="00D80BC5"/>
    <w:rsid w:val="00D80BCD"/>
    <w:rsid w:val="00D80CC0"/>
    <w:rsid w:val="00D80D2A"/>
    <w:rsid w:val="00D80E65"/>
    <w:rsid w:val="00D80FB3"/>
    <w:rsid w:val="00D810B3"/>
    <w:rsid w:val="00D811BF"/>
    <w:rsid w:val="00D81258"/>
    <w:rsid w:val="00D8125F"/>
    <w:rsid w:val="00D812B5"/>
    <w:rsid w:val="00D812FC"/>
    <w:rsid w:val="00D8130F"/>
    <w:rsid w:val="00D814A4"/>
    <w:rsid w:val="00D814CE"/>
    <w:rsid w:val="00D8160E"/>
    <w:rsid w:val="00D8161F"/>
    <w:rsid w:val="00D81623"/>
    <w:rsid w:val="00D81676"/>
    <w:rsid w:val="00D8167F"/>
    <w:rsid w:val="00D817C5"/>
    <w:rsid w:val="00D817D3"/>
    <w:rsid w:val="00D818D7"/>
    <w:rsid w:val="00D81B0A"/>
    <w:rsid w:val="00D81B35"/>
    <w:rsid w:val="00D81B3F"/>
    <w:rsid w:val="00D81B4B"/>
    <w:rsid w:val="00D81B7E"/>
    <w:rsid w:val="00D81CDE"/>
    <w:rsid w:val="00D81D0B"/>
    <w:rsid w:val="00D81DBE"/>
    <w:rsid w:val="00D81DEF"/>
    <w:rsid w:val="00D8224B"/>
    <w:rsid w:val="00D8226D"/>
    <w:rsid w:val="00D822A1"/>
    <w:rsid w:val="00D822C7"/>
    <w:rsid w:val="00D823B1"/>
    <w:rsid w:val="00D823E7"/>
    <w:rsid w:val="00D82416"/>
    <w:rsid w:val="00D82584"/>
    <w:rsid w:val="00D827BF"/>
    <w:rsid w:val="00D828A9"/>
    <w:rsid w:val="00D828C6"/>
    <w:rsid w:val="00D828CA"/>
    <w:rsid w:val="00D829FF"/>
    <w:rsid w:val="00D82A1A"/>
    <w:rsid w:val="00D82A57"/>
    <w:rsid w:val="00D82AA8"/>
    <w:rsid w:val="00D82AB3"/>
    <w:rsid w:val="00D82ABB"/>
    <w:rsid w:val="00D82B10"/>
    <w:rsid w:val="00D82BFD"/>
    <w:rsid w:val="00D82CEE"/>
    <w:rsid w:val="00D82D13"/>
    <w:rsid w:val="00D82EA7"/>
    <w:rsid w:val="00D82FB2"/>
    <w:rsid w:val="00D8307E"/>
    <w:rsid w:val="00D83081"/>
    <w:rsid w:val="00D830FC"/>
    <w:rsid w:val="00D8326B"/>
    <w:rsid w:val="00D8327B"/>
    <w:rsid w:val="00D832EF"/>
    <w:rsid w:val="00D8337E"/>
    <w:rsid w:val="00D8350E"/>
    <w:rsid w:val="00D835E1"/>
    <w:rsid w:val="00D8365A"/>
    <w:rsid w:val="00D8367E"/>
    <w:rsid w:val="00D83727"/>
    <w:rsid w:val="00D838CD"/>
    <w:rsid w:val="00D838E5"/>
    <w:rsid w:val="00D83A51"/>
    <w:rsid w:val="00D83AF2"/>
    <w:rsid w:val="00D83BC5"/>
    <w:rsid w:val="00D83C0C"/>
    <w:rsid w:val="00D83D3D"/>
    <w:rsid w:val="00D83D5C"/>
    <w:rsid w:val="00D83DF8"/>
    <w:rsid w:val="00D83FA1"/>
    <w:rsid w:val="00D84009"/>
    <w:rsid w:val="00D84074"/>
    <w:rsid w:val="00D84101"/>
    <w:rsid w:val="00D8413C"/>
    <w:rsid w:val="00D84217"/>
    <w:rsid w:val="00D843EB"/>
    <w:rsid w:val="00D844DD"/>
    <w:rsid w:val="00D845A0"/>
    <w:rsid w:val="00D846AD"/>
    <w:rsid w:val="00D847EE"/>
    <w:rsid w:val="00D84885"/>
    <w:rsid w:val="00D848D4"/>
    <w:rsid w:val="00D84AA8"/>
    <w:rsid w:val="00D84B7F"/>
    <w:rsid w:val="00D84C1C"/>
    <w:rsid w:val="00D84C3E"/>
    <w:rsid w:val="00D84D35"/>
    <w:rsid w:val="00D84D6C"/>
    <w:rsid w:val="00D84E98"/>
    <w:rsid w:val="00D84F4F"/>
    <w:rsid w:val="00D84F69"/>
    <w:rsid w:val="00D85117"/>
    <w:rsid w:val="00D8515D"/>
    <w:rsid w:val="00D85215"/>
    <w:rsid w:val="00D85233"/>
    <w:rsid w:val="00D855EA"/>
    <w:rsid w:val="00D8560C"/>
    <w:rsid w:val="00D85694"/>
    <w:rsid w:val="00D8577F"/>
    <w:rsid w:val="00D857B2"/>
    <w:rsid w:val="00D857B8"/>
    <w:rsid w:val="00D8582F"/>
    <w:rsid w:val="00D85953"/>
    <w:rsid w:val="00D859D0"/>
    <w:rsid w:val="00D85A4E"/>
    <w:rsid w:val="00D85AB2"/>
    <w:rsid w:val="00D85AE1"/>
    <w:rsid w:val="00D85B0D"/>
    <w:rsid w:val="00D85B6F"/>
    <w:rsid w:val="00D85BC7"/>
    <w:rsid w:val="00D85CA1"/>
    <w:rsid w:val="00D85CE5"/>
    <w:rsid w:val="00D85D92"/>
    <w:rsid w:val="00D85E4C"/>
    <w:rsid w:val="00D85EBA"/>
    <w:rsid w:val="00D85EF8"/>
    <w:rsid w:val="00D85F4C"/>
    <w:rsid w:val="00D85FAB"/>
    <w:rsid w:val="00D86093"/>
    <w:rsid w:val="00D861FA"/>
    <w:rsid w:val="00D86201"/>
    <w:rsid w:val="00D86211"/>
    <w:rsid w:val="00D86232"/>
    <w:rsid w:val="00D862A5"/>
    <w:rsid w:val="00D862E6"/>
    <w:rsid w:val="00D8630E"/>
    <w:rsid w:val="00D863BA"/>
    <w:rsid w:val="00D863BB"/>
    <w:rsid w:val="00D863E1"/>
    <w:rsid w:val="00D864E6"/>
    <w:rsid w:val="00D86525"/>
    <w:rsid w:val="00D865A8"/>
    <w:rsid w:val="00D866B4"/>
    <w:rsid w:val="00D86872"/>
    <w:rsid w:val="00D868B2"/>
    <w:rsid w:val="00D868F9"/>
    <w:rsid w:val="00D86AA6"/>
    <w:rsid w:val="00D86C63"/>
    <w:rsid w:val="00D86D19"/>
    <w:rsid w:val="00D86DB2"/>
    <w:rsid w:val="00D86DB8"/>
    <w:rsid w:val="00D86F17"/>
    <w:rsid w:val="00D86FEC"/>
    <w:rsid w:val="00D8702F"/>
    <w:rsid w:val="00D87119"/>
    <w:rsid w:val="00D8723E"/>
    <w:rsid w:val="00D8732E"/>
    <w:rsid w:val="00D8736A"/>
    <w:rsid w:val="00D873E4"/>
    <w:rsid w:val="00D87445"/>
    <w:rsid w:val="00D87514"/>
    <w:rsid w:val="00D87555"/>
    <w:rsid w:val="00D8755E"/>
    <w:rsid w:val="00D87580"/>
    <w:rsid w:val="00D875C4"/>
    <w:rsid w:val="00D875FD"/>
    <w:rsid w:val="00D87695"/>
    <w:rsid w:val="00D87812"/>
    <w:rsid w:val="00D8788F"/>
    <w:rsid w:val="00D878CA"/>
    <w:rsid w:val="00D878EC"/>
    <w:rsid w:val="00D87A27"/>
    <w:rsid w:val="00D87A31"/>
    <w:rsid w:val="00D87A51"/>
    <w:rsid w:val="00D87A67"/>
    <w:rsid w:val="00D87AA9"/>
    <w:rsid w:val="00D87B0F"/>
    <w:rsid w:val="00D87B39"/>
    <w:rsid w:val="00D87B9B"/>
    <w:rsid w:val="00D87BA9"/>
    <w:rsid w:val="00D87C11"/>
    <w:rsid w:val="00D87C4B"/>
    <w:rsid w:val="00D87CDE"/>
    <w:rsid w:val="00D87D44"/>
    <w:rsid w:val="00D87DDE"/>
    <w:rsid w:val="00D87E8E"/>
    <w:rsid w:val="00D87FA5"/>
    <w:rsid w:val="00D90219"/>
    <w:rsid w:val="00D90273"/>
    <w:rsid w:val="00D902B1"/>
    <w:rsid w:val="00D9035F"/>
    <w:rsid w:val="00D9037C"/>
    <w:rsid w:val="00D903E8"/>
    <w:rsid w:val="00D9046D"/>
    <w:rsid w:val="00D904CB"/>
    <w:rsid w:val="00D906DD"/>
    <w:rsid w:val="00D90877"/>
    <w:rsid w:val="00D9087D"/>
    <w:rsid w:val="00D908F7"/>
    <w:rsid w:val="00D90B22"/>
    <w:rsid w:val="00D90BC5"/>
    <w:rsid w:val="00D90BD0"/>
    <w:rsid w:val="00D90D38"/>
    <w:rsid w:val="00D90F29"/>
    <w:rsid w:val="00D90FFD"/>
    <w:rsid w:val="00D91071"/>
    <w:rsid w:val="00D9107A"/>
    <w:rsid w:val="00D91121"/>
    <w:rsid w:val="00D91136"/>
    <w:rsid w:val="00D9116F"/>
    <w:rsid w:val="00D911A2"/>
    <w:rsid w:val="00D912C0"/>
    <w:rsid w:val="00D912C8"/>
    <w:rsid w:val="00D912E7"/>
    <w:rsid w:val="00D912ED"/>
    <w:rsid w:val="00D912FD"/>
    <w:rsid w:val="00D91485"/>
    <w:rsid w:val="00D914B8"/>
    <w:rsid w:val="00D916AD"/>
    <w:rsid w:val="00D916C5"/>
    <w:rsid w:val="00D917C4"/>
    <w:rsid w:val="00D91817"/>
    <w:rsid w:val="00D9183B"/>
    <w:rsid w:val="00D9183E"/>
    <w:rsid w:val="00D91978"/>
    <w:rsid w:val="00D919EE"/>
    <w:rsid w:val="00D91A1C"/>
    <w:rsid w:val="00D91A50"/>
    <w:rsid w:val="00D91B02"/>
    <w:rsid w:val="00D91B1C"/>
    <w:rsid w:val="00D91B2D"/>
    <w:rsid w:val="00D91B32"/>
    <w:rsid w:val="00D91D12"/>
    <w:rsid w:val="00D91D19"/>
    <w:rsid w:val="00D91DFD"/>
    <w:rsid w:val="00D92024"/>
    <w:rsid w:val="00D92038"/>
    <w:rsid w:val="00D92057"/>
    <w:rsid w:val="00D920E8"/>
    <w:rsid w:val="00D9211F"/>
    <w:rsid w:val="00D9217F"/>
    <w:rsid w:val="00D9219F"/>
    <w:rsid w:val="00D92245"/>
    <w:rsid w:val="00D92587"/>
    <w:rsid w:val="00D925E4"/>
    <w:rsid w:val="00D926FC"/>
    <w:rsid w:val="00D92789"/>
    <w:rsid w:val="00D92976"/>
    <w:rsid w:val="00D92B3D"/>
    <w:rsid w:val="00D92B60"/>
    <w:rsid w:val="00D92C40"/>
    <w:rsid w:val="00D92CC5"/>
    <w:rsid w:val="00D92CD2"/>
    <w:rsid w:val="00D92D17"/>
    <w:rsid w:val="00D92D6E"/>
    <w:rsid w:val="00D92DBA"/>
    <w:rsid w:val="00D92DF4"/>
    <w:rsid w:val="00D92EEC"/>
    <w:rsid w:val="00D92FEE"/>
    <w:rsid w:val="00D92FFA"/>
    <w:rsid w:val="00D93035"/>
    <w:rsid w:val="00D930C8"/>
    <w:rsid w:val="00D93242"/>
    <w:rsid w:val="00D932F6"/>
    <w:rsid w:val="00D93304"/>
    <w:rsid w:val="00D933B9"/>
    <w:rsid w:val="00D933C6"/>
    <w:rsid w:val="00D93467"/>
    <w:rsid w:val="00D93472"/>
    <w:rsid w:val="00D936B9"/>
    <w:rsid w:val="00D937BB"/>
    <w:rsid w:val="00D937EE"/>
    <w:rsid w:val="00D938E6"/>
    <w:rsid w:val="00D9391F"/>
    <w:rsid w:val="00D93947"/>
    <w:rsid w:val="00D93A4B"/>
    <w:rsid w:val="00D93A5D"/>
    <w:rsid w:val="00D93B22"/>
    <w:rsid w:val="00D93BD4"/>
    <w:rsid w:val="00D93CAC"/>
    <w:rsid w:val="00D93F28"/>
    <w:rsid w:val="00D93F3A"/>
    <w:rsid w:val="00D93FC6"/>
    <w:rsid w:val="00D93FE5"/>
    <w:rsid w:val="00D9407C"/>
    <w:rsid w:val="00D940C5"/>
    <w:rsid w:val="00D94132"/>
    <w:rsid w:val="00D94168"/>
    <w:rsid w:val="00D942B0"/>
    <w:rsid w:val="00D943A8"/>
    <w:rsid w:val="00D944D1"/>
    <w:rsid w:val="00D94525"/>
    <w:rsid w:val="00D9458D"/>
    <w:rsid w:val="00D945A9"/>
    <w:rsid w:val="00D945CF"/>
    <w:rsid w:val="00D9472B"/>
    <w:rsid w:val="00D94784"/>
    <w:rsid w:val="00D94797"/>
    <w:rsid w:val="00D94880"/>
    <w:rsid w:val="00D94890"/>
    <w:rsid w:val="00D948FF"/>
    <w:rsid w:val="00D94914"/>
    <w:rsid w:val="00D94AD2"/>
    <w:rsid w:val="00D94B99"/>
    <w:rsid w:val="00D94BC2"/>
    <w:rsid w:val="00D94BD9"/>
    <w:rsid w:val="00D94CED"/>
    <w:rsid w:val="00D94E01"/>
    <w:rsid w:val="00D94E6F"/>
    <w:rsid w:val="00D94F1E"/>
    <w:rsid w:val="00D94FBF"/>
    <w:rsid w:val="00D94FF6"/>
    <w:rsid w:val="00D9503B"/>
    <w:rsid w:val="00D95060"/>
    <w:rsid w:val="00D95192"/>
    <w:rsid w:val="00D95202"/>
    <w:rsid w:val="00D952C5"/>
    <w:rsid w:val="00D953E7"/>
    <w:rsid w:val="00D955FC"/>
    <w:rsid w:val="00D956AF"/>
    <w:rsid w:val="00D95792"/>
    <w:rsid w:val="00D95835"/>
    <w:rsid w:val="00D95AF7"/>
    <w:rsid w:val="00D95BA4"/>
    <w:rsid w:val="00D95E7E"/>
    <w:rsid w:val="00D95E81"/>
    <w:rsid w:val="00D95FC5"/>
    <w:rsid w:val="00D9610B"/>
    <w:rsid w:val="00D961D5"/>
    <w:rsid w:val="00D961E4"/>
    <w:rsid w:val="00D961F5"/>
    <w:rsid w:val="00D9637E"/>
    <w:rsid w:val="00D96437"/>
    <w:rsid w:val="00D96441"/>
    <w:rsid w:val="00D9645F"/>
    <w:rsid w:val="00D9651C"/>
    <w:rsid w:val="00D965A7"/>
    <w:rsid w:val="00D965BD"/>
    <w:rsid w:val="00D965F6"/>
    <w:rsid w:val="00D9664B"/>
    <w:rsid w:val="00D96734"/>
    <w:rsid w:val="00D967DF"/>
    <w:rsid w:val="00D967E1"/>
    <w:rsid w:val="00D9688B"/>
    <w:rsid w:val="00D9689B"/>
    <w:rsid w:val="00D9693B"/>
    <w:rsid w:val="00D96A4E"/>
    <w:rsid w:val="00D96AD0"/>
    <w:rsid w:val="00D96B04"/>
    <w:rsid w:val="00D96C9C"/>
    <w:rsid w:val="00D96CBF"/>
    <w:rsid w:val="00D96DD5"/>
    <w:rsid w:val="00D96EC8"/>
    <w:rsid w:val="00D96EDD"/>
    <w:rsid w:val="00D96F1E"/>
    <w:rsid w:val="00D96F3A"/>
    <w:rsid w:val="00D96F5F"/>
    <w:rsid w:val="00D96F88"/>
    <w:rsid w:val="00D96F90"/>
    <w:rsid w:val="00D97116"/>
    <w:rsid w:val="00D971B1"/>
    <w:rsid w:val="00D971DF"/>
    <w:rsid w:val="00D971EC"/>
    <w:rsid w:val="00D97600"/>
    <w:rsid w:val="00D976BA"/>
    <w:rsid w:val="00D976D8"/>
    <w:rsid w:val="00D97B2B"/>
    <w:rsid w:val="00D97BB7"/>
    <w:rsid w:val="00D97BD9"/>
    <w:rsid w:val="00D97BDF"/>
    <w:rsid w:val="00D97C72"/>
    <w:rsid w:val="00D97CB4"/>
    <w:rsid w:val="00D97CE9"/>
    <w:rsid w:val="00D97DB3"/>
    <w:rsid w:val="00D97DF2"/>
    <w:rsid w:val="00D97EBA"/>
    <w:rsid w:val="00D97EC9"/>
    <w:rsid w:val="00D97FEE"/>
    <w:rsid w:val="00D97FFB"/>
    <w:rsid w:val="00DA007E"/>
    <w:rsid w:val="00DA010B"/>
    <w:rsid w:val="00DA043F"/>
    <w:rsid w:val="00DA046E"/>
    <w:rsid w:val="00DA0521"/>
    <w:rsid w:val="00DA0569"/>
    <w:rsid w:val="00DA0576"/>
    <w:rsid w:val="00DA06CE"/>
    <w:rsid w:val="00DA084B"/>
    <w:rsid w:val="00DA0891"/>
    <w:rsid w:val="00DA0901"/>
    <w:rsid w:val="00DA0AF9"/>
    <w:rsid w:val="00DA0BD4"/>
    <w:rsid w:val="00DA0D4D"/>
    <w:rsid w:val="00DA0D5A"/>
    <w:rsid w:val="00DA0DCD"/>
    <w:rsid w:val="00DA0DD2"/>
    <w:rsid w:val="00DA0E22"/>
    <w:rsid w:val="00DA0F04"/>
    <w:rsid w:val="00DA0F12"/>
    <w:rsid w:val="00DA0F77"/>
    <w:rsid w:val="00DA0FA5"/>
    <w:rsid w:val="00DA1041"/>
    <w:rsid w:val="00DA1115"/>
    <w:rsid w:val="00DA11BB"/>
    <w:rsid w:val="00DA11E9"/>
    <w:rsid w:val="00DA1289"/>
    <w:rsid w:val="00DA128A"/>
    <w:rsid w:val="00DA12A7"/>
    <w:rsid w:val="00DA1367"/>
    <w:rsid w:val="00DA13EB"/>
    <w:rsid w:val="00DA1412"/>
    <w:rsid w:val="00DA143B"/>
    <w:rsid w:val="00DA1463"/>
    <w:rsid w:val="00DA147A"/>
    <w:rsid w:val="00DA1539"/>
    <w:rsid w:val="00DA1726"/>
    <w:rsid w:val="00DA187D"/>
    <w:rsid w:val="00DA1AF8"/>
    <w:rsid w:val="00DA1CF6"/>
    <w:rsid w:val="00DA1DB9"/>
    <w:rsid w:val="00DA1E44"/>
    <w:rsid w:val="00DA1EC3"/>
    <w:rsid w:val="00DA1F0B"/>
    <w:rsid w:val="00DA1F37"/>
    <w:rsid w:val="00DA1F4C"/>
    <w:rsid w:val="00DA20CE"/>
    <w:rsid w:val="00DA20D6"/>
    <w:rsid w:val="00DA218E"/>
    <w:rsid w:val="00DA21B8"/>
    <w:rsid w:val="00DA224E"/>
    <w:rsid w:val="00DA22A4"/>
    <w:rsid w:val="00DA2347"/>
    <w:rsid w:val="00DA23EC"/>
    <w:rsid w:val="00DA24C5"/>
    <w:rsid w:val="00DA24C9"/>
    <w:rsid w:val="00DA2577"/>
    <w:rsid w:val="00DA2750"/>
    <w:rsid w:val="00DA27D2"/>
    <w:rsid w:val="00DA27D3"/>
    <w:rsid w:val="00DA282E"/>
    <w:rsid w:val="00DA2997"/>
    <w:rsid w:val="00DA2A05"/>
    <w:rsid w:val="00DA2AB6"/>
    <w:rsid w:val="00DA2B64"/>
    <w:rsid w:val="00DA2BA1"/>
    <w:rsid w:val="00DA2C16"/>
    <w:rsid w:val="00DA2CFA"/>
    <w:rsid w:val="00DA2CFB"/>
    <w:rsid w:val="00DA2DD1"/>
    <w:rsid w:val="00DA2E14"/>
    <w:rsid w:val="00DA2F8F"/>
    <w:rsid w:val="00DA2FD6"/>
    <w:rsid w:val="00DA300A"/>
    <w:rsid w:val="00DA309A"/>
    <w:rsid w:val="00DA31E9"/>
    <w:rsid w:val="00DA323C"/>
    <w:rsid w:val="00DA3396"/>
    <w:rsid w:val="00DA33CF"/>
    <w:rsid w:val="00DA3498"/>
    <w:rsid w:val="00DA3517"/>
    <w:rsid w:val="00DA35B0"/>
    <w:rsid w:val="00DA35D4"/>
    <w:rsid w:val="00DA35E6"/>
    <w:rsid w:val="00DA3679"/>
    <w:rsid w:val="00DA36E4"/>
    <w:rsid w:val="00DA36E6"/>
    <w:rsid w:val="00DA3769"/>
    <w:rsid w:val="00DA386D"/>
    <w:rsid w:val="00DA3929"/>
    <w:rsid w:val="00DA3A3B"/>
    <w:rsid w:val="00DA3B48"/>
    <w:rsid w:val="00DA3C82"/>
    <w:rsid w:val="00DA3CC7"/>
    <w:rsid w:val="00DA3D7C"/>
    <w:rsid w:val="00DA3DB3"/>
    <w:rsid w:val="00DA3E83"/>
    <w:rsid w:val="00DA3EA3"/>
    <w:rsid w:val="00DA4008"/>
    <w:rsid w:val="00DA4025"/>
    <w:rsid w:val="00DA4071"/>
    <w:rsid w:val="00DA40CD"/>
    <w:rsid w:val="00DA4163"/>
    <w:rsid w:val="00DA4190"/>
    <w:rsid w:val="00DA4215"/>
    <w:rsid w:val="00DA423C"/>
    <w:rsid w:val="00DA4245"/>
    <w:rsid w:val="00DA4264"/>
    <w:rsid w:val="00DA42C0"/>
    <w:rsid w:val="00DA43B2"/>
    <w:rsid w:val="00DA440C"/>
    <w:rsid w:val="00DA44AD"/>
    <w:rsid w:val="00DA461A"/>
    <w:rsid w:val="00DA4674"/>
    <w:rsid w:val="00DA46C2"/>
    <w:rsid w:val="00DA46D2"/>
    <w:rsid w:val="00DA46FF"/>
    <w:rsid w:val="00DA480F"/>
    <w:rsid w:val="00DA4871"/>
    <w:rsid w:val="00DA4911"/>
    <w:rsid w:val="00DA4949"/>
    <w:rsid w:val="00DA4952"/>
    <w:rsid w:val="00DA4979"/>
    <w:rsid w:val="00DA4AED"/>
    <w:rsid w:val="00DA4B4C"/>
    <w:rsid w:val="00DA4C6A"/>
    <w:rsid w:val="00DA4DB0"/>
    <w:rsid w:val="00DA4DB6"/>
    <w:rsid w:val="00DA4E0B"/>
    <w:rsid w:val="00DA4F28"/>
    <w:rsid w:val="00DA4FFF"/>
    <w:rsid w:val="00DA5051"/>
    <w:rsid w:val="00DA518C"/>
    <w:rsid w:val="00DA525D"/>
    <w:rsid w:val="00DA534C"/>
    <w:rsid w:val="00DA5630"/>
    <w:rsid w:val="00DA566E"/>
    <w:rsid w:val="00DA5747"/>
    <w:rsid w:val="00DA5758"/>
    <w:rsid w:val="00DA578F"/>
    <w:rsid w:val="00DA5845"/>
    <w:rsid w:val="00DA5867"/>
    <w:rsid w:val="00DA58A1"/>
    <w:rsid w:val="00DA59D4"/>
    <w:rsid w:val="00DA5A2C"/>
    <w:rsid w:val="00DA5AA2"/>
    <w:rsid w:val="00DA5B5C"/>
    <w:rsid w:val="00DA5BA4"/>
    <w:rsid w:val="00DA5DA9"/>
    <w:rsid w:val="00DA5DEE"/>
    <w:rsid w:val="00DA5EEA"/>
    <w:rsid w:val="00DA5F55"/>
    <w:rsid w:val="00DA5FC5"/>
    <w:rsid w:val="00DA6054"/>
    <w:rsid w:val="00DA605B"/>
    <w:rsid w:val="00DA609C"/>
    <w:rsid w:val="00DA610F"/>
    <w:rsid w:val="00DA629F"/>
    <w:rsid w:val="00DA62F1"/>
    <w:rsid w:val="00DA6449"/>
    <w:rsid w:val="00DA645E"/>
    <w:rsid w:val="00DA650B"/>
    <w:rsid w:val="00DA65B6"/>
    <w:rsid w:val="00DA65BF"/>
    <w:rsid w:val="00DA66E9"/>
    <w:rsid w:val="00DA66ED"/>
    <w:rsid w:val="00DA67CB"/>
    <w:rsid w:val="00DA67E2"/>
    <w:rsid w:val="00DA68EB"/>
    <w:rsid w:val="00DA6966"/>
    <w:rsid w:val="00DA69AA"/>
    <w:rsid w:val="00DA69D8"/>
    <w:rsid w:val="00DA6A02"/>
    <w:rsid w:val="00DA6A3A"/>
    <w:rsid w:val="00DA6A94"/>
    <w:rsid w:val="00DA6AB0"/>
    <w:rsid w:val="00DA6AE3"/>
    <w:rsid w:val="00DA6B24"/>
    <w:rsid w:val="00DA6EA3"/>
    <w:rsid w:val="00DA6FF6"/>
    <w:rsid w:val="00DA71AF"/>
    <w:rsid w:val="00DA72AA"/>
    <w:rsid w:val="00DA72B4"/>
    <w:rsid w:val="00DA735C"/>
    <w:rsid w:val="00DA744A"/>
    <w:rsid w:val="00DA74A2"/>
    <w:rsid w:val="00DA7539"/>
    <w:rsid w:val="00DA7560"/>
    <w:rsid w:val="00DA75CA"/>
    <w:rsid w:val="00DA7691"/>
    <w:rsid w:val="00DA76C4"/>
    <w:rsid w:val="00DA7723"/>
    <w:rsid w:val="00DA7ABA"/>
    <w:rsid w:val="00DA7AE2"/>
    <w:rsid w:val="00DA7B1D"/>
    <w:rsid w:val="00DA7B5F"/>
    <w:rsid w:val="00DA7BA2"/>
    <w:rsid w:val="00DA7BD7"/>
    <w:rsid w:val="00DA7C0C"/>
    <w:rsid w:val="00DA7C90"/>
    <w:rsid w:val="00DA7E2F"/>
    <w:rsid w:val="00DA7FFA"/>
    <w:rsid w:val="00DB0123"/>
    <w:rsid w:val="00DB0159"/>
    <w:rsid w:val="00DB018A"/>
    <w:rsid w:val="00DB01E0"/>
    <w:rsid w:val="00DB02F2"/>
    <w:rsid w:val="00DB02FC"/>
    <w:rsid w:val="00DB0492"/>
    <w:rsid w:val="00DB04E3"/>
    <w:rsid w:val="00DB058A"/>
    <w:rsid w:val="00DB07DF"/>
    <w:rsid w:val="00DB0880"/>
    <w:rsid w:val="00DB08DB"/>
    <w:rsid w:val="00DB0904"/>
    <w:rsid w:val="00DB0A0D"/>
    <w:rsid w:val="00DB0A1A"/>
    <w:rsid w:val="00DB0B37"/>
    <w:rsid w:val="00DB0C24"/>
    <w:rsid w:val="00DB0D4E"/>
    <w:rsid w:val="00DB0F32"/>
    <w:rsid w:val="00DB0F9D"/>
    <w:rsid w:val="00DB0FA3"/>
    <w:rsid w:val="00DB105F"/>
    <w:rsid w:val="00DB1091"/>
    <w:rsid w:val="00DB118F"/>
    <w:rsid w:val="00DB1200"/>
    <w:rsid w:val="00DB121A"/>
    <w:rsid w:val="00DB12DF"/>
    <w:rsid w:val="00DB12E2"/>
    <w:rsid w:val="00DB141F"/>
    <w:rsid w:val="00DB156C"/>
    <w:rsid w:val="00DB17BD"/>
    <w:rsid w:val="00DB1822"/>
    <w:rsid w:val="00DB182C"/>
    <w:rsid w:val="00DB1890"/>
    <w:rsid w:val="00DB191C"/>
    <w:rsid w:val="00DB19DB"/>
    <w:rsid w:val="00DB1A48"/>
    <w:rsid w:val="00DB1A91"/>
    <w:rsid w:val="00DB1AE6"/>
    <w:rsid w:val="00DB1AFF"/>
    <w:rsid w:val="00DB1B3A"/>
    <w:rsid w:val="00DB1C5C"/>
    <w:rsid w:val="00DB1CA2"/>
    <w:rsid w:val="00DB1D08"/>
    <w:rsid w:val="00DB1D74"/>
    <w:rsid w:val="00DB1E7D"/>
    <w:rsid w:val="00DB1EE9"/>
    <w:rsid w:val="00DB1F07"/>
    <w:rsid w:val="00DB1F26"/>
    <w:rsid w:val="00DB2040"/>
    <w:rsid w:val="00DB20C6"/>
    <w:rsid w:val="00DB2110"/>
    <w:rsid w:val="00DB22EC"/>
    <w:rsid w:val="00DB23B6"/>
    <w:rsid w:val="00DB23E1"/>
    <w:rsid w:val="00DB242C"/>
    <w:rsid w:val="00DB24C6"/>
    <w:rsid w:val="00DB24D6"/>
    <w:rsid w:val="00DB259D"/>
    <w:rsid w:val="00DB268A"/>
    <w:rsid w:val="00DB2691"/>
    <w:rsid w:val="00DB26EC"/>
    <w:rsid w:val="00DB2714"/>
    <w:rsid w:val="00DB2776"/>
    <w:rsid w:val="00DB27A8"/>
    <w:rsid w:val="00DB27AE"/>
    <w:rsid w:val="00DB285D"/>
    <w:rsid w:val="00DB29D4"/>
    <w:rsid w:val="00DB2A05"/>
    <w:rsid w:val="00DB2B1E"/>
    <w:rsid w:val="00DB2BD4"/>
    <w:rsid w:val="00DB2BE7"/>
    <w:rsid w:val="00DB2D51"/>
    <w:rsid w:val="00DB2D9C"/>
    <w:rsid w:val="00DB2DB6"/>
    <w:rsid w:val="00DB300C"/>
    <w:rsid w:val="00DB308B"/>
    <w:rsid w:val="00DB3227"/>
    <w:rsid w:val="00DB322A"/>
    <w:rsid w:val="00DB3238"/>
    <w:rsid w:val="00DB3258"/>
    <w:rsid w:val="00DB3262"/>
    <w:rsid w:val="00DB3277"/>
    <w:rsid w:val="00DB32F5"/>
    <w:rsid w:val="00DB335E"/>
    <w:rsid w:val="00DB338C"/>
    <w:rsid w:val="00DB347B"/>
    <w:rsid w:val="00DB35C8"/>
    <w:rsid w:val="00DB379A"/>
    <w:rsid w:val="00DB381B"/>
    <w:rsid w:val="00DB382C"/>
    <w:rsid w:val="00DB39E1"/>
    <w:rsid w:val="00DB3A32"/>
    <w:rsid w:val="00DB3A9E"/>
    <w:rsid w:val="00DB3AC9"/>
    <w:rsid w:val="00DB3BA5"/>
    <w:rsid w:val="00DB3BC2"/>
    <w:rsid w:val="00DB3D2F"/>
    <w:rsid w:val="00DB3EB5"/>
    <w:rsid w:val="00DB3EC7"/>
    <w:rsid w:val="00DB3F44"/>
    <w:rsid w:val="00DB3F45"/>
    <w:rsid w:val="00DB3F73"/>
    <w:rsid w:val="00DB3FD1"/>
    <w:rsid w:val="00DB403C"/>
    <w:rsid w:val="00DB428A"/>
    <w:rsid w:val="00DB42A7"/>
    <w:rsid w:val="00DB42A8"/>
    <w:rsid w:val="00DB42F2"/>
    <w:rsid w:val="00DB4379"/>
    <w:rsid w:val="00DB43BC"/>
    <w:rsid w:val="00DB44F6"/>
    <w:rsid w:val="00DB4505"/>
    <w:rsid w:val="00DB45A9"/>
    <w:rsid w:val="00DB45C9"/>
    <w:rsid w:val="00DB463A"/>
    <w:rsid w:val="00DB4697"/>
    <w:rsid w:val="00DB4701"/>
    <w:rsid w:val="00DB477A"/>
    <w:rsid w:val="00DB47B6"/>
    <w:rsid w:val="00DB47F1"/>
    <w:rsid w:val="00DB480C"/>
    <w:rsid w:val="00DB4870"/>
    <w:rsid w:val="00DB48F6"/>
    <w:rsid w:val="00DB4A29"/>
    <w:rsid w:val="00DB4B9D"/>
    <w:rsid w:val="00DB4BAD"/>
    <w:rsid w:val="00DB4BFB"/>
    <w:rsid w:val="00DB4C4A"/>
    <w:rsid w:val="00DB4C6F"/>
    <w:rsid w:val="00DB4C74"/>
    <w:rsid w:val="00DB4C93"/>
    <w:rsid w:val="00DB4CB2"/>
    <w:rsid w:val="00DB4CE9"/>
    <w:rsid w:val="00DB4D02"/>
    <w:rsid w:val="00DB4DDE"/>
    <w:rsid w:val="00DB4E3B"/>
    <w:rsid w:val="00DB522B"/>
    <w:rsid w:val="00DB52B1"/>
    <w:rsid w:val="00DB5315"/>
    <w:rsid w:val="00DB5395"/>
    <w:rsid w:val="00DB53CA"/>
    <w:rsid w:val="00DB556F"/>
    <w:rsid w:val="00DB55AD"/>
    <w:rsid w:val="00DB55B5"/>
    <w:rsid w:val="00DB564F"/>
    <w:rsid w:val="00DB5703"/>
    <w:rsid w:val="00DB5749"/>
    <w:rsid w:val="00DB5750"/>
    <w:rsid w:val="00DB5766"/>
    <w:rsid w:val="00DB576B"/>
    <w:rsid w:val="00DB582A"/>
    <w:rsid w:val="00DB588F"/>
    <w:rsid w:val="00DB58CD"/>
    <w:rsid w:val="00DB5964"/>
    <w:rsid w:val="00DB597D"/>
    <w:rsid w:val="00DB5A16"/>
    <w:rsid w:val="00DB5BE2"/>
    <w:rsid w:val="00DB5CA6"/>
    <w:rsid w:val="00DB5CF1"/>
    <w:rsid w:val="00DB5D7A"/>
    <w:rsid w:val="00DB5D92"/>
    <w:rsid w:val="00DB5E5E"/>
    <w:rsid w:val="00DB5EBC"/>
    <w:rsid w:val="00DB5F30"/>
    <w:rsid w:val="00DB60D9"/>
    <w:rsid w:val="00DB60FB"/>
    <w:rsid w:val="00DB6122"/>
    <w:rsid w:val="00DB61A6"/>
    <w:rsid w:val="00DB6367"/>
    <w:rsid w:val="00DB64CD"/>
    <w:rsid w:val="00DB6516"/>
    <w:rsid w:val="00DB65AC"/>
    <w:rsid w:val="00DB66A8"/>
    <w:rsid w:val="00DB66FB"/>
    <w:rsid w:val="00DB67CB"/>
    <w:rsid w:val="00DB6816"/>
    <w:rsid w:val="00DB6925"/>
    <w:rsid w:val="00DB6991"/>
    <w:rsid w:val="00DB6A85"/>
    <w:rsid w:val="00DB6AC5"/>
    <w:rsid w:val="00DB6AC7"/>
    <w:rsid w:val="00DB6BBE"/>
    <w:rsid w:val="00DB6C81"/>
    <w:rsid w:val="00DB6E6A"/>
    <w:rsid w:val="00DB6F27"/>
    <w:rsid w:val="00DB6F83"/>
    <w:rsid w:val="00DB701F"/>
    <w:rsid w:val="00DB707C"/>
    <w:rsid w:val="00DB71CD"/>
    <w:rsid w:val="00DB723F"/>
    <w:rsid w:val="00DB72F5"/>
    <w:rsid w:val="00DB7397"/>
    <w:rsid w:val="00DB73BB"/>
    <w:rsid w:val="00DB73F7"/>
    <w:rsid w:val="00DB7497"/>
    <w:rsid w:val="00DB767D"/>
    <w:rsid w:val="00DB7855"/>
    <w:rsid w:val="00DB7872"/>
    <w:rsid w:val="00DB78EB"/>
    <w:rsid w:val="00DB7920"/>
    <w:rsid w:val="00DB7AFF"/>
    <w:rsid w:val="00DB7B14"/>
    <w:rsid w:val="00DB7C5E"/>
    <w:rsid w:val="00DB7C9D"/>
    <w:rsid w:val="00DB7CA4"/>
    <w:rsid w:val="00DB7D53"/>
    <w:rsid w:val="00DB7D82"/>
    <w:rsid w:val="00DB7D90"/>
    <w:rsid w:val="00DB7DD4"/>
    <w:rsid w:val="00DB7E08"/>
    <w:rsid w:val="00DB7E0B"/>
    <w:rsid w:val="00DC0049"/>
    <w:rsid w:val="00DC0072"/>
    <w:rsid w:val="00DC008D"/>
    <w:rsid w:val="00DC00A4"/>
    <w:rsid w:val="00DC00C5"/>
    <w:rsid w:val="00DC0170"/>
    <w:rsid w:val="00DC02A8"/>
    <w:rsid w:val="00DC02EC"/>
    <w:rsid w:val="00DC031E"/>
    <w:rsid w:val="00DC0385"/>
    <w:rsid w:val="00DC03E9"/>
    <w:rsid w:val="00DC046A"/>
    <w:rsid w:val="00DC0662"/>
    <w:rsid w:val="00DC07EA"/>
    <w:rsid w:val="00DC0940"/>
    <w:rsid w:val="00DC0991"/>
    <w:rsid w:val="00DC09A9"/>
    <w:rsid w:val="00DC0A50"/>
    <w:rsid w:val="00DC0B1E"/>
    <w:rsid w:val="00DC0B37"/>
    <w:rsid w:val="00DC0B63"/>
    <w:rsid w:val="00DC0CA9"/>
    <w:rsid w:val="00DC0D23"/>
    <w:rsid w:val="00DC0D2C"/>
    <w:rsid w:val="00DC0DF5"/>
    <w:rsid w:val="00DC0EA3"/>
    <w:rsid w:val="00DC0F37"/>
    <w:rsid w:val="00DC10D3"/>
    <w:rsid w:val="00DC113F"/>
    <w:rsid w:val="00DC118C"/>
    <w:rsid w:val="00DC121D"/>
    <w:rsid w:val="00DC1251"/>
    <w:rsid w:val="00DC1430"/>
    <w:rsid w:val="00DC1527"/>
    <w:rsid w:val="00DC1654"/>
    <w:rsid w:val="00DC1810"/>
    <w:rsid w:val="00DC182B"/>
    <w:rsid w:val="00DC1847"/>
    <w:rsid w:val="00DC1918"/>
    <w:rsid w:val="00DC191B"/>
    <w:rsid w:val="00DC1927"/>
    <w:rsid w:val="00DC1977"/>
    <w:rsid w:val="00DC19B0"/>
    <w:rsid w:val="00DC1A20"/>
    <w:rsid w:val="00DC1B14"/>
    <w:rsid w:val="00DC1C0D"/>
    <w:rsid w:val="00DC1C36"/>
    <w:rsid w:val="00DC1C9E"/>
    <w:rsid w:val="00DC1CFB"/>
    <w:rsid w:val="00DC1E71"/>
    <w:rsid w:val="00DC218D"/>
    <w:rsid w:val="00DC22E9"/>
    <w:rsid w:val="00DC23BE"/>
    <w:rsid w:val="00DC2584"/>
    <w:rsid w:val="00DC26DA"/>
    <w:rsid w:val="00DC2725"/>
    <w:rsid w:val="00DC27CB"/>
    <w:rsid w:val="00DC28F2"/>
    <w:rsid w:val="00DC2913"/>
    <w:rsid w:val="00DC2A4C"/>
    <w:rsid w:val="00DC2AC3"/>
    <w:rsid w:val="00DC2CD3"/>
    <w:rsid w:val="00DC2CE0"/>
    <w:rsid w:val="00DC2ED9"/>
    <w:rsid w:val="00DC2EE6"/>
    <w:rsid w:val="00DC2F85"/>
    <w:rsid w:val="00DC2FA9"/>
    <w:rsid w:val="00DC2FBF"/>
    <w:rsid w:val="00DC302C"/>
    <w:rsid w:val="00DC30B4"/>
    <w:rsid w:val="00DC34DF"/>
    <w:rsid w:val="00DC3547"/>
    <w:rsid w:val="00DC36F7"/>
    <w:rsid w:val="00DC3778"/>
    <w:rsid w:val="00DC3783"/>
    <w:rsid w:val="00DC3862"/>
    <w:rsid w:val="00DC3889"/>
    <w:rsid w:val="00DC3960"/>
    <w:rsid w:val="00DC3AA3"/>
    <w:rsid w:val="00DC3B33"/>
    <w:rsid w:val="00DC3BC7"/>
    <w:rsid w:val="00DC3C20"/>
    <w:rsid w:val="00DC3CD9"/>
    <w:rsid w:val="00DC3CE2"/>
    <w:rsid w:val="00DC3DEA"/>
    <w:rsid w:val="00DC3E31"/>
    <w:rsid w:val="00DC3E73"/>
    <w:rsid w:val="00DC3FCE"/>
    <w:rsid w:val="00DC40CD"/>
    <w:rsid w:val="00DC4234"/>
    <w:rsid w:val="00DC4303"/>
    <w:rsid w:val="00DC4436"/>
    <w:rsid w:val="00DC44D0"/>
    <w:rsid w:val="00DC44E3"/>
    <w:rsid w:val="00DC4508"/>
    <w:rsid w:val="00DC453A"/>
    <w:rsid w:val="00DC468F"/>
    <w:rsid w:val="00DC4708"/>
    <w:rsid w:val="00DC482C"/>
    <w:rsid w:val="00DC492C"/>
    <w:rsid w:val="00DC49BA"/>
    <w:rsid w:val="00DC4A2A"/>
    <w:rsid w:val="00DC4A45"/>
    <w:rsid w:val="00DC4ADD"/>
    <w:rsid w:val="00DC4BBB"/>
    <w:rsid w:val="00DC4BE9"/>
    <w:rsid w:val="00DC4C4C"/>
    <w:rsid w:val="00DC4CA9"/>
    <w:rsid w:val="00DC4CAC"/>
    <w:rsid w:val="00DC4CD2"/>
    <w:rsid w:val="00DC4D62"/>
    <w:rsid w:val="00DC4DC9"/>
    <w:rsid w:val="00DC4DF9"/>
    <w:rsid w:val="00DC4E73"/>
    <w:rsid w:val="00DC4E97"/>
    <w:rsid w:val="00DC4ED0"/>
    <w:rsid w:val="00DC4F67"/>
    <w:rsid w:val="00DC4F94"/>
    <w:rsid w:val="00DC4FBE"/>
    <w:rsid w:val="00DC5057"/>
    <w:rsid w:val="00DC5168"/>
    <w:rsid w:val="00DC51CD"/>
    <w:rsid w:val="00DC5372"/>
    <w:rsid w:val="00DC545E"/>
    <w:rsid w:val="00DC5480"/>
    <w:rsid w:val="00DC5622"/>
    <w:rsid w:val="00DC5775"/>
    <w:rsid w:val="00DC5A7E"/>
    <w:rsid w:val="00DC5B43"/>
    <w:rsid w:val="00DC5B9E"/>
    <w:rsid w:val="00DC5BBB"/>
    <w:rsid w:val="00DC5CAA"/>
    <w:rsid w:val="00DC5CB0"/>
    <w:rsid w:val="00DC5CC6"/>
    <w:rsid w:val="00DC5D89"/>
    <w:rsid w:val="00DC5E0B"/>
    <w:rsid w:val="00DC5ECA"/>
    <w:rsid w:val="00DC5ECB"/>
    <w:rsid w:val="00DC5F16"/>
    <w:rsid w:val="00DC5F40"/>
    <w:rsid w:val="00DC5F97"/>
    <w:rsid w:val="00DC5F9A"/>
    <w:rsid w:val="00DC5FC3"/>
    <w:rsid w:val="00DC5FE9"/>
    <w:rsid w:val="00DC5FF9"/>
    <w:rsid w:val="00DC6010"/>
    <w:rsid w:val="00DC6012"/>
    <w:rsid w:val="00DC611D"/>
    <w:rsid w:val="00DC6130"/>
    <w:rsid w:val="00DC614A"/>
    <w:rsid w:val="00DC62D7"/>
    <w:rsid w:val="00DC631C"/>
    <w:rsid w:val="00DC643B"/>
    <w:rsid w:val="00DC643C"/>
    <w:rsid w:val="00DC645C"/>
    <w:rsid w:val="00DC6475"/>
    <w:rsid w:val="00DC658F"/>
    <w:rsid w:val="00DC65F6"/>
    <w:rsid w:val="00DC6717"/>
    <w:rsid w:val="00DC6780"/>
    <w:rsid w:val="00DC685A"/>
    <w:rsid w:val="00DC6908"/>
    <w:rsid w:val="00DC698D"/>
    <w:rsid w:val="00DC69C2"/>
    <w:rsid w:val="00DC69CF"/>
    <w:rsid w:val="00DC69D8"/>
    <w:rsid w:val="00DC6ABF"/>
    <w:rsid w:val="00DC6B51"/>
    <w:rsid w:val="00DC6C38"/>
    <w:rsid w:val="00DC6C8C"/>
    <w:rsid w:val="00DC6E3D"/>
    <w:rsid w:val="00DC6E63"/>
    <w:rsid w:val="00DC6F79"/>
    <w:rsid w:val="00DC6FC3"/>
    <w:rsid w:val="00DC6FFF"/>
    <w:rsid w:val="00DC7014"/>
    <w:rsid w:val="00DC7085"/>
    <w:rsid w:val="00DC7240"/>
    <w:rsid w:val="00DC7261"/>
    <w:rsid w:val="00DC72F3"/>
    <w:rsid w:val="00DC7457"/>
    <w:rsid w:val="00DC74AF"/>
    <w:rsid w:val="00DC74B8"/>
    <w:rsid w:val="00DC74EF"/>
    <w:rsid w:val="00DC7549"/>
    <w:rsid w:val="00DC7565"/>
    <w:rsid w:val="00DC7587"/>
    <w:rsid w:val="00DC76B2"/>
    <w:rsid w:val="00DC772A"/>
    <w:rsid w:val="00DC7773"/>
    <w:rsid w:val="00DC7774"/>
    <w:rsid w:val="00DC7789"/>
    <w:rsid w:val="00DC77D7"/>
    <w:rsid w:val="00DC782A"/>
    <w:rsid w:val="00DC78EE"/>
    <w:rsid w:val="00DC791D"/>
    <w:rsid w:val="00DC79CE"/>
    <w:rsid w:val="00DC7A5C"/>
    <w:rsid w:val="00DC7BDE"/>
    <w:rsid w:val="00DC7CFF"/>
    <w:rsid w:val="00DC7D32"/>
    <w:rsid w:val="00DC7EE6"/>
    <w:rsid w:val="00DC7F34"/>
    <w:rsid w:val="00DC7F5F"/>
    <w:rsid w:val="00DD006F"/>
    <w:rsid w:val="00DD0191"/>
    <w:rsid w:val="00DD02A6"/>
    <w:rsid w:val="00DD0310"/>
    <w:rsid w:val="00DD050D"/>
    <w:rsid w:val="00DD0616"/>
    <w:rsid w:val="00DD06CE"/>
    <w:rsid w:val="00DD06E3"/>
    <w:rsid w:val="00DD08A8"/>
    <w:rsid w:val="00DD0A33"/>
    <w:rsid w:val="00DD0A72"/>
    <w:rsid w:val="00DD0AA4"/>
    <w:rsid w:val="00DD0BBE"/>
    <w:rsid w:val="00DD0CB0"/>
    <w:rsid w:val="00DD0D0B"/>
    <w:rsid w:val="00DD0D5E"/>
    <w:rsid w:val="00DD0D83"/>
    <w:rsid w:val="00DD0D87"/>
    <w:rsid w:val="00DD105B"/>
    <w:rsid w:val="00DD10A4"/>
    <w:rsid w:val="00DD10E9"/>
    <w:rsid w:val="00DD1160"/>
    <w:rsid w:val="00DD11FE"/>
    <w:rsid w:val="00DD1332"/>
    <w:rsid w:val="00DD13D8"/>
    <w:rsid w:val="00DD14C9"/>
    <w:rsid w:val="00DD150B"/>
    <w:rsid w:val="00DD160F"/>
    <w:rsid w:val="00DD1655"/>
    <w:rsid w:val="00DD1659"/>
    <w:rsid w:val="00DD171B"/>
    <w:rsid w:val="00DD180F"/>
    <w:rsid w:val="00DD181E"/>
    <w:rsid w:val="00DD192A"/>
    <w:rsid w:val="00DD19A0"/>
    <w:rsid w:val="00DD1C12"/>
    <w:rsid w:val="00DD1C49"/>
    <w:rsid w:val="00DD1D04"/>
    <w:rsid w:val="00DD1EC2"/>
    <w:rsid w:val="00DD1EEC"/>
    <w:rsid w:val="00DD1EF2"/>
    <w:rsid w:val="00DD1F3D"/>
    <w:rsid w:val="00DD1F80"/>
    <w:rsid w:val="00DD20C8"/>
    <w:rsid w:val="00DD20CD"/>
    <w:rsid w:val="00DD2227"/>
    <w:rsid w:val="00DD23D6"/>
    <w:rsid w:val="00DD24C1"/>
    <w:rsid w:val="00DD2574"/>
    <w:rsid w:val="00DD2644"/>
    <w:rsid w:val="00DD2654"/>
    <w:rsid w:val="00DD280B"/>
    <w:rsid w:val="00DD283B"/>
    <w:rsid w:val="00DD2A43"/>
    <w:rsid w:val="00DD2B77"/>
    <w:rsid w:val="00DD2C24"/>
    <w:rsid w:val="00DD2CDA"/>
    <w:rsid w:val="00DD2D79"/>
    <w:rsid w:val="00DD2DF0"/>
    <w:rsid w:val="00DD2E01"/>
    <w:rsid w:val="00DD2E16"/>
    <w:rsid w:val="00DD2E99"/>
    <w:rsid w:val="00DD2F57"/>
    <w:rsid w:val="00DD2F96"/>
    <w:rsid w:val="00DD2FE5"/>
    <w:rsid w:val="00DD302E"/>
    <w:rsid w:val="00DD30A9"/>
    <w:rsid w:val="00DD3146"/>
    <w:rsid w:val="00DD314D"/>
    <w:rsid w:val="00DD3208"/>
    <w:rsid w:val="00DD3289"/>
    <w:rsid w:val="00DD3299"/>
    <w:rsid w:val="00DD347F"/>
    <w:rsid w:val="00DD3646"/>
    <w:rsid w:val="00DD3647"/>
    <w:rsid w:val="00DD375B"/>
    <w:rsid w:val="00DD37C3"/>
    <w:rsid w:val="00DD37E8"/>
    <w:rsid w:val="00DD3843"/>
    <w:rsid w:val="00DD3B48"/>
    <w:rsid w:val="00DD3D40"/>
    <w:rsid w:val="00DD3E9D"/>
    <w:rsid w:val="00DD42E7"/>
    <w:rsid w:val="00DD4422"/>
    <w:rsid w:val="00DD4449"/>
    <w:rsid w:val="00DD444D"/>
    <w:rsid w:val="00DD45EF"/>
    <w:rsid w:val="00DD48C7"/>
    <w:rsid w:val="00DD4933"/>
    <w:rsid w:val="00DD4AC0"/>
    <w:rsid w:val="00DD4AF9"/>
    <w:rsid w:val="00DD4B2A"/>
    <w:rsid w:val="00DD4B50"/>
    <w:rsid w:val="00DD4B80"/>
    <w:rsid w:val="00DD4C03"/>
    <w:rsid w:val="00DD4C5D"/>
    <w:rsid w:val="00DD4D97"/>
    <w:rsid w:val="00DD4DEF"/>
    <w:rsid w:val="00DD5107"/>
    <w:rsid w:val="00DD52CD"/>
    <w:rsid w:val="00DD53BF"/>
    <w:rsid w:val="00DD53F6"/>
    <w:rsid w:val="00DD5541"/>
    <w:rsid w:val="00DD55EA"/>
    <w:rsid w:val="00DD567B"/>
    <w:rsid w:val="00DD573A"/>
    <w:rsid w:val="00DD573E"/>
    <w:rsid w:val="00DD5780"/>
    <w:rsid w:val="00DD57AA"/>
    <w:rsid w:val="00DD5A6A"/>
    <w:rsid w:val="00DD5AF9"/>
    <w:rsid w:val="00DD5B59"/>
    <w:rsid w:val="00DD5C6F"/>
    <w:rsid w:val="00DD5C8C"/>
    <w:rsid w:val="00DD5CB6"/>
    <w:rsid w:val="00DD5E07"/>
    <w:rsid w:val="00DD5E2E"/>
    <w:rsid w:val="00DD5F44"/>
    <w:rsid w:val="00DD6026"/>
    <w:rsid w:val="00DD60A4"/>
    <w:rsid w:val="00DD6175"/>
    <w:rsid w:val="00DD61C7"/>
    <w:rsid w:val="00DD61DE"/>
    <w:rsid w:val="00DD6287"/>
    <w:rsid w:val="00DD62C4"/>
    <w:rsid w:val="00DD6328"/>
    <w:rsid w:val="00DD642A"/>
    <w:rsid w:val="00DD6459"/>
    <w:rsid w:val="00DD671F"/>
    <w:rsid w:val="00DD6782"/>
    <w:rsid w:val="00DD678B"/>
    <w:rsid w:val="00DD679E"/>
    <w:rsid w:val="00DD68B6"/>
    <w:rsid w:val="00DD6973"/>
    <w:rsid w:val="00DD69FD"/>
    <w:rsid w:val="00DD6BA7"/>
    <w:rsid w:val="00DD6BF3"/>
    <w:rsid w:val="00DD6C80"/>
    <w:rsid w:val="00DD6D38"/>
    <w:rsid w:val="00DD6D3D"/>
    <w:rsid w:val="00DD6EFF"/>
    <w:rsid w:val="00DD6F19"/>
    <w:rsid w:val="00DD6FDD"/>
    <w:rsid w:val="00DD7003"/>
    <w:rsid w:val="00DD7036"/>
    <w:rsid w:val="00DD70B6"/>
    <w:rsid w:val="00DD70D5"/>
    <w:rsid w:val="00DD72F6"/>
    <w:rsid w:val="00DD7312"/>
    <w:rsid w:val="00DD7406"/>
    <w:rsid w:val="00DD756C"/>
    <w:rsid w:val="00DD7570"/>
    <w:rsid w:val="00DD75E8"/>
    <w:rsid w:val="00DD7621"/>
    <w:rsid w:val="00DD763C"/>
    <w:rsid w:val="00DD776F"/>
    <w:rsid w:val="00DD7838"/>
    <w:rsid w:val="00DD7896"/>
    <w:rsid w:val="00DD78D3"/>
    <w:rsid w:val="00DD792B"/>
    <w:rsid w:val="00DD796C"/>
    <w:rsid w:val="00DD79B1"/>
    <w:rsid w:val="00DD79E1"/>
    <w:rsid w:val="00DD79E4"/>
    <w:rsid w:val="00DD7AF3"/>
    <w:rsid w:val="00DD7AFD"/>
    <w:rsid w:val="00DD7BA5"/>
    <w:rsid w:val="00DD7C67"/>
    <w:rsid w:val="00DD7F99"/>
    <w:rsid w:val="00DD7FA6"/>
    <w:rsid w:val="00DE0069"/>
    <w:rsid w:val="00DE00B9"/>
    <w:rsid w:val="00DE011D"/>
    <w:rsid w:val="00DE0272"/>
    <w:rsid w:val="00DE04D9"/>
    <w:rsid w:val="00DE0715"/>
    <w:rsid w:val="00DE0744"/>
    <w:rsid w:val="00DE084A"/>
    <w:rsid w:val="00DE08AB"/>
    <w:rsid w:val="00DE08CA"/>
    <w:rsid w:val="00DE08E9"/>
    <w:rsid w:val="00DE0961"/>
    <w:rsid w:val="00DE0A47"/>
    <w:rsid w:val="00DE0AD9"/>
    <w:rsid w:val="00DE0B4A"/>
    <w:rsid w:val="00DE0B70"/>
    <w:rsid w:val="00DE0C49"/>
    <w:rsid w:val="00DE0D3D"/>
    <w:rsid w:val="00DE0DC5"/>
    <w:rsid w:val="00DE0E79"/>
    <w:rsid w:val="00DE0F87"/>
    <w:rsid w:val="00DE0FC4"/>
    <w:rsid w:val="00DE11DE"/>
    <w:rsid w:val="00DE1437"/>
    <w:rsid w:val="00DE1522"/>
    <w:rsid w:val="00DE153F"/>
    <w:rsid w:val="00DE159A"/>
    <w:rsid w:val="00DE164C"/>
    <w:rsid w:val="00DE172C"/>
    <w:rsid w:val="00DE1912"/>
    <w:rsid w:val="00DE1974"/>
    <w:rsid w:val="00DE1A2B"/>
    <w:rsid w:val="00DE1A56"/>
    <w:rsid w:val="00DE1C7C"/>
    <w:rsid w:val="00DE1CF8"/>
    <w:rsid w:val="00DE1D0D"/>
    <w:rsid w:val="00DE1F13"/>
    <w:rsid w:val="00DE1F9C"/>
    <w:rsid w:val="00DE205E"/>
    <w:rsid w:val="00DE20B8"/>
    <w:rsid w:val="00DE21DF"/>
    <w:rsid w:val="00DE2236"/>
    <w:rsid w:val="00DE22B2"/>
    <w:rsid w:val="00DE23BA"/>
    <w:rsid w:val="00DE26C5"/>
    <w:rsid w:val="00DE26FD"/>
    <w:rsid w:val="00DE2749"/>
    <w:rsid w:val="00DE284A"/>
    <w:rsid w:val="00DE29F8"/>
    <w:rsid w:val="00DE2A50"/>
    <w:rsid w:val="00DE2C82"/>
    <w:rsid w:val="00DE2CC5"/>
    <w:rsid w:val="00DE2E8E"/>
    <w:rsid w:val="00DE2EEF"/>
    <w:rsid w:val="00DE2F50"/>
    <w:rsid w:val="00DE2F9B"/>
    <w:rsid w:val="00DE2FEA"/>
    <w:rsid w:val="00DE2FF0"/>
    <w:rsid w:val="00DE302E"/>
    <w:rsid w:val="00DE3040"/>
    <w:rsid w:val="00DE30BA"/>
    <w:rsid w:val="00DE3141"/>
    <w:rsid w:val="00DE31FE"/>
    <w:rsid w:val="00DE3227"/>
    <w:rsid w:val="00DE32C4"/>
    <w:rsid w:val="00DE3317"/>
    <w:rsid w:val="00DE33C2"/>
    <w:rsid w:val="00DE33D8"/>
    <w:rsid w:val="00DE33F0"/>
    <w:rsid w:val="00DE3447"/>
    <w:rsid w:val="00DE3589"/>
    <w:rsid w:val="00DE35C9"/>
    <w:rsid w:val="00DE392C"/>
    <w:rsid w:val="00DE39A2"/>
    <w:rsid w:val="00DE3B45"/>
    <w:rsid w:val="00DE3BD4"/>
    <w:rsid w:val="00DE3C52"/>
    <w:rsid w:val="00DE3E4A"/>
    <w:rsid w:val="00DE3E5B"/>
    <w:rsid w:val="00DE3FEF"/>
    <w:rsid w:val="00DE4071"/>
    <w:rsid w:val="00DE4073"/>
    <w:rsid w:val="00DE4093"/>
    <w:rsid w:val="00DE40B1"/>
    <w:rsid w:val="00DE4377"/>
    <w:rsid w:val="00DE43BD"/>
    <w:rsid w:val="00DE4404"/>
    <w:rsid w:val="00DE4701"/>
    <w:rsid w:val="00DE4742"/>
    <w:rsid w:val="00DE4788"/>
    <w:rsid w:val="00DE47F4"/>
    <w:rsid w:val="00DE48C5"/>
    <w:rsid w:val="00DE497C"/>
    <w:rsid w:val="00DE49AC"/>
    <w:rsid w:val="00DE4A50"/>
    <w:rsid w:val="00DE4B49"/>
    <w:rsid w:val="00DE4C99"/>
    <w:rsid w:val="00DE4D15"/>
    <w:rsid w:val="00DE4D43"/>
    <w:rsid w:val="00DE4D8B"/>
    <w:rsid w:val="00DE4D8E"/>
    <w:rsid w:val="00DE4DD2"/>
    <w:rsid w:val="00DE4E6B"/>
    <w:rsid w:val="00DE4F53"/>
    <w:rsid w:val="00DE4FD8"/>
    <w:rsid w:val="00DE50D5"/>
    <w:rsid w:val="00DE5240"/>
    <w:rsid w:val="00DE5314"/>
    <w:rsid w:val="00DE5389"/>
    <w:rsid w:val="00DE53F1"/>
    <w:rsid w:val="00DE54BB"/>
    <w:rsid w:val="00DE54CB"/>
    <w:rsid w:val="00DE54F6"/>
    <w:rsid w:val="00DE54FE"/>
    <w:rsid w:val="00DE56F3"/>
    <w:rsid w:val="00DE575B"/>
    <w:rsid w:val="00DE5804"/>
    <w:rsid w:val="00DE588C"/>
    <w:rsid w:val="00DE5957"/>
    <w:rsid w:val="00DE5D33"/>
    <w:rsid w:val="00DE5F08"/>
    <w:rsid w:val="00DE5F20"/>
    <w:rsid w:val="00DE5F7D"/>
    <w:rsid w:val="00DE5F90"/>
    <w:rsid w:val="00DE5FEA"/>
    <w:rsid w:val="00DE6049"/>
    <w:rsid w:val="00DE6075"/>
    <w:rsid w:val="00DE61E3"/>
    <w:rsid w:val="00DE61F3"/>
    <w:rsid w:val="00DE61F9"/>
    <w:rsid w:val="00DE6238"/>
    <w:rsid w:val="00DE6255"/>
    <w:rsid w:val="00DE627E"/>
    <w:rsid w:val="00DE62DF"/>
    <w:rsid w:val="00DE62F8"/>
    <w:rsid w:val="00DE64BA"/>
    <w:rsid w:val="00DE6555"/>
    <w:rsid w:val="00DE65A4"/>
    <w:rsid w:val="00DE666B"/>
    <w:rsid w:val="00DE677F"/>
    <w:rsid w:val="00DE68E7"/>
    <w:rsid w:val="00DE69ED"/>
    <w:rsid w:val="00DE6B8C"/>
    <w:rsid w:val="00DE6BB5"/>
    <w:rsid w:val="00DE6C22"/>
    <w:rsid w:val="00DE6CC4"/>
    <w:rsid w:val="00DE6CCD"/>
    <w:rsid w:val="00DE6E30"/>
    <w:rsid w:val="00DE6EBF"/>
    <w:rsid w:val="00DE7026"/>
    <w:rsid w:val="00DE712D"/>
    <w:rsid w:val="00DE71EE"/>
    <w:rsid w:val="00DE7241"/>
    <w:rsid w:val="00DE7382"/>
    <w:rsid w:val="00DE73F5"/>
    <w:rsid w:val="00DE74CD"/>
    <w:rsid w:val="00DE7636"/>
    <w:rsid w:val="00DE7700"/>
    <w:rsid w:val="00DE771E"/>
    <w:rsid w:val="00DE77FC"/>
    <w:rsid w:val="00DE782C"/>
    <w:rsid w:val="00DE78BC"/>
    <w:rsid w:val="00DE78CA"/>
    <w:rsid w:val="00DE7918"/>
    <w:rsid w:val="00DE7971"/>
    <w:rsid w:val="00DE797D"/>
    <w:rsid w:val="00DE7982"/>
    <w:rsid w:val="00DE7AAC"/>
    <w:rsid w:val="00DE7B5D"/>
    <w:rsid w:val="00DE7B85"/>
    <w:rsid w:val="00DE7E4A"/>
    <w:rsid w:val="00DE7EF6"/>
    <w:rsid w:val="00DE7F7C"/>
    <w:rsid w:val="00DE7FA5"/>
    <w:rsid w:val="00DF0067"/>
    <w:rsid w:val="00DF00CF"/>
    <w:rsid w:val="00DF0214"/>
    <w:rsid w:val="00DF022A"/>
    <w:rsid w:val="00DF0249"/>
    <w:rsid w:val="00DF027D"/>
    <w:rsid w:val="00DF035C"/>
    <w:rsid w:val="00DF0431"/>
    <w:rsid w:val="00DF04CC"/>
    <w:rsid w:val="00DF0529"/>
    <w:rsid w:val="00DF05A0"/>
    <w:rsid w:val="00DF0690"/>
    <w:rsid w:val="00DF0755"/>
    <w:rsid w:val="00DF0786"/>
    <w:rsid w:val="00DF07D0"/>
    <w:rsid w:val="00DF080F"/>
    <w:rsid w:val="00DF08D0"/>
    <w:rsid w:val="00DF097F"/>
    <w:rsid w:val="00DF0A54"/>
    <w:rsid w:val="00DF0B01"/>
    <w:rsid w:val="00DF0B04"/>
    <w:rsid w:val="00DF0C91"/>
    <w:rsid w:val="00DF0E0B"/>
    <w:rsid w:val="00DF0E29"/>
    <w:rsid w:val="00DF0E41"/>
    <w:rsid w:val="00DF0FFF"/>
    <w:rsid w:val="00DF1037"/>
    <w:rsid w:val="00DF11A1"/>
    <w:rsid w:val="00DF11B5"/>
    <w:rsid w:val="00DF11C9"/>
    <w:rsid w:val="00DF11FA"/>
    <w:rsid w:val="00DF120E"/>
    <w:rsid w:val="00DF1235"/>
    <w:rsid w:val="00DF131A"/>
    <w:rsid w:val="00DF13BA"/>
    <w:rsid w:val="00DF13BB"/>
    <w:rsid w:val="00DF143B"/>
    <w:rsid w:val="00DF144B"/>
    <w:rsid w:val="00DF14D2"/>
    <w:rsid w:val="00DF1505"/>
    <w:rsid w:val="00DF1670"/>
    <w:rsid w:val="00DF16C0"/>
    <w:rsid w:val="00DF17F6"/>
    <w:rsid w:val="00DF189A"/>
    <w:rsid w:val="00DF1926"/>
    <w:rsid w:val="00DF197C"/>
    <w:rsid w:val="00DF1A1A"/>
    <w:rsid w:val="00DF1A67"/>
    <w:rsid w:val="00DF1ABF"/>
    <w:rsid w:val="00DF1ADF"/>
    <w:rsid w:val="00DF1B60"/>
    <w:rsid w:val="00DF1BC9"/>
    <w:rsid w:val="00DF1C7C"/>
    <w:rsid w:val="00DF1CD0"/>
    <w:rsid w:val="00DF1D68"/>
    <w:rsid w:val="00DF1ECF"/>
    <w:rsid w:val="00DF1FA3"/>
    <w:rsid w:val="00DF20B2"/>
    <w:rsid w:val="00DF20E7"/>
    <w:rsid w:val="00DF20F4"/>
    <w:rsid w:val="00DF21B5"/>
    <w:rsid w:val="00DF222C"/>
    <w:rsid w:val="00DF2327"/>
    <w:rsid w:val="00DF232F"/>
    <w:rsid w:val="00DF2402"/>
    <w:rsid w:val="00DF25D5"/>
    <w:rsid w:val="00DF25F7"/>
    <w:rsid w:val="00DF26F1"/>
    <w:rsid w:val="00DF272C"/>
    <w:rsid w:val="00DF287F"/>
    <w:rsid w:val="00DF28F2"/>
    <w:rsid w:val="00DF290E"/>
    <w:rsid w:val="00DF293A"/>
    <w:rsid w:val="00DF293E"/>
    <w:rsid w:val="00DF2965"/>
    <w:rsid w:val="00DF2AAD"/>
    <w:rsid w:val="00DF2BA6"/>
    <w:rsid w:val="00DF2BDF"/>
    <w:rsid w:val="00DF2C2D"/>
    <w:rsid w:val="00DF2C9A"/>
    <w:rsid w:val="00DF2CA9"/>
    <w:rsid w:val="00DF2CFB"/>
    <w:rsid w:val="00DF2D68"/>
    <w:rsid w:val="00DF2E63"/>
    <w:rsid w:val="00DF2EFE"/>
    <w:rsid w:val="00DF2F06"/>
    <w:rsid w:val="00DF2F43"/>
    <w:rsid w:val="00DF304C"/>
    <w:rsid w:val="00DF32B1"/>
    <w:rsid w:val="00DF32C3"/>
    <w:rsid w:val="00DF34D5"/>
    <w:rsid w:val="00DF365F"/>
    <w:rsid w:val="00DF3763"/>
    <w:rsid w:val="00DF37E1"/>
    <w:rsid w:val="00DF390C"/>
    <w:rsid w:val="00DF399C"/>
    <w:rsid w:val="00DF39FE"/>
    <w:rsid w:val="00DF3A1A"/>
    <w:rsid w:val="00DF3A2F"/>
    <w:rsid w:val="00DF3A4E"/>
    <w:rsid w:val="00DF3A55"/>
    <w:rsid w:val="00DF3D6A"/>
    <w:rsid w:val="00DF3DFE"/>
    <w:rsid w:val="00DF3E8C"/>
    <w:rsid w:val="00DF3EE7"/>
    <w:rsid w:val="00DF3F16"/>
    <w:rsid w:val="00DF3FC5"/>
    <w:rsid w:val="00DF401F"/>
    <w:rsid w:val="00DF41D3"/>
    <w:rsid w:val="00DF420E"/>
    <w:rsid w:val="00DF4236"/>
    <w:rsid w:val="00DF42C1"/>
    <w:rsid w:val="00DF42CB"/>
    <w:rsid w:val="00DF4538"/>
    <w:rsid w:val="00DF45F3"/>
    <w:rsid w:val="00DF4617"/>
    <w:rsid w:val="00DF46CE"/>
    <w:rsid w:val="00DF4724"/>
    <w:rsid w:val="00DF478D"/>
    <w:rsid w:val="00DF4792"/>
    <w:rsid w:val="00DF482C"/>
    <w:rsid w:val="00DF485E"/>
    <w:rsid w:val="00DF4984"/>
    <w:rsid w:val="00DF4A10"/>
    <w:rsid w:val="00DF4ABF"/>
    <w:rsid w:val="00DF4AF7"/>
    <w:rsid w:val="00DF4B7B"/>
    <w:rsid w:val="00DF4BD3"/>
    <w:rsid w:val="00DF4CAD"/>
    <w:rsid w:val="00DF4D06"/>
    <w:rsid w:val="00DF4D11"/>
    <w:rsid w:val="00DF4F81"/>
    <w:rsid w:val="00DF5016"/>
    <w:rsid w:val="00DF5078"/>
    <w:rsid w:val="00DF515A"/>
    <w:rsid w:val="00DF5161"/>
    <w:rsid w:val="00DF5172"/>
    <w:rsid w:val="00DF51B4"/>
    <w:rsid w:val="00DF52A5"/>
    <w:rsid w:val="00DF53FE"/>
    <w:rsid w:val="00DF549B"/>
    <w:rsid w:val="00DF54B7"/>
    <w:rsid w:val="00DF5546"/>
    <w:rsid w:val="00DF55BC"/>
    <w:rsid w:val="00DF56BE"/>
    <w:rsid w:val="00DF56E5"/>
    <w:rsid w:val="00DF570B"/>
    <w:rsid w:val="00DF5788"/>
    <w:rsid w:val="00DF5838"/>
    <w:rsid w:val="00DF586E"/>
    <w:rsid w:val="00DF589F"/>
    <w:rsid w:val="00DF58DD"/>
    <w:rsid w:val="00DF5908"/>
    <w:rsid w:val="00DF5B23"/>
    <w:rsid w:val="00DF5B3F"/>
    <w:rsid w:val="00DF5BB7"/>
    <w:rsid w:val="00DF5C0C"/>
    <w:rsid w:val="00DF5C43"/>
    <w:rsid w:val="00DF5E1B"/>
    <w:rsid w:val="00DF5E8D"/>
    <w:rsid w:val="00DF6113"/>
    <w:rsid w:val="00DF619E"/>
    <w:rsid w:val="00DF61B1"/>
    <w:rsid w:val="00DF625F"/>
    <w:rsid w:val="00DF6270"/>
    <w:rsid w:val="00DF62B2"/>
    <w:rsid w:val="00DF62BF"/>
    <w:rsid w:val="00DF62E5"/>
    <w:rsid w:val="00DF638A"/>
    <w:rsid w:val="00DF6474"/>
    <w:rsid w:val="00DF64C1"/>
    <w:rsid w:val="00DF6510"/>
    <w:rsid w:val="00DF65BE"/>
    <w:rsid w:val="00DF65D5"/>
    <w:rsid w:val="00DF6649"/>
    <w:rsid w:val="00DF6657"/>
    <w:rsid w:val="00DF669D"/>
    <w:rsid w:val="00DF66EE"/>
    <w:rsid w:val="00DF67EC"/>
    <w:rsid w:val="00DF685C"/>
    <w:rsid w:val="00DF68C6"/>
    <w:rsid w:val="00DF68D4"/>
    <w:rsid w:val="00DF6929"/>
    <w:rsid w:val="00DF692D"/>
    <w:rsid w:val="00DF6965"/>
    <w:rsid w:val="00DF6A18"/>
    <w:rsid w:val="00DF6A1C"/>
    <w:rsid w:val="00DF6A7A"/>
    <w:rsid w:val="00DF6B40"/>
    <w:rsid w:val="00DF6B5C"/>
    <w:rsid w:val="00DF6C0F"/>
    <w:rsid w:val="00DF6CEF"/>
    <w:rsid w:val="00DF6D85"/>
    <w:rsid w:val="00DF6DD7"/>
    <w:rsid w:val="00DF6F4B"/>
    <w:rsid w:val="00DF6FCB"/>
    <w:rsid w:val="00DF700E"/>
    <w:rsid w:val="00DF703B"/>
    <w:rsid w:val="00DF7048"/>
    <w:rsid w:val="00DF70A7"/>
    <w:rsid w:val="00DF70C3"/>
    <w:rsid w:val="00DF7129"/>
    <w:rsid w:val="00DF7201"/>
    <w:rsid w:val="00DF7217"/>
    <w:rsid w:val="00DF7375"/>
    <w:rsid w:val="00DF73B3"/>
    <w:rsid w:val="00DF76EF"/>
    <w:rsid w:val="00DF77D4"/>
    <w:rsid w:val="00DF78AB"/>
    <w:rsid w:val="00DF793C"/>
    <w:rsid w:val="00DF7971"/>
    <w:rsid w:val="00DF7A56"/>
    <w:rsid w:val="00DF7A67"/>
    <w:rsid w:val="00DF7AE2"/>
    <w:rsid w:val="00DF7BEA"/>
    <w:rsid w:val="00DF7C77"/>
    <w:rsid w:val="00DF7DCB"/>
    <w:rsid w:val="00DF7E06"/>
    <w:rsid w:val="00DF7E31"/>
    <w:rsid w:val="00DF7E3D"/>
    <w:rsid w:val="00DF7FA7"/>
    <w:rsid w:val="00DF7FC5"/>
    <w:rsid w:val="00E0008E"/>
    <w:rsid w:val="00E00160"/>
    <w:rsid w:val="00E001AE"/>
    <w:rsid w:val="00E00252"/>
    <w:rsid w:val="00E00288"/>
    <w:rsid w:val="00E002D8"/>
    <w:rsid w:val="00E00460"/>
    <w:rsid w:val="00E004D9"/>
    <w:rsid w:val="00E004FB"/>
    <w:rsid w:val="00E0067B"/>
    <w:rsid w:val="00E0074E"/>
    <w:rsid w:val="00E008B6"/>
    <w:rsid w:val="00E008E8"/>
    <w:rsid w:val="00E009C3"/>
    <w:rsid w:val="00E00ADF"/>
    <w:rsid w:val="00E00BA9"/>
    <w:rsid w:val="00E00D62"/>
    <w:rsid w:val="00E00DEA"/>
    <w:rsid w:val="00E00E34"/>
    <w:rsid w:val="00E00E74"/>
    <w:rsid w:val="00E00F07"/>
    <w:rsid w:val="00E00F84"/>
    <w:rsid w:val="00E0101B"/>
    <w:rsid w:val="00E01055"/>
    <w:rsid w:val="00E01234"/>
    <w:rsid w:val="00E0134E"/>
    <w:rsid w:val="00E0135A"/>
    <w:rsid w:val="00E01382"/>
    <w:rsid w:val="00E013F1"/>
    <w:rsid w:val="00E0149A"/>
    <w:rsid w:val="00E014A6"/>
    <w:rsid w:val="00E0151B"/>
    <w:rsid w:val="00E0160D"/>
    <w:rsid w:val="00E017F7"/>
    <w:rsid w:val="00E018F4"/>
    <w:rsid w:val="00E01992"/>
    <w:rsid w:val="00E019CB"/>
    <w:rsid w:val="00E01A43"/>
    <w:rsid w:val="00E01B44"/>
    <w:rsid w:val="00E01C5D"/>
    <w:rsid w:val="00E01D54"/>
    <w:rsid w:val="00E01E5D"/>
    <w:rsid w:val="00E01E9C"/>
    <w:rsid w:val="00E01EBA"/>
    <w:rsid w:val="00E01EE1"/>
    <w:rsid w:val="00E01FA4"/>
    <w:rsid w:val="00E01FAD"/>
    <w:rsid w:val="00E01FC6"/>
    <w:rsid w:val="00E01FFF"/>
    <w:rsid w:val="00E02021"/>
    <w:rsid w:val="00E0205F"/>
    <w:rsid w:val="00E020B0"/>
    <w:rsid w:val="00E020D3"/>
    <w:rsid w:val="00E020FE"/>
    <w:rsid w:val="00E0229D"/>
    <w:rsid w:val="00E023E5"/>
    <w:rsid w:val="00E0245F"/>
    <w:rsid w:val="00E0249C"/>
    <w:rsid w:val="00E024B4"/>
    <w:rsid w:val="00E024F7"/>
    <w:rsid w:val="00E02511"/>
    <w:rsid w:val="00E0253A"/>
    <w:rsid w:val="00E025C1"/>
    <w:rsid w:val="00E026CC"/>
    <w:rsid w:val="00E026DD"/>
    <w:rsid w:val="00E026FB"/>
    <w:rsid w:val="00E02767"/>
    <w:rsid w:val="00E028B3"/>
    <w:rsid w:val="00E028D2"/>
    <w:rsid w:val="00E028DD"/>
    <w:rsid w:val="00E028F0"/>
    <w:rsid w:val="00E029AB"/>
    <w:rsid w:val="00E029B2"/>
    <w:rsid w:val="00E029BB"/>
    <w:rsid w:val="00E02A65"/>
    <w:rsid w:val="00E02B25"/>
    <w:rsid w:val="00E02B9A"/>
    <w:rsid w:val="00E02D42"/>
    <w:rsid w:val="00E02D5F"/>
    <w:rsid w:val="00E02EE9"/>
    <w:rsid w:val="00E02EFE"/>
    <w:rsid w:val="00E03009"/>
    <w:rsid w:val="00E03022"/>
    <w:rsid w:val="00E03026"/>
    <w:rsid w:val="00E031B1"/>
    <w:rsid w:val="00E031C6"/>
    <w:rsid w:val="00E031F9"/>
    <w:rsid w:val="00E03265"/>
    <w:rsid w:val="00E03283"/>
    <w:rsid w:val="00E032B3"/>
    <w:rsid w:val="00E03364"/>
    <w:rsid w:val="00E03392"/>
    <w:rsid w:val="00E034B3"/>
    <w:rsid w:val="00E035AC"/>
    <w:rsid w:val="00E035EB"/>
    <w:rsid w:val="00E036F2"/>
    <w:rsid w:val="00E03709"/>
    <w:rsid w:val="00E0378E"/>
    <w:rsid w:val="00E038DF"/>
    <w:rsid w:val="00E03952"/>
    <w:rsid w:val="00E03AE8"/>
    <w:rsid w:val="00E03B2C"/>
    <w:rsid w:val="00E03C98"/>
    <w:rsid w:val="00E03CB6"/>
    <w:rsid w:val="00E03F67"/>
    <w:rsid w:val="00E03FF5"/>
    <w:rsid w:val="00E04078"/>
    <w:rsid w:val="00E040B4"/>
    <w:rsid w:val="00E04126"/>
    <w:rsid w:val="00E042AC"/>
    <w:rsid w:val="00E04307"/>
    <w:rsid w:val="00E043B9"/>
    <w:rsid w:val="00E04491"/>
    <w:rsid w:val="00E044BE"/>
    <w:rsid w:val="00E04511"/>
    <w:rsid w:val="00E04606"/>
    <w:rsid w:val="00E04650"/>
    <w:rsid w:val="00E046E6"/>
    <w:rsid w:val="00E0488F"/>
    <w:rsid w:val="00E04A12"/>
    <w:rsid w:val="00E04A13"/>
    <w:rsid w:val="00E04A25"/>
    <w:rsid w:val="00E04B51"/>
    <w:rsid w:val="00E04B97"/>
    <w:rsid w:val="00E04CB4"/>
    <w:rsid w:val="00E04DA7"/>
    <w:rsid w:val="00E04DFE"/>
    <w:rsid w:val="00E04E33"/>
    <w:rsid w:val="00E04E8C"/>
    <w:rsid w:val="00E04EE7"/>
    <w:rsid w:val="00E05154"/>
    <w:rsid w:val="00E051E7"/>
    <w:rsid w:val="00E05294"/>
    <w:rsid w:val="00E052AB"/>
    <w:rsid w:val="00E05307"/>
    <w:rsid w:val="00E05502"/>
    <w:rsid w:val="00E05642"/>
    <w:rsid w:val="00E05644"/>
    <w:rsid w:val="00E05711"/>
    <w:rsid w:val="00E0579B"/>
    <w:rsid w:val="00E058B1"/>
    <w:rsid w:val="00E058BB"/>
    <w:rsid w:val="00E059C2"/>
    <w:rsid w:val="00E05B01"/>
    <w:rsid w:val="00E05C5A"/>
    <w:rsid w:val="00E05CE2"/>
    <w:rsid w:val="00E05CEC"/>
    <w:rsid w:val="00E05D00"/>
    <w:rsid w:val="00E05D8E"/>
    <w:rsid w:val="00E05E42"/>
    <w:rsid w:val="00E05EB2"/>
    <w:rsid w:val="00E05FBF"/>
    <w:rsid w:val="00E0618D"/>
    <w:rsid w:val="00E061CB"/>
    <w:rsid w:val="00E061D7"/>
    <w:rsid w:val="00E0623C"/>
    <w:rsid w:val="00E0630C"/>
    <w:rsid w:val="00E065BF"/>
    <w:rsid w:val="00E06628"/>
    <w:rsid w:val="00E066F7"/>
    <w:rsid w:val="00E0675D"/>
    <w:rsid w:val="00E06776"/>
    <w:rsid w:val="00E06B1C"/>
    <w:rsid w:val="00E06B20"/>
    <w:rsid w:val="00E06D45"/>
    <w:rsid w:val="00E06DD6"/>
    <w:rsid w:val="00E06EA8"/>
    <w:rsid w:val="00E06EBB"/>
    <w:rsid w:val="00E06EF4"/>
    <w:rsid w:val="00E06EFE"/>
    <w:rsid w:val="00E06F77"/>
    <w:rsid w:val="00E07096"/>
    <w:rsid w:val="00E07184"/>
    <w:rsid w:val="00E071D3"/>
    <w:rsid w:val="00E07416"/>
    <w:rsid w:val="00E0745B"/>
    <w:rsid w:val="00E0746A"/>
    <w:rsid w:val="00E074F7"/>
    <w:rsid w:val="00E0754F"/>
    <w:rsid w:val="00E0773F"/>
    <w:rsid w:val="00E077CA"/>
    <w:rsid w:val="00E078E5"/>
    <w:rsid w:val="00E079A6"/>
    <w:rsid w:val="00E079EB"/>
    <w:rsid w:val="00E07A7C"/>
    <w:rsid w:val="00E07A7E"/>
    <w:rsid w:val="00E07AE3"/>
    <w:rsid w:val="00E07B0D"/>
    <w:rsid w:val="00E07B3C"/>
    <w:rsid w:val="00E07B66"/>
    <w:rsid w:val="00E07B80"/>
    <w:rsid w:val="00E07D64"/>
    <w:rsid w:val="00E07D70"/>
    <w:rsid w:val="00E07EA0"/>
    <w:rsid w:val="00E07EC5"/>
    <w:rsid w:val="00E07ED6"/>
    <w:rsid w:val="00E07F9D"/>
    <w:rsid w:val="00E100D6"/>
    <w:rsid w:val="00E102BF"/>
    <w:rsid w:val="00E10446"/>
    <w:rsid w:val="00E1045F"/>
    <w:rsid w:val="00E104ED"/>
    <w:rsid w:val="00E105E3"/>
    <w:rsid w:val="00E1067E"/>
    <w:rsid w:val="00E106E3"/>
    <w:rsid w:val="00E106F6"/>
    <w:rsid w:val="00E1078B"/>
    <w:rsid w:val="00E10813"/>
    <w:rsid w:val="00E10A75"/>
    <w:rsid w:val="00E10AFD"/>
    <w:rsid w:val="00E10B76"/>
    <w:rsid w:val="00E10BAA"/>
    <w:rsid w:val="00E10CA1"/>
    <w:rsid w:val="00E10CA3"/>
    <w:rsid w:val="00E10D3D"/>
    <w:rsid w:val="00E10D69"/>
    <w:rsid w:val="00E10EDB"/>
    <w:rsid w:val="00E10F84"/>
    <w:rsid w:val="00E10F87"/>
    <w:rsid w:val="00E1113A"/>
    <w:rsid w:val="00E1118B"/>
    <w:rsid w:val="00E111E9"/>
    <w:rsid w:val="00E113CA"/>
    <w:rsid w:val="00E113EC"/>
    <w:rsid w:val="00E114CB"/>
    <w:rsid w:val="00E1156B"/>
    <w:rsid w:val="00E11666"/>
    <w:rsid w:val="00E11997"/>
    <w:rsid w:val="00E11A7D"/>
    <w:rsid w:val="00E11AF3"/>
    <w:rsid w:val="00E11B0F"/>
    <w:rsid w:val="00E11B2C"/>
    <w:rsid w:val="00E11BE3"/>
    <w:rsid w:val="00E11CCB"/>
    <w:rsid w:val="00E11CFA"/>
    <w:rsid w:val="00E11DA2"/>
    <w:rsid w:val="00E11E2C"/>
    <w:rsid w:val="00E11E59"/>
    <w:rsid w:val="00E11F35"/>
    <w:rsid w:val="00E11F57"/>
    <w:rsid w:val="00E11FB2"/>
    <w:rsid w:val="00E11FDD"/>
    <w:rsid w:val="00E1206C"/>
    <w:rsid w:val="00E120D8"/>
    <w:rsid w:val="00E1214F"/>
    <w:rsid w:val="00E12254"/>
    <w:rsid w:val="00E12287"/>
    <w:rsid w:val="00E122E1"/>
    <w:rsid w:val="00E1231F"/>
    <w:rsid w:val="00E1238B"/>
    <w:rsid w:val="00E123A1"/>
    <w:rsid w:val="00E123DA"/>
    <w:rsid w:val="00E123E4"/>
    <w:rsid w:val="00E12405"/>
    <w:rsid w:val="00E124D4"/>
    <w:rsid w:val="00E12606"/>
    <w:rsid w:val="00E1266A"/>
    <w:rsid w:val="00E12A14"/>
    <w:rsid w:val="00E12B7E"/>
    <w:rsid w:val="00E12B8C"/>
    <w:rsid w:val="00E12B90"/>
    <w:rsid w:val="00E12C8C"/>
    <w:rsid w:val="00E12D39"/>
    <w:rsid w:val="00E12D76"/>
    <w:rsid w:val="00E12D7A"/>
    <w:rsid w:val="00E12E43"/>
    <w:rsid w:val="00E12E8C"/>
    <w:rsid w:val="00E12EC2"/>
    <w:rsid w:val="00E12F72"/>
    <w:rsid w:val="00E13026"/>
    <w:rsid w:val="00E13038"/>
    <w:rsid w:val="00E130ED"/>
    <w:rsid w:val="00E1316A"/>
    <w:rsid w:val="00E132F7"/>
    <w:rsid w:val="00E133F7"/>
    <w:rsid w:val="00E136D3"/>
    <w:rsid w:val="00E137B1"/>
    <w:rsid w:val="00E137BD"/>
    <w:rsid w:val="00E1380D"/>
    <w:rsid w:val="00E138A9"/>
    <w:rsid w:val="00E139DF"/>
    <w:rsid w:val="00E13A7E"/>
    <w:rsid w:val="00E13AB4"/>
    <w:rsid w:val="00E13D84"/>
    <w:rsid w:val="00E13D88"/>
    <w:rsid w:val="00E13DAC"/>
    <w:rsid w:val="00E13E50"/>
    <w:rsid w:val="00E14081"/>
    <w:rsid w:val="00E1419F"/>
    <w:rsid w:val="00E14213"/>
    <w:rsid w:val="00E14272"/>
    <w:rsid w:val="00E1439C"/>
    <w:rsid w:val="00E1442A"/>
    <w:rsid w:val="00E144DC"/>
    <w:rsid w:val="00E14550"/>
    <w:rsid w:val="00E145CC"/>
    <w:rsid w:val="00E1460D"/>
    <w:rsid w:val="00E146D0"/>
    <w:rsid w:val="00E14758"/>
    <w:rsid w:val="00E1475E"/>
    <w:rsid w:val="00E1476D"/>
    <w:rsid w:val="00E148B3"/>
    <w:rsid w:val="00E148CF"/>
    <w:rsid w:val="00E14914"/>
    <w:rsid w:val="00E149E6"/>
    <w:rsid w:val="00E149F0"/>
    <w:rsid w:val="00E14A09"/>
    <w:rsid w:val="00E14A34"/>
    <w:rsid w:val="00E14B70"/>
    <w:rsid w:val="00E14BAF"/>
    <w:rsid w:val="00E14BD2"/>
    <w:rsid w:val="00E14BF1"/>
    <w:rsid w:val="00E14C55"/>
    <w:rsid w:val="00E14E6D"/>
    <w:rsid w:val="00E14EF4"/>
    <w:rsid w:val="00E14F4F"/>
    <w:rsid w:val="00E150CC"/>
    <w:rsid w:val="00E1511D"/>
    <w:rsid w:val="00E1513D"/>
    <w:rsid w:val="00E15142"/>
    <w:rsid w:val="00E1515C"/>
    <w:rsid w:val="00E15168"/>
    <w:rsid w:val="00E15231"/>
    <w:rsid w:val="00E15396"/>
    <w:rsid w:val="00E153BE"/>
    <w:rsid w:val="00E15561"/>
    <w:rsid w:val="00E15743"/>
    <w:rsid w:val="00E15780"/>
    <w:rsid w:val="00E157CA"/>
    <w:rsid w:val="00E158CA"/>
    <w:rsid w:val="00E15944"/>
    <w:rsid w:val="00E15B3A"/>
    <w:rsid w:val="00E15B8C"/>
    <w:rsid w:val="00E15BF8"/>
    <w:rsid w:val="00E15C32"/>
    <w:rsid w:val="00E15C79"/>
    <w:rsid w:val="00E15CA6"/>
    <w:rsid w:val="00E16076"/>
    <w:rsid w:val="00E160D5"/>
    <w:rsid w:val="00E1612A"/>
    <w:rsid w:val="00E16202"/>
    <w:rsid w:val="00E1620D"/>
    <w:rsid w:val="00E16212"/>
    <w:rsid w:val="00E162E0"/>
    <w:rsid w:val="00E16300"/>
    <w:rsid w:val="00E16388"/>
    <w:rsid w:val="00E16488"/>
    <w:rsid w:val="00E164D9"/>
    <w:rsid w:val="00E16612"/>
    <w:rsid w:val="00E16B0E"/>
    <w:rsid w:val="00E16B2E"/>
    <w:rsid w:val="00E16B97"/>
    <w:rsid w:val="00E16C1C"/>
    <w:rsid w:val="00E16C37"/>
    <w:rsid w:val="00E16CAD"/>
    <w:rsid w:val="00E16D62"/>
    <w:rsid w:val="00E16E74"/>
    <w:rsid w:val="00E17141"/>
    <w:rsid w:val="00E1714B"/>
    <w:rsid w:val="00E17157"/>
    <w:rsid w:val="00E17233"/>
    <w:rsid w:val="00E172BF"/>
    <w:rsid w:val="00E172F3"/>
    <w:rsid w:val="00E17338"/>
    <w:rsid w:val="00E173F2"/>
    <w:rsid w:val="00E1751C"/>
    <w:rsid w:val="00E175D2"/>
    <w:rsid w:val="00E1774B"/>
    <w:rsid w:val="00E17768"/>
    <w:rsid w:val="00E177BA"/>
    <w:rsid w:val="00E177CF"/>
    <w:rsid w:val="00E17820"/>
    <w:rsid w:val="00E1787D"/>
    <w:rsid w:val="00E178CC"/>
    <w:rsid w:val="00E179F0"/>
    <w:rsid w:val="00E17AD8"/>
    <w:rsid w:val="00E17BDE"/>
    <w:rsid w:val="00E17C56"/>
    <w:rsid w:val="00E17DC8"/>
    <w:rsid w:val="00E17E55"/>
    <w:rsid w:val="00E17E81"/>
    <w:rsid w:val="00E17EFD"/>
    <w:rsid w:val="00E200A0"/>
    <w:rsid w:val="00E200A3"/>
    <w:rsid w:val="00E20181"/>
    <w:rsid w:val="00E20192"/>
    <w:rsid w:val="00E201E2"/>
    <w:rsid w:val="00E201FB"/>
    <w:rsid w:val="00E202A0"/>
    <w:rsid w:val="00E204F7"/>
    <w:rsid w:val="00E205CB"/>
    <w:rsid w:val="00E205DC"/>
    <w:rsid w:val="00E2069F"/>
    <w:rsid w:val="00E2071E"/>
    <w:rsid w:val="00E20787"/>
    <w:rsid w:val="00E2078B"/>
    <w:rsid w:val="00E208C8"/>
    <w:rsid w:val="00E2095C"/>
    <w:rsid w:val="00E20AB1"/>
    <w:rsid w:val="00E20BA9"/>
    <w:rsid w:val="00E20CE3"/>
    <w:rsid w:val="00E20E1A"/>
    <w:rsid w:val="00E20FE6"/>
    <w:rsid w:val="00E21180"/>
    <w:rsid w:val="00E21217"/>
    <w:rsid w:val="00E2131F"/>
    <w:rsid w:val="00E21393"/>
    <w:rsid w:val="00E21398"/>
    <w:rsid w:val="00E21453"/>
    <w:rsid w:val="00E21477"/>
    <w:rsid w:val="00E2157E"/>
    <w:rsid w:val="00E21666"/>
    <w:rsid w:val="00E216DC"/>
    <w:rsid w:val="00E21702"/>
    <w:rsid w:val="00E21871"/>
    <w:rsid w:val="00E21955"/>
    <w:rsid w:val="00E21ACA"/>
    <w:rsid w:val="00E21D19"/>
    <w:rsid w:val="00E21DED"/>
    <w:rsid w:val="00E21EF5"/>
    <w:rsid w:val="00E21F22"/>
    <w:rsid w:val="00E21FDE"/>
    <w:rsid w:val="00E220BC"/>
    <w:rsid w:val="00E220BF"/>
    <w:rsid w:val="00E221FF"/>
    <w:rsid w:val="00E223F4"/>
    <w:rsid w:val="00E224AA"/>
    <w:rsid w:val="00E225DE"/>
    <w:rsid w:val="00E22785"/>
    <w:rsid w:val="00E227F0"/>
    <w:rsid w:val="00E22821"/>
    <w:rsid w:val="00E2282E"/>
    <w:rsid w:val="00E2285F"/>
    <w:rsid w:val="00E228A3"/>
    <w:rsid w:val="00E228B8"/>
    <w:rsid w:val="00E22A3B"/>
    <w:rsid w:val="00E22A50"/>
    <w:rsid w:val="00E22D55"/>
    <w:rsid w:val="00E22E34"/>
    <w:rsid w:val="00E22E47"/>
    <w:rsid w:val="00E22E7A"/>
    <w:rsid w:val="00E22EA3"/>
    <w:rsid w:val="00E22F27"/>
    <w:rsid w:val="00E2303E"/>
    <w:rsid w:val="00E23100"/>
    <w:rsid w:val="00E2310E"/>
    <w:rsid w:val="00E23223"/>
    <w:rsid w:val="00E23273"/>
    <w:rsid w:val="00E232ED"/>
    <w:rsid w:val="00E233CA"/>
    <w:rsid w:val="00E2349A"/>
    <w:rsid w:val="00E23970"/>
    <w:rsid w:val="00E23A6D"/>
    <w:rsid w:val="00E23AC2"/>
    <w:rsid w:val="00E23AE8"/>
    <w:rsid w:val="00E23B26"/>
    <w:rsid w:val="00E23BEF"/>
    <w:rsid w:val="00E23C98"/>
    <w:rsid w:val="00E23CEF"/>
    <w:rsid w:val="00E23D69"/>
    <w:rsid w:val="00E23DCA"/>
    <w:rsid w:val="00E23E39"/>
    <w:rsid w:val="00E23FD8"/>
    <w:rsid w:val="00E24051"/>
    <w:rsid w:val="00E24081"/>
    <w:rsid w:val="00E2425A"/>
    <w:rsid w:val="00E242F2"/>
    <w:rsid w:val="00E243A6"/>
    <w:rsid w:val="00E244B6"/>
    <w:rsid w:val="00E24603"/>
    <w:rsid w:val="00E2460C"/>
    <w:rsid w:val="00E24651"/>
    <w:rsid w:val="00E246AF"/>
    <w:rsid w:val="00E24737"/>
    <w:rsid w:val="00E24971"/>
    <w:rsid w:val="00E249EB"/>
    <w:rsid w:val="00E24A42"/>
    <w:rsid w:val="00E24C78"/>
    <w:rsid w:val="00E24CDD"/>
    <w:rsid w:val="00E24D6D"/>
    <w:rsid w:val="00E24EEC"/>
    <w:rsid w:val="00E24F40"/>
    <w:rsid w:val="00E24FF9"/>
    <w:rsid w:val="00E2516B"/>
    <w:rsid w:val="00E251E9"/>
    <w:rsid w:val="00E25204"/>
    <w:rsid w:val="00E25248"/>
    <w:rsid w:val="00E25251"/>
    <w:rsid w:val="00E25275"/>
    <w:rsid w:val="00E252DA"/>
    <w:rsid w:val="00E252F7"/>
    <w:rsid w:val="00E253AE"/>
    <w:rsid w:val="00E254B5"/>
    <w:rsid w:val="00E254DE"/>
    <w:rsid w:val="00E25513"/>
    <w:rsid w:val="00E255F4"/>
    <w:rsid w:val="00E2565F"/>
    <w:rsid w:val="00E256BA"/>
    <w:rsid w:val="00E256BE"/>
    <w:rsid w:val="00E256FE"/>
    <w:rsid w:val="00E257A0"/>
    <w:rsid w:val="00E257BD"/>
    <w:rsid w:val="00E25847"/>
    <w:rsid w:val="00E25851"/>
    <w:rsid w:val="00E25887"/>
    <w:rsid w:val="00E259C6"/>
    <w:rsid w:val="00E25B96"/>
    <w:rsid w:val="00E25BF5"/>
    <w:rsid w:val="00E25C24"/>
    <w:rsid w:val="00E25CF3"/>
    <w:rsid w:val="00E25D73"/>
    <w:rsid w:val="00E25DC6"/>
    <w:rsid w:val="00E25DEB"/>
    <w:rsid w:val="00E25E91"/>
    <w:rsid w:val="00E25E92"/>
    <w:rsid w:val="00E25F35"/>
    <w:rsid w:val="00E25FAB"/>
    <w:rsid w:val="00E2600F"/>
    <w:rsid w:val="00E26083"/>
    <w:rsid w:val="00E26122"/>
    <w:rsid w:val="00E26156"/>
    <w:rsid w:val="00E262A6"/>
    <w:rsid w:val="00E26395"/>
    <w:rsid w:val="00E26443"/>
    <w:rsid w:val="00E264B3"/>
    <w:rsid w:val="00E264D6"/>
    <w:rsid w:val="00E2656D"/>
    <w:rsid w:val="00E265C6"/>
    <w:rsid w:val="00E2660E"/>
    <w:rsid w:val="00E26645"/>
    <w:rsid w:val="00E267C1"/>
    <w:rsid w:val="00E26836"/>
    <w:rsid w:val="00E26A8B"/>
    <w:rsid w:val="00E26B99"/>
    <w:rsid w:val="00E26BF6"/>
    <w:rsid w:val="00E26D71"/>
    <w:rsid w:val="00E26DCA"/>
    <w:rsid w:val="00E26F25"/>
    <w:rsid w:val="00E26F6C"/>
    <w:rsid w:val="00E26FD4"/>
    <w:rsid w:val="00E2704D"/>
    <w:rsid w:val="00E270C1"/>
    <w:rsid w:val="00E27147"/>
    <w:rsid w:val="00E27163"/>
    <w:rsid w:val="00E271CC"/>
    <w:rsid w:val="00E27338"/>
    <w:rsid w:val="00E27408"/>
    <w:rsid w:val="00E27491"/>
    <w:rsid w:val="00E274A9"/>
    <w:rsid w:val="00E274D0"/>
    <w:rsid w:val="00E27510"/>
    <w:rsid w:val="00E27512"/>
    <w:rsid w:val="00E27537"/>
    <w:rsid w:val="00E275A7"/>
    <w:rsid w:val="00E275C6"/>
    <w:rsid w:val="00E27624"/>
    <w:rsid w:val="00E27633"/>
    <w:rsid w:val="00E27808"/>
    <w:rsid w:val="00E2784C"/>
    <w:rsid w:val="00E27A06"/>
    <w:rsid w:val="00E27A9B"/>
    <w:rsid w:val="00E27ACB"/>
    <w:rsid w:val="00E27B3C"/>
    <w:rsid w:val="00E27BE1"/>
    <w:rsid w:val="00E27CC4"/>
    <w:rsid w:val="00E27D1C"/>
    <w:rsid w:val="00E27D1F"/>
    <w:rsid w:val="00E27D66"/>
    <w:rsid w:val="00E27EC2"/>
    <w:rsid w:val="00E27F09"/>
    <w:rsid w:val="00E27F20"/>
    <w:rsid w:val="00E3005A"/>
    <w:rsid w:val="00E301A3"/>
    <w:rsid w:val="00E302E3"/>
    <w:rsid w:val="00E30350"/>
    <w:rsid w:val="00E3038C"/>
    <w:rsid w:val="00E303C1"/>
    <w:rsid w:val="00E303CC"/>
    <w:rsid w:val="00E30429"/>
    <w:rsid w:val="00E30567"/>
    <w:rsid w:val="00E305FF"/>
    <w:rsid w:val="00E306E8"/>
    <w:rsid w:val="00E30722"/>
    <w:rsid w:val="00E30729"/>
    <w:rsid w:val="00E3074E"/>
    <w:rsid w:val="00E3085A"/>
    <w:rsid w:val="00E308B4"/>
    <w:rsid w:val="00E3097E"/>
    <w:rsid w:val="00E30BB2"/>
    <w:rsid w:val="00E30C3A"/>
    <w:rsid w:val="00E30D2B"/>
    <w:rsid w:val="00E30D6A"/>
    <w:rsid w:val="00E30D6C"/>
    <w:rsid w:val="00E30D77"/>
    <w:rsid w:val="00E30E3F"/>
    <w:rsid w:val="00E30FDF"/>
    <w:rsid w:val="00E3108F"/>
    <w:rsid w:val="00E31097"/>
    <w:rsid w:val="00E31198"/>
    <w:rsid w:val="00E311FB"/>
    <w:rsid w:val="00E31212"/>
    <w:rsid w:val="00E31482"/>
    <w:rsid w:val="00E31491"/>
    <w:rsid w:val="00E3156B"/>
    <w:rsid w:val="00E31638"/>
    <w:rsid w:val="00E31682"/>
    <w:rsid w:val="00E316DA"/>
    <w:rsid w:val="00E3180E"/>
    <w:rsid w:val="00E3183A"/>
    <w:rsid w:val="00E318A3"/>
    <w:rsid w:val="00E31923"/>
    <w:rsid w:val="00E31A44"/>
    <w:rsid w:val="00E31AE3"/>
    <w:rsid w:val="00E31CB1"/>
    <w:rsid w:val="00E31D0E"/>
    <w:rsid w:val="00E31D36"/>
    <w:rsid w:val="00E31E9F"/>
    <w:rsid w:val="00E31F63"/>
    <w:rsid w:val="00E31FC8"/>
    <w:rsid w:val="00E31FCE"/>
    <w:rsid w:val="00E320F9"/>
    <w:rsid w:val="00E3215B"/>
    <w:rsid w:val="00E3218C"/>
    <w:rsid w:val="00E321C8"/>
    <w:rsid w:val="00E3225E"/>
    <w:rsid w:val="00E3237D"/>
    <w:rsid w:val="00E3244D"/>
    <w:rsid w:val="00E32507"/>
    <w:rsid w:val="00E32591"/>
    <w:rsid w:val="00E325D3"/>
    <w:rsid w:val="00E32683"/>
    <w:rsid w:val="00E3276E"/>
    <w:rsid w:val="00E327DC"/>
    <w:rsid w:val="00E329D7"/>
    <w:rsid w:val="00E329FC"/>
    <w:rsid w:val="00E32A10"/>
    <w:rsid w:val="00E32B24"/>
    <w:rsid w:val="00E32C74"/>
    <w:rsid w:val="00E32C7A"/>
    <w:rsid w:val="00E32D11"/>
    <w:rsid w:val="00E32D8F"/>
    <w:rsid w:val="00E32DC4"/>
    <w:rsid w:val="00E32DF6"/>
    <w:rsid w:val="00E32E12"/>
    <w:rsid w:val="00E32E95"/>
    <w:rsid w:val="00E32EB6"/>
    <w:rsid w:val="00E32FA0"/>
    <w:rsid w:val="00E32FF0"/>
    <w:rsid w:val="00E32FF4"/>
    <w:rsid w:val="00E3300C"/>
    <w:rsid w:val="00E332DE"/>
    <w:rsid w:val="00E33301"/>
    <w:rsid w:val="00E33376"/>
    <w:rsid w:val="00E3337D"/>
    <w:rsid w:val="00E33431"/>
    <w:rsid w:val="00E33506"/>
    <w:rsid w:val="00E33526"/>
    <w:rsid w:val="00E3354C"/>
    <w:rsid w:val="00E3357E"/>
    <w:rsid w:val="00E335EB"/>
    <w:rsid w:val="00E3363A"/>
    <w:rsid w:val="00E3365B"/>
    <w:rsid w:val="00E3368E"/>
    <w:rsid w:val="00E3369A"/>
    <w:rsid w:val="00E3396B"/>
    <w:rsid w:val="00E33A32"/>
    <w:rsid w:val="00E33B42"/>
    <w:rsid w:val="00E33DCB"/>
    <w:rsid w:val="00E33DE2"/>
    <w:rsid w:val="00E33E29"/>
    <w:rsid w:val="00E33E7E"/>
    <w:rsid w:val="00E33FF5"/>
    <w:rsid w:val="00E340BC"/>
    <w:rsid w:val="00E3415A"/>
    <w:rsid w:val="00E34210"/>
    <w:rsid w:val="00E3423A"/>
    <w:rsid w:val="00E3425E"/>
    <w:rsid w:val="00E3431A"/>
    <w:rsid w:val="00E343EC"/>
    <w:rsid w:val="00E34407"/>
    <w:rsid w:val="00E3441A"/>
    <w:rsid w:val="00E34422"/>
    <w:rsid w:val="00E34489"/>
    <w:rsid w:val="00E344D0"/>
    <w:rsid w:val="00E3452C"/>
    <w:rsid w:val="00E34537"/>
    <w:rsid w:val="00E3458B"/>
    <w:rsid w:val="00E345B9"/>
    <w:rsid w:val="00E3473B"/>
    <w:rsid w:val="00E3497E"/>
    <w:rsid w:val="00E34A55"/>
    <w:rsid w:val="00E34A75"/>
    <w:rsid w:val="00E34B85"/>
    <w:rsid w:val="00E34C04"/>
    <w:rsid w:val="00E34D3B"/>
    <w:rsid w:val="00E34E1F"/>
    <w:rsid w:val="00E34E8E"/>
    <w:rsid w:val="00E34F1B"/>
    <w:rsid w:val="00E34F93"/>
    <w:rsid w:val="00E3508A"/>
    <w:rsid w:val="00E351CE"/>
    <w:rsid w:val="00E351F5"/>
    <w:rsid w:val="00E352C3"/>
    <w:rsid w:val="00E35324"/>
    <w:rsid w:val="00E3532F"/>
    <w:rsid w:val="00E35386"/>
    <w:rsid w:val="00E353BE"/>
    <w:rsid w:val="00E354B9"/>
    <w:rsid w:val="00E356EB"/>
    <w:rsid w:val="00E35753"/>
    <w:rsid w:val="00E357C0"/>
    <w:rsid w:val="00E358DF"/>
    <w:rsid w:val="00E35A2B"/>
    <w:rsid w:val="00E35A49"/>
    <w:rsid w:val="00E35A58"/>
    <w:rsid w:val="00E35A87"/>
    <w:rsid w:val="00E35A89"/>
    <w:rsid w:val="00E35BA0"/>
    <w:rsid w:val="00E35CCF"/>
    <w:rsid w:val="00E35D1F"/>
    <w:rsid w:val="00E35DD9"/>
    <w:rsid w:val="00E35E31"/>
    <w:rsid w:val="00E35EBA"/>
    <w:rsid w:val="00E35F55"/>
    <w:rsid w:val="00E35FD5"/>
    <w:rsid w:val="00E36003"/>
    <w:rsid w:val="00E36043"/>
    <w:rsid w:val="00E360CE"/>
    <w:rsid w:val="00E3611C"/>
    <w:rsid w:val="00E362F2"/>
    <w:rsid w:val="00E363CD"/>
    <w:rsid w:val="00E3645F"/>
    <w:rsid w:val="00E36484"/>
    <w:rsid w:val="00E364C1"/>
    <w:rsid w:val="00E36777"/>
    <w:rsid w:val="00E36786"/>
    <w:rsid w:val="00E3678F"/>
    <w:rsid w:val="00E3686B"/>
    <w:rsid w:val="00E3689A"/>
    <w:rsid w:val="00E36990"/>
    <w:rsid w:val="00E369BA"/>
    <w:rsid w:val="00E36B1F"/>
    <w:rsid w:val="00E36C68"/>
    <w:rsid w:val="00E36D38"/>
    <w:rsid w:val="00E36DF1"/>
    <w:rsid w:val="00E36DFC"/>
    <w:rsid w:val="00E36E97"/>
    <w:rsid w:val="00E36ED9"/>
    <w:rsid w:val="00E36EF0"/>
    <w:rsid w:val="00E36F90"/>
    <w:rsid w:val="00E37216"/>
    <w:rsid w:val="00E3727D"/>
    <w:rsid w:val="00E3727E"/>
    <w:rsid w:val="00E3739B"/>
    <w:rsid w:val="00E373AA"/>
    <w:rsid w:val="00E3755C"/>
    <w:rsid w:val="00E375D8"/>
    <w:rsid w:val="00E375E8"/>
    <w:rsid w:val="00E375F0"/>
    <w:rsid w:val="00E375F8"/>
    <w:rsid w:val="00E3760F"/>
    <w:rsid w:val="00E3771C"/>
    <w:rsid w:val="00E37824"/>
    <w:rsid w:val="00E378D0"/>
    <w:rsid w:val="00E378EC"/>
    <w:rsid w:val="00E37928"/>
    <w:rsid w:val="00E37A03"/>
    <w:rsid w:val="00E37AAD"/>
    <w:rsid w:val="00E37AF4"/>
    <w:rsid w:val="00E37B05"/>
    <w:rsid w:val="00E37B54"/>
    <w:rsid w:val="00E37B6A"/>
    <w:rsid w:val="00E37BE6"/>
    <w:rsid w:val="00E37C61"/>
    <w:rsid w:val="00E37CC4"/>
    <w:rsid w:val="00E37CF7"/>
    <w:rsid w:val="00E37D4B"/>
    <w:rsid w:val="00E37E4D"/>
    <w:rsid w:val="00E37F2D"/>
    <w:rsid w:val="00E37FB1"/>
    <w:rsid w:val="00E4003D"/>
    <w:rsid w:val="00E4008D"/>
    <w:rsid w:val="00E40105"/>
    <w:rsid w:val="00E40121"/>
    <w:rsid w:val="00E40295"/>
    <w:rsid w:val="00E402F2"/>
    <w:rsid w:val="00E402FB"/>
    <w:rsid w:val="00E4041F"/>
    <w:rsid w:val="00E4042A"/>
    <w:rsid w:val="00E40460"/>
    <w:rsid w:val="00E40465"/>
    <w:rsid w:val="00E40474"/>
    <w:rsid w:val="00E40485"/>
    <w:rsid w:val="00E40494"/>
    <w:rsid w:val="00E40567"/>
    <w:rsid w:val="00E406F7"/>
    <w:rsid w:val="00E4079B"/>
    <w:rsid w:val="00E40818"/>
    <w:rsid w:val="00E4085A"/>
    <w:rsid w:val="00E408C1"/>
    <w:rsid w:val="00E409C6"/>
    <w:rsid w:val="00E40A46"/>
    <w:rsid w:val="00E40B13"/>
    <w:rsid w:val="00E40C0D"/>
    <w:rsid w:val="00E40C8D"/>
    <w:rsid w:val="00E40C90"/>
    <w:rsid w:val="00E40DB5"/>
    <w:rsid w:val="00E40DE7"/>
    <w:rsid w:val="00E40E05"/>
    <w:rsid w:val="00E40FFF"/>
    <w:rsid w:val="00E41166"/>
    <w:rsid w:val="00E41191"/>
    <w:rsid w:val="00E41271"/>
    <w:rsid w:val="00E41287"/>
    <w:rsid w:val="00E412C7"/>
    <w:rsid w:val="00E412FF"/>
    <w:rsid w:val="00E4137C"/>
    <w:rsid w:val="00E4156C"/>
    <w:rsid w:val="00E41658"/>
    <w:rsid w:val="00E416FE"/>
    <w:rsid w:val="00E417A0"/>
    <w:rsid w:val="00E417B5"/>
    <w:rsid w:val="00E417CF"/>
    <w:rsid w:val="00E41877"/>
    <w:rsid w:val="00E41909"/>
    <w:rsid w:val="00E41990"/>
    <w:rsid w:val="00E419DF"/>
    <w:rsid w:val="00E41A61"/>
    <w:rsid w:val="00E41A8C"/>
    <w:rsid w:val="00E41ACD"/>
    <w:rsid w:val="00E41AF1"/>
    <w:rsid w:val="00E41B9C"/>
    <w:rsid w:val="00E41BC7"/>
    <w:rsid w:val="00E41D0F"/>
    <w:rsid w:val="00E41D3E"/>
    <w:rsid w:val="00E41DFB"/>
    <w:rsid w:val="00E41E60"/>
    <w:rsid w:val="00E41E6E"/>
    <w:rsid w:val="00E42065"/>
    <w:rsid w:val="00E42083"/>
    <w:rsid w:val="00E42095"/>
    <w:rsid w:val="00E42162"/>
    <w:rsid w:val="00E42347"/>
    <w:rsid w:val="00E4235A"/>
    <w:rsid w:val="00E42366"/>
    <w:rsid w:val="00E423F5"/>
    <w:rsid w:val="00E42427"/>
    <w:rsid w:val="00E4247D"/>
    <w:rsid w:val="00E424F9"/>
    <w:rsid w:val="00E42503"/>
    <w:rsid w:val="00E42549"/>
    <w:rsid w:val="00E4272C"/>
    <w:rsid w:val="00E427F3"/>
    <w:rsid w:val="00E42941"/>
    <w:rsid w:val="00E42A57"/>
    <w:rsid w:val="00E42A63"/>
    <w:rsid w:val="00E42A87"/>
    <w:rsid w:val="00E42D66"/>
    <w:rsid w:val="00E42DC7"/>
    <w:rsid w:val="00E42EBE"/>
    <w:rsid w:val="00E42F5A"/>
    <w:rsid w:val="00E42F9C"/>
    <w:rsid w:val="00E42FA0"/>
    <w:rsid w:val="00E42FC7"/>
    <w:rsid w:val="00E42FFF"/>
    <w:rsid w:val="00E43036"/>
    <w:rsid w:val="00E43080"/>
    <w:rsid w:val="00E43093"/>
    <w:rsid w:val="00E430A0"/>
    <w:rsid w:val="00E4314F"/>
    <w:rsid w:val="00E43250"/>
    <w:rsid w:val="00E432E2"/>
    <w:rsid w:val="00E434AB"/>
    <w:rsid w:val="00E434DF"/>
    <w:rsid w:val="00E4350D"/>
    <w:rsid w:val="00E4358A"/>
    <w:rsid w:val="00E435DF"/>
    <w:rsid w:val="00E4366A"/>
    <w:rsid w:val="00E43675"/>
    <w:rsid w:val="00E43743"/>
    <w:rsid w:val="00E43908"/>
    <w:rsid w:val="00E4398F"/>
    <w:rsid w:val="00E439A0"/>
    <w:rsid w:val="00E43AF9"/>
    <w:rsid w:val="00E43B65"/>
    <w:rsid w:val="00E43D49"/>
    <w:rsid w:val="00E43D65"/>
    <w:rsid w:val="00E43DB3"/>
    <w:rsid w:val="00E43E2E"/>
    <w:rsid w:val="00E43E5B"/>
    <w:rsid w:val="00E43E99"/>
    <w:rsid w:val="00E43EA8"/>
    <w:rsid w:val="00E43EE5"/>
    <w:rsid w:val="00E43FBB"/>
    <w:rsid w:val="00E43FE0"/>
    <w:rsid w:val="00E44014"/>
    <w:rsid w:val="00E440BC"/>
    <w:rsid w:val="00E44123"/>
    <w:rsid w:val="00E44172"/>
    <w:rsid w:val="00E4419A"/>
    <w:rsid w:val="00E441D2"/>
    <w:rsid w:val="00E44265"/>
    <w:rsid w:val="00E44483"/>
    <w:rsid w:val="00E444E1"/>
    <w:rsid w:val="00E44505"/>
    <w:rsid w:val="00E44541"/>
    <w:rsid w:val="00E44583"/>
    <w:rsid w:val="00E445EC"/>
    <w:rsid w:val="00E446EF"/>
    <w:rsid w:val="00E44744"/>
    <w:rsid w:val="00E448A6"/>
    <w:rsid w:val="00E448FC"/>
    <w:rsid w:val="00E44985"/>
    <w:rsid w:val="00E449AE"/>
    <w:rsid w:val="00E44A32"/>
    <w:rsid w:val="00E44AC2"/>
    <w:rsid w:val="00E44B54"/>
    <w:rsid w:val="00E44B78"/>
    <w:rsid w:val="00E44B92"/>
    <w:rsid w:val="00E44C2B"/>
    <w:rsid w:val="00E44F6F"/>
    <w:rsid w:val="00E44F75"/>
    <w:rsid w:val="00E44FC4"/>
    <w:rsid w:val="00E4501A"/>
    <w:rsid w:val="00E45102"/>
    <w:rsid w:val="00E45176"/>
    <w:rsid w:val="00E4526E"/>
    <w:rsid w:val="00E4542C"/>
    <w:rsid w:val="00E4543A"/>
    <w:rsid w:val="00E45460"/>
    <w:rsid w:val="00E454F1"/>
    <w:rsid w:val="00E45609"/>
    <w:rsid w:val="00E4560A"/>
    <w:rsid w:val="00E45656"/>
    <w:rsid w:val="00E456C1"/>
    <w:rsid w:val="00E456CD"/>
    <w:rsid w:val="00E45712"/>
    <w:rsid w:val="00E45787"/>
    <w:rsid w:val="00E45941"/>
    <w:rsid w:val="00E459CF"/>
    <w:rsid w:val="00E45A19"/>
    <w:rsid w:val="00E45B46"/>
    <w:rsid w:val="00E45D3D"/>
    <w:rsid w:val="00E45DCC"/>
    <w:rsid w:val="00E45EAA"/>
    <w:rsid w:val="00E45F84"/>
    <w:rsid w:val="00E45FBB"/>
    <w:rsid w:val="00E460C0"/>
    <w:rsid w:val="00E46127"/>
    <w:rsid w:val="00E461B8"/>
    <w:rsid w:val="00E4620E"/>
    <w:rsid w:val="00E46261"/>
    <w:rsid w:val="00E462C7"/>
    <w:rsid w:val="00E4633A"/>
    <w:rsid w:val="00E4634E"/>
    <w:rsid w:val="00E463B2"/>
    <w:rsid w:val="00E464A9"/>
    <w:rsid w:val="00E464D5"/>
    <w:rsid w:val="00E4651B"/>
    <w:rsid w:val="00E46572"/>
    <w:rsid w:val="00E46590"/>
    <w:rsid w:val="00E46593"/>
    <w:rsid w:val="00E4667E"/>
    <w:rsid w:val="00E4669F"/>
    <w:rsid w:val="00E46715"/>
    <w:rsid w:val="00E46892"/>
    <w:rsid w:val="00E468D3"/>
    <w:rsid w:val="00E46A01"/>
    <w:rsid w:val="00E46BC3"/>
    <w:rsid w:val="00E46BF7"/>
    <w:rsid w:val="00E46C6D"/>
    <w:rsid w:val="00E46C8E"/>
    <w:rsid w:val="00E46D85"/>
    <w:rsid w:val="00E46DE5"/>
    <w:rsid w:val="00E46E00"/>
    <w:rsid w:val="00E46F16"/>
    <w:rsid w:val="00E46F60"/>
    <w:rsid w:val="00E46FC4"/>
    <w:rsid w:val="00E47003"/>
    <w:rsid w:val="00E470B5"/>
    <w:rsid w:val="00E47114"/>
    <w:rsid w:val="00E47229"/>
    <w:rsid w:val="00E47344"/>
    <w:rsid w:val="00E473FB"/>
    <w:rsid w:val="00E47485"/>
    <w:rsid w:val="00E474C0"/>
    <w:rsid w:val="00E47501"/>
    <w:rsid w:val="00E4753B"/>
    <w:rsid w:val="00E475A0"/>
    <w:rsid w:val="00E4762A"/>
    <w:rsid w:val="00E4770C"/>
    <w:rsid w:val="00E4770F"/>
    <w:rsid w:val="00E47830"/>
    <w:rsid w:val="00E47868"/>
    <w:rsid w:val="00E478B2"/>
    <w:rsid w:val="00E47B0B"/>
    <w:rsid w:val="00E47B21"/>
    <w:rsid w:val="00E47B4A"/>
    <w:rsid w:val="00E47B52"/>
    <w:rsid w:val="00E47B8D"/>
    <w:rsid w:val="00E47BFC"/>
    <w:rsid w:val="00E47C83"/>
    <w:rsid w:val="00E47C8B"/>
    <w:rsid w:val="00E47C97"/>
    <w:rsid w:val="00E47DD6"/>
    <w:rsid w:val="00E47DFA"/>
    <w:rsid w:val="00E47E16"/>
    <w:rsid w:val="00E47ECC"/>
    <w:rsid w:val="00E47F90"/>
    <w:rsid w:val="00E50019"/>
    <w:rsid w:val="00E50067"/>
    <w:rsid w:val="00E500E8"/>
    <w:rsid w:val="00E5016C"/>
    <w:rsid w:val="00E5019A"/>
    <w:rsid w:val="00E502C1"/>
    <w:rsid w:val="00E5035C"/>
    <w:rsid w:val="00E503E0"/>
    <w:rsid w:val="00E503FA"/>
    <w:rsid w:val="00E5047F"/>
    <w:rsid w:val="00E504A5"/>
    <w:rsid w:val="00E5053B"/>
    <w:rsid w:val="00E5063A"/>
    <w:rsid w:val="00E50663"/>
    <w:rsid w:val="00E5079F"/>
    <w:rsid w:val="00E5085E"/>
    <w:rsid w:val="00E508E1"/>
    <w:rsid w:val="00E5094F"/>
    <w:rsid w:val="00E50A04"/>
    <w:rsid w:val="00E50AE8"/>
    <w:rsid w:val="00E50BC1"/>
    <w:rsid w:val="00E50C62"/>
    <w:rsid w:val="00E50CD0"/>
    <w:rsid w:val="00E50D79"/>
    <w:rsid w:val="00E50F4A"/>
    <w:rsid w:val="00E50F85"/>
    <w:rsid w:val="00E511B3"/>
    <w:rsid w:val="00E511F3"/>
    <w:rsid w:val="00E512E1"/>
    <w:rsid w:val="00E513AC"/>
    <w:rsid w:val="00E513F1"/>
    <w:rsid w:val="00E51471"/>
    <w:rsid w:val="00E51597"/>
    <w:rsid w:val="00E515BD"/>
    <w:rsid w:val="00E515E8"/>
    <w:rsid w:val="00E51781"/>
    <w:rsid w:val="00E517CE"/>
    <w:rsid w:val="00E51866"/>
    <w:rsid w:val="00E51990"/>
    <w:rsid w:val="00E51ABE"/>
    <w:rsid w:val="00E51ACA"/>
    <w:rsid w:val="00E51AEC"/>
    <w:rsid w:val="00E51BDA"/>
    <w:rsid w:val="00E51C3E"/>
    <w:rsid w:val="00E51CA1"/>
    <w:rsid w:val="00E51CBB"/>
    <w:rsid w:val="00E51E68"/>
    <w:rsid w:val="00E51E6C"/>
    <w:rsid w:val="00E51EFD"/>
    <w:rsid w:val="00E5200B"/>
    <w:rsid w:val="00E520CD"/>
    <w:rsid w:val="00E520F0"/>
    <w:rsid w:val="00E52291"/>
    <w:rsid w:val="00E52416"/>
    <w:rsid w:val="00E5246E"/>
    <w:rsid w:val="00E52555"/>
    <w:rsid w:val="00E52629"/>
    <w:rsid w:val="00E526C8"/>
    <w:rsid w:val="00E52877"/>
    <w:rsid w:val="00E52AA2"/>
    <w:rsid w:val="00E52AC6"/>
    <w:rsid w:val="00E52AC8"/>
    <w:rsid w:val="00E52B09"/>
    <w:rsid w:val="00E52BEF"/>
    <w:rsid w:val="00E52CC0"/>
    <w:rsid w:val="00E52CEA"/>
    <w:rsid w:val="00E52DAB"/>
    <w:rsid w:val="00E52DF4"/>
    <w:rsid w:val="00E52E2A"/>
    <w:rsid w:val="00E52ED0"/>
    <w:rsid w:val="00E52F64"/>
    <w:rsid w:val="00E52FD2"/>
    <w:rsid w:val="00E52FE8"/>
    <w:rsid w:val="00E53157"/>
    <w:rsid w:val="00E5317D"/>
    <w:rsid w:val="00E5323C"/>
    <w:rsid w:val="00E53318"/>
    <w:rsid w:val="00E53379"/>
    <w:rsid w:val="00E5351E"/>
    <w:rsid w:val="00E535F6"/>
    <w:rsid w:val="00E53610"/>
    <w:rsid w:val="00E5364A"/>
    <w:rsid w:val="00E53691"/>
    <w:rsid w:val="00E53696"/>
    <w:rsid w:val="00E536A8"/>
    <w:rsid w:val="00E538C3"/>
    <w:rsid w:val="00E538F9"/>
    <w:rsid w:val="00E53B87"/>
    <w:rsid w:val="00E53D17"/>
    <w:rsid w:val="00E53D1F"/>
    <w:rsid w:val="00E53D77"/>
    <w:rsid w:val="00E53E6F"/>
    <w:rsid w:val="00E53FFA"/>
    <w:rsid w:val="00E54024"/>
    <w:rsid w:val="00E540C5"/>
    <w:rsid w:val="00E5416C"/>
    <w:rsid w:val="00E541D6"/>
    <w:rsid w:val="00E54217"/>
    <w:rsid w:val="00E54435"/>
    <w:rsid w:val="00E544E2"/>
    <w:rsid w:val="00E5459E"/>
    <w:rsid w:val="00E5462D"/>
    <w:rsid w:val="00E54651"/>
    <w:rsid w:val="00E5468C"/>
    <w:rsid w:val="00E54757"/>
    <w:rsid w:val="00E547F9"/>
    <w:rsid w:val="00E54A51"/>
    <w:rsid w:val="00E54A80"/>
    <w:rsid w:val="00E54AB3"/>
    <w:rsid w:val="00E54AB8"/>
    <w:rsid w:val="00E54B5C"/>
    <w:rsid w:val="00E54C9E"/>
    <w:rsid w:val="00E54D2B"/>
    <w:rsid w:val="00E54D56"/>
    <w:rsid w:val="00E54DCA"/>
    <w:rsid w:val="00E54E79"/>
    <w:rsid w:val="00E54F5B"/>
    <w:rsid w:val="00E54F5C"/>
    <w:rsid w:val="00E54FC3"/>
    <w:rsid w:val="00E550AA"/>
    <w:rsid w:val="00E550C1"/>
    <w:rsid w:val="00E55185"/>
    <w:rsid w:val="00E551CE"/>
    <w:rsid w:val="00E551F4"/>
    <w:rsid w:val="00E55291"/>
    <w:rsid w:val="00E55380"/>
    <w:rsid w:val="00E55568"/>
    <w:rsid w:val="00E55583"/>
    <w:rsid w:val="00E55586"/>
    <w:rsid w:val="00E555F5"/>
    <w:rsid w:val="00E556C4"/>
    <w:rsid w:val="00E556FD"/>
    <w:rsid w:val="00E557C2"/>
    <w:rsid w:val="00E55834"/>
    <w:rsid w:val="00E558E9"/>
    <w:rsid w:val="00E5591E"/>
    <w:rsid w:val="00E5593E"/>
    <w:rsid w:val="00E559AF"/>
    <w:rsid w:val="00E55AF0"/>
    <w:rsid w:val="00E55B7B"/>
    <w:rsid w:val="00E55BC0"/>
    <w:rsid w:val="00E55C9A"/>
    <w:rsid w:val="00E55DA0"/>
    <w:rsid w:val="00E55DE2"/>
    <w:rsid w:val="00E55E02"/>
    <w:rsid w:val="00E55E04"/>
    <w:rsid w:val="00E55E1B"/>
    <w:rsid w:val="00E55E37"/>
    <w:rsid w:val="00E55EEE"/>
    <w:rsid w:val="00E55F53"/>
    <w:rsid w:val="00E55F5B"/>
    <w:rsid w:val="00E55F83"/>
    <w:rsid w:val="00E55FC4"/>
    <w:rsid w:val="00E56108"/>
    <w:rsid w:val="00E56155"/>
    <w:rsid w:val="00E56163"/>
    <w:rsid w:val="00E561BB"/>
    <w:rsid w:val="00E56239"/>
    <w:rsid w:val="00E56288"/>
    <w:rsid w:val="00E5629C"/>
    <w:rsid w:val="00E562E7"/>
    <w:rsid w:val="00E5634F"/>
    <w:rsid w:val="00E56396"/>
    <w:rsid w:val="00E563EF"/>
    <w:rsid w:val="00E56446"/>
    <w:rsid w:val="00E56492"/>
    <w:rsid w:val="00E56637"/>
    <w:rsid w:val="00E566B3"/>
    <w:rsid w:val="00E56738"/>
    <w:rsid w:val="00E56784"/>
    <w:rsid w:val="00E56811"/>
    <w:rsid w:val="00E56814"/>
    <w:rsid w:val="00E56875"/>
    <w:rsid w:val="00E56984"/>
    <w:rsid w:val="00E56AD1"/>
    <w:rsid w:val="00E56BBD"/>
    <w:rsid w:val="00E56BCD"/>
    <w:rsid w:val="00E56E3A"/>
    <w:rsid w:val="00E56EAA"/>
    <w:rsid w:val="00E56EDF"/>
    <w:rsid w:val="00E570EA"/>
    <w:rsid w:val="00E57100"/>
    <w:rsid w:val="00E57149"/>
    <w:rsid w:val="00E57318"/>
    <w:rsid w:val="00E57320"/>
    <w:rsid w:val="00E5744C"/>
    <w:rsid w:val="00E574BA"/>
    <w:rsid w:val="00E576F0"/>
    <w:rsid w:val="00E577AB"/>
    <w:rsid w:val="00E57837"/>
    <w:rsid w:val="00E578B0"/>
    <w:rsid w:val="00E57951"/>
    <w:rsid w:val="00E57965"/>
    <w:rsid w:val="00E579AD"/>
    <w:rsid w:val="00E57A59"/>
    <w:rsid w:val="00E57AB8"/>
    <w:rsid w:val="00E57B89"/>
    <w:rsid w:val="00E57B94"/>
    <w:rsid w:val="00E57B95"/>
    <w:rsid w:val="00E57BBF"/>
    <w:rsid w:val="00E57C61"/>
    <w:rsid w:val="00E57C70"/>
    <w:rsid w:val="00E57CE1"/>
    <w:rsid w:val="00E57E49"/>
    <w:rsid w:val="00E57E9F"/>
    <w:rsid w:val="00E57EBC"/>
    <w:rsid w:val="00E60065"/>
    <w:rsid w:val="00E600CC"/>
    <w:rsid w:val="00E60158"/>
    <w:rsid w:val="00E601D7"/>
    <w:rsid w:val="00E60337"/>
    <w:rsid w:val="00E603A0"/>
    <w:rsid w:val="00E603E4"/>
    <w:rsid w:val="00E60533"/>
    <w:rsid w:val="00E60598"/>
    <w:rsid w:val="00E605FC"/>
    <w:rsid w:val="00E606E0"/>
    <w:rsid w:val="00E60784"/>
    <w:rsid w:val="00E60787"/>
    <w:rsid w:val="00E6078A"/>
    <w:rsid w:val="00E6078F"/>
    <w:rsid w:val="00E60B9A"/>
    <w:rsid w:val="00E60BA8"/>
    <w:rsid w:val="00E60BEB"/>
    <w:rsid w:val="00E60C74"/>
    <w:rsid w:val="00E60C76"/>
    <w:rsid w:val="00E60CC0"/>
    <w:rsid w:val="00E61018"/>
    <w:rsid w:val="00E61207"/>
    <w:rsid w:val="00E61214"/>
    <w:rsid w:val="00E61415"/>
    <w:rsid w:val="00E61427"/>
    <w:rsid w:val="00E615D3"/>
    <w:rsid w:val="00E615E9"/>
    <w:rsid w:val="00E6160D"/>
    <w:rsid w:val="00E61680"/>
    <w:rsid w:val="00E61691"/>
    <w:rsid w:val="00E61701"/>
    <w:rsid w:val="00E61888"/>
    <w:rsid w:val="00E6198A"/>
    <w:rsid w:val="00E619B9"/>
    <w:rsid w:val="00E619BE"/>
    <w:rsid w:val="00E61A32"/>
    <w:rsid w:val="00E61AED"/>
    <w:rsid w:val="00E61BB3"/>
    <w:rsid w:val="00E61C52"/>
    <w:rsid w:val="00E61C57"/>
    <w:rsid w:val="00E61C68"/>
    <w:rsid w:val="00E61CE5"/>
    <w:rsid w:val="00E61D96"/>
    <w:rsid w:val="00E61E49"/>
    <w:rsid w:val="00E61F44"/>
    <w:rsid w:val="00E61F86"/>
    <w:rsid w:val="00E6202B"/>
    <w:rsid w:val="00E62040"/>
    <w:rsid w:val="00E6204A"/>
    <w:rsid w:val="00E620B5"/>
    <w:rsid w:val="00E6210C"/>
    <w:rsid w:val="00E62276"/>
    <w:rsid w:val="00E62365"/>
    <w:rsid w:val="00E623DC"/>
    <w:rsid w:val="00E62406"/>
    <w:rsid w:val="00E62413"/>
    <w:rsid w:val="00E625D0"/>
    <w:rsid w:val="00E628BB"/>
    <w:rsid w:val="00E628BD"/>
    <w:rsid w:val="00E62919"/>
    <w:rsid w:val="00E62943"/>
    <w:rsid w:val="00E62AAC"/>
    <w:rsid w:val="00E62BB6"/>
    <w:rsid w:val="00E62C0B"/>
    <w:rsid w:val="00E62C53"/>
    <w:rsid w:val="00E62C5C"/>
    <w:rsid w:val="00E62CBD"/>
    <w:rsid w:val="00E62E6D"/>
    <w:rsid w:val="00E6315A"/>
    <w:rsid w:val="00E631CB"/>
    <w:rsid w:val="00E632A4"/>
    <w:rsid w:val="00E63477"/>
    <w:rsid w:val="00E6348C"/>
    <w:rsid w:val="00E63554"/>
    <w:rsid w:val="00E63646"/>
    <w:rsid w:val="00E63653"/>
    <w:rsid w:val="00E636AA"/>
    <w:rsid w:val="00E63766"/>
    <w:rsid w:val="00E637AB"/>
    <w:rsid w:val="00E637D7"/>
    <w:rsid w:val="00E63945"/>
    <w:rsid w:val="00E63A40"/>
    <w:rsid w:val="00E63A54"/>
    <w:rsid w:val="00E63AA3"/>
    <w:rsid w:val="00E63AA9"/>
    <w:rsid w:val="00E63ADF"/>
    <w:rsid w:val="00E63B37"/>
    <w:rsid w:val="00E63CEC"/>
    <w:rsid w:val="00E63DB0"/>
    <w:rsid w:val="00E63F08"/>
    <w:rsid w:val="00E63FDF"/>
    <w:rsid w:val="00E64166"/>
    <w:rsid w:val="00E643B8"/>
    <w:rsid w:val="00E643BD"/>
    <w:rsid w:val="00E64569"/>
    <w:rsid w:val="00E645B5"/>
    <w:rsid w:val="00E645D9"/>
    <w:rsid w:val="00E64614"/>
    <w:rsid w:val="00E646CF"/>
    <w:rsid w:val="00E6473B"/>
    <w:rsid w:val="00E64745"/>
    <w:rsid w:val="00E64978"/>
    <w:rsid w:val="00E64A84"/>
    <w:rsid w:val="00E64A9B"/>
    <w:rsid w:val="00E64AC9"/>
    <w:rsid w:val="00E64B32"/>
    <w:rsid w:val="00E64BCC"/>
    <w:rsid w:val="00E64BCE"/>
    <w:rsid w:val="00E64C3F"/>
    <w:rsid w:val="00E64D18"/>
    <w:rsid w:val="00E64D66"/>
    <w:rsid w:val="00E64D8E"/>
    <w:rsid w:val="00E64DA7"/>
    <w:rsid w:val="00E64DC8"/>
    <w:rsid w:val="00E64E5D"/>
    <w:rsid w:val="00E64F57"/>
    <w:rsid w:val="00E64FB8"/>
    <w:rsid w:val="00E64FE1"/>
    <w:rsid w:val="00E6514C"/>
    <w:rsid w:val="00E651BD"/>
    <w:rsid w:val="00E652DD"/>
    <w:rsid w:val="00E652F4"/>
    <w:rsid w:val="00E6533B"/>
    <w:rsid w:val="00E653CA"/>
    <w:rsid w:val="00E654C5"/>
    <w:rsid w:val="00E654EC"/>
    <w:rsid w:val="00E655A6"/>
    <w:rsid w:val="00E655C9"/>
    <w:rsid w:val="00E656D4"/>
    <w:rsid w:val="00E656FC"/>
    <w:rsid w:val="00E65736"/>
    <w:rsid w:val="00E65780"/>
    <w:rsid w:val="00E6578B"/>
    <w:rsid w:val="00E6578F"/>
    <w:rsid w:val="00E657E1"/>
    <w:rsid w:val="00E658D6"/>
    <w:rsid w:val="00E65999"/>
    <w:rsid w:val="00E65A28"/>
    <w:rsid w:val="00E65A4B"/>
    <w:rsid w:val="00E65A74"/>
    <w:rsid w:val="00E65AD1"/>
    <w:rsid w:val="00E65C75"/>
    <w:rsid w:val="00E65C98"/>
    <w:rsid w:val="00E65CBC"/>
    <w:rsid w:val="00E65D29"/>
    <w:rsid w:val="00E65D60"/>
    <w:rsid w:val="00E65D70"/>
    <w:rsid w:val="00E65E40"/>
    <w:rsid w:val="00E65F3B"/>
    <w:rsid w:val="00E66072"/>
    <w:rsid w:val="00E66089"/>
    <w:rsid w:val="00E6616F"/>
    <w:rsid w:val="00E66194"/>
    <w:rsid w:val="00E661A6"/>
    <w:rsid w:val="00E661AB"/>
    <w:rsid w:val="00E66238"/>
    <w:rsid w:val="00E662A6"/>
    <w:rsid w:val="00E662A7"/>
    <w:rsid w:val="00E66314"/>
    <w:rsid w:val="00E66365"/>
    <w:rsid w:val="00E6637E"/>
    <w:rsid w:val="00E6639B"/>
    <w:rsid w:val="00E664AD"/>
    <w:rsid w:val="00E664FF"/>
    <w:rsid w:val="00E666C3"/>
    <w:rsid w:val="00E666FD"/>
    <w:rsid w:val="00E66781"/>
    <w:rsid w:val="00E667F9"/>
    <w:rsid w:val="00E669BC"/>
    <w:rsid w:val="00E66A08"/>
    <w:rsid w:val="00E66A21"/>
    <w:rsid w:val="00E66A5A"/>
    <w:rsid w:val="00E66B99"/>
    <w:rsid w:val="00E66BD2"/>
    <w:rsid w:val="00E66CC2"/>
    <w:rsid w:val="00E66CFD"/>
    <w:rsid w:val="00E66D08"/>
    <w:rsid w:val="00E66D6F"/>
    <w:rsid w:val="00E66EB6"/>
    <w:rsid w:val="00E66EC6"/>
    <w:rsid w:val="00E66EE5"/>
    <w:rsid w:val="00E66EEB"/>
    <w:rsid w:val="00E67152"/>
    <w:rsid w:val="00E6720D"/>
    <w:rsid w:val="00E672C3"/>
    <w:rsid w:val="00E67355"/>
    <w:rsid w:val="00E673C7"/>
    <w:rsid w:val="00E674D8"/>
    <w:rsid w:val="00E6755C"/>
    <w:rsid w:val="00E67578"/>
    <w:rsid w:val="00E67705"/>
    <w:rsid w:val="00E67769"/>
    <w:rsid w:val="00E67820"/>
    <w:rsid w:val="00E67840"/>
    <w:rsid w:val="00E6786A"/>
    <w:rsid w:val="00E6787F"/>
    <w:rsid w:val="00E679E6"/>
    <w:rsid w:val="00E67A4C"/>
    <w:rsid w:val="00E67C57"/>
    <w:rsid w:val="00E67C6B"/>
    <w:rsid w:val="00E67C93"/>
    <w:rsid w:val="00E67D10"/>
    <w:rsid w:val="00E67D12"/>
    <w:rsid w:val="00E67D9A"/>
    <w:rsid w:val="00E67E03"/>
    <w:rsid w:val="00E67ECD"/>
    <w:rsid w:val="00E67F9F"/>
    <w:rsid w:val="00E7004E"/>
    <w:rsid w:val="00E70074"/>
    <w:rsid w:val="00E700F4"/>
    <w:rsid w:val="00E7019B"/>
    <w:rsid w:val="00E70255"/>
    <w:rsid w:val="00E70304"/>
    <w:rsid w:val="00E70351"/>
    <w:rsid w:val="00E7044F"/>
    <w:rsid w:val="00E704E6"/>
    <w:rsid w:val="00E705D6"/>
    <w:rsid w:val="00E7079A"/>
    <w:rsid w:val="00E7086B"/>
    <w:rsid w:val="00E708CA"/>
    <w:rsid w:val="00E70901"/>
    <w:rsid w:val="00E70968"/>
    <w:rsid w:val="00E70A90"/>
    <w:rsid w:val="00E70B09"/>
    <w:rsid w:val="00E70C90"/>
    <w:rsid w:val="00E70D1B"/>
    <w:rsid w:val="00E70D33"/>
    <w:rsid w:val="00E70D96"/>
    <w:rsid w:val="00E70E0A"/>
    <w:rsid w:val="00E70E2F"/>
    <w:rsid w:val="00E70F06"/>
    <w:rsid w:val="00E7124C"/>
    <w:rsid w:val="00E712C2"/>
    <w:rsid w:val="00E714E8"/>
    <w:rsid w:val="00E714F5"/>
    <w:rsid w:val="00E71611"/>
    <w:rsid w:val="00E71640"/>
    <w:rsid w:val="00E71742"/>
    <w:rsid w:val="00E7178C"/>
    <w:rsid w:val="00E717B2"/>
    <w:rsid w:val="00E71AD4"/>
    <w:rsid w:val="00E71BB7"/>
    <w:rsid w:val="00E71C2E"/>
    <w:rsid w:val="00E71CB5"/>
    <w:rsid w:val="00E71D49"/>
    <w:rsid w:val="00E71DA2"/>
    <w:rsid w:val="00E71E71"/>
    <w:rsid w:val="00E71F42"/>
    <w:rsid w:val="00E71F45"/>
    <w:rsid w:val="00E72069"/>
    <w:rsid w:val="00E72109"/>
    <w:rsid w:val="00E72128"/>
    <w:rsid w:val="00E72130"/>
    <w:rsid w:val="00E7215C"/>
    <w:rsid w:val="00E7222C"/>
    <w:rsid w:val="00E72271"/>
    <w:rsid w:val="00E72319"/>
    <w:rsid w:val="00E7234E"/>
    <w:rsid w:val="00E723DC"/>
    <w:rsid w:val="00E7248C"/>
    <w:rsid w:val="00E724F3"/>
    <w:rsid w:val="00E72559"/>
    <w:rsid w:val="00E7264B"/>
    <w:rsid w:val="00E72732"/>
    <w:rsid w:val="00E72737"/>
    <w:rsid w:val="00E727E5"/>
    <w:rsid w:val="00E728AA"/>
    <w:rsid w:val="00E72975"/>
    <w:rsid w:val="00E72A7C"/>
    <w:rsid w:val="00E72A9A"/>
    <w:rsid w:val="00E72B05"/>
    <w:rsid w:val="00E72B2C"/>
    <w:rsid w:val="00E72B8C"/>
    <w:rsid w:val="00E72BDF"/>
    <w:rsid w:val="00E72C05"/>
    <w:rsid w:val="00E72C83"/>
    <w:rsid w:val="00E72CD7"/>
    <w:rsid w:val="00E72D69"/>
    <w:rsid w:val="00E72D74"/>
    <w:rsid w:val="00E72E0B"/>
    <w:rsid w:val="00E72EAE"/>
    <w:rsid w:val="00E72EC6"/>
    <w:rsid w:val="00E72ECC"/>
    <w:rsid w:val="00E72F4D"/>
    <w:rsid w:val="00E72F7F"/>
    <w:rsid w:val="00E730EF"/>
    <w:rsid w:val="00E73121"/>
    <w:rsid w:val="00E7312A"/>
    <w:rsid w:val="00E73197"/>
    <w:rsid w:val="00E731BB"/>
    <w:rsid w:val="00E7322F"/>
    <w:rsid w:val="00E732F6"/>
    <w:rsid w:val="00E73361"/>
    <w:rsid w:val="00E733A5"/>
    <w:rsid w:val="00E73424"/>
    <w:rsid w:val="00E73458"/>
    <w:rsid w:val="00E73513"/>
    <w:rsid w:val="00E73519"/>
    <w:rsid w:val="00E738C8"/>
    <w:rsid w:val="00E73948"/>
    <w:rsid w:val="00E7395D"/>
    <w:rsid w:val="00E7399B"/>
    <w:rsid w:val="00E73B49"/>
    <w:rsid w:val="00E73CD1"/>
    <w:rsid w:val="00E73E06"/>
    <w:rsid w:val="00E73E5C"/>
    <w:rsid w:val="00E73EB9"/>
    <w:rsid w:val="00E73F42"/>
    <w:rsid w:val="00E73FEB"/>
    <w:rsid w:val="00E74071"/>
    <w:rsid w:val="00E740C1"/>
    <w:rsid w:val="00E740C8"/>
    <w:rsid w:val="00E74247"/>
    <w:rsid w:val="00E74307"/>
    <w:rsid w:val="00E7432E"/>
    <w:rsid w:val="00E743D4"/>
    <w:rsid w:val="00E7464E"/>
    <w:rsid w:val="00E746BD"/>
    <w:rsid w:val="00E746E1"/>
    <w:rsid w:val="00E74798"/>
    <w:rsid w:val="00E74811"/>
    <w:rsid w:val="00E74813"/>
    <w:rsid w:val="00E748D5"/>
    <w:rsid w:val="00E74923"/>
    <w:rsid w:val="00E749F7"/>
    <w:rsid w:val="00E74A6E"/>
    <w:rsid w:val="00E74A89"/>
    <w:rsid w:val="00E74BBE"/>
    <w:rsid w:val="00E74E68"/>
    <w:rsid w:val="00E74E7C"/>
    <w:rsid w:val="00E74F72"/>
    <w:rsid w:val="00E75103"/>
    <w:rsid w:val="00E75296"/>
    <w:rsid w:val="00E752B6"/>
    <w:rsid w:val="00E753FD"/>
    <w:rsid w:val="00E754BF"/>
    <w:rsid w:val="00E754F2"/>
    <w:rsid w:val="00E755FD"/>
    <w:rsid w:val="00E75683"/>
    <w:rsid w:val="00E7569B"/>
    <w:rsid w:val="00E756F7"/>
    <w:rsid w:val="00E75822"/>
    <w:rsid w:val="00E7586D"/>
    <w:rsid w:val="00E759FA"/>
    <w:rsid w:val="00E75AF2"/>
    <w:rsid w:val="00E75C4E"/>
    <w:rsid w:val="00E75E1C"/>
    <w:rsid w:val="00E75E3C"/>
    <w:rsid w:val="00E75FBC"/>
    <w:rsid w:val="00E760D1"/>
    <w:rsid w:val="00E761C5"/>
    <w:rsid w:val="00E761E4"/>
    <w:rsid w:val="00E761E5"/>
    <w:rsid w:val="00E762EB"/>
    <w:rsid w:val="00E76325"/>
    <w:rsid w:val="00E76514"/>
    <w:rsid w:val="00E76755"/>
    <w:rsid w:val="00E76822"/>
    <w:rsid w:val="00E768DD"/>
    <w:rsid w:val="00E7692E"/>
    <w:rsid w:val="00E76948"/>
    <w:rsid w:val="00E76B31"/>
    <w:rsid w:val="00E76B83"/>
    <w:rsid w:val="00E76DCF"/>
    <w:rsid w:val="00E76EE5"/>
    <w:rsid w:val="00E76F87"/>
    <w:rsid w:val="00E7704B"/>
    <w:rsid w:val="00E7708B"/>
    <w:rsid w:val="00E770ED"/>
    <w:rsid w:val="00E7718F"/>
    <w:rsid w:val="00E77192"/>
    <w:rsid w:val="00E77295"/>
    <w:rsid w:val="00E7737B"/>
    <w:rsid w:val="00E773AB"/>
    <w:rsid w:val="00E774FF"/>
    <w:rsid w:val="00E7769C"/>
    <w:rsid w:val="00E776DA"/>
    <w:rsid w:val="00E77902"/>
    <w:rsid w:val="00E77921"/>
    <w:rsid w:val="00E7795A"/>
    <w:rsid w:val="00E77A5F"/>
    <w:rsid w:val="00E77A68"/>
    <w:rsid w:val="00E77A82"/>
    <w:rsid w:val="00E77B42"/>
    <w:rsid w:val="00E77C97"/>
    <w:rsid w:val="00E77DC8"/>
    <w:rsid w:val="00E77DD2"/>
    <w:rsid w:val="00E77FE6"/>
    <w:rsid w:val="00E8004F"/>
    <w:rsid w:val="00E800D1"/>
    <w:rsid w:val="00E802A5"/>
    <w:rsid w:val="00E802E9"/>
    <w:rsid w:val="00E803EE"/>
    <w:rsid w:val="00E80409"/>
    <w:rsid w:val="00E8057A"/>
    <w:rsid w:val="00E80601"/>
    <w:rsid w:val="00E80605"/>
    <w:rsid w:val="00E8069C"/>
    <w:rsid w:val="00E8082C"/>
    <w:rsid w:val="00E80836"/>
    <w:rsid w:val="00E808A7"/>
    <w:rsid w:val="00E808AD"/>
    <w:rsid w:val="00E808E6"/>
    <w:rsid w:val="00E809B2"/>
    <w:rsid w:val="00E80A00"/>
    <w:rsid w:val="00E80AF5"/>
    <w:rsid w:val="00E80B0A"/>
    <w:rsid w:val="00E80B9E"/>
    <w:rsid w:val="00E80BDD"/>
    <w:rsid w:val="00E80CC3"/>
    <w:rsid w:val="00E80DB2"/>
    <w:rsid w:val="00E80E22"/>
    <w:rsid w:val="00E80EC2"/>
    <w:rsid w:val="00E80ED9"/>
    <w:rsid w:val="00E80F66"/>
    <w:rsid w:val="00E80FBC"/>
    <w:rsid w:val="00E80FC1"/>
    <w:rsid w:val="00E812EF"/>
    <w:rsid w:val="00E81419"/>
    <w:rsid w:val="00E81493"/>
    <w:rsid w:val="00E814D5"/>
    <w:rsid w:val="00E81531"/>
    <w:rsid w:val="00E815FB"/>
    <w:rsid w:val="00E817B3"/>
    <w:rsid w:val="00E81846"/>
    <w:rsid w:val="00E818EC"/>
    <w:rsid w:val="00E81924"/>
    <w:rsid w:val="00E8197F"/>
    <w:rsid w:val="00E819DE"/>
    <w:rsid w:val="00E81A7C"/>
    <w:rsid w:val="00E81B98"/>
    <w:rsid w:val="00E81BF1"/>
    <w:rsid w:val="00E81C03"/>
    <w:rsid w:val="00E81C6F"/>
    <w:rsid w:val="00E81CDC"/>
    <w:rsid w:val="00E81D33"/>
    <w:rsid w:val="00E81E81"/>
    <w:rsid w:val="00E81EDC"/>
    <w:rsid w:val="00E8204E"/>
    <w:rsid w:val="00E820AF"/>
    <w:rsid w:val="00E821B6"/>
    <w:rsid w:val="00E822FF"/>
    <w:rsid w:val="00E823BA"/>
    <w:rsid w:val="00E823C6"/>
    <w:rsid w:val="00E82482"/>
    <w:rsid w:val="00E82528"/>
    <w:rsid w:val="00E825A3"/>
    <w:rsid w:val="00E8262C"/>
    <w:rsid w:val="00E82726"/>
    <w:rsid w:val="00E8275B"/>
    <w:rsid w:val="00E82775"/>
    <w:rsid w:val="00E82805"/>
    <w:rsid w:val="00E828AD"/>
    <w:rsid w:val="00E829C1"/>
    <w:rsid w:val="00E82A0D"/>
    <w:rsid w:val="00E82ACC"/>
    <w:rsid w:val="00E82B1F"/>
    <w:rsid w:val="00E82C0F"/>
    <w:rsid w:val="00E82D34"/>
    <w:rsid w:val="00E82D63"/>
    <w:rsid w:val="00E82E05"/>
    <w:rsid w:val="00E82E11"/>
    <w:rsid w:val="00E82E3D"/>
    <w:rsid w:val="00E83072"/>
    <w:rsid w:val="00E83076"/>
    <w:rsid w:val="00E83239"/>
    <w:rsid w:val="00E833B8"/>
    <w:rsid w:val="00E83469"/>
    <w:rsid w:val="00E834E2"/>
    <w:rsid w:val="00E8353B"/>
    <w:rsid w:val="00E83560"/>
    <w:rsid w:val="00E835B1"/>
    <w:rsid w:val="00E8370C"/>
    <w:rsid w:val="00E837DE"/>
    <w:rsid w:val="00E837E6"/>
    <w:rsid w:val="00E837F7"/>
    <w:rsid w:val="00E83B20"/>
    <w:rsid w:val="00E83C4A"/>
    <w:rsid w:val="00E83CA0"/>
    <w:rsid w:val="00E83DF5"/>
    <w:rsid w:val="00E83EAF"/>
    <w:rsid w:val="00E83F9E"/>
    <w:rsid w:val="00E83FE0"/>
    <w:rsid w:val="00E83FEF"/>
    <w:rsid w:val="00E83FFC"/>
    <w:rsid w:val="00E8410B"/>
    <w:rsid w:val="00E8414B"/>
    <w:rsid w:val="00E841E0"/>
    <w:rsid w:val="00E8425C"/>
    <w:rsid w:val="00E8427D"/>
    <w:rsid w:val="00E842F9"/>
    <w:rsid w:val="00E843B2"/>
    <w:rsid w:val="00E843CF"/>
    <w:rsid w:val="00E8448D"/>
    <w:rsid w:val="00E844C8"/>
    <w:rsid w:val="00E844DF"/>
    <w:rsid w:val="00E8451D"/>
    <w:rsid w:val="00E84588"/>
    <w:rsid w:val="00E84693"/>
    <w:rsid w:val="00E846E6"/>
    <w:rsid w:val="00E846FA"/>
    <w:rsid w:val="00E84767"/>
    <w:rsid w:val="00E84810"/>
    <w:rsid w:val="00E849C9"/>
    <w:rsid w:val="00E84BE2"/>
    <w:rsid w:val="00E84BEE"/>
    <w:rsid w:val="00E84BF8"/>
    <w:rsid w:val="00E84CA7"/>
    <w:rsid w:val="00E84CAB"/>
    <w:rsid w:val="00E84CB8"/>
    <w:rsid w:val="00E84CEE"/>
    <w:rsid w:val="00E84D99"/>
    <w:rsid w:val="00E84EBC"/>
    <w:rsid w:val="00E84F28"/>
    <w:rsid w:val="00E84F33"/>
    <w:rsid w:val="00E84F69"/>
    <w:rsid w:val="00E84FE0"/>
    <w:rsid w:val="00E85004"/>
    <w:rsid w:val="00E8500A"/>
    <w:rsid w:val="00E85287"/>
    <w:rsid w:val="00E852AF"/>
    <w:rsid w:val="00E85361"/>
    <w:rsid w:val="00E853C7"/>
    <w:rsid w:val="00E8544F"/>
    <w:rsid w:val="00E85468"/>
    <w:rsid w:val="00E85505"/>
    <w:rsid w:val="00E8571A"/>
    <w:rsid w:val="00E858EC"/>
    <w:rsid w:val="00E85978"/>
    <w:rsid w:val="00E859A4"/>
    <w:rsid w:val="00E859DD"/>
    <w:rsid w:val="00E85AA7"/>
    <w:rsid w:val="00E85B26"/>
    <w:rsid w:val="00E85B63"/>
    <w:rsid w:val="00E85C02"/>
    <w:rsid w:val="00E85C2D"/>
    <w:rsid w:val="00E85CA8"/>
    <w:rsid w:val="00E85CB9"/>
    <w:rsid w:val="00E85F1C"/>
    <w:rsid w:val="00E85F31"/>
    <w:rsid w:val="00E85FBF"/>
    <w:rsid w:val="00E86085"/>
    <w:rsid w:val="00E860A5"/>
    <w:rsid w:val="00E860DE"/>
    <w:rsid w:val="00E860F5"/>
    <w:rsid w:val="00E8613C"/>
    <w:rsid w:val="00E861D8"/>
    <w:rsid w:val="00E8621D"/>
    <w:rsid w:val="00E86379"/>
    <w:rsid w:val="00E86403"/>
    <w:rsid w:val="00E86495"/>
    <w:rsid w:val="00E86661"/>
    <w:rsid w:val="00E8667A"/>
    <w:rsid w:val="00E8687C"/>
    <w:rsid w:val="00E8696E"/>
    <w:rsid w:val="00E869E4"/>
    <w:rsid w:val="00E86A44"/>
    <w:rsid w:val="00E86A55"/>
    <w:rsid w:val="00E86B6D"/>
    <w:rsid w:val="00E86D94"/>
    <w:rsid w:val="00E86E23"/>
    <w:rsid w:val="00E86E26"/>
    <w:rsid w:val="00E86F24"/>
    <w:rsid w:val="00E86F57"/>
    <w:rsid w:val="00E87011"/>
    <w:rsid w:val="00E871CC"/>
    <w:rsid w:val="00E8721F"/>
    <w:rsid w:val="00E873DF"/>
    <w:rsid w:val="00E8744B"/>
    <w:rsid w:val="00E87472"/>
    <w:rsid w:val="00E87532"/>
    <w:rsid w:val="00E87567"/>
    <w:rsid w:val="00E8760F"/>
    <w:rsid w:val="00E8768A"/>
    <w:rsid w:val="00E87784"/>
    <w:rsid w:val="00E87A3D"/>
    <w:rsid w:val="00E87B20"/>
    <w:rsid w:val="00E87B37"/>
    <w:rsid w:val="00E87B8D"/>
    <w:rsid w:val="00E87BF2"/>
    <w:rsid w:val="00E87C67"/>
    <w:rsid w:val="00E87C6D"/>
    <w:rsid w:val="00E87C7C"/>
    <w:rsid w:val="00E87E52"/>
    <w:rsid w:val="00E87ECE"/>
    <w:rsid w:val="00E87F1E"/>
    <w:rsid w:val="00E87FFE"/>
    <w:rsid w:val="00E90034"/>
    <w:rsid w:val="00E900F0"/>
    <w:rsid w:val="00E9019C"/>
    <w:rsid w:val="00E902A9"/>
    <w:rsid w:val="00E902B7"/>
    <w:rsid w:val="00E90317"/>
    <w:rsid w:val="00E9037F"/>
    <w:rsid w:val="00E9045E"/>
    <w:rsid w:val="00E905F0"/>
    <w:rsid w:val="00E90629"/>
    <w:rsid w:val="00E90703"/>
    <w:rsid w:val="00E9075F"/>
    <w:rsid w:val="00E907D3"/>
    <w:rsid w:val="00E9081C"/>
    <w:rsid w:val="00E908E4"/>
    <w:rsid w:val="00E9090D"/>
    <w:rsid w:val="00E90929"/>
    <w:rsid w:val="00E9095B"/>
    <w:rsid w:val="00E90961"/>
    <w:rsid w:val="00E909A2"/>
    <w:rsid w:val="00E90A32"/>
    <w:rsid w:val="00E90A8A"/>
    <w:rsid w:val="00E90AC2"/>
    <w:rsid w:val="00E90AD7"/>
    <w:rsid w:val="00E90B4E"/>
    <w:rsid w:val="00E90D51"/>
    <w:rsid w:val="00E90DAB"/>
    <w:rsid w:val="00E90DCD"/>
    <w:rsid w:val="00E90DCF"/>
    <w:rsid w:val="00E9108C"/>
    <w:rsid w:val="00E91155"/>
    <w:rsid w:val="00E914E3"/>
    <w:rsid w:val="00E91514"/>
    <w:rsid w:val="00E91515"/>
    <w:rsid w:val="00E91559"/>
    <w:rsid w:val="00E91685"/>
    <w:rsid w:val="00E9169B"/>
    <w:rsid w:val="00E9172A"/>
    <w:rsid w:val="00E917BD"/>
    <w:rsid w:val="00E9184D"/>
    <w:rsid w:val="00E91A4A"/>
    <w:rsid w:val="00E91DAC"/>
    <w:rsid w:val="00E91DDD"/>
    <w:rsid w:val="00E91E26"/>
    <w:rsid w:val="00E91EA5"/>
    <w:rsid w:val="00E91ED2"/>
    <w:rsid w:val="00E91F43"/>
    <w:rsid w:val="00E91F63"/>
    <w:rsid w:val="00E92080"/>
    <w:rsid w:val="00E921C5"/>
    <w:rsid w:val="00E921FD"/>
    <w:rsid w:val="00E92284"/>
    <w:rsid w:val="00E922BF"/>
    <w:rsid w:val="00E924FF"/>
    <w:rsid w:val="00E92570"/>
    <w:rsid w:val="00E9265A"/>
    <w:rsid w:val="00E926F3"/>
    <w:rsid w:val="00E929DE"/>
    <w:rsid w:val="00E929E2"/>
    <w:rsid w:val="00E92B11"/>
    <w:rsid w:val="00E92C87"/>
    <w:rsid w:val="00E92CB3"/>
    <w:rsid w:val="00E92DD1"/>
    <w:rsid w:val="00E92EA7"/>
    <w:rsid w:val="00E92F10"/>
    <w:rsid w:val="00E93005"/>
    <w:rsid w:val="00E93118"/>
    <w:rsid w:val="00E932CC"/>
    <w:rsid w:val="00E9335F"/>
    <w:rsid w:val="00E933B1"/>
    <w:rsid w:val="00E933D4"/>
    <w:rsid w:val="00E93473"/>
    <w:rsid w:val="00E93518"/>
    <w:rsid w:val="00E936C1"/>
    <w:rsid w:val="00E936EC"/>
    <w:rsid w:val="00E936FD"/>
    <w:rsid w:val="00E9370B"/>
    <w:rsid w:val="00E93713"/>
    <w:rsid w:val="00E9376F"/>
    <w:rsid w:val="00E937CA"/>
    <w:rsid w:val="00E93878"/>
    <w:rsid w:val="00E93899"/>
    <w:rsid w:val="00E9389F"/>
    <w:rsid w:val="00E9394C"/>
    <w:rsid w:val="00E939FC"/>
    <w:rsid w:val="00E93B08"/>
    <w:rsid w:val="00E93B87"/>
    <w:rsid w:val="00E93BC2"/>
    <w:rsid w:val="00E93C59"/>
    <w:rsid w:val="00E93CFA"/>
    <w:rsid w:val="00E93DD0"/>
    <w:rsid w:val="00E93E2C"/>
    <w:rsid w:val="00E93E53"/>
    <w:rsid w:val="00E93F7D"/>
    <w:rsid w:val="00E93FA8"/>
    <w:rsid w:val="00E93FCE"/>
    <w:rsid w:val="00E9406A"/>
    <w:rsid w:val="00E94073"/>
    <w:rsid w:val="00E940B5"/>
    <w:rsid w:val="00E9412F"/>
    <w:rsid w:val="00E9417F"/>
    <w:rsid w:val="00E94181"/>
    <w:rsid w:val="00E941C8"/>
    <w:rsid w:val="00E94350"/>
    <w:rsid w:val="00E943B7"/>
    <w:rsid w:val="00E943DF"/>
    <w:rsid w:val="00E944AD"/>
    <w:rsid w:val="00E9458A"/>
    <w:rsid w:val="00E94860"/>
    <w:rsid w:val="00E9486D"/>
    <w:rsid w:val="00E948A7"/>
    <w:rsid w:val="00E94BDC"/>
    <w:rsid w:val="00E94BFF"/>
    <w:rsid w:val="00E94C4C"/>
    <w:rsid w:val="00E94F1F"/>
    <w:rsid w:val="00E94F2D"/>
    <w:rsid w:val="00E94FAB"/>
    <w:rsid w:val="00E9533C"/>
    <w:rsid w:val="00E95362"/>
    <w:rsid w:val="00E95399"/>
    <w:rsid w:val="00E953DF"/>
    <w:rsid w:val="00E9540D"/>
    <w:rsid w:val="00E95430"/>
    <w:rsid w:val="00E95573"/>
    <w:rsid w:val="00E955CD"/>
    <w:rsid w:val="00E95806"/>
    <w:rsid w:val="00E95917"/>
    <w:rsid w:val="00E95997"/>
    <w:rsid w:val="00E95A3B"/>
    <w:rsid w:val="00E95B67"/>
    <w:rsid w:val="00E95C30"/>
    <w:rsid w:val="00E95D21"/>
    <w:rsid w:val="00E95E71"/>
    <w:rsid w:val="00E95EAF"/>
    <w:rsid w:val="00E95F30"/>
    <w:rsid w:val="00E96087"/>
    <w:rsid w:val="00E960B6"/>
    <w:rsid w:val="00E961C8"/>
    <w:rsid w:val="00E96238"/>
    <w:rsid w:val="00E962F8"/>
    <w:rsid w:val="00E9631B"/>
    <w:rsid w:val="00E96502"/>
    <w:rsid w:val="00E96550"/>
    <w:rsid w:val="00E965E3"/>
    <w:rsid w:val="00E965F8"/>
    <w:rsid w:val="00E96765"/>
    <w:rsid w:val="00E967F5"/>
    <w:rsid w:val="00E96800"/>
    <w:rsid w:val="00E968AD"/>
    <w:rsid w:val="00E968EC"/>
    <w:rsid w:val="00E96985"/>
    <w:rsid w:val="00E96A3F"/>
    <w:rsid w:val="00E96B9C"/>
    <w:rsid w:val="00E96BDD"/>
    <w:rsid w:val="00E96CA2"/>
    <w:rsid w:val="00E96CAD"/>
    <w:rsid w:val="00E96D5A"/>
    <w:rsid w:val="00E96D87"/>
    <w:rsid w:val="00E96E29"/>
    <w:rsid w:val="00E96E38"/>
    <w:rsid w:val="00E96F0A"/>
    <w:rsid w:val="00E96F28"/>
    <w:rsid w:val="00E97030"/>
    <w:rsid w:val="00E970A3"/>
    <w:rsid w:val="00E97131"/>
    <w:rsid w:val="00E9719C"/>
    <w:rsid w:val="00E97302"/>
    <w:rsid w:val="00E97364"/>
    <w:rsid w:val="00E973D0"/>
    <w:rsid w:val="00E974A4"/>
    <w:rsid w:val="00E975F7"/>
    <w:rsid w:val="00E9765F"/>
    <w:rsid w:val="00E976DD"/>
    <w:rsid w:val="00E97740"/>
    <w:rsid w:val="00E9779D"/>
    <w:rsid w:val="00E977A1"/>
    <w:rsid w:val="00E977A7"/>
    <w:rsid w:val="00E977C8"/>
    <w:rsid w:val="00E97892"/>
    <w:rsid w:val="00E978C2"/>
    <w:rsid w:val="00E97994"/>
    <w:rsid w:val="00E97B4A"/>
    <w:rsid w:val="00E97B9E"/>
    <w:rsid w:val="00E97BC1"/>
    <w:rsid w:val="00E97C90"/>
    <w:rsid w:val="00E97D32"/>
    <w:rsid w:val="00E97E60"/>
    <w:rsid w:val="00E97E8F"/>
    <w:rsid w:val="00E97E99"/>
    <w:rsid w:val="00E97F46"/>
    <w:rsid w:val="00EA00FF"/>
    <w:rsid w:val="00EA0103"/>
    <w:rsid w:val="00EA0161"/>
    <w:rsid w:val="00EA01AE"/>
    <w:rsid w:val="00EA025B"/>
    <w:rsid w:val="00EA02AD"/>
    <w:rsid w:val="00EA036F"/>
    <w:rsid w:val="00EA037B"/>
    <w:rsid w:val="00EA039C"/>
    <w:rsid w:val="00EA0494"/>
    <w:rsid w:val="00EA0505"/>
    <w:rsid w:val="00EA05DC"/>
    <w:rsid w:val="00EA0612"/>
    <w:rsid w:val="00EA0716"/>
    <w:rsid w:val="00EA0819"/>
    <w:rsid w:val="00EA0863"/>
    <w:rsid w:val="00EA08F2"/>
    <w:rsid w:val="00EA08FA"/>
    <w:rsid w:val="00EA091A"/>
    <w:rsid w:val="00EA0B1A"/>
    <w:rsid w:val="00EA0C45"/>
    <w:rsid w:val="00EA0D37"/>
    <w:rsid w:val="00EA0E13"/>
    <w:rsid w:val="00EA0E51"/>
    <w:rsid w:val="00EA0F40"/>
    <w:rsid w:val="00EA0FE2"/>
    <w:rsid w:val="00EA10AD"/>
    <w:rsid w:val="00EA10DC"/>
    <w:rsid w:val="00EA11EF"/>
    <w:rsid w:val="00EA1225"/>
    <w:rsid w:val="00EA1227"/>
    <w:rsid w:val="00EA124B"/>
    <w:rsid w:val="00EA1264"/>
    <w:rsid w:val="00EA1379"/>
    <w:rsid w:val="00EA13BB"/>
    <w:rsid w:val="00EA14BD"/>
    <w:rsid w:val="00EA14C2"/>
    <w:rsid w:val="00EA164A"/>
    <w:rsid w:val="00EA17F9"/>
    <w:rsid w:val="00EA1859"/>
    <w:rsid w:val="00EA18E0"/>
    <w:rsid w:val="00EA18E7"/>
    <w:rsid w:val="00EA1909"/>
    <w:rsid w:val="00EA1964"/>
    <w:rsid w:val="00EA1966"/>
    <w:rsid w:val="00EA19B0"/>
    <w:rsid w:val="00EA1A67"/>
    <w:rsid w:val="00EA1CF7"/>
    <w:rsid w:val="00EA1D0C"/>
    <w:rsid w:val="00EA1E41"/>
    <w:rsid w:val="00EA1FC5"/>
    <w:rsid w:val="00EA204A"/>
    <w:rsid w:val="00EA2081"/>
    <w:rsid w:val="00EA2083"/>
    <w:rsid w:val="00EA21E2"/>
    <w:rsid w:val="00EA2225"/>
    <w:rsid w:val="00EA227F"/>
    <w:rsid w:val="00EA22A0"/>
    <w:rsid w:val="00EA236C"/>
    <w:rsid w:val="00EA2427"/>
    <w:rsid w:val="00EA249A"/>
    <w:rsid w:val="00EA2565"/>
    <w:rsid w:val="00EA25C7"/>
    <w:rsid w:val="00EA2600"/>
    <w:rsid w:val="00EA2671"/>
    <w:rsid w:val="00EA277F"/>
    <w:rsid w:val="00EA2897"/>
    <w:rsid w:val="00EA29E0"/>
    <w:rsid w:val="00EA2A12"/>
    <w:rsid w:val="00EA2A26"/>
    <w:rsid w:val="00EA2A37"/>
    <w:rsid w:val="00EA2AB1"/>
    <w:rsid w:val="00EA2B05"/>
    <w:rsid w:val="00EA2BB0"/>
    <w:rsid w:val="00EA2BEA"/>
    <w:rsid w:val="00EA2C43"/>
    <w:rsid w:val="00EA2CB8"/>
    <w:rsid w:val="00EA2CBD"/>
    <w:rsid w:val="00EA2CC3"/>
    <w:rsid w:val="00EA2D31"/>
    <w:rsid w:val="00EA2D38"/>
    <w:rsid w:val="00EA2DA4"/>
    <w:rsid w:val="00EA2DD6"/>
    <w:rsid w:val="00EA3162"/>
    <w:rsid w:val="00EA319B"/>
    <w:rsid w:val="00EA322A"/>
    <w:rsid w:val="00EA33A0"/>
    <w:rsid w:val="00EA33CC"/>
    <w:rsid w:val="00EA33EC"/>
    <w:rsid w:val="00EA358D"/>
    <w:rsid w:val="00EA36EA"/>
    <w:rsid w:val="00EA37DE"/>
    <w:rsid w:val="00EA38F7"/>
    <w:rsid w:val="00EA3AE2"/>
    <w:rsid w:val="00EA3AE5"/>
    <w:rsid w:val="00EA3AF5"/>
    <w:rsid w:val="00EA3B08"/>
    <w:rsid w:val="00EA3BF3"/>
    <w:rsid w:val="00EA3CCE"/>
    <w:rsid w:val="00EA3CE0"/>
    <w:rsid w:val="00EA3CE2"/>
    <w:rsid w:val="00EA3ED4"/>
    <w:rsid w:val="00EA3EFB"/>
    <w:rsid w:val="00EA3F05"/>
    <w:rsid w:val="00EA4099"/>
    <w:rsid w:val="00EA40CF"/>
    <w:rsid w:val="00EA4163"/>
    <w:rsid w:val="00EA4179"/>
    <w:rsid w:val="00EA41E2"/>
    <w:rsid w:val="00EA4201"/>
    <w:rsid w:val="00EA4233"/>
    <w:rsid w:val="00EA4285"/>
    <w:rsid w:val="00EA43B4"/>
    <w:rsid w:val="00EA4571"/>
    <w:rsid w:val="00EA469F"/>
    <w:rsid w:val="00EA46CD"/>
    <w:rsid w:val="00EA4A03"/>
    <w:rsid w:val="00EA4AAE"/>
    <w:rsid w:val="00EA4AFC"/>
    <w:rsid w:val="00EA4AFD"/>
    <w:rsid w:val="00EA4C90"/>
    <w:rsid w:val="00EA4CBA"/>
    <w:rsid w:val="00EA4DC9"/>
    <w:rsid w:val="00EA4E56"/>
    <w:rsid w:val="00EA4E84"/>
    <w:rsid w:val="00EA4EE6"/>
    <w:rsid w:val="00EA5022"/>
    <w:rsid w:val="00EA50DF"/>
    <w:rsid w:val="00EA5150"/>
    <w:rsid w:val="00EA5196"/>
    <w:rsid w:val="00EA52CB"/>
    <w:rsid w:val="00EA52FF"/>
    <w:rsid w:val="00EA5331"/>
    <w:rsid w:val="00EA53C6"/>
    <w:rsid w:val="00EA5607"/>
    <w:rsid w:val="00EA5861"/>
    <w:rsid w:val="00EA5903"/>
    <w:rsid w:val="00EA5A46"/>
    <w:rsid w:val="00EA5AD0"/>
    <w:rsid w:val="00EA5CD2"/>
    <w:rsid w:val="00EA5D1F"/>
    <w:rsid w:val="00EA5E61"/>
    <w:rsid w:val="00EA5EE3"/>
    <w:rsid w:val="00EA5F23"/>
    <w:rsid w:val="00EA5F34"/>
    <w:rsid w:val="00EA5FC8"/>
    <w:rsid w:val="00EA611B"/>
    <w:rsid w:val="00EA623B"/>
    <w:rsid w:val="00EA625F"/>
    <w:rsid w:val="00EA62BD"/>
    <w:rsid w:val="00EA6353"/>
    <w:rsid w:val="00EA636D"/>
    <w:rsid w:val="00EA65A5"/>
    <w:rsid w:val="00EA65AF"/>
    <w:rsid w:val="00EA662D"/>
    <w:rsid w:val="00EA6648"/>
    <w:rsid w:val="00EA664E"/>
    <w:rsid w:val="00EA6654"/>
    <w:rsid w:val="00EA6669"/>
    <w:rsid w:val="00EA669E"/>
    <w:rsid w:val="00EA6787"/>
    <w:rsid w:val="00EA67BF"/>
    <w:rsid w:val="00EA6811"/>
    <w:rsid w:val="00EA6853"/>
    <w:rsid w:val="00EA688E"/>
    <w:rsid w:val="00EA6912"/>
    <w:rsid w:val="00EA6A2B"/>
    <w:rsid w:val="00EA6A86"/>
    <w:rsid w:val="00EA6AEA"/>
    <w:rsid w:val="00EA6B5F"/>
    <w:rsid w:val="00EA6BCB"/>
    <w:rsid w:val="00EA6C7C"/>
    <w:rsid w:val="00EA6CCA"/>
    <w:rsid w:val="00EA6E8B"/>
    <w:rsid w:val="00EA6ECB"/>
    <w:rsid w:val="00EA6EF9"/>
    <w:rsid w:val="00EA6F03"/>
    <w:rsid w:val="00EA6F48"/>
    <w:rsid w:val="00EA706F"/>
    <w:rsid w:val="00EA7091"/>
    <w:rsid w:val="00EA70DD"/>
    <w:rsid w:val="00EA7177"/>
    <w:rsid w:val="00EA7198"/>
    <w:rsid w:val="00EA720D"/>
    <w:rsid w:val="00EA723B"/>
    <w:rsid w:val="00EA72DD"/>
    <w:rsid w:val="00EA7330"/>
    <w:rsid w:val="00EA746C"/>
    <w:rsid w:val="00EA74E2"/>
    <w:rsid w:val="00EA74E8"/>
    <w:rsid w:val="00EA74ED"/>
    <w:rsid w:val="00EA7690"/>
    <w:rsid w:val="00EA76DF"/>
    <w:rsid w:val="00EA7763"/>
    <w:rsid w:val="00EA77BF"/>
    <w:rsid w:val="00EA781D"/>
    <w:rsid w:val="00EA7891"/>
    <w:rsid w:val="00EA78B2"/>
    <w:rsid w:val="00EA7999"/>
    <w:rsid w:val="00EA7A02"/>
    <w:rsid w:val="00EA7B09"/>
    <w:rsid w:val="00EA7B4C"/>
    <w:rsid w:val="00EA7B6C"/>
    <w:rsid w:val="00EA7B95"/>
    <w:rsid w:val="00EA7C04"/>
    <w:rsid w:val="00EA7C99"/>
    <w:rsid w:val="00EA7CC5"/>
    <w:rsid w:val="00EA7D47"/>
    <w:rsid w:val="00EA7E5F"/>
    <w:rsid w:val="00EA7F06"/>
    <w:rsid w:val="00EA7F4C"/>
    <w:rsid w:val="00EA7FAF"/>
    <w:rsid w:val="00EB0024"/>
    <w:rsid w:val="00EB0105"/>
    <w:rsid w:val="00EB0172"/>
    <w:rsid w:val="00EB02C1"/>
    <w:rsid w:val="00EB0416"/>
    <w:rsid w:val="00EB0444"/>
    <w:rsid w:val="00EB04A2"/>
    <w:rsid w:val="00EB0589"/>
    <w:rsid w:val="00EB05B8"/>
    <w:rsid w:val="00EB05FB"/>
    <w:rsid w:val="00EB0747"/>
    <w:rsid w:val="00EB0896"/>
    <w:rsid w:val="00EB08A6"/>
    <w:rsid w:val="00EB0A51"/>
    <w:rsid w:val="00EB0A54"/>
    <w:rsid w:val="00EB0ADC"/>
    <w:rsid w:val="00EB0B4D"/>
    <w:rsid w:val="00EB0C51"/>
    <w:rsid w:val="00EB0CEC"/>
    <w:rsid w:val="00EB0DC2"/>
    <w:rsid w:val="00EB0DCD"/>
    <w:rsid w:val="00EB0E89"/>
    <w:rsid w:val="00EB0E8E"/>
    <w:rsid w:val="00EB0E9B"/>
    <w:rsid w:val="00EB0FF9"/>
    <w:rsid w:val="00EB10DC"/>
    <w:rsid w:val="00EB12F5"/>
    <w:rsid w:val="00EB13BB"/>
    <w:rsid w:val="00EB13C3"/>
    <w:rsid w:val="00EB14E2"/>
    <w:rsid w:val="00EB1597"/>
    <w:rsid w:val="00EB161F"/>
    <w:rsid w:val="00EB16C5"/>
    <w:rsid w:val="00EB1872"/>
    <w:rsid w:val="00EB18DF"/>
    <w:rsid w:val="00EB1ABD"/>
    <w:rsid w:val="00EB1B31"/>
    <w:rsid w:val="00EB1C08"/>
    <w:rsid w:val="00EB1C85"/>
    <w:rsid w:val="00EB1C9C"/>
    <w:rsid w:val="00EB1CA0"/>
    <w:rsid w:val="00EB1D19"/>
    <w:rsid w:val="00EB1D9D"/>
    <w:rsid w:val="00EB200D"/>
    <w:rsid w:val="00EB2087"/>
    <w:rsid w:val="00EB21B9"/>
    <w:rsid w:val="00EB21DB"/>
    <w:rsid w:val="00EB2265"/>
    <w:rsid w:val="00EB22DF"/>
    <w:rsid w:val="00EB22E2"/>
    <w:rsid w:val="00EB248E"/>
    <w:rsid w:val="00EB2591"/>
    <w:rsid w:val="00EB2592"/>
    <w:rsid w:val="00EB26B8"/>
    <w:rsid w:val="00EB285D"/>
    <w:rsid w:val="00EB2866"/>
    <w:rsid w:val="00EB28EE"/>
    <w:rsid w:val="00EB292B"/>
    <w:rsid w:val="00EB2A0C"/>
    <w:rsid w:val="00EB2B1C"/>
    <w:rsid w:val="00EB2B4A"/>
    <w:rsid w:val="00EB2BF8"/>
    <w:rsid w:val="00EB2FBD"/>
    <w:rsid w:val="00EB3181"/>
    <w:rsid w:val="00EB3191"/>
    <w:rsid w:val="00EB31C0"/>
    <w:rsid w:val="00EB322C"/>
    <w:rsid w:val="00EB3633"/>
    <w:rsid w:val="00EB384E"/>
    <w:rsid w:val="00EB39E8"/>
    <w:rsid w:val="00EB39F0"/>
    <w:rsid w:val="00EB3A5F"/>
    <w:rsid w:val="00EB3AC9"/>
    <w:rsid w:val="00EB3B3D"/>
    <w:rsid w:val="00EB3B7E"/>
    <w:rsid w:val="00EB3BEC"/>
    <w:rsid w:val="00EB3C11"/>
    <w:rsid w:val="00EB3C83"/>
    <w:rsid w:val="00EB3D11"/>
    <w:rsid w:val="00EB3D29"/>
    <w:rsid w:val="00EB3ED9"/>
    <w:rsid w:val="00EB3F8E"/>
    <w:rsid w:val="00EB4001"/>
    <w:rsid w:val="00EB40E8"/>
    <w:rsid w:val="00EB4124"/>
    <w:rsid w:val="00EB434B"/>
    <w:rsid w:val="00EB43D4"/>
    <w:rsid w:val="00EB4486"/>
    <w:rsid w:val="00EB45EE"/>
    <w:rsid w:val="00EB45F4"/>
    <w:rsid w:val="00EB46C2"/>
    <w:rsid w:val="00EB471D"/>
    <w:rsid w:val="00EB493D"/>
    <w:rsid w:val="00EB49A7"/>
    <w:rsid w:val="00EB4A19"/>
    <w:rsid w:val="00EB4ABE"/>
    <w:rsid w:val="00EB4B0A"/>
    <w:rsid w:val="00EB4BB5"/>
    <w:rsid w:val="00EB4C90"/>
    <w:rsid w:val="00EB4CCD"/>
    <w:rsid w:val="00EB4CF4"/>
    <w:rsid w:val="00EB5142"/>
    <w:rsid w:val="00EB51A4"/>
    <w:rsid w:val="00EB5289"/>
    <w:rsid w:val="00EB5432"/>
    <w:rsid w:val="00EB54FD"/>
    <w:rsid w:val="00EB566D"/>
    <w:rsid w:val="00EB5716"/>
    <w:rsid w:val="00EB5739"/>
    <w:rsid w:val="00EB57D5"/>
    <w:rsid w:val="00EB5818"/>
    <w:rsid w:val="00EB5894"/>
    <w:rsid w:val="00EB5913"/>
    <w:rsid w:val="00EB5A4A"/>
    <w:rsid w:val="00EB5B25"/>
    <w:rsid w:val="00EB5B39"/>
    <w:rsid w:val="00EB5C62"/>
    <w:rsid w:val="00EB5C6D"/>
    <w:rsid w:val="00EB5C7F"/>
    <w:rsid w:val="00EB5CFF"/>
    <w:rsid w:val="00EB5DFC"/>
    <w:rsid w:val="00EB60A8"/>
    <w:rsid w:val="00EB6145"/>
    <w:rsid w:val="00EB61F3"/>
    <w:rsid w:val="00EB630B"/>
    <w:rsid w:val="00EB631F"/>
    <w:rsid w:val="00EB644D"/>
    <w:rsid w:val="00EB64F5"/>
    <w:rsid w:val="00EB6532"/>
    <w:rsid w:val="00EB659C"/>
    <w:rsid w:val="00EB66D2"/>
    <w:rsid w:val="00EB66FB"/>
    <w:rsid w:val="00EB6701"/>
    <w:rsid w:val="00EB694F"/>
    <w:rsid w:val="00EB6A17"/>
    <w:rsid w:val="00EB6C06"/>
    <w:rsid w:val="00EB6C7C"/>
    <w:rsid w:val="00EB6D83"/>
    <w:rsid w:val="00EB6E4F"/>
    <w:rsid w:val="00EB6F13"/>
    <w:rsid w:val="00EB6F22"/>
    <w:rsid w:val="00EB6F3B"/>
    <w:rsid w:val="00EB719C"/>
    <w:rsid w:val="00EB7259"/>
    <w:rsid w:val="00EB72AB"/>
    <w:rsid w:val="00EB7367"/>
    <w:rsid w:val="00EB73F1"/>
    <w:rsid w:val="00EB7548"/>
    <w:rsid w:val="00EB76F4"/>
    <w:rsid w:val="00EB7709"/>
    <w:rsid w:val="00EB77DA"/>
    <w:rsid w:val="00EB7819"/>
    <w:rsid w:val="00EB7837"/>
    <w:rsid w:val="00EB7849"/>
    <w:rsid w:val="00EB78A6"/>
    <w:rsid w:val="00EB78EB"/>
    <w:rsid w:val="00EB7AD4"/>
    <w:rsid w:val="00EB7BDC"/>
    <w:rsid w:val="00EB7BE4"/>
    <w:rsid w:val="00EB7C22"/>
    <w:rsid w:val="00EB7C2A"/>
    <w:rsid w:val="00EB7D59"/>
    <w:rsid w:val="00EB7D5C"/>
    <w:rsid w:val="00EB7DA6"/>
    <w:rsid w:val="00EB7DEF"/>
    <w:rsid w:val="00EB7DF2"/>
    <w:rsid w:val="00EB7E2C"/>
    <w:rsid w:val="00EB7E69"/>
    <w:rsid w:val="00EB7EEF"/>
    <w:rsid w:val="00EB7F4F"/>
    <w:rsid w:val="00EB7F97"/>
    <w:rsid w:val="00EC001D"/>
    <w:rsid w:val="00EC002B"/>
    <w:rsid w:val="00EC0053"/>
    <w:rsid w:val="00EC0083"/>
    <w:rsid w:val="00EC01C5"/>
    <w:rsid w:val="00EC038A"/>
    <w:rsid w:val="00EC03A4"/>
    <w:rsid w:val="00EC04E8"/>
    <w:rsid w:val="00EC0535"/>
    <w:rsid w:val="00EC055C"/>
    <w:rsid w:val="00EC0565"/>
    <w:rsid w:val="00EC0603"/>
    <w:rsid w:val="00EC06F0"/>
    <w:rsid w:val="00EC071D"/>
    <w:rsid w:val="00EC0763"/>
    <w:rsid w:val="00EC0802"/>
    <w:rsid w:val="00EC082D"/>
    <w:rsid w:val="00EC08B9"/>
    <w:rsid w:val="00EC08D5"/>
    <w:rsid w:val="00EC0945"/>
    <w:rsid w:val="00EC09ED"/>
    <w:rsid w:val="00EC0B39"/>
    <w:rsid w:val="00EC0B9B"/>
    <w:rsid w:val="00EC0BF7"/>
    <w:rsid w:val="00EC0BF9"/>
    <w:rsid w:val="00EC0CA8"/>
    <w:rsid w:val="00EC0CD6"/>
    <w:rsid w:val="00EC0CDE"/>
    <w:rsid w:val="00EC0CFD"/>
    <w:rsid w:val="00EC0DC0"/>
    <w:rsid w:val="00EC0DE9"/>
    <w:rsid w:val="00EC0E5C"/>
    <w:rsid w:val="00EC0EE6"/>
    <w:rsid w:val="00EC104F"/>
    <w:rsid w:val="00EC10B9"/>
    <w:rsid w:val="00EC10C8"/>
    <w:rsid w:val="00EC1105"/>
    <w:rsid w:val="00EC1159"/>
    <w:rsid w:val="00EC1168"/>
    <w:rsid w:val="00EC11F4"/>
    <w:rsid w:val="00EC1243"/>
    <w:rsid w:val="00EC12D9"/>
    <w:rsid w:val="00EC145F"/>
    <w:rsid w:val="00EC15BB"/>
    <w:rsid w:val="00EC17AA"/>
    <w:rsid w:val="00EC17CD"/>
    <w:rsid w:val="00EC17CF"/>
    <w:rsid w:val="00EC185E"/>
    <w:rsid w:val="00EC1907"/>
    <w:rsid w:val="00EC1B63"/>
    <w:rsid w:val="00EC1B7C"/>
    <w:rsid w:val="00EC1C65"/>
    <w:rsid w:val="00EC1CD2"/>
    <w:rsid w:val="00EC1E95"/>
    <w:rsid w:val="00EC1EBE"/>
    <w:rsid w:val="00EC1EC7"/>
    <w:rsid w:val="00EC1FE4"/>
    <w:rsid w:val="00EC201E"/>
    <w:rsid w:val="00EC20AA"/>
    <w:rsid w:val="00EC21E1"/>
    <w:rsid w:val="00EC223C"/>
    <w:rsid w:val="00EC2550"/>
    <w:rsid w:val="00EC2598"/>
    <w:rsid w:val="00EC25AC"/>
    <w:rsid w:val="00EC2621"/>
    <w:rsid w:val="00EC271A"/>
    <w:rsid w:val="00EC2844"/>
    <w:rsid w:val="00EC299F"/>
    <w:rsid w:val="00EC2A9D"/>
    <w:rsid w:val="00EC2AE0"/>
    <w:rsid w:val="00EC2AFC"/>
    <w:rsid w:val="00EC2B9F"/>
    <w:rsid w:val="00EC2C21"/>
    <w:rsid w:val="00EC2C3F"/>
    <w:rsid w:val="00EC2CF8"/>
    <w:rsid w:val="00EC2CFA"/>
    <w:rsid w:val="00EC2E58"/>
    <w:rsid w:val="00EC2FA4"/>
    <w:rsid w:val="00EC305E"/>
    <w:rsid w:val="00EC30C8"/>
    <w:rsid w:val="00EC3346"/>
    <w:rsid w:val="00EC341C"/>
    <w:rsid w:val="00EC3586"/>
    <w:rsid w:val="00EC35C6"/>
    <w:rsid w:val="00EC35D1"/>
    <w:rsid w:val="00EC3658"/>
    <w:rsid w:val="00EC38B5"/>
    <w:rsid w:val="00EC38D9"/>
    <w:rsid w:val="00EC3961"/>
    <w:rsid w:val="00EC397B"/>
    <w:rsid w:val="00EC39C7"/>
    <w:rsid w:val="00EC3AB5"/>
    <w:rsid w:val="00EC3BB9"/>
    <w:rsid w:val="00EC3BC7"/>
    <w:rsid w:val="00EC3C4F"/>
    <w:rsid w:val="00EC3CD7"/>
    <w:rsid w:val="00EC3D3F"/>
    <w:rsid w:val="00EC3D92"/>
    <w:rsid w:val="00EC3DAA"/>
    <w:rsid w:val="00EC3DB8"/>
    <w:rsid w:val="00EC3DD4"/>
    <w:rsid w:val="00EC3E11"/>
    <w:rsid w:val="00EC3E24"/>
    <w:rsid w:val="00EC3E53"/>
    <w:rsid w:val="00EC3E95"/>
    <w:rsid w:val="00EC3EAF"/>
    <w:rsid w:val="00EC3EEC"/>
    <w:rsid w:val="00EC3F46"/>
    <w:rsid w:val="00EC401A"/>
    <w:rsid w:val="00EC4051"/>
    <w:rsid w:val="00EC4087"/>
    <w:rsid w:val="00EC4143"/>
    <w:rsid w:val="00EC41B8"/>
    <w:rsid w:val="00EC420B"/>
    <w:rsid w:val="00EC431C"/>
    <w:rsid w:val="00EC43BF"/>
    <w:rsid w:val="00EC441D"/>
    <w:rsid w:val="00EC446D"/>
    <w:rsid w:val="00EC44D1"/>
    <w:rsid w:val="00EC451E"/>
    <w:rsid w:val="00EC454E"/>
    <w:rsid w:val="00EC4559"/>
    <w:rsid w:val="00EC45A0"/>
    <w:rsid w:val="00EC467C"/>
    <w:rsid w:val="00EC4680"/>
    <w:rsid w:val="00EC47C0"/>
    <w:rsid w:val="00EC47F2"/>
    <w:rsid w:val="00EC4893"/>
    <w:rsid w:val="00EC4915"/>
    <w:rsid w:val="00EC4A7F"/>
    <w:rsid w:val="00EC4A86"/>
    <w:rsid w:val="00EC4DA6"/>
    <w:rsid w:val="00EC4E5D"/>
    <w:rsid w:val="00EC4E8B"/>
    <w:rsid w:val="00EC4F72"/>
    <w:rsid w:val="00EC4F80"/>
    <w:rsid w:val="00EC5099"/>
    <w:rsid w:val="00EC528B"/>
    <w:rsid w:val="00EC52AA"/>
    <w:rsid w:val="00EC5391"/>
    <w:rsid w:val="00EC5407"/>
    <w:rsid w:val="00EC54A0"/>
    <w:rsid w:val="00EC55E7"/>
    <w:rsid w:val="00EC5620"/>
    <w:rsid w:val="00EC57F0"/>
    <w:rsid w:val="00EC587B"/>
    <w:rsid w:val="00EC59C1"/>
    <w:rsid w:val="00EC59E0"/>
    <w:rsid w:val="00EC59F9"/>
    <w:rsid w:val="00EC5B58"/>
    <w:rsid w:val="00EC5B63"/>
    <w:rsid w:val="00EC5C88"/>
    <w:rsid w:val="00EC5C92"/>
    <w:rsid w:val="00EC5CE1"/>
    <w:rsid w:val="00EC5D57"/>
    <w:rsid w:val="00EC5D93"/>
    <w:rsid w:val="00EC5E62"/>
    <w:rsid w:val="00EC5E84"/>
    <w:rsid w:val="00EC5EF3"/>
    <w:rsid w:val="00EC5F59"/>
    <w:rsid w:val="00EC5FCE"/>
    <w:rsid w:val="00EC6037"/>
    <w:rsid w:val="00EC60BE"/>
    <w:rsid w:val="00EC6119"/>
    <w:rsid w:val="00EC6233"/>
    <w:rsid w:val="00EC634E"/>
    <w:rsid w:val="00EC63D5"/>
    <w:rsid w:val="00EC664A"/>
    <w:rsid w:val="00EC666E"/>
    <w:rsid w:val="00EC668F"/>
    <w:rsid w:val="00EC66E8"/>
    <w:rsid w:val="00EC67A1"/>
    <w:rsid w:val="00EC6AE5"/>
    <w:rsid w:val="00EC6B75"/>
    <w:rsid w:val="00EC6DA1"/>
    <w:rsid w:val="00EC6DB5"/>
    <w:rsid w:val="00EC6F53"/>
    <w:rsid w:val="00EC6F5B"/>
    <w:rsid w:val="00EC702E"/>
    <w:rsid w:val="00EC7081"/>
    <w:rsid w:val="00EC70BE"/>
    <w:rsid w:val="00EC716E"/>
    <w:rsid w:val="00EC72DA"/>
    <w:rsid w:val="00EC7324"/>
    <w:rsid w:val="00EC7404"/>
    <w:rsid w:val="00EC745A"/>
    <w:rsid w:val="00EC74C8"/>
    <w:rsid w:val="00EC763E"/>
    <w:rsid w:val="00EC767D"/>
    <w:rsid w:val="00EC77D1"/>
    <w:rsid w:val="00EC77D5"/>
    <w:rsid w:val="00EC780A"/>
    <w:rsid w:val="00EC78B1"/>
    <w:rsid w:val="00EC78B2"/>
    <w:rsid w:val="00EC78D1"/>
    <w:rsid w:val="00EC7A08"/>
    <w:rsid w:val="00EC7A2D"/>
    <w:rsid w:val="00EC7AD0"/>
    <w:rsid w:val="00EC7AD1"/>
    <w:rsid w:val="00EC7B24"/>
    <w:rsid w:val="00EC7D8A"/>
    <w:rsid w:val="00EC7DE7"/>
    <w:rsid w:val="00EC7E95"/>
    <w:rsid w:val="00EC7E97"/>
    <w:rsid w:val="00EC7F49"/>
    <w:rsid w:val="00EC7F9A"/>
    <w:rsid w:val="00EC7FD2"/>
    <w:rsid w:val="00ED0195"/>
    <w:rsid w:val="00ED027A"/>
    <w:rsid w:val="00ED029A"/>
    <w:rsid w:val="00ED062C"/>
    <w:rsid w:val="00ED0645"/>
    <w:rsid w:val="00ED080B"/>
    <w:rsid w:val="00ED091A"/>
    <w:rsid w:val="00ED097A"/>
    <w:rsid w:val="00ED0AD2"/>
    <w:rsid w:val="00ED0B54"/>
    <w:rsid w:val="00ED0BEA"/>
    <w:rsid w:val="00ED0C01"/>
    <w:rsid w:val="00ED0D35"/>
    <w:rsid w:val="00ED0D6E"/>
    <w:rsid w:val="00ED0DBC"/>
    <w:rsid w:val="00ED0EB3"/>
    <w:rsid w:val="00ED1008"/>
    <w:rsid w:val="00ED1096"/>
    <w:rsid w:val="00ED10D6"/>
    <w:rsid w:val="00ED111C"/>
    <w:rsid w:val="00ED128E"/>
    <w:rsid w:val="00ED12AF"/>
    <w:rsid w:val="00ED12DB"/>
    <w:rsid w:val="00ED1367"/>
    <w:rsid w:val="00ED146D"/>
    <w:rsid w:val="00ED15E0"/>
    <w:rsid w:val="00ED1628"/>
    <w:rsid w:val="00ED1649"/>
    <w:rsid w:val="00ED167C"/>
    <w:rsid w:val="00ED168A"/>
    <w:rsid w:val="00ED16B0"/>
    <w:rsid w:val="00ED171C"/>
    <w:rsid w:val="00ED1734"/>
    <w:rsid w:val="00ED1792"/>
    <w:rsid w:val="00ED1883"/>
    <w:rsid w:val="00ED1909"/>
    <w:rsid w:val="00ED1971"/>
    <w:rsid w:val="00ED1A0F"/>
    <w:rsid w:val="00ED1AC3"/>
    <w:rsid w:val="00ED1B42"/>
    <w:rsid w:val="00ED1B77"/>
    <w:rsid w:val="00ED1C11"/>
    <w:rsid w:val="00ED1CB8"/>
    <w:rsid w:val="00ED1DCC"/>
    <w:rsid w:val="00ED1E87"/>
    <w:rsid w:val="00ED1E9A"/>
    <w:rsid w:val="00ED1ED0"/>
    <w:rsid w:val="00ED1F3B"/>
    <w:rsid w:val="00ED1F3F"/>
    <w:rsid w:val="00ED2052"/>
    <w:rsid w:val="00ED20B1"/>
    <w:rsid w:val="00ED2169"/>
    <w:rsid w:val="00ED21B7"/>
    <w:rsid w:val="00ED2216"/>
    <w:rsid w:val="00ED223D"/>
    <w:rsid w:val="00ED234D"/>
    <w:rsid w:val="00ED23B8"/>
    <w:rsid w:val="00ED2447"/>
    <w:rsid w:val="00ED249C"/>
    <w:rsid w:val="00ED24BE"/>
    <w:rsid w:val="00ED251C"/>
    <w:rsid w:val="00ED256C"/>
    <w:rsid w:val="00ED260F"/>
    <w:rsid w:val="00ED2623"/>
    <w:rsid w:val="00ED26D0"/>
    <w:rsid w:val="00ED2709"/>
    <w:rsid w:val="00ED2807"/>
    <w:rsid w:val="00ED2841"/>
    <w:rsid w:val="00ED2854"/>
    <w:rsid w:val="00ED289A"/>
    <w:rsid w:val="00ED28D1"/>
    <w:rsid w:val="00ED28F5"/>
    <w:rsid w:val="00ED296D"/>
    <w:rsid w:val="00ED2A42"/>
    <w:rsid w:val="00ED2B05"/>
    <w:rsid w:val="00ED2B9F"/>
    <w:rsid w:val="00ED2BE6"/>
    <w:rsid w:val="00ED2C1B"/>
    <w:rsid w:val="00ED2C2E"/>
    <w:rsid w:val="00ED2C57"/>
    <w:rsid w:val="00ED2CC7"/>
    <w:rsid w:val="00ED2D3E"/>
    <w:rsid w:val="00ED2DD6"/>
    <w:rsid w:val="00ED3084"/>
    <w:rsid w:val="00ED30B9"/>
    <w:rsid w:val="00ED30BB"/>
    <w:rsid w:val="00ED3141"/>
    <w:rsid w:val="00ED3152"/>
    <w:rsid w:val="00ED31B5"/>
    <w:rsid w:val="00ED3305"/>
    <w:rsid w:val="00ED3396"/>
    <w:rsid w:val="00ED33CF"/>
    <w:rsid w:val="00ED33E1"/>
    <w:rsid w:val="00ED33FE"/>
    <w:rsid w:val="00ED3431"/>
    <w:rsid w:val="00ED343F"/>
    <w:rsid w:val="00ED348E"/>
    <w:rsid w:val="00ED35E6"/>
    <w:rsid w:val="00ED371E"/>
    <w:rsid w:val="00ED3746"/>
    <w:rsid w:val="00ED37CF"/>
    <w:rsid w:val="00ED37DC"/>
    <w:rsid w:val="00ED3877"/>
    <w:rsid w:val="00ED38E4"/>
    <w:rsid w:val="00ED3914"/>
    <w:rsid w:val="00ED3941"/>
    <w:rsid w:val="00ED3990"/>
    <w:rsid w:val="00ED3992"/>
    <w:rsid w:val="00ED3A95"/>
    <w:rsid w:val="00ED3ABE"/>
    <w:rsid w:val="00ED3AD3"/>
    <w:rsid w:val="00ED3B36"/>
    <w:rsid w:val="00ED3B3D"/>
    <w:rsid w:val="00ED3BB2"/>
    <w:rsid w:val="00ED3D91"/>
    <w:rsid w:val="00ED3DB5"/>
    <w:rsid w:val="00ED3E43"/>
    <w:rsid w:val="00ED3F2C"/>
    <w:rsid w:val="00ED3F6D"/>
    <w:rsid w:val="00ED3FCA"/>
    <w:rsid w:val="00ED404B"/>
    <w:rsid w:val="00ED4139"/>
    <w:rsid w:val="00ED4191"/>
    <w:rsid w:val="00ED4231"/>
    <w:rsid w:val="00ED4247"/>
    <w:rsid w:val="00ED43C7"/>
    <w:rsid w:val="00ED4417"/>
    <w:rsid w:val="00ED4495"/>
    <w:rsid w:val="00ED44AA"/>
    <w:rsid w:val="00ED462E"/>
    <w:rsid w:val="00ED464E"/>
    <w:rsid w:val="00ED46B3"/>
    <w:rsid w:val="00ED46C2"/>
    <w:rsid w:val="00ED4780"/>
    <w:rsid w:val="00ED4899"/>
    <w:rsid w:val="00ED4980"/>
    <w:rsid w:val="00ED4A8A"/>
    <w:rsid w:val="00ED4AFF"/>
    <w:rsid w:val="00ED4B6E"/>
    <w:rsid w:val="00ED4BAB"/>
    <w:rsid w:val="00ED4BF1"/>
    <w:rsid w:val="00ED4BFF"/>
    <w:rsid w:val="00ED4C39"/>
    <w:rsid w:val="00ED4CA7"/>
    <w:rsid w:val="00ED4D0B"/>
    <w:rsid w:val="00ED4D64"/>
    <w:rsid w:val="00ED4E8D"/>
    <w:rsid w:val="00ED4ED2"/>
    <w:rsid w:val="00ED4F29"/>
    <w:rsid w:val="00ED502B"/>
    <w:rsid w:val="00ED50AC"/>
    <w:rsid w:val="00ED5247"/>
    <w:rsid w:val="00ED524C"/>
    <w:rsid w:val="00ED5397"/>
    <w:rsid w:val="00ED54BE"/>
    <w:rsid w:val="00ED5528"/>
    <w:rsid w:val="00ED55E2"/>
    <w:rsid w:val="00ED563A"/>
    <w:rsid w:val="00ED569D"/>
    <w:rsid w:val="00ED5AC5"/>
    <w:rsid w:val="00ED5B8D"/>
    <w:rsid w:val="00ED5C0A"/>
    <w:rsid w:val="00ED5C82"/>
    <w:rsid w:val="00ED5D32"/>
    <w:rsid w:val="00ED5D51"/>
    <w:rsid w:val="00ED5D71"/>
    <w:rsid w:val="00ED5D91"/>
    <w:rsid w:val="00ED5F49"/>
    <w:rsid w:val="00ED5FCF"/>
    <w:rsid w:val="00ED6014"/>
    <w:rsid w:val="00ED61CE"/>
    <w:rsid w:val="00ED61E7"/>
    <w:rsid w:val="00ED624E"/>
    <w:rsid w:val="00ED64B6"/>
    <w:rsid w:val="00ED64DD"/>
    <w:rsid w:val="00ED64ED"/>
    <w:rsid w:val="00ED656B"/>
    <w:rsid w:val="00ED659B"/>
    <w:rsid w:val="00ED66E2"/>
    <w:rsid w:val="00ED6823"/>
    <w:rsid w:val="00ED689C"/>
    <w:rsid w:val="00ED68A4"/>
    <w:rsid w:val="00ED68A5"/>
    <w:rsid w:val="00ED692D"/>
    <w:rsid w:val="00ED69A7"/>
    <w:rsid w:val="00ED69C4"/>
    <w:rsid w:val="00ED6B56"/>
    <w:rsid w:val="00ED6B7E"/>
    <w:rsid w:val="00ED6BB7"/>
    <w:rsid w:val="00ED6D38"/>
    <w:rsid w:val="00ED6DF3"/>
    <w:rsid w:val="00ED6EEC"/>
    <w:rsid w:val="00ED70E1"/>
    <w:rsid w:val="00ED711D"/>
    <w:rsid w:val="00ED71E9"/>
    <w:rsid w:val="00ED726E"/>
    <w:rsid w:val="00ED72DE"/>
    <w:rsid w:val="00ED7332"/>
    <w:rsid w:val="00ED7437"/>
    <w:rsid w:val="00ED7550"/>
    <w:rsid w:val="00ED762C"/>
    <w:rsid w:val="00ED7636"/>
    <w:rsid w:val="00ED76B0"/>
    <w:rsid w:val="00ED7766"/>
    <w:rsid w:val="00ED778F"/>
    <w:rsid w:val="00ED77A9"/>
    <w:rsid w:val="00ED78EE"/>
    <w:rsid w:val="00ED794E"/>
    <w:rsid w:val="00ED7A14"/>
    <w:rsid w:val="00ED7B0D"/>
    <w:rsid w:val="00ED7C25"/>
    <w:rsid w:val="00ED7CF8"/>
    <w:rsid w:val="00ED7D93"/>
    <w:rsid w:val="00ED7DB3"/>
    <w:rsid w:val="00ED7DFD"/>
    <w:rsid w:val="00ED7F71"/>
    <w:rsid w:val="00EE0082"/>
    <w:rsid w:val="00EE0114"/>
    <w:rsid w:val="00EE0168"/>
    <w:rsid w:val="00EE01FB"/>
    <w:rsid w:val="00EE0247"/>
    <w:rsid w:val="00EE02AE"/>
    <w:rsid w:val="00EE0379"/>
    <w:rsid w:val="00EE03F9"/>
    <w:rsid w:val="00EE0442"/>
    <w:rsid w:val="00EE0497"/>
    <w:rsid w:val="00EE05B3"/>
    <w:rsid w:val="00EE067F"/>
    <w:rsid w:val="00EE0692"/>
    <w:rsid w:val="00EE074C"/>
    <w:rsid w:val="00EE080E"/>
    <w:rsid w:val="00EE0839"/>
    <w:rsid w:val="00EE084D"/>
    <w:rsid w:val="00EE08B9"/>
    <w:rsid w:val="00EE09B2"/>
    <w:rsid w:val="00EE09EA"/>
    <w:rsid w:val="00EE0ACF"/>
    <w:rsid w:val="00EE0CF7"/>
    <w:rsid w:val="00EE0D0D"/>
    <w:rsid w:val="00EE0D23"/>
    <w:rsid w:val="00EE0D8F"/>
    <w:rsid w:val="00EE0E03"/>
    <w:rsid w:val="00EE0E1E"/>
    <w:rsid w:val="00EE0E62"/>
    <w:rsid w:val="00EE1008"/>
    <w:rsid w:val="00EE1013"/>
    <w:rsid w:val="00EE1072"/>
    <w:rsid w:val="00EE1092"/>
    <w:rsid w:val="00EE11C7"/>
    <w:rsid w:val="00EE11DE"/>
    <w:rsid w:val="00EE125B"/>
    <w:rsid w:val="00EE12A7"/>
    <w:rsid w:val="00EE13E3"/>
    <w:rsid w:val="00EE13F7"/>
    <w:rsid w:val="00EE1518"/>
    <w:rsid w:val="00EE164F"/>
    <w:rsid w:val="00EE170A"/>
    <w:rsid w:val="00EE1743"/>
    <w:rsid w:val="00EE1791"/>
    <w:rsid w:val="00EE1861"/>
    <w:rsid w:val="00EE1B9B"/>
    <w:rsid w:val="00EE1BB3"/>
    <w:rsid w:val="00EE1BB6"/>
    <w:rsid w:val="00EE1BD2"/>
    <w:rsid w:val="00EE1C12"/>
    <w:rsid w:val="00EE1C96"/>
    <w:rsid w:val="00EE1D33"/>
    <w:rsid w:val="00EE1DE6"/>
    <w:rsid w:val="00EE1EB9"/>
    <w:rsid w:val="00EE1FDD"/>
    <w:rsid w:val="00EE214B"/>
    <w:rsid w:val="00EE2224"/>
    <w:rsid w:val="00EE223F"/>
    <w:rsid w:val="00EE22CF"/>
    <w:rsid w:val="00EE2315"/>
    <w:rsid w:val="00EE238D"/>
    <w:rsid w:val="00EE2424"/>
    <w:rsid w:val="00EE2492"/>
    <w:rsid w:val="00EE24A2"/>
    <w:rsid w:val="00EE2532"/>
    <w:rsid w:val="00EE254F"/>
    <w:rsid w:val="00EE2641"/>
    <w:rsid w:val="00EE264E"/>
    <w:rsid w:val="00EE28AD"/>
    <w:rsid w:val="00EE2A0A"/>
    <w:rsid w:val="00EE2B60"/>
    <w:rsid w:val="00EE2BBE"/>
    <w:rsid w:val="00EE2BFC"/>
    <w:rsid w:val="00EE2CC4"/>
    <w:rsid w:val="00EE2D10"/>
    <w:rsid w:val="00EE2D92"/>
    <w:rsid w:val="00EE2DF4"/>
    <w:rsid w:val="00EE309F"/>
    <w:rsid w:val="00EE30AD"/>
    <w:rsid w:val="00EE32E1"/>
    <w:rsid w:val="00EE3387"/>
    <w:rsid w:val="00EE33C7"/>
    <w:rsid w:val="00EE33D2"/>
    <w:rsid w:val="00EE348E"/>
    <w:rsid w:val="00EE3550"/>
    <w:rsid w:val="00EE3571"/>
    <w:rsid w:val="00EE35F8"/>
    <w:rsid w:val="00EE37B8"/>
    <w:rsid w:val="00EE38ED"/>
    <w:rsid w:val="00EE3A61"/>
    <w:rsid w:val="00EE3A8C"/>
    <w:rsid w:val="00EE3B61"/>
    <w:rsid w:val="00EE3C77"/>
    <w:rsid w:val="00EE3CC8"/>
    <w:rsid w:val="00EE3E12"/>
    <w:rsid w:val="00EE3FB1"/>
    <w:rsid w:val="00EE411D"/>
    <w:rsid w:val="00EE41C5"/>
    <w:rsid w:val="00EE423C"/>
    <w:rsid w:val="00EE42A6"/>
    <w:rsid w:val="00EE42D9"/>
    <w:rsid w:val="00EE4333"/>
    <w:rsid w:val="00EE4377"/>
    <w:rsid w:val="00EE44C9"/>
    <w:rsid w:val="00EE454E"/>
    <w:rsid w:val="00EE45C1"/>
    <w:rsid w:val="00EE4877"/>
    <w:rsid w:val="00EE48B0"/>
    <w:rsid w:val="00EE4902"/>
    <w:rsid w:val="00EE4AC2"/>
    <w:rsid w:val="00EE4B10"/>
    <w:rsid w:val="00EE4B78"/>
    <w:rsid w:val="00EE4BF6"/>
    <w:rsid w:val="00EE4E08"/>
    <w:rsid w:val="00EE4E49"/>
    <w:rsid w:val="00EE4E69"/>
    <w:rsid w:val="00EE4E8A"/>
    <w:rsid w:val="00EE4EBC"/>
    <w:rsid w:val="00EE4EC9"/>
    <w:rsid w:val="00EE5045"/>
    <w:rsid w:val="00EE50DB"/>
    <w:rsid w:val="00EE50FC"/>
    <w:rsid w:val="00EE5135"/>
    <w:rsid w:val="00EE51B3"/>
    <w:rsid w:val="00EE52AC"/>
    <w:rsid w:val="00EE55FE"/>
    <w:rsid w:val="00EE5797"/>
    <w:rsid w:val="00EE57C6"/>
    <w:rsid w:val="00EE57D6"/>
    <w:rsid w:val="00EE5833"/>
    <w:rsid w:val="00EE5A7A"/>
    <w:rsid w:val="00EE5B1F"/>
    <w:rsid w:val="00EE5B89"/>
    <w:rsid w:val="00EE5B92"/>
    <w:rsid w:val="00EE5BE0"/>
    <w:rsid w:val="00EE5C9C"/>
    <w:rsid w:val="00EE5D82"/>
    <w:rsid w:val="00EE5DE1"/>
    <w:rsid w:val="00EE5ECA"/>
    <w:rsid w:val="00EE5ECF"/>
    <w:rsid w:val="00EE5F79"/>
    <w:rsid w:val="00EE60AC"/>
    <w:rsid w:val="00EE61AA"/>
    <w:rsid w:val="00EE62B5"/>
    <w:rsid w:val="00EE6317"/>
    <w:rsid w:val="00EE63FD"/>
    <w:rsid w:val="00EE656F"/>
    <w:rsid w:val="00EE65E7"/>
    <w:rsid w:val="00EE65F3"/>
    <w:rsid w:val="00EE6613"/>
    <w:rsid w:val="00EE6624"/>
    <w:rsid w:val="00EE6635"/>
    <w:rsid w:val="00EE66AB"/>
    <w:rsid w:val="00EE66D4"/>
    <w:rsid w:val="00EE6700"/>
    <w:rsid w:val="00EE67CA"/>
    <w:rsid w:val="00EE6861"/>
    <w:rsid w:val="00EE68E3"/>
    <w:rsid w:val="00EE6942"/>
    <w:rsid w:val="00EE6A93"/>
    <w:rsid w:val="00EE6B3B"/>
    <w:rsid w:val="00EE6C0B"/>
    <w:rsid w:val="00EE6C64"/>
    <w:rsid w:val="00EE6CD2"/>
    <w:rsid w:val="00EE6D19"/>
    <w:rsid w:val="00EE6D67"/>
    <w:rsid w:val="00EE6DBD"/>
    <w:rsid w:val="00EE6E1E"/>
    <w:rsid w:val="00EE6E6D"/>
    <w:rsid w:val="00EE6EA9"/>
    <w:rsid w:val="00EE6EBD"/>
    <w:rsid w:val="00EE6ED3"/>
    <w:rsid w:val="00EE6F0C"/>
    <w:rsid w:val="00EE7080"/>
    <w:rsid w:val="00EE741B"/>
    <w:rsid w:val="00EE749E"/>
    <w:rsid w:val="00EE7559"/>
    <w:rsid w:val="00EE75DA"/>
    <w:rsid w:val="00EE767B"/>
    <w:rsid w:val="00EE7683"/>
    <w:rsid w:val="00EE76B8"/>
    <w:rsid w:val="00EE79C0"/>
    <w:rsid w:val="00EE7A57"/>
    <w:rsid w:val="00EE7A68"/>
    <w:rsid w:val="00EE7AC9"/>
    <w:rsid w:val="00EE7D7E"/>
    <w:rsid w:val="00EE7EED"/>
    <w:rsid w:val="00EE7FB7"/>
    <w:rsid w:val="00EF002F"/>
    <w:rsid w:val="00EF006A"/>
    <w:rsid w:val="00EF011F"/>
    <w:rsid w:val="00EF01FA"/>
    <w:rsid w:val="00EF024B"/>
    <w:rsid w:val="00EF02ED"/>
    <w:rsid w:val="00EF034B"/>
    <w:rsid w:val="00EF03F4"/>
    <w:rsid w:val="00EF0561"/>
    <w:rsid w:val="00EF0570"/>
    <w:rsid w:val="00EF05FF"/>
    <w:rsid w:val="00EF063E"/>
    <w:rsid w:val="00EF068B"/>
    <w:rsid w:val="00EF077C"/>
    <w:rsid w:val="00EF0951"/>
    <w:rsid w:val="00EF0AEF"/>
    <w:rsid w:val="00EF0C35"/>
    <w:rsid w:val="00EF0C3F"/>
    <w:rsid w:val="00EF0CB6"/>
    <w:rsid w:val="00EF0DDD"/>
    <w:rsid w:val="00EF0DFF"/>
    <w:rsid w:val="00EF0ED1"/>
    <w:rsid w:val="00EF0FF1"/>
    <w:rsid w:val="00EF109F"/>
    <w:rsid w:val="00EF1107"/>
    <w:rsid w:val="00EF11BB"/>
    <w:rsid w:val="00EF126F"/>
    <w:rsid w:val="00EF12A8"/>
    <w:rsid w:val="00EF1330"/>
    <w:rsid w:val="00EF13A5"/>
    <w:rsid w:val="00EF1533"/>
    <w:rsid w:val="00EF158C"/>
    <w:rsid w:val="00EF1695"/>
    <w:rsid w:val="00EF1934"/>
    <w:rsid w:val="00EF1964"/>
    <w:rsid w:val="00EF1A0C"/>
    <w:rsid w:val="00EF1A5E"/>
    <w:rsid w:val="00EF1A95"/>
    <w:rsid w:val="00EF1AAD"/>
    <w:rsid w:val="00EF1BD6"/>
    <w:rsid w:val="00EF1C19"/>
    <w:rsid w:val="00EF1C36"/>
    <w:rsid w:val="00EF1CA9"/>
    <w:rsid w:val="00EF1CF1"/>
    <w:rsid w:val="00EF1D26"/>
    <w:rsid w:val="00EF1D55"/>
    <w:rsid w:val="00EF1F80"/>
    <w:rsid w:val="00EF219C"/>
    <w:rsid w:val="00EF21EA"/>
    <w:rsid w:val="00EF21F9"/>
    <w:rsid w:val="00EF226D"/>
    <w:rsid w:val="00EF2339"/>
    <w:rsid w:val="00EF240B"/>
    <w:rsid w:val="00EF2743"/>
    <w:rsid w:val="00EF280F"/>
    <w:rsid w:val="00EF2892"/>
    <w:rsid w:val="00EF28C6"/>
    <w:rsid w:val="00EF2962"/>
    <w:rsid w:val="00EF2A96"/>
    <w:rsid w:val="00EF2B04"/>
    <w:rsid w:val="00EF2B14"/>
    <w:rsid w:val="00EF2B4C"/>
    <w:rsid w:val="00EF2BA8"/>
    <w:rsid w:val="00EF2CCA"/>
    <w:rsid w:val="00EF2CE0"/>
    <w:rsid w:val="00EF2CE1"/>
    <w:rsid w:val="00EF2E6E"/>
    <w:rsid w:val="00EF2E8D"/>
    <w:rsid w:val="00EF2EBD"/>
    <w:rsid w:val="00EF2F40"/>
    <w:rsid w:val="00EF2FEC"/>
    <w:rsid w:val="00EF3047"/>
    <w:rsid w:val="00EF306D"/>
    <w:rsid w:val="00EF311D"/>
    <w:rsid w:val="00EF312F"/>
    <w:rsid w:val="00EF3149"/>
    <w:rsid w:val="00EF319D"/>
    <w:rsid w:val="00EF3282"/>
    <w:rsid w:val="00EF32E6"/>
    <w:rsid w:val="00EF3383"/>
    <w:rsid w:val="00EF33A3"/>
    <w:rsid w:val="00EF349A"/>
    <w:rsid w:val="00EF34B3"/>
    <w:rsid w:val="00EF34D8"/>
    <w:rsid w:val="00EF34FD"/>
    <w:rsid w:val="00EF3658"/>
    <w:rsid w:val="00EF36E9"/>
    <w:rsid w:val="00EF3713"/>
    <w:rsid w:val="00EF3734"/>
    <w:rsid w:val="00EF37CB"/>
    <w:rsid w:val="00EF3869"/>
    <w:rsid w:val="00EF38EA"/>
    <w:rsid w:val="00EF3A06"/>
    <w:rsid w:val="00EF3AD0"/>
    <w:rsid w:val="00EF3B0D"/>
    <w:rsid w:val="00EF3BC4"/>
    <w:rsid w:val="00EF3C29"/>
    <w:rsid w:val="00EF3CF1"/>
    <w:rsid w:val="00EF3D02"/>
    <w:rsid w:val="00EF3DA8"/>
    <w:rsid w:val="00EF3E0B"/>
    <w:rsid w:val="00EF3E66"/>
    <w:rsid w:val="00EF3ED6"/>
    <w:rsid w:val="00EF3F10"/>
    <w:rsid w:val="00EF3F3B"/>
    <w:rsid w:val="00EF3FA6"/>
    <w:rsid w:val="00EF4016"/>
    <w:rsid w:val="00EF4109"/>
    <w:rsid w:val="00EF413C"/>
    <w:rsid w:val="00EF413D"/>
    <w:rsid w:val="00EF41EE"/>
    <w:rsid w:val="00EF4286"/>
    <w:rsid w:val="00EF4370"/>
    <w:rsid w:val="00EF458F"/>
    <w:rsid w:val="00EF469E"/>
    <w:rsid w:val="00EF4719"/>
    <w:rsid w:val="00EF4744"/>
    <w:rsid w:val="00EF47B4"/>
    <w:rsid w:val="00EF47D1"/>
    <w:rsid w:val="00EF48E0"/>
    <w:rsid w:val="00EF4959"/>
    <w:rsid w:val="00EF496D"/>
    <w:rsid w:val="00EF49AC"/>
    <w:rsid w:val="00EF4A21"/>
    <w:rsid w:val="00EF4B6F"/>
    <w:rsid w:val="00EF4B74"/>
    <w:rsid w:val="00EF4DC2"/>
    <w:rsid w:val="00EF4E03"/>
    <w:rsid w:val="00EF4EF6"/>
    <w:rsid w:val="00EF4F58"/>
    <w:rsid w:val="00EF4FA2"/>
    <w:rsid w:val="00EF4FC4"/>
    <w:rsid w:val="00EF4FF6"/>
    <w:rsid w:val="00EF50E6"/>
    <w:rsid w:val="00EF5250"/>
    <w:rsid w:val="00EF52F2"/>
    <w:rsid w:val="00EF5378"/>
    <w:rsid w:val="00EF542A"/>
    <w:rsid w:val="00EF544F"/>
    <w:rsid w:val="00EF54AE"/>
    <w:rsid w:val="00EF55D0"/>
    <w:rsid w:val="00EF55D7"/>
    <w:rsid w:val="00EF56A3"/>
    <w:rsid w:val="00EF58B9"/>
    <w:rsid w:val="00EF58D0"/>
    <w:rsid w:val="00EF593F"/>
    <w:rsid w:val="00EF5A35"/>
    <w:rsid w:val="00EF5AC1"/>
    <w:rsid w:val="00EF5AE3"/>
    <w:rsid w:val="00EF5B2C"/>
    <w:rsid w:val="00EF5B6E"/>
    <w:rsid w:val="00EF5BC0"/>
    <w:rsid w:val="00EF5BE8"/>
    <w:rsid w:val="00EF5C07"/>
    <w:rsid w:val="00EF5C5C"/>
    <w:rsid w:val="00EF5CF4"/>
    <w:rsid w:val="00EF5D7D"/>
    <w:rsid w:val="00EF5FAD"/>
    <w:rsid w:val="00EF5FCD"/>
    <w:rsid w:val="00EF6100"/>
    <w:rsid w:val="00EF614A"/>
    <w:rsid w:val="00EF614F"/>
    <w:rsid w:val="00EF617A"/>
    <w:rsid w:val="00EF62AE"/>
    <w:rsid w:val="00EF62F4"/>
    <w:rsid w:val="00EF63BB"/>
    <w:rsid w:val="00EF6436"/>
    <w:rsid w:val="00EF6517"/>
    <w:rsid w:val="00EF6735"/>
    <w:rsid w:val="00EF67E1"/>
    <w:rsid w:val="00EF6859"/>
    <w:rsid w:val="00EF68D8"/>
    <w:rsid w:val="00EF68F9"/>
    <w:rsid w:val="00EF6C44"/>
    <w:rsid w:val="00EF6D98"/>
    <w:rsid w:val="00EF6EE1"/>
    <w:rsid w:val="00EF6EF1"/>
    <w:rsid w:val="00EF6F30"/>
    <w:rsid w:val="00EF6FBD"/>
    <w:rsid w:val="00EF7036"/>
    <w:rsid w:val="00EF7075"/>
    <w:rsid w:val="00EF70D7"/>
    <w:rsid w:val="00EF71EE"/>
    <w:rsid w:val="00EF7247"/>
    <w:rsid w:val="00EF72AD"/>
    <w:rsid w:val="00EF7335"/>
    <w:rsid w:val="00EF73A0"/>
    <w:rsid w:val="00EF73A7"/>
    <w:rsid w:val="00EF7528"/>
    <w:rsid w:val="00EF7566"/>
    <w:rsid w:val="00EF771C"/>
    <w:rsid w:val="00EF7790"/>
    <w:rsid w:val="00EF77D7"/>
    <w:rsid w:val="00EF788C"/>
    <w:rsid w:val="00EF789A"/>
    <w:rsid w:val="00EF798F"/>
    <w:rsid w:val="00EF79B7"/>
    <w:rsid w:val="00EF79E1"/>
    <w:rsid w:val="00EF7A1F"/>
    <w:rsid w:val="00EF7B1C"/>
    <w:rsid w:val="00EF7C46"/>
    <w:rsid w:val="00EF7CBE"/>
    <w:rsid w:val="00EF7D88"/>
    <w:rsid w:val="00EF7DCA"/>
    <w:rsid w:val="00EF7E93"/>
    <w:rsid w:val="00EF7F22"/>
    <w:rsid w:val="00EF7F8D"/>
    <w:rsid w:val="00EF7F8E"/>
    <w:rsid w:val="00F00140"/>
    <w:rsid w:val="00F00271"/>
    <w:rsid w:val="00F002DC"/>
    <w:rsid w:val="00F003D4"/>
    <w:rsid w:val="00F0040F"/>
    <w:rsid w:val="00F0042D"/>
    <w:rsid w:val="00F004F1"/>
    <w:rsid w:val="00F0052A"/>
    <w:rsid w:val="00F0053B"/>
    <w:rsid w:val="00F0070A"/>
    <w:rsid w:val="00F007B0"/>
    <w:rsid w:val="00F0082E"/>
    <w:rsid w:val="00F00897"/>
    <w:rsid w:val="00F00993"/>
    <w:rsid w:val="00F00A98"/>
    <w:rsid w:val="00F00AAA"/>
    <w:rsid w:val="00F00C27"/>
    <w:rsid w:val="00F00CED"/>
    <w:rsid w:val="00F00D59"/>
    <w:rsid w:val="00F00DB9"/>
    <w:rsid w:val="00F00E48"/>
    <w:rsid w:val="00F00ECE"/>
    <w:rsid w:val="00F00EDB"/>
    <w:rsid w:val="00F00F96"/>
    <w:rsid w:val="00F00F9F"/>
    <w:rsid w:val="00F0100D"/>
    <w:rsid w:val="00F010A8"/>
    <w:rsid w:val="00F010C3"/>
    <w:rsid w:val="00F01132"/>
    <w:rsid w:val="00F011A5"/>
    <w:rsid w:val="00F01377"/>
    <w:rsid w:val="00F01390"/>
    <w:rsid w:val="00F013C3"/>
    <w:rsid w:val="00F0142A"/>
    <w:rsid w:val="00F014CD"/>
    <w:rsid w:val="00F014D9"/>
    <w:rsid w:val="00F015B6"/>
    <w:rsid w:val="00F01617"/>
    <w:rsid w:val="00F01631"/>
    <w:rsid w:val="00F01696"/>
    <w:rsid w:val="00F0172E"/>
    <w:rsid w:val="00F01754"/>
    <w:rsid w:val="00F017D1"/>
    <w:rsid w:val="00F01883"/>
    <w:rsid w:val="00F018C0"/>
    <w:rsid w:val="00F019FA"/>
    <w:rsid w:val="00F01A29"/>
    <w:rsid w:val="00F01C7E"/>
    <w:rsid w:val="00F01CAE"/>
    <w:rsid w:val="00F01CD4"/>
    <w:rsid w:val="00F01CD8"/>
    <w:rsid w:val="00F01D00"/>
    <w:rsid w:val="00F01E02"/>
    <w:rsid w:val="00F01ECB"/>
    <w:rsid w:val="00F01EF2"/>
    <w:rsid w:val="00F01F45"/>
    <w:rsid w:val="00F0200F"/>
    <w:rsid w:val="00F020D6"/>
    <w:rsid w:val="00F021D1"/>
    <w:rsid w:val="00F021F8"/>
    <w:rsid w:val="00F0225C"/>
    <w:rsid w:val="00F0231A"/>
    <w:rsid w:val="00F0239F"/>
    <w:rsid w:val="00F023BB"/>
    <w:rsid w:val="00F02415"/>
    <w:rsid w:val="00F026CE"/>
    <w:rsid w:val="00F0271C"/>
    <w:rsid w:val="00F0278C"/>
    <w:rsid w:val="00F027AA"/>
    <w:rsid w:val="00F02891"/>
    <w:rsid w:val="00F029B1"/>
    <w:rsid w:val="00F029D7"/>
    <w:rsid w:val="00F02A0E"/>
    <w:rsid w:val="00F02A16"/>
    <w:rsid w:val="00F02A98"/>
    <w:rsid w:val="00F02B64"/>
    <w:rsid w:val="00F02BBF"/>
    <w:rsid w:val="00F02CC1"/>
    <w:rsid w:val="00F02E15"/>
    <w:rsid w:val="00F02E49"/>
    <w:rsid w:val="00F02E4F"/>
    <w:rsid w:val="00F02E63"/>
    <w:rsid w:val="00F02E6B"/>
    <w:rsid w:val="00F02E77"/>
    <w:rsid w:val="00F02F56"/>
    <w:rsid w:val="00F03079"/>
    <w:rsid w:val="00F03135"/>
    <w:rsid w:val="00F031A3"/>
    <w:rsid w:val="00F03372"/>
    <w:rsid w:val="00F033DC"/>
    <w:rsid w:val="00F0341A"/>
    <w:rsid w:val="00F034D4"/>
    <w:rsid w:val="00F03509"/>
    <w:rsid w:val="00F035A4"/>
    <w:rsid w:val="00F036BF"/>
    <w:rsid w:val="00F036E1"/>
    <w:rsid w:val="00F036FA"/>
    <w:rsid w:val="00F0370D"/>
    <w:rsid w:val="00F03822"/>
    <w:rsid w:val="00F0387E"/>
    <w:rsid w:val="00F0390F"/>
    <w:rsid w:val="00F039D5"/>
    <w:rsid w:val="00F03C1C"/>
    <w:rsid w:val="00F03C8D"/>
    <w:rsid w:val="00F03C9A"/>
    <w:rsid w:val="00F03D49"/>
    <w:rsid w:val="00F03D78"/>
    <w:rsid w:val="00F03E12"/>
    <w:rsid w:val="00F03EB2"/>
    <w:rsid w:val="00F03F16"/>
    <w:rsid w:val="00F03F62"/>
    <w:rsid w:val="00F04055"/>
    <w:rsid w:val="00F04136"/>
    <w:rsid w:val="00F0428F"/>
    <w:rsid w:val="00F0435F"/>
    <w:rsid w:val="00F043F9"/>
    <w:rsid w:val="00F04435"/>
    <w:rsid w:val="00F04475"/>
    <w:rsid w:val="00F045E3"/>
    <w:rsid w:val="00F0462C"/>
    <w:rsid w:val="00F04687"/>
    <w:rsid w:val="00F0476A"/>
    <w:rsid w:val="00F047B6"/>
    <w:rsid w:val="00F04913"/>
    <w:rsid w:val="00F04998"/>
    <w:rsid w:val="00F04B96"/>
    <w:rsid w:val="00F04BAC"/>
    <w:rsid w:val="00F04BC3"/>
    <w:rsid w:val="00F04BC9"/>
    <w:rsid w:val="00F04D9A"/>
    <w:rsid w:val="00F04DA2"/>
    <w:rsid w:val="00F04E24"/>
    <w:rsid w:val="00F04EB3"/>
    <w:rsid w:val="00F04EBF"/>
    <w:rsid w:val="00F04FE9"/>
    <w:rsid w:val="00F050F4"/>
    <w:rsid w:val="00F050FB"/>
    <w:rsid w:val="00F0519F"/>
    <w:rsid w:val="00F05402"/>
    <w:rsid w:val="00F054B4"/>
    <w:rsid w:val="00F05554"/>
    <w:rsid w:val="00F0558C"/>
    <w:rsid w:val="00F055CD"/>
    <w:rsid w:val="00F0578C"/>
    <w:rsid w:val="00F057A5"/>
    <w:rsid w:val="00F057EF"/>
    <w:rsid w:val="00F0581E"/>
    <w:rsid w:val="00F059F3"/>
    <w:rsid w:val="00F05AA1"/>
    <w:rsid w:val="00F05BE5"/>
    <w:rsid w:val="00F05C3F"/>
    <w:rsid w:val="00F05CC3"/>
    <w:rsid w:val="00F05CE1"/>
    <w:rsid w:val="00F05D55"/>
    <w:rsid w:val="00F05E57"/>
    <w:rsid w:val="00F05E79"/>
    <w:rsid w:val="00F05F9C"/>
    <w:rsid w:val="00F0600B"/>
    <w:rsid w:val="00F060A8"/>
    <w:rsid w:val="00F060C5"/>
    <w:rsid w:val="00F061EC"/>
    <w:rsid w:val="00F06587"/>
    <w:rsid w:val="00F06591"/>
    <w:rsid w:val="00F0663D"/>
    <w:rsid w:val="00F06664"/>
    <w:rsid w:val="00F066F7"/>
    <w:rsid w:val="00F067D5"/>
    <w:rsid w:val="00F068BF"/>
    <w:rsid w:val="00F068C3"/>
    <w:rsid w:val="00F069D8"/>
    <w:rsid w:val="00F069DB"/>
    <w:rsid w:val="00F06A4B"/>
    <w:rsid w:val="00F06B0D"/>
    <w:rsid w:val="00F06B11"/>
    <w:rsid w:val="00F06B72"/>
    <w:rsid w:val="00F06C51"/>
    <w:rsid w:val="00F06D5D"/>
    <w:rsid w:val="00F06FE7"/>
    <w:rsid w:val="00F070B6"/>
    <w:rsid w:val="00F070EA"/>
    <w:rsid w:val="00F070F2"/>
    <w:rsid w:val="00F07137"/>
    <w:rsid w:val="00F072B7"/>
    <w:rsid w:val="00F072E5"/>
    <w:rsid w:val="00F073D0"/>
    <w:rsid w:val="00F07573"/>
    <w:rsid w:val="00F075F2"/>
    <w:rsid w:val="00F07616"/>
    <w:rsid w:val="00F07694"/>
    <w:rsid w:val="00F079D9"/>
    <w:rsid w:val="00F07C0E"/>
    <w:rsid w:val="00F07C20"/>
    <w:rsid w:val="00F07C8E"/>
    <w:rsid w:val="00F07CCB"/>
    <w:rsid w:val="00F07DFA"/>
    <w:rsid w:val="00F07E5A"/>
    <w:rsid w:val="00F101AF"/>
    <w:rsid w:val="00F101E2"/>
    <w:rsid w:val="00F1032A"/>
    <w:rsid w:val="00F10348"/>
    <w:rsid w:val="00F10460"/>
    <w:rsid w:val="00F1047A"/>
    <w:rsid w:val="00F10502"/>
    <w:rsid w:val="00F10631"/>
    <w:rsid w:val="00F1074D"/>
    <w:rsid w:val="00F10897"/>
    <w:rsid w:val="00F108CF"/>
    <w:rsid w:val="00F108F5"/>
    <w:rsid w:val="00F1093C"/>
    <w:rsid w:val="00F10985"/>
    <w:rsid w:val="00F10A60"/>
    <w:rsid w:val="00F10AF6"/>
    <w:rsid w:val="00F10B0A"/>
    <w:rsid w:val="00F10B67"/>
    <w:rsid w:val="00F10E2B"/>
    <w:rsid w:val="00F10E2F"/>
    <w:rsid w:val="00F10E39"/>
    <w:rsid w:val="00F10F2F"/>
    <w:rsid w:val="00F10F87"/>
    <w:rsid w:val="00F10FF7"/>
    <w:rsid w:val="00F11020"/>
    <w:rsid w:val="00F1108C"/>
    <w:rsid w:val="00F110E1"/>
    <w:rsid w:val="00F111A0"/>
    <w:rsid w:val="00F11271"/>
    <w:rsid w:val="00F112A7"/>
    <w:rsid w:val="00F112E9"/>
    <w:rsid w:val="00F112F1"/>
    <w:rsid w:val="00F11312"/>
    <w:rsid w:val="00F11316"/>
    <w:rsid w:val="00F113B7"/>
    <w:rsid w:val="00F1153F"/>
    <w:rsid w:val="00F116B1"/>
    <w:rsid w:val="00F116C2"/>
    <w:rsid w:val="00F116DF"/>
    <w:rsid w:val="00F116E9"/>
    <w:rsid w:val="00F116EB"/>
    <w:rsid w:val="00F11812"/>
    <w:rsid w:val="00F11841"/>
    <w:rsid w:val="00F118EB"/>
    <w:rsid w:val="00F11934"/>
    <w:rsid w:val="00F11BC4"/>
    <w:rsid w:val="00F11BD3"/>
    <w:rsid w:val="00F11D1B"/>
    <w:rsid w:val="00F11E1F"/>
    <w:rsid w:val="00F11EEE"/>
    <w:rsid w:val="00F11EFC"/>
    <w:rsid w:val="00F11F60"/>
    <w:rsid w:val="00F1208B"/>
    <w:rsid w:val="00F120FD"/>
    <w:rsid w:val="00F1217F"/>
    <w:rsid w:val="00F121AA"/>
    <w:rsid w:val="00F12248"/>
    <w:rsid w:val="00F1224F"/>
    <w:rsid w:val="00F12330"/>
    <w:rsid w:val="00F12476"/>
    <w:rsid w:val="00F124A1"/>
    <w:rsid w:val="00F124D0"/>
    <w:rsid w:val="00F1256D"/>
    <w:rsid w:val="00F1258F"/>
    <w:rsid w:val="00F125BD"/>
    <w:rsid w:val="00F12605"/>
    <w:rsid w:val="00F126E7"/>
    <w:rsid w:val="00F128A9"/>
    <w:rsid w:val="00F128C3"/>
    <w:rsid w:val="00F128C7"/>
    <w:rsid w:val="00F1293E"/>
    <w:rsid w:val="00F12975"/>
    <w:rsid w:val="00F129DB"/>
    <w:rsid w:val="00F12A8B"/>
    <w:rsid w:val="00F12B56"/>
    <w:rsid w:val="00F12BE9"/>
    <w:rsid w:val="00F12CA1"/>
    <w:rsid w:val="00F12D67"/>
    <w:rsid w:val="00F12E56"/>
    <w:rsid w:val="00F130DB"/>
    <w:rsid w:val="00F131E7"/>
    <w:rsid w:val="00F131F4"/>
    <w:rsid w:val="00F132A7"/>
    <w:rsid w:val="00F132D0"/>
    <w:rsid w:val="00F133A0"/>
    <w:rsid w:val="00F1356E"/>
    <w:rsid w:val="00F136D0"/>
    <w:rsid w:val="00F136E3"/>
    <w:rsid w:val="00F1370C"/>
    <w:rsid w:val="00F1389E"/>
    <w:rsid w:val="00F13975"/>
    <w:rsid w:val="00F1399C"/>
    <w:rsid w:val="00F139E8"/>
    <w:rsid w:val="00F13AB6"/>
    <w:rsid w:val="00F13B0A"/>
    <w:rsid w:val="00F13BE2"/>
    <w:rsid w:val="00F13C03"/>
    <w:rsid w:val="00F13CD8"/>
    <w:rsid w:val="00F13CF3"/>
    <w:rsid w:val="00F13D3D"/>
    <w:rsid w:val="00F13D84"/>
    <w:rsid w:val="00F13D8E"/>
    <w:rsid w:val="00F13ED5"/>
    <w:rsid w:val="00F13F69"/>
    <w:rsid w:val="00F1405C"/>
    <w:rsid w:val="00F14075"/>
    <w:rsid w:val="00F140A1"/>
    <w:rsid w:val="00F140CE"/>
    <w:rsid w:val="00F14182"/>
    <w:rsid w:val="00F141BF"/>
    <w:rsid w:val="00F141DA"/>
    <w:rsid w:val="00F141F9"/>
    <w:rsid w:val="00F1420C"/>
    <w:rsid w:val="00F14225"/>
    <w:rsid w:val="00F143C0"/>
    <w:rsid w:val="00F14476"/>
    <w:rsid w:val="00F144A3"/>
    <w:rsid w:val="00F146AA"/>
    <w:rsid w:val="00F14757"/>
    <w:rsid w:val="00F1475C"/>
    <w:rsid w:val="00F147DE"/>
    <w:rsid w:val="00F14804"/>
    <w:rsid w:val="00F148E4"/>
    <w:rsid w:val="00F1490C"/>
    <w:rsid w:val="00F1491C"/>
    <w:rsid w:val="00F14982"/>
    <w:rsid w:val="00F14995"/>
    <w:rsid w:val="00F14A1E"/>
    <w:rsid w:val="00F14B98"/>
    <w:rsid w:val="00F14BDF"/>
    <w:rsid w:val="00F14C88"/>
    <w:rsid w:val="00F14CC2"/>
    <w:rsid w:val="00F14D6C"/>
    <w:rsid w:val="00F14D8F"/>
    <w:rsid w:val="00F14D96"/>
    <w:rsid w:val="00F14D9C"/>
    <w:rsid w:val="00F14DBC"/>
    <w:rsid w:val="00F14E19"/>
    <w:rsid w:val="00F14EAB"/>
    <w:rsid w:val="00F14F72"/>
    <w:rsid w:val="00F15064"/>
    <w:rsid w:val="00F1510B"/>
    <w:rsid w:val="00F15232"/>
    <w:rsid w:val="00F15415"/>
    <w:rsid w:val="00F154CA"/>
    <w:rsid w:val="00F154E6"/>
    <w:rsid w:val="00F15532"/>
    <w:rsid w:val="00F15541"/>
    <w:rsid w:val="00F15630"/>
    <w:rsid w:val="00F1563E"/>
    <w:rsid w:val="00F15653"/>
    <w:rsid w:val="00F156BB"/>
    <w:rsid w:val="00F1580F"/>
    <w:rsid w:val="00F1587C"/>
    <w:rsid w:val="00F1597F"/>
    <w:rsid w:val="00F159C4"/>
    <w:rsid w:val="00F15A19"/>
    <w:rsid w:val="00F15A37"/>
    <w:rsid w:val="00F15A4E"/>
    <w:rsid w:val="00F15A5C"/>
    <w:rsid w:val="00F15AE3"/>
    <w:rsid w:val="00F15B2E"/>
    <w:rsid w:val="00F15BFF"/>
    <w:rsid w:val="00F15C5E"/>
    <w:rsid w:val="00F15DF5"/>
    <w:rsid w:val="00F15E6E"/>
    <w:rsid w:val="00F15EE5"/>
    <w:rsid w:val="00F15F14"/>
    <w:rsid w:val="00F15F41"/>
    <w:rsid w:val="00F16083"/>
    <w:rsid w:val="00F160E6"/>
    <w:rsid w:val="00F16106"/>
    <w:rsid w:val="00F1615F"/>
    <w:rsid w:val="00F161B9"/>
    <w:rsid w:val="00F162EA"/>
    <w:rsid w:val="00F16313"/>
    <w:rsid w:val="00F164AF"/>
    <w:rsid w:val="00F164C8"/>
    <w:rsid w:val="00F16528"/>
    <w:rsid w:val="00F16584"/>
    <w:rsid w:val="00F16622"/>
    <w:rsid w:val="00F16686"/>
    <w:rsid w:val="00F168EA"/>
    <w:rsid w:val="00F169BD"/>
    <w:rsid w:val="00F169EF"/>
    <w:rsid w:val="00F16C0E"/>
    <w:rsid w:val="00F16CB6"/>
    <w:rsid w:val="00F16D9F"/>
    <w:rsid w:val="00F16DB6"/>
    <w:rsid w:val="00F16E71"/>
    <w:rsid w:val="00F16F41"/>
    <w:rsid w:val="00F16F68"/>
    <w:rsid w:val="00F16FDF"/>
    <w:rsid w:val="00F16FFF"/>
    <w:rsid w:val="00F1725A"/>
    <w:rsid w:val="00F17312"/>
    <w:rsid w:val="00F17350"/>
    <w:rsid w:val="00F17398"/>
    <w:rsid w:val="00F17479"/>
    <w:rsid w:val="00F17483"/>
    <w:rsid w:val="00F174A5"/>
    <w:rsid w:val="00F174BA"/>
    <w:rsid w:val="00F1752A"/>
    <w:rsid w:val="00F175AE"/>
    <w:rsid w:val="00F175AF"/>
    <w:rsid w:val="00F17672"/>
    <w:rsid w:val="00F176BF"/>
    <w:rsid w:val="00F176D6"/>
    <w:rsid w:val="00F1779C"/>
    <w:rsid w:val="00F177A2"/>
    <w:rsid w:val="00F177A8"/>
    <w:rsid w:val="00F177BD"/>
    <w:rsid w:val="00F1788C"/>
    <w:rsid w:val="00F17BDE"/>
    <w:rsid w:val="00F17C31"/>
    <w:rsid w:val="00F17C95"/>
    <w:rsid w:val="00F17D1A"/>
    <w:rsid w:val="00F17DFE"/>
    <w:rsid w:val="00F20013"/>
    <w:rsid w:val="00F20070"/>
    <w:rsid w:val="00F20119"/>
    <w:rsid w:val="00F2015D"/>
    <w:rsid w:val="00F20319"/>
    <w:rsid w:val="00F2040A"/>
    <w:rsid w:val="00F204B4"/>
    <w:rsid w:val="00F2052D"/>
    <w:rsid w:val="00F2059D"/>
    <w:rsid w:val="00F20650"/>
    <w:rsid w:val="00F20714"/>
    <w:rsid w:val="00F207BC"/>
    <w:rsid w:val="00F20819"/>
    <w:rsid w:val="00F2082C"/>
    <w:rsid w:val="00F20867"/>
    <w:rsid w:val="00F2099A"/>
    <w:rsid w:val="00F209E3"/>
    <w:rsid w:val="00F209FE"/>
    <w:rsid w:val="00F20A71"/>
    <w:rsid w:val="00F20A89"/>
    <w:rsid w:val="00F20AA6"/>
    <w:rsid w:val="00F20B4D"/>
    <w:rsid w:val="00F20B5D"/>
    <w:rsid w:val="00F20B8F"/>
    <w:rsid w:val="00F20BD1"/>
    <w:rsid w:val="00F20C6D"/>
    <w:rsid w:val="00F20CC0"/>
    <w:rsid w:val="00F20D16"/>
    <w:rsid w:val="00F20DFB"/>
    <w:rsid w:val="00F20E21"/>
    <w:rsid w:val="00F20EEC"/>
    <w:rsid w:val="00F20F52"/>
    <w:rsid w:val="00F20FE1"/>
    <w:rsid w:val="00F210F0"/>
    <w:rsid w:val="00F2112F"/>
    <w:rsid w:val="00F2120D"/>
    <w:rsid w:val="00F2128F"/>
    <w:rsid w:val="00F212DB"/>
    <w:rsid w:val="00F2136D"/>
    <w:rsid w:val="00F2156E"/>
    <w:rsid w:val="00F215FB"/>
    <w:rsid w:val="00F21606"/>
    <w:rsid w:val="00F21679"/>
    <w:rsid w:val="00F21887"/>
    <w:rsid w:val="00F218D9"/>
    <w:rsid w:val="00F218E6"/>
    <w:rsid w:val="00F2190F"/>
    <w:rsid w:val="00F2193E"/>
    <w:rsid w:val="00F21975"/>
    <w:rsid w:val="00F21992"/>
    <w:rsid w:val="00F21A0F"/>
    <w:rsid w:val="00F21A13"/>
    <w:rsid w:val="00F21A38"/>
    <w:rsid w:val="00F21A53"/>
    <w:rsid w:val="00F21AAE"/>
    <w:rsid w:val="00F21C07"/>
    <w:rsid w:val="00F21D28"/>
    <w:rsid w:val="00F21DAD"/>
    <w:rsid w:val="00F21DD7"/>
    <w:rsid w:val="00F21F1B"/>
    <w:rsid w:val="00F21F7B"/>
    <w:rsid w:val="00F220AF"/>
    <w:rsid w:val="00F22167"/>
    <w:rsid w:val="00F22298"/>
    <w:rsid w:val="00F222A6"/>
    <w:rsid w:val="00F22320"/>
    <w:rsid w:val="00F2236D"/>
    <w:rsid w:val="00F223BB"/>
    <w:rsid w:val="00F22471"/>
    <w:rsid w:val="00F2248D"/>
    <w:rsid w:val="00F224E0"/>
    <w:rsid w:val="00F22585"/>
    <w:rsid w:val="00F226A0"/>
    <w:rsid w:val="00F22758"/>
    <w:rsid w:val="00F22764"/>
    <w:rsid w:val="00F227D3"/>
    <w:rsid w:val="00F22885"/>
    <w:rsid w:val="00F229E3"/>
    <w:rsid w:val="00F22AA6"/>
    <w:rsid w:val="00F22B63"/>
    <w:rsid w:val="00F22BF4"/>
    <w:rsid w:val="00F22CDB"/>
    <w:rsid w:val="00F22D06"/>
    <w:rsid w:val="00F22D2B"/>
    <w:rsid w:val="00F22E32"/>
    <w:rsid w:val="00F22E98"/>
    <w:rsid w:val="00F22EBA"/>
    <w:rsid w:val="00F22ECB"/>
    <w:rsid w:val="00F23064"/>
    <w:rsid w:val="00F230AB"/>
    <w:rsid w:val="00F232B2"/>
    <w:rsid w:val="00F2331D"/>
    <w:rsid w:val="00F234CC"/>
    <w:rsid w:val="00F234F0"/>
    <w:rsid w:val="00F235B4"/>
    <w:rsid w:val="00F2369B"/>
    <w:rsid w:val="00F23727"/>
    <w:rsid w:val="00F237EC"/>
    <w:rsid w:val="00F2385C"/>
    <w:rsid w:val="00F2391B"/>
    <w:rsid w:val="00F23B51"/>
    <w:rsid w:val="00F23B84"/>
    <w:rsid w:val="00F23C02"/>
    <w:rsid w:val="00F23E4B"/>
    <w:rsid w:val="00F23EDB"/>
    <w:rsid w:val="00F23EE6"/>
    <w:rsid w:val="00F23FE2"/>
    <w:rsid w:val="00F240A2"/>
    <w:rsid w:val="00F240BC"/>
    <w:rsid w:val="00F240BE"/>
    <w:rsid w:val="00F24157"/>
    <w:rsid w:val="00F24227"/>
    <w:rsid w:val="00F2426B"/>
    <w:rsid w:val="00F24481"/>
    <w:rsid w:val="00F24554"/>
    <w:rsid w:val="00F24564"/>
    <w:rsid w:val="00F245B4"/>
    <w:rsid w:val="00F2460C"/>
    <w:rsid w:val="00F24656"/>
    <w:rsid w:val="00F24747"/>
    <w:rsid w:val="00F247CE"/>
    <w:rsid w:val="00F24898"/>
    <w:rsid w:val="00F248C8"/>
    <w:rsid w:val="00F248E2"/>
    <w:rsid w:val="00F249A8"/>
    <w:rsid w:val="00F249B8"/>
    <w:rsid w:val="00F24A25"/>
    <w:rsid w:val="00F24AC6"/>
    <w:rsid w:val="00F24AF0"/>
    <w:rsid w:val="00F24B0A"/>
    <w:rsid w:val="00F24B31"/>
    <w:rsid w:val="00F24B51"/>
    <w:rsid w:val="00F24B66"/>
    <w:rsid w:val="00F24B9D"/>
    <w:rsid w:val="00F24BAF"/>
    <w:rsid w:val="00F24C7F"/>
    <w:rsid w:val="00F24CD2"/>
    <w:rsid w:val="00F24CE0"/>
    <w:rsid w:val="00F24D38"/>
    <w:rsid w:val="00F24D7F"/>
    <w:rsid w:val="00F24D8A"/>
    <w:rsid w:val="00F24E9F"/>
    <w:rsid w:val="00F24F60"/>
    <w:rsid w:val="00F24F8E"/>
    <w:rsid w:val="00F24FB4"/>
    <w:rsid w:val="00F25030"/>
    <w:rsid w:val="00F25081"/>
    <w:rsid w:val="00F25088"/>
    <w:rsid w:val="00F25174"/>
    <w:rsid w:val="00F2519E"/>
    <w:rsid w:val="00F251BE"/>
    <w:rsid w:val="00F25241"/>
    <w:rsid w:val="00F25314"/>
    <w:rsid w:val="00F25366"/>
    <w:rsid w:val="00F25376"/>
    <w:rsid w:val="00F253AB"/>
    <w:rsid w:val="00F25568"/>
    <w:rsid w:val="00F2557F"/>
    <w:rsid w:val="00F258CE"/>
    <w:rsid w:val="00F2591A"/>
    <w:rsid w:val="00F25A5D"/>
    <w:rsid w:val="00F25AA7"/>
    <w:rsid w:val="00F25ADF"/>
    <w:rsid w:val="00F25B02"/>
    <w:rsid w:val="00F25DD2"/>
    <w:rsid w:val="00F25EF9"/>
    <w:rsid w:val="00F25FDC"/>
    <w:rsid w:val="00F2604B"/>
    <w:rsid w:val="00F26181"/>
    <w:rsid w:val="00F26224"/>
    <w:rsid w:val="00F2635E"/>
    <w:rsid w:val="00F263BB"/>
    <w:rsid w:val="00F263C6"/>
    <w:rsid w:val="00F26475"/>
    <w:rsid w:val="00F2652F"/>
    <w:rsid w:val="00F265F7"/>
    <w:rsid w:val="00F2663D"/>
    <w:rsid w:val="00F266A5"/>
    <w:rsid w:val="00F267B1"/>
    <w:rsid w:val="00F267EE"/>
    <w:rsid w:val="00F2681E"/>
    <w:rsid w:val="00F2686A"/>
    <w:rsid w:val="00F268D6"/>
    <w:rsid w:val="00F26A3A"/>
    <w:rsid w:val="00F26A9C"/>
    <w:rsid w:val="00F26B23"/>
    <w:rsid w:val="00F26B70"/>
    <w:rsid w:val="00F26C5C"/>
    <w:rsid w:val="00F26D05"/>
    <w:rsid w:val="00F26D2A"/>
    <w:rsid w:val="00F26DA2"/>
    <w:rsid w:val="00F26E3D"/>
    <w:rsid w:val="00F26E93"/>
    <w:rsid w:val="00F26F07"/>
    <w:rsid w:val="00F26FA2"/>
    <w:rsid w:val="00F26FB1"/>
    <w:rsid w:val="00F2706A"/>
    <w:rsid w:val="00F2709B"/>
    <w:rsid w:val="00F273E9"/>
    <w:rsid w:val="00F27411"/>
    <w:rsid w:val="00F27432"/>
    <w:rsid w:val="00F27450"/>
    <w:rsid w:val="00F274CA"/>
    <w:rsid w:val="00F275A3"/>
    <w:rsid w:val="00F275F1"/>
    <w:rsid w:val="00F27643"/>
    <w:rsid w:val="00F276A7"/>
    <w:rsid w:val="00F276C8"/>
    <w:rsid w:val="00F2776D"/>
    <w:rsid w:val="00F277AE"/>
    <w:rsid w:val="00F2788C"/>
    <w:rsid w:val="00F278F1"/>
    <w:rsid w:val="00F27954"/>
    <w:rsid w:val="00F27B92"/>
    <w:rsid w:val="00F27C0B"/>
    <w:rsid w:val="00F27C8F"/>
    <w:rsid w:val="00F27CA1"/>
    <w:rsid w:val="00F27E96"/>
    <w:rsid w:val="00F27EAC"/>
    <w:rsid w:val="00F27EE9"/>
    <w:rsid w:val="00F27EEC"/>
    <w:rsid w:val="00F30026"/>
    <w:rsid w:val="00F30101"/>
    <w:rsid w:val="00F301EC"/>
    <w:rsid w:val="00F301F5"/>
    <w:rsid w:val="00F303E7"/>
    <w:rsid w:val="00F3050E"/>
    <w:rsid w:val="00F30537"/>
    <w:rsid w:val="00F3054C"/>
    <w:rsid w:val="00F3060D"/>
    <w:rsid w:val="00F30678"/>
    <w:rsid w:val="00F306E8"/>
    <w:rsid w:val="00F307B1"/>
    <w:rsid w:val="00F307F9"/>
    <w:rsid w:val="00F3080C"/>
    <w:rsid w:val="00F30834"/>
    <w:rsid w:val="00F30837"/>
    <w:rsid w:val="00F3087B"/>
    <w:rsid w:val="00F30B0B"/>
    <w:rsid w:val="00F30BEB"/>
    <w:rsid w:val="00F30C07"/>
    <w:rsid w:val="00F30CC2"/>
    <w:rsid w:val="00F30CD3"/>
    <w:rsid w:val="00F30D0A"/>
    <w:rsid w:val="00F30DD7"/>
    <w:rsid w:val="00F30DF6"/>
    <w:rsid w:val="00F30EBD"/>
    <w:rsid w:val="00F30F9C"/>
    <w:rsid w:val="00F3109E"/>
    <w:rsid w:val="00F310E3"/>
    <w:rsid w:val="00F31130"/>
    <w:rsid w:val="00F31204"/>
    <w:rsid w:val="00F3122F"/>
    <w:rsid w:val="00F312A5"/>
    <w:rsid w:val="00F312D1"/>
    <w:rsid w:val="00F3131D"/>
    <w:rsid w:val="00F3133D"/>
    <w:rsid w:val="00F31386"/>
    <w:rsid w:val="00F3148B"/>
    <w:rsid w:val="00F31658"/>
    <w:rsid w:val="00F31662"/>
    <w:rsid w:val="00F3173B"/>
    <w:rsid w:val="00F31777"/>
    <w:rsid w:val="00F31961"/>
    <w:rsid w:val="00F31A2A"/>
    <w:rsid w:val="00F31A6C"/>
    <w:rsid w:val="00F31B6B"/>
    <w:rsid w:val="00F31C30"/>
    <w:rsid w:val="00F31C5F"/>
    <w:rsid w:val="00F31C87"/>
    <w:rsid w:val="00F31CED"/>
    <w:rsid w:val="00F31D71"/>
    <w:rsid w:val="00F31D82"/>
    <w:rsid w:val="00F31DF5"/>
    <w:rsid w:val="00F31E47"/>
    <w:rsid w:val="00F31E75"/>
    <w:rsid w:val="00F31EA7"/>
    <w:rsid w:val="00F31F57"/>
    <w:rsid w:val="00F3208B"/>
    <w:rsid w:val="00F320C4"/>
    <w:rsid w:val="00F32110"/>
    <w:rsid w:val="00F32141"/>
    <w:rsid w:val="00F32188"/>
    <w:rsid w:val="00F32191"/>
    <w:rsid w:val="00F321E6"/>
    <w:rsid w:val="00F32250"/>
    <w:rsid w:val="00F322C4"/>
    <w:rsid w:val="00F322CF"/>
    <w:rsid w:val="00F323C1"/>
    <w:rsid w:val="00F3261A"/>
    <w:rsid w:val="00F32631"/>
    <w:rsid w:val="00F327D0"/>
    <w:rsid w:val="00F32860"/>
    <w:rsid w:val="00F3286A"/>
    <w:rsid w:val="00F32A02"/>
    <w:rsid w:val="00F32A64"/>
    <w:rsid w:val="00F32A89"/>
    <w:rsid w:val="00F32C1B"/>
    <w:rsid w:val="00F32E79"/>
    <w:rsid w:val="00F331ED"/>
    <w:rsid w:val="00F3324D"/>
    <w:rsid w:val="00F3325A"/>
    <w:rsid w:val="00F333CA"/>
    <w:rsid w:val="00F3346E"/>
    <w:rsid w:val="00F33494"/>
    <w:rsid w:val="00F334CE"/>
    <w:rsid w:val="00F335BC"/>
    <w:rsid w:val="00F33652"/>
    <w:rsid w:val="00F33754"/>
    <w:rsid w:val="00F338A5"/>
    <w:rsid w:val="00F33A9E"/>
    <w:rsid w:val="00F33AAA"/>
    <w:rsid w:val="00F33AC7"/>
    <w:rsid w:val="00F33AEE"/>
    <w:rsid w:val="00F33D65"/>
    <w:rsid w:val="00F33D9B"/>
    <w:rsid w:val="00F34129"/>
    <w:rsid w:val="00F34167"/>
    <w:rsid w:val="00F341A5"/>
    <w:rsid w:val="00F3441A"/>
    <w:rsid w:val="00F34494"/>
    <w:rsid w:val="00F34614"/>
    <w:rsid w:val="00F347A9"/>
    <w:rsid w:val="00F348E0"/>
    <w:rsid w:val="00F3490E"/>
    <w:rsid w:val="00F34924"/>
    <w:rsid w:val="00F34A02"/>
    <w:rsid w:val="00F34A05"/>
    <w:rsid w:val="00F34AC5"/>
    <w:rsid w:val="00F34C3B"/>
    <w:rsid w:val="00F34F62"/>
    <w:rsid w:val="00F34F9A"/>
    <w:rsid w:val="00F34FE1"/>
    <w:rsid w:val="00F3508A"/>
    <w:rsid w:val="00F351E1"/>
    <w:rsid w:val="00F3521B"/>
    <w:rsid w:val="00F35281"/>
    <w:rsid w:val="00F3528D"/>
    <w:rsid w:val="00F3528F"/>
    <w:rsid w:val="00F35296"/>
    <w:rsid w:val="00F353A6"/>
    <w:rsid w:val="00F35556"/>
    <w:rsid w:val="00F355EC"/>
    <w:rsid w:val="00F3564F"/>
    <w:rsid w:val="00F356BE"/>
    <w:rsid w:val="00F35726"/>
    <w:rsid w:val="00F3578E"/>
    <w:rsid w:val="00F35807"/>
    <w:rsid w:val="00F3594C"/>
    <w:rsid w:val="00F359E6"/>
    <w:rsid w:val="00F35A31"/>
    <w:rsid w:val="00F35A86"/>
    <w:rsid w:val="00F35B97"/>
    <w:rsid w:val="00F35BCA"/>
    <w:rsid w:val="00F35DA3"/>
    <w:rsid w:val="00F35DBC"/>
    <w:rsid w:val="00F35E6F"/>
    <w:rsid w:val="00F35F1B"/>
    <w:rsid w:val="00F35FC2"/>
    <w:rsid w:val="00F3600B"/>
    <w:rsid w:val="00F3602F"/>
    <w:rsid w:val="00F36041"/>
    <w:rsid w:val="00F36165"/>
    <w:rsid w:val="00F3626D"/>
    <w:rsid w:val="00F36284"/>
    <w:rsid w:val="00F36320"/>
    <w:rsid w:val="00F36385"/>
    <w:rsid w:val="00F36415"/>
    <w:rsid w:val="00F36465"/>
    <w:rsid w:val="00F36484"/>
    <w:rsid w:val="00F3664E"/>
    <w:rsid w:val="00F36681"/>
    <w:rsid w:val="00F36697"/>
    <w:rsid w:val="00F3671A"/>
    <w:rsid w:val="00F36732"/>
    <w:rsid w:val="00F3676F"/>
    <w:rsid w:val="00F3681E"/>
    <w:rsid w:val="00F368D7"/>
    <w:rsid w:val="00F36977"/>
    <w:rsid w:val="00F36987"/>
    <w:rsid w:val="00F36AE5"/>
    <w:rsid w:val="00F36AE6"/>
    <w:rsid w:val="00F36B12"/>
    <w:rsid w:val="00F36B38"/>
    <w:rsid w:val="00F36B42"/>
    <w:rsid w:val="00F36E55"/>
    <w:rsid w:val="00F36F15"/>
    <w:rsid w:val="00F36FE4"/>
    <w:rsid w:val="00F37021"/>
    <w:rsid w:val="00F3708D"/>
    <w:rsid w:val="00F371C9"/>
    <w:rsid w:val="00F3727D"/>
    <w:rsid w:val="00F372A3"/>
    <w:rsid w:val="00F3736F"/>
    <w:rsid w:val="00F37379"/>
    <w:rsid w:val="00F37472"/>
    <w:rsid w:val="00F37476"/>
    <w:rsid w:val="00F3752E"/>
    <w:rsid w:val="00F375F7"/>
    <w:rsid w:val="00F3762A"/>
    <w:rsid w:val="00F3764C"/>
    <w:rsid w:val="00F37724"/>
    <w:rsid w:val="00F377BC"/>
    <w:rsid w:val="00F37816"/>
    <w:rsid w:val="00F37909"/>
    <w:rsid w:val="00F37926"/>
    <w:rsid w:val="00F379C8"/>
    <w:rsid w:val="00F379D6"/>
    <w:rsid w:val="00F37A70"/>
    <w:rsid w:val="00F37AB7"/>
    <w:rsid w:val="00F37BF4"/>
    <w:rsid w:val="00F37C46"/>
    <w:rsid w:val="00F37DB8"/>
    <w:rsid w:val="00F37EA9"/>
    <w:rsid w:val="00F37F71"/>
    <w:rsid w:val="00F37F92"/>
    <w:rsid w:val="00F38F9A"/>
    <w:rsid w:val="00F4008B"/>
    <w:rsid w:val="00F400E4"/>
    <w:rsid w:val="00F40100"/>
    <w:rsid w:val="00F401B5"/>
    <w:rsid w:val="00F402A5"/>
    <w:rsid w:val="00F4033F"/>
    <w:rsid w:val="00F40383"/>
    <w:rsid w:val="00F403BA"/>
    <w:rsid w:val="00F405A7"/>
    <w:rsid w:val="00F405BB"/>
    <w:rsid w:val="00F405C3"/>
    <w:rsid w:val="00F4069A"/>
    <w:rsid w:val="00F406EE"/>
    <w:rsid w:val="00F406FC"/>
    <w:rsid w:val="00F407A9"/>
    <w:rsid w:val="00F407D6"/>
    <w:rsid w:val="00F4083F"/>
    <w:rsid w:val="00F40A1A"/>
    <w:rsid w:val="00F40D15"/>
    <w:rsid w:val="00F40D69"/>
    <w:rsid w:val="00F40D6E"/>
    <w:rsid w:val="00F40E24"/>
    <w:rsid w:val="00F40EBB"/>
    <w:rsid w:val="00F40F22"/>
    <w:rsid w:val="00F40F45"/>
    <w:rsid w:val="00F40FE4"/>
    <w:rsid w:val="00F4102F"/>
    <w:rsid w:val="00F4108F"/>
    <w:rsid w:val="00F4137F"/>
    <w:rsid w:val="00F41391"/>
    <w:rsid w:val="00F41500"/>
    <w:rsid w:val="00F41572"/>
    <w:rsid w:val="00F415B3"/>
    <w:rsid w:val="00F415B7"/>
    <w:rsid w:val="00F41629"/>
    <w:rsid w:val="00F4178C"/>
    <w:rsid w:val="00F41841"/>
    <w:rsid w:val="00F4187E"/>
    <w:rsid w:val="00F418C2"/>
    <w:rsid w:val="00F418C9"/>
    <w:rsid w:val="00F4198E"/>
    <w:rsid w:val="00F419DE"/>
    <w:rsid w:val="00F419E7"/>
    <w:rsid w:val="00F41A9B"/>
    <w:rsid w:val="00F41B3E"/>
    <w:rsid w:val="00F41C0C"/>
    <w:rsid w:val="00F41C30"/>
    <w:rsid w:val="00F41C40"/>
    <w:rsid w:val="00F41C5E"/>
    <w:rsid w:val="00F41D67"/>
    <w:rsid w:val="00F41DDF"/>
    <w:rsid w:val="00F41ED2"/>
    <w:rsid w:val="00F41F88"/>
    <w:rsid w:val="00F42076"/>
    <w:rsid w:val="00F420E2"/>
    <w:rsid w:val="00F422D9"/>
    <w:rsid w:val="00F42303"/>
    <w:rsid w:val="00F42466"/>
    <w:rsid w:val="00F424A4"/>
    <w:rsid w:val="00F424AD"/>
    <w:rsid w:val="00F424AE"/>
    <w:rsid w:val="00F424B1"/>
    <w:rsid w:val="00F42543"/>
    <w:rsid w:val="00F425F5"/>
    <w:rsid w:val="00F42618"/>
    <w:rsid w:val="00F42636"/>
    <w:rsid w:val="00F42656"/>
    <w:rsid w:val="00F42670"/>
    <w:rsid w:val="00F427CF"/>
    <w:rsid w:val="00F427E7"/>
    <w:rsid w:val="00F427FC"/>
    <w:rsid w:val="00F42926"/>
    <w:rsid w:val="00F429F0"/>
    <w:rsid w:val="00F42A21"/>
    <w:rsid w:val="00F42A7E"/>
    <w:rsid w:val="00F42AA5"/>
    <w:rsid w:val="00F42AC2"/>
    <w:rsid w:val="00F42BC2"/>
    <w:rsid w:val="00F42D13"/>
    <w:rsid w:val="00F42D73"/>
    <w:rsid w:val="00F42E07"/>
    <w:rsid w:val="00F42E4E"/>
    <w:rsid w:val="00F42EBC"/>
    <w:rsid w:val="00F42EE1"/>
    <w:rsid w:val="00F42FB9"/>
    <w:rsid w:val="00F430E1"/>
    <w:rsid w:val="00F43104"/>
    <w:rsid w:val="00F43266"/>
    <w:rsid w:val="00F432CA"/>
    <w:rsid w:val="00F4335D"/>
    <w:rsid w:val="00F4337B"/>
    <w:rsid w:val="00F4337C"/>
    <w:rsid w:val="00F433C9"/>
    <w:rsid w:val="00F433CB"/>
    <w:rsid w:val="00F43425"/>
    <w:rsid w:val="00F4343F"/>
    <w:rsid w:val="00F43532"/>
    <w:rsid w:val="00F4355F"/>
    <w:rsid w:val="00F43898"/>
    <w:rsid w:val="00F43932"/>
    <w:rsid w:val="00F43962"/>
    <w:rsid w:val="00F43A5A"/>
    <w:rsid w:val="00F43A9C"/>
    <w:rsid w:val="00F43BA1"/>
    <w:rsid w:val="00F43BB5"/>
    <w:rsid w:val="00F43CAE"/>
    <w:rsid w:val="00F43DBB"/>
    <w:rsid w:val="00F43DC9"/>
    <w:rsid w:val="00F43E40"/>
    <w:rsid w:val="00F43F7A"/>
    <w:rsid w:val="00F43FE5"/>
    <w:rsid w:val="00F44065"/>
    <w:rsid w:val="00F44144"/>
    <w:rsid w:val="00F4418C"/>
    <w:rsid w:val="00F441A8"/>
    <w:rsid w:val="00F44250"/>
    <w:rsid w:val="00F4426A"/>
    <w:rsid w:val="00F44279"/>
    <w:rsid w:val="00F44311"/>
    <w:rsid w:val="00F44332"/>
    <w:rsid w:val="00F44575"/>
    <w:rsid w:val="00F445BF"/>
    <w:rsid w:val="00F4465D"/>
    <w:rsid w:val="00F446D6"/>
    <w:rsid w:val="00F44984"/>
    <w:rsid w:val="00F44999"/>
    <w:rsid w:val="00F449BE"/>
    <w:rsid w:val="00F44B53"/>
    <w:rsid w:val="00F44CFC"/>
    <w:rsid w:val="00F44D0F"/>
    <w:rsid w:val="00F44F44"/>
    <w:rsid w:val="00F44F9B"/>
    <w:rsid w:val="00F4516B"/>
    <w:rsid w:val="00F452DD"/>
    <w:rsid w:val="00F45320"/>
    <w:rsid w:val="00F45340"/>
    <w:rsid w:val="00F453B7"/>
    <w:rsid w:val="00F45468"/>
    <w:rsid w:val="00F454AB"/>
    <w:rsid w:val="00F454BD"/>
    <w:rsid w:val="00F454CF"/>
    <w:rsid w:val="00F45527"/>
    <w:rsid w:val="00F45533"/>
    <w:rsid w:val="00F4555A"/>
    <w:rsid w:val="00F455D6"/>
    <w:rsid w:val="00F45884"/>
    <w:rsid w:val="00F458AD"/>
    <w:rsid w:val="00F458AF"/>
    <w:rsid w:val="00F45962"/>
    <w:rsid w:val="00F45B3F"/>
    <w:rsid w:val="00F45C52"/>
    <w:rsid w:val="00F45CD3"/>
    <w:rsid w:val="00F45E4D"/>
    <w:rsid w:val="00F45E87"/>
    <w:rsid w:val="00F45EA9"/>
    <w:rsid w:val="00F45F35"/>
    <w:rsid w:val="00F45F7C"/>
    <w:rsid w:val="00F45FC0"/>
    <w:rsid w:val="00F46064"/>
    <w:rsid w:val="00F4613D"/>
    <w:rsid w:val="00F461A8"/>
    <w:rsid w:val="00F462E2"/>
    <w:rsid w:val="00F46372"/>
    <w:rsid w:val="00F4645B"/>
    <w:rsid w:val="00F4654E"/>
    <w:rsid w:val="00F46609"/>
    <w:rsid w:val="00F4672B"/>
    <w:rsid w:val="00F467DB"/>
    <w:rsid w:val="00F46912"/>
    <w:rsid w:val="00F46B2A"/>
    <w:rsid w:val="00F46B60"/>
    <w:rsid w:val="00F46B67"/>
    <w:rsid w:val="00F46BDD"/>
    <w:rsid w:val="00F46C7B"/>
    <w:rsid w:val="00F46CE0"/>
    <w:rsid w:val="00F46D77"/>
    <w:rsid w:val="00F46D7B"/>
    <w:rsid w:val="00F46E05"/>
    <w:rsid w:val="00F46E3A"/>
    <w:rsid w:val="00F46E61"/>
    <w:rsid w:val="00F46EDA"/>
    <w:rsid w:val="00F46EFC"/>
    <w:rsid w:val="00F47038"/>
    <w:rsid w:val="00F47345"/>
    <w:rsid w:val="00F47350"/>
    <w:rsid w:val="00F473FE"/>
    <w:rsid w:val="00F47481"/>
    <w:rsid w:val="00F47498"/>
    <w:rsid w:val="00F4770E"/>
    <w:rsid w:val="00F47749"/>
    <w:rsid w:val="00F47777"/>
    <w:rsid w:val="00F477C9"/>
    <w:rsid w:val="00F477CA"/>
    <w:rsid w:val="00F477CD"/>
    <w:rsid w:val="00F4797E"/>
    <w:rsid w:val="00F479F6"/>
    <w:rsid w:val="00F47A62"/>
    <w:rsid w:val="00F47B36"/>
    <w:rsid w:val="00F47B65"/>
    <w:rsid w:val="00F47C87"/>
    <w:rsid w:val="00F47CD9"/>
    <w:rsid w:val="00F47D09"/>
    <w:rsid w:val="00F47D1C"/>
    <w:rsid w:val="00F47E94"/>
    <w:rsid w:val="00F47E98"/>
    <w:rsid w:val="00F47F4A"/>
    <w:rsid w:val="00F47F5B"/>
    <w:rsid w:val="00F50008"/>
    <w:rsid w:val="00F50176"/>
    <w:rsid w:val="00F501A1"/>
    <w:rsid w:val="00F501B0"/>
    <w:rsid w:val="00F504C0"/>
    <w:rsid w:val="00F5055D"/>
    <w:rsid w:val="00F50695"/>
    <w:rsid w:val="00F50778"/>
    <w:rsid w:val="00F508A4"/>
    <w:rsid w:val="00F508C3"/>
    <w:rsid w:val="00F508F5"/>
    <w:rsid w:val="00F5092A"/>
    <w:rsid w:val="00F509A8"/>
    <w:rsid w:val="00F509AF"/>
    <w:rsid w:val="00F50BE5"/>
    <w:rsid w:val="00F50C08"/>
    <w:rsid w:val="00F50CAA"/>
    <w:rsid w:val="00F50CFC"/>
    <w:rsid w:val="00F50E0B"/>
    <w:rsid w:val="00F50F58"/>
    <w:rsid w:val="00F51005"/>
    <w:rsid w:val="00F5108B"/>
    <w:rsid w:val="00F51163"/>
    <w:rsid w:val="00F51218"/>
    <w:rsid w:val="00F5127B"/>
    <w:rsid w:val="00F513DD"/>
    <w:rsid w:val="00F514D6"/>
    <w:rsid w:val="00F515D5"/>
    <w:rsid w:val="00F51651"/>
    <w:rsid w:val="00F51754"/>
    <w:rsid w:val="00F51811"/>
    <w:rsid w:val="00F518CD"/>
    <w:rsid w:val="00F5191C"/>
    <w:rsid w:val="00F519D0"/>
    <w:rsid w:val="00F51A07"/>
    <w:rsid w:val="00F51A7D"/>
    <w:rsid w:val="00F51ACA"/>
    <w:rsid w:val="00F51AD0"/>
    <w:rsid w:val="00F51AF1"/>
    <w:rsid w:val="00F51C08"/>
    <w:rsid w:val="00F51D59"/>
    <w:rsid w:val="00F51E5B"/>
    <w:rsid w:val="00F51FCF"/>
    <w:rsid w:val="00F51FEF"/>
    <w:rsid w:val="00F520A3"/>
    <w:rsid w:val="00F521C3"/>
    <w:rsid w:val="00F521ED"/>
    <w:rsid w:val="00F52339"/>
    <w:rsid w:val="00F52379"/>
    <w:rsid w:val="00F523C3"/>
    <w:rsid w:val="00F52466"/>
    <w:rsid w:val="00F52536"/>
    <w:rsid w:val="00F52610"/>
    <w:rsid w:val="00F5268D"/>
    <w:rsid w:val="00F527CA"/>
    <w:rsid w:val="00F527D8"/>
    <w:rsid w:val="00F52A2E"/>
    <w:rsid w:val="00F52AA2"/>
    <w:rsid w:val="00F52AD2"/>
    <w:rsid w:val="00F52B5A"/>
    <w:rsid w:val="00F52BE6"/>
    <w:rsid w:val="00F52CB6"/>
    <w:rsid w:val="00F52D4B"/>
    <w:rsid w:val="00F52DBA"/>
    <w:rsid w:val="00F52ECD"/>
    <w:rsid w:val="00F52F8E"/>
    <w:rsid w:val="00F530F2"/>
    <w:rsid w:val="00F53113"/>
    <w:rsid w:val="00F5311D"/>
    <w:rsid w:val="00F531A6"/>
    <w:rsid w:val="00F53213"/>
    <w:rsid w:val="00F53313"/>
    <w:rsid w:val="00F5339F"/>
    <w:rsid w:val="00F533E6"/>
    <w:rsid w:val="00F53436"/>
    <w:rsid w:val="00F53504"/>
    <w:rsid w:val="00F53563"/>
    <w:rsid w:val="00F535CD"/>
    <w:rsid w:val="00F536DB"/>
    <w:rsid w:val="00F53707"/>
    <w:rsid w:val="00F53885"/>
    <w:rsid w:val="00F53906"/>
    <w:rsid w:val="00F53938"/>
    <w:rsid w:val="00F53990"/>
    <w:rsid w:val="00F539A1"/>
    <w:rsid w:val="00F53A2B"/>
    <w:rsid w:val="00F53B00"/>
    <w:rsid w:val="00F53BC9"/>
    <w:rsid w:val="00F53C1F"/>
    <w:rsid w:val="00F53C3D"/>
    <w:rsid w:val="00F53CE7"/>
    <w:rsid w:val="00F53DB3"/>
    <w:rsid w:val="00F53E9A"/>
    <w:rsid w:val="00F53EB5"/>
    <w:rsid w:val="00F53F2D"/>
    <w:rsid w:val="00F53F38"/>
    <w:rsid w:val="00F53F6F"/>
    <w:rsid w:val="00F53F73"/>
    <w:rsid w:val="00F5407A"/>
    <w:rsid w:val="00F540AA"/>
    <w:rsid w:val="00F540D3"/>
    <w:rsid w:val="00F54107"/>
    <w:rsid w:val="00F54134"/>
    <w:rsid w:val="00F5438D"/>
    <w:rsid w:val="00F544C5"/>
    <w:rsid w:val="00F5450A"/>
    <w:rsid w:val="00F54587"/>
    <w:rsid w:val="00F5459B"/>
    <w:rsid w:val="00F545F6"/>
    <w:rsid w:val="00F54892"/>
    <w:rsid w:val="00F5494B"/>
    <w:rsid w:val="00F549FE"/>
    <w:rsid w:val="00F54A5F"/>
    <w:rsid w:val="00F54B19"/>
    <w:rsid w:val="00F54B35"/>
    <w:rsid w:val="00F54BAF"/>
    <w:rsid w:val="00F54CBA"/>
    <w:rsid w:val="00F54D10"/>
    <w:rsid w:val="00F55065"/>
    <w:rsid w:val="00F55079"/>
    <w:rsid w:val="00F550C6"/>
    <w:rsid w:val="00F551E0"/>
    <w:rsid w:val="00F551FC"/>
    <w:rsid w:val="00F5524E"/>
    <w:rsid w:val="00F5525A"/>
    <w:rsid w:val="00F55429"/>
    <w:rsid w:val="00F5554C"/>
    <w:rsid w:val="00F555D4"/>
    <w:rsid w:val="00F5579F"/>
    <w:rsid w:val="00F557DB"/>
    <w:rsid w:val="00F55900"/>
    <w:rsid w:val="00F55C4F"/>
    <w:rsid w:val="00F55C6B"/>
    <w:rsid w:val="00F55D2C"/>
    <w:rsid w:val="00F55D79"/>
    <w:rsid w:val="00F55DDD"/>
    <w:rsid w:val="00F55EDA"/>
    <w:rsid w:val="00F55EE0"/>
    <w:rsid w:val="00F55EEE"/>
    <w:rsid w:val="00F55F83"/>
    <w:rsid w:val="00F56023"/>
    <w:rsid w:val="00F56034"/>
    <w:rsid w:val="00F5607B"/>
    <w:rsid w:val="00F561AA"/>
    <w:rsid w:val="00F56204"/>
    <w:rsid w:val="00F562FC"/>
    <w:rsid w:val="00F564C2"/>
    <w:rsid w:val="00F565AE"/>
    <w:rsid w:val="00F56623"/>
    <w:rsid w:val="00F5665A"/>
    <w:rsid w:val="00F5665B"/>
    <w:rsid w:val="00F567A7"/>
    <w:rsid w:val="00F56823"/>
    <w:rsid w:val="00F5685D"/>
    <w:rsid w:val="00F56889"/>
    <w:rsid w:val="00F56905"/>
    <w:rsid w:val="00F5690F"/>
    <w:rsid w:val="00F569DA"/>
    <w:rsid w:val="00F56B1A"/>
    <w:rsid w:val="00F56C02"/>
    <w:rsid w:val="00F56C18"/>
    <w:rsid w:val="00F56CFD"/>
    <w:rsid w:val="00F56D71"/>
    <w:rsid w:val="00F56D81"/>
    <w:rsid w:val="00F56DA8"/>
    <w:rsid w:val="00F56DF9"/>
    <w:rsid w:val="00F56E69"/>
    <w:rsid w:val="00F56E6F"/>
    <w:rsid w:val="00F56E9D"/>
    <w:rsid w:val="00F56F58"/>
    <w:rsid w:val="00F56FCF"/>
    <w:rsid w:val="00F5712E"/>
    <w:rsid w:val="00F57144"/>
    <w:rsid w:val="00F5715B"/>
    <w:rsid w:val="00F5724B"/>
    <w:rsid w:val="00F5727A"/>
    <w:rsid w:val="00F5743E"/>
    <w:rsid w:val="00F5758B"/>
    <w:rsid w:val="00F575E0"/>
    <w:rsid w:val="00F57604"/>
    <w:rsid w:val="00F5765C"/>
    <w:rsid w:val="00F5769D"/>
    <w:rsid w:val="00F577DF"/>
    <w:rsid w:val="00F57830"/>
    <w:rsid w:val="00F5789F"/>
    <w:rsid w:val="00F5793F"/>
    <w:rsid w:val="00F5794D"/>
    <w:rsid w:val="00F57976"/>
    <w:rsid w:val="00F579A7"/>
    <w:rsid w:val="00F57A04"/>
    <w:rsid w:val="00F57A26"/>
    <w:rsid w:val="00F57A40"/>
    <w:rsid w:val="00F57AC8"/>
    <w:rsid w:val="00F57B10"/>
    <w:rsid w:val="00F57BBF"/>
    <w:rsid w:val="00F57C37"/>
    <w:rsid w:val="00F57CC7"/>
    <w:rsid w:val="00F57E71"/>
    <w:rsid w:val="00F57EEA"/>
    <w:rsid w:val="00F57F86"/>
    <w:rsid w:val="00F60046"/>
    <w:rsid w:val="00F6010B"/>
    <w:rsid w:val="00F60113"/>
    <w:rsid w:val="00F60189"/>
    <w:rsid w:val="00F601CF"/>
    <w:rsid w:val="00F6027D"/>
    <w:rsid w:val="00F602E3"/>
    <w:rsid w:val="00F602FC"/>
    <w:rsid w:val="00F6044B"/>
    <w:rsid w:val="00F60579"/>
    <w:rsid w:val="00F60651"/>
    <w:rsid w:val="00F6066F"/>
    <w:rsid w:val="00F6086A"/>
    <w:rsid w:val="00F6088B"/>
    <w:rsid w:val="00F6089C"/>
    <w:rsid w:val="00F6096B"/>
    <w:rsid w:val="00F609E9"/>
    <w:rsid w:val="00F60A2B"/>
    <w:rsid w:val="00F60BEA"/>
    <w:rsid w:val="00F60D18"/>
    <w:rsid w:val="00F60D3A"/>
    <w:rsid w:val="00F60DAD"/>
    <w:rsid w:val="00F60E5F"/>
    <w:rsid w:val="00F60E82"/>
    <w:rsid w:val="00F60EA5"/>
    <w:rsid w:val="00F60ED7"/>
    <w:rsid w:val="00F60FB2"/>
    <w:rsid w:val="00F60FD1"/>
    <w:rsid w:val="00F61044"/>
    <w:rsid w:val="00F61078"/>
    <w:rsid w:val="00F6125F"/>
    <w:rsid w:val="00F61260"/>
    <w:rsid w:val="00F613AB"/>
    <w:rsid w:val="00F61496"/>
    <w:rsid w:val="00F6152E"/>
    <w:rsid w:val="00F615F6"/>
    <w:rsid w:val="00F61620"/>
    <w:rsid w:val="00F61667"/>
    <w:rsid w:val="00F616B6"/>
    <w:rsid w:val="00F6176D"/>
    <w:rsid w:val="00F61B9F"/>
    <w:rsid w:val="00F61BA4"/>
    <w:rsid w:val="00F61C00"/>
    <w:rsid w:val="00F61CC3"/>
    <w:rsid w:val="00F61CE7"/>
    <w:rsid w:val="00F61D26"/>
    <w:rsid w:val="00F61D82"/>
    <w:rsid w:val="00F61E6A"/>
    <w:rsid w:val="00F61EBB"/>
    <w:rsid w:val="00F61FB8"/>
    <w:rsid w:val="00F62065"/>
    <w:rsid w:val="00F620FF"/>
    <w:rsid w:val="00F62137"/>
    <w:rsid w:val="00F621D7"/>
    <w:rsid w:val="00F6221C"/>
    <w:rsid w:val="00F62272"/>
    <w:rsid w:val="00F622FC"/>
    <w:rsid w:val="00F622FF"/>
    <w:rsid w:val="00F62405"/>
    <w:rsid w:val="00F62429"/>
    <w:rsid w:val="00F62555"/>
    <w:rsid w:val="00F625D6"/>
    <w:rsid w:val="00F625E7"/>
    <w:rsid w:val="00F62697"/>
    <w:rsid w:val="00F62710"/>
    <w:rsid w:val="00F627BD"/>
    <w:rsid w:val="00F627F5"/>
    <w:rsid w:val="00F62A06"/>
    <w:rsid w:val="00F62A52"/>
    <w:rsid w:val="00F62ADE"/>
    <w:rsid w:val="00F62B9F"/>
    <w:rsid w:val="00F62BC7"/>
    <w:rsid w:val="00F62BE1"/>
    <w:rsid w:val="00F62C6B"/>
    <w:rsid w:val="00F62CF2"/>
    <w:rsid w:val="00F62D8B"/>
    <w:rsid w:val="00F62F35"/>
    <w:rsid w:val="00F630A8"/>
    <w:rsid w:val="00F630C7"/>
    <w:rsid w:val="00F630FF"/>
    <w:rsid w:val="00F631C8"/>
    <w:rsid w:val="00F63258"/>
    <w:rsid w:val="00F63458"/>
    <w:rsid w:val="00F6373D"/>
    <w:rsid w:val="00F6380C"/>
    <w:rsid w:val="00F63816"/>
    <w:rsid w:val="00F63824"/>
    <w:rsid w:val="00F6388E"/>
    <w:rsid w:val="00F63977"/>
    <w:rsid w:val="00F63A6C"/>
    <w:rsid w:val="00F63C27"/>
    <w:rsid w:val="00F63CA7"/>
    <w:rsid w:val="00F63CB0"/>
    <w:rsid w:val="00F63D72"/>
    <w:rsid w:val="00F63D88"/>
    <w:rsid w:val="00F63DF3"/>
    <w:rsid w:val="00F63F32"/>
    <w:rsid w:val="00F63F45"/>
    <w:rsid w:val="00F63F74"/>
    <w:rsid w:val="00F63F86"/>
    <w:rsid w:val="00F6404B"/>
    <w:rsid w:val="00F6405F"/>
    <w:rsid w:val="00F64134"/>
    <w:rsid w:val="00F64136"/>
    <w:rsid w:val="00F64193"/>
    <w:rsid w:val="00F64212"/>
    <w:rsid w:val="00F64372"/>
    <w:rsid w:val="00F64440"/>
    <w:rsid w:val="00F64464"/>
    <w:rsid w:val="00F64495"/>
    <w:rsid w:val="00F64525"/>
    <w:rsid w:val="00F645B3"/>
    <w:rsid w:val="00F64657"/>
    <w:rsid w:val="00F64729"/>
    <w:rsid w:val="00F64730"/>
    <w:rsid w:val="00F6483A"/>
    <w:rsid w:val="00F6489B"/>
    <w:rsid w:val="00F64944"/>
    <w:rsid w:val="00F64A3E"/>
    <w:rsid w:val="00F64B1B"/>
    <w:rsid w:val="00F64B4F"/>
    <w:rsid w:val="00F64C67"/>
    <w:rsid w:val="00F64CA2"/>
    <w:rsid w:val="00F64D2D"/>
    <w:rsid w:val="00F64D40"/>
    <w:rsid w:val="00F64D49"/>
    <w:rsid w:val="00F64DD1"/>
    <w:rsid w:val="00F64DE2"/>
    <w:rsid w:val="00F64EB3"/>
    <w:rsid w:val="00F64EFF"/>
    <w:rsid w:val="00F64F0D"/>
    <w:rsid w:val="00F650F5"/>
    <w:rsid w:val="00F651BF"/>
    <w:rsid w:val="00F651D7"/>
    <w:rsid w:val="00F65280"/>
    <w:rsid w:val="00F65289"/>
    <w:rsid w:val="00F65386"/>
    <w:rsid w:val="00F6556B"/>
    <w:rsid w:val="00F655EA"/>
    <w:rsid w:val="00F6561A"/>
    <w:rsid w:val="00F6561C"/>
    <w:rsid w:val="00F6579A"/>
    <w:rsid w:val="00F6588A"/>
    <w:rsid w:val="00F65931"/>
    <w:rsid w:val="00F65966"/>
    <w:rsid w:val="00F659F0"/>
    <w:rsid w:val="00F65A61"/>
    <w:rsid w:val="00F65AF5"/>
    <w:rsid w:val="00F65B50"/>
    <w:rsid w:val="00F65CBF"/>
    <w:rsid w:val="00F65D16"/>
    <w:rsid w:val="00F65DB5"/>
    <w:rsid w:val="00F65DEF"/>
    <w:rsid w:val="00F65E0A"/>
    <w:rsid w:val="00F65E90"/>
    <w:rsid w:val="00F65F1F"/>
    <w:rsid w:val="00F66193"/>
    <w:rsid w:val="00F661E0"/>
    <w:rsid w:val="00F66270"/>
    <w:rsid w:val="00F66282"/>
    <w:rsid w:val="00F66387"/>
    <w:rsid w:val="00F66425"/>
    <w:rsid w:val="00F66476"/>
    <w:rsid w:val="00F665BA"/>
    <w:rsid w:val="00F665CA"/>
    <w:rsid w:val="00F665E5"/>
    <w:rsid w:val="00F6664B"/>
    <w:rsid w:val="00F6668E"/>
    <w:rsid w:val="00F666C7"/>
    <w:rsid w:val="00F6671D"/>
    <w:rsid w:val="00F66723"/>
    <w:rsid w:val="00F667AC"/>
    <w:rsid w:val="00F667C0"/>
    <w:rsid w:val="00F667D8"/>
    <w:rsid w:val="00F66808"/>
    <w:rsid w:val="00F66864"/>
    <w:rsid w:val="00F668CA"/>
    <w:rsid w:val="00F66A87"/>
    <w:rsid w:val="00F66AFA"/>
    <w:rsid w:val="00F66B77"/>
    <w:rsid w:val="00F66C15"/>
    <w:rsid w:val="00F66CC6"/>
    <w:rsid w:val="00F66D21"/>
    <w:rsid w:val="00F66D48"/>
    <w:rsid w:val="00F66E81"/>
    <w:rsid w:val="00F66E93"/>
    <w:rsid w:val="00F66EF9"/>
    <w:rsid w:val="00F66FFB"/>
    <w:rsid w:val="00F6701C"/>
    <w:rsid w:val="00F670EA"/>
    <w:rsid w:val="00F67477"/>
    <w:rsid w:val="00F675B1"/>
    <w:rsid w:val="00F67776"/>
    <w:rsid w:val="00F6785B"/>
    <w:rsid w:val="00F67897"/>
    <w:rsid w:val="00F6789D"/>
    <w:rsid w:val="00F678CB"/>
    <w:rsid w:val="00F6794D"/>
    <w:rsid w:val="00F67AA8"/>
    <w:rsid w:val="00F67AC7"/>
    <w:rsid w:val="00F67AD0"/>
    <w:rsid w:val="00F67AD6"/>
    <w:rsid w:val="00F67B1C"/>
    <w:rsid w:val="00F67B2B"/>
    <w:rsid w:val="00F67CDC"/>
    <w:rsid w:val="00F67D52"/>
    <w:rsid w:val="00F67E34"/>
    <w:rsid w:val="00F67E4E"/>
    <w:rsid w:val="00F67E73"/>
    <w:rsid w:val="00F67F2B"/>
    <w:rsid w:val="00F70046"/>
    <w:rsid w:val="00F701C3"/>
    <w:rsid w:val="00F701D7"/>
    <w:rsid w:val="00F70330"/>
    <w:rsid w:val="00F703B7"/>
    <w:rsid w:val="00F703CE"/>
    <w:rsid w:val="00F7043E"/>
    <w:rsid w:val="00F7044B"/>
    <w:rsid w:val="00F705BE"/>
    <w:rsid w:val="00F70629"/>
    <w:rsid w:val="00F70694"/>
    <w:rsid w:val="00F70819"/>
    <w:rsid w:val="00F708DA"/>
    <w:rsid w:val="00F70AD9"/>
    <w:rsid w:val="00F70B07"/>
    <w:rsid w:val="00F70B66"/>
    <w:rsid w:val="00F70B8F"/>
    <w:rsid w:val="00F70C07"/>
    <w:rsid w:val="00F70C7E"/>
    <w:rsid w:val="00F70CAF"/>
    <w:rsid w:val="00F70CE4"/>
    <w:rsid w:val="00F70CF7"/>
    <w:rsid w:val="00F70D1E"/>
    <w:rsid w:val="00F70D38"/>
    <w:rsid w:val="00F70DE8"/>
    <w:rsid w:val="00F70E3B"/>
    <w:rsid w:val="00F70EB4"/>
    <w:rsid w:val="00F70F0C"/>
    <w:rsid w:val="00F70F2E"/>
    <w:rsid w:val="00F70F93"/>
    <w:rsid w:val="00F70FE2"/>
    <w:rsid w:val="00F71044"/>
    <w:rsid w:val="00F710B1"/>
    <w:rsid w:val="00F7110E"/>
    <w:rsid w:val="00F711F9"/>
    <w:rsid w:val="00F71247"/>
    <w:rsid w:val="00F71249"/>
    <w:rsid w:val="00F71284"/>
    <w:rsid w:val="00F713D5"/>
    <w:rsid w:val="00F714A2"/>
    <w:rsid w:val="00F714E2"/>
    <w:rsid w:val="00F7158B"/>
    <w:rsid w:val="00F7159B"/>
    <w:rsid w:val="00F71660"/>
    <w:rsid w:val="00F7174B"/>
    <w:rsid w:val="00F71792"/>
    <w:rsid w:val="00F71840"/>
    <w:rsid w:val="00F71875"/>
    <w:rsid w:val="00F719EF"/>
    <w:rsid w:val="00F71A0F"/>
    <w:rsid w:val="00F71A20"/>
    <w:rsid w:val="00F71A29"/>
    <w:rsid w:val="00F71B71"/>
    <w:rsid w:val="00F71C11"/>
    <w:rsid w:val="00F71C4D"/>
    <w:rsid w:val="00F71E08"/>
    <w:rsid w:val="00F71EF4"/>
    <w:rsid w:val="00F71F5D"/>
    <w:rsid w:val="00F71FA3"/>
    <w:rsid w:val="00F7202C"/>
    <w:rsid w:val="00F72097"/>
    <w:rsid w:val="00F720F0"/>
    <w:rsid w:val="00F7212C"/>
    <w:rsid w:val="00F72138"/>
    <w:rsid w:val="00F72140"/>
    <w:rsid w:val="00F7214B"/>
    <w:rsid w:val="00F721D0"/>
    <w:rsid w:val="00F721F5"/>
    <w:rsid w:val="00F72280"/>
    <w:rsid w:val="00F722C1"/>
    <w:rsid w:val="00F7236A"/>
    <w:rsid w:val="00F723F0"/>
    <w:rsid w:val="00F7254D"/>
    <w:rsid w:val="00F727BC"/>
    <w:rsid w:val="00F727D9"/>
    <w:rsid w:val="00F728D8"/>
    <w:rsid w:val="00F729C6"/>
    <w:rsid w:val="00F72AD5"/>
    <w:rsid w:val="00F72B7A"/>
    <w:rsid w:val="00F72BCB"/>
    <w:rsid w:val="00F72C0D"/>
    <w:rsid w:val="00F72C1E"/>
    <w:rsid w:val="00F72D80"/>
    <w:rsid w:val="00F72E87"/>
    <w:rsid w:val="00F72E8A"/>
    <w:rsid w:val="00F72F75"/>
    <w:rsid w:val="00F72FC2"/>
    <w:rsid w:val="00F72FCD"/>
    <w:rsid w:val="00F73054"/>
    <w:rsid w:val="00F731B5"/>
    <w:rsid w:val="00F7328E"/>
    <w:rsid w:val="00F732EA"/>
    <w:rsid w:val="00F73344"/>
    <w:rsid w:val="00F73364"/>
    <w:rsid w:val="00F7343D"/>
    <w:rsid w:val="00F73561"/>
    <w:rsid w:val="00F7358C"/>
    <w:rsid w:val="00F735A6"/>
    <w:rsid w:val="00F735F6"/>
    <w:rsid w:val="00F736FC"/>
    <w:rsid w:val="00F7373C"/>
    <w:rsid w:val="00F7385B"/>
    <w:rsid w:val="00F73881"/>
    <w:rsid w:val="00F73892"/>
    <w:rsid w:val="00F73898"/>
    <w:rsid w:val="00F7394D"/>
    <w:rsid w:val="00F73997"/>
    <w:rsid w:val="00F73A73"/>
    <w:rsid w:val="00F73B01"/>
    <w:rsid w:val="00F73BB4"/>
    <w:rsid w:val="00F73BCD"/>
    <w:rsid w:val="00F73C82"/>
    <w:rsid w:val="00F73CDB"/>
    <w:rsid w:val="00F73D4D"/>
    <w:rsid w:val="00F73D7E"/>
    <w:rsid w:val="00F74045"/>
    <w:rsid w:val="00F74046"/>
    <w:rsid w:val="00F7406A"/>
    <w:rsid w:val="00F7415F"/>
    <w:rsid w:val="00F74282"/>
    <w:rsid w:val="00F742D5"/>
    <w:rsid w:val="00F74317"/>
    <w:rsid w:val="00F743CD"/>
    <w:rsid w:val="00F7449F"/>
    <w:rsid w:val="00F74526"/>
    <w:rsid w:val="00F74581"/>
    <w:rsid w:val="00F7467A"/>
    <w:rsid w:val="00F7483F"/>
    <w:rsid w:val="00F748AE"/>
    <w:rsid w:val="00F748FE"/>
    <w:rsid w:val="00F7495F"/>
    <w:rsid w:val="00F749BF"/>
    <w:rsid w:val="00F74A99"/>
    <w:rsid w:val="00F74AFB"/>
    <w:rsid w:val="00F74B1D"/>
    <w:rsid w:val="00F74CF7"/>
    <w:rsid w:val="00F74D21"/>
    <w:rsid w:val="00F74D48"/>
    <w:rsid w:val="00F74E81"/>
    <w:rsid w:val="00F74F02"/>
    <w:rsid w:val="00F74F18"/>
    <w:rsid w:val="00F75190"/>
    <w:rsid w:val="00F751E8"/>
    <w:rsid w:val="00F75384"/>
    <w:rsid w:val="00F7551F"/>
    <w:rsid w:val="00F75533"/>
    <w:rsid w:val="00F75602"/>
    <w:rsid w:val="00F7575C"/>
    <w:rsid w:val="00F757A1"/>
    <w:rsid w:val="00F75846"/>
    <w:rsid w:val="00F758A9"/>
    <w:rsid w:val="00F758DC"/>
    <w:rsid w:val="00F7593E"/>
    <w:rsid w:val="00F759DD"/>
    <w:rsid w:val="00F75A2F"/>
    <w:rsid w:val="00F75A5F"/>
    <w:rsid w:val="00F75AB8"/>
    <w:rsid w:val="00F75BDE"/>
    <w:rsid w:val="00F75DCF"/>
    <w:rsid w:val="00F75E0A"/>
    <w:rsid w:val="00F75E90"/>
    <w:rsid w:val="00F75FBA"/>
    <w:rsid w:val="00F76036"/>
    <w:rsid w:val="00F76187"/>
    <w:rsid w:val="00F761B3"/>
    <w:rsid w:val="00F764BF"/>
    <w:rsid w:val="00F76551"/>
    <w:rsid w:val="00F765D7"/>
    <w:rsid w:val="00F765E4"/>
    <w:rsid w:val="00F76603"/>
    <w:rsid w:val="00F76648"/>
    <w:rsid w:val="00F7664B"/>
    <w:rsid w:val="00F7681B"/>
    <w:rsid w:val="00F76822"/>
    <w:rsid w:val="00F7695C"/>
    <w:rsid w:val="00F76981"/>
    <w:rsid w:val="00F769BB"/>
    <w:rsid w:val="00F76A49"/>
    <w:rsid w:val="00F76A8D"/>
    <w:rsid w:val="00F76BBE"/>
    <w:rsid w:val="00F76BD6"/>
    <w:rsid w:val="00F76BDE"/>
    <w:rsid w:val="00F76BE6"/>
    <w:rsid w:val="00F76CCD"/>
    <w:rsid w:val="00F76D5F"/>
    <w:rsid w:val="00F76D85"/>
    <w:rsid w:val="00F76D99"/>
    <w:rsid w:val="00F76F07"/>
    <w:rsid w:val="00F7702A"/>
    <w:rsid w:val="00F77041"/>
    <w:rsid w:val="00F77146"/>
    <w:rsid w:val="00F77195"/>
    <w:rsid w:val="00F771FF"/>
    <w:rsid w:val="00F77253"/>
    <w:rsid w:val="00F7725C"/>
    <w:rsid w:val="00F7737E"/>
    <w:rsid w:val="00F773B3"/>
    <w:rsid w:val="00F773BB"/>
    <w:rsid w:val="00F773F5"/>
    <w:rsid w:val="00F77431"/>
    <w:rsid w:val="00F774A4"/>
    <w:rsid w:val="00F774B5"/>
    <w:rsid w:val="00F77645"/>
    <w:rsid w:val="00F7765C"/>
    <w:rsid w:val="00F776B7"/>
    <w:rsid w:val="00F77769"/>
    <w:rsid w:val="00F7776E"/>
    <w:rsid w:val="00F777AD"/>
    <w:rsid w:val="00F779DD"/>
    <w:rsid w:val="00F77B07"/>
    <w:rsid w:val="00F77B86"/>
    <w:rsid w:val="00F77BCA"/>
    <w:rsid w:val="00F77C8E"/>
    <w:rsid w:val="00F77D50"/>
    <w:rsid w:val="00F77E0C"/>
    <w:rsid w:val="00F77E1D"/>
    <w:rsid w:val="00F77E86"/>
    <w:rsid w:val="00F77F49"/>
    <w:rsid w:val="00F800DA"/>
    <w:rsid w:val="00F800E5"/>
    <w:rsid w:val="00F80134"/>
    <w:rsid w:val="00F8017A"/>
    <w:rsid w:val="00F802B4"/>
    <w:rsid w:val="00F8030A"/>
    <w:rsid w:val="00F80382"/>
    <w:rsid w:val="00F80494"/>
    <w:rsid w:val="00F80536"/>
    <w:rsid w:val="00F8083C"/>
    <w:rsid w:val="00F80895"/>
    <w:rsid w:val="00F808AC"/>
    <w:rsid w:val="00F808B5"/>
    <w:rsid w:val="00F80ABD"/>
    <w:rsid w:val="00F80B45"/>
    <w:rsid w:val="00F80BB2"/>
    <w:rsid w:val="00F80CAE"/>
    <w:rsid w:val="00F80D18"/>
    <w:rsid w:val="00F80D56"/>
    <w:rsid w:val="00F80E9F"/>
    <w:rsid w:val="00F80F6F"/>
    <w:rsid w:val="00F80FCC"/>
    <w:rsid w:val="00F81061"/>
    <w:rsid w:val="00F810AA"/>
    <w:rsid w:val="00F812B8"/>
    <w:rsid w:val="00F8132E"/>
    <w:rsid w:val="00F81371"/>
    <w:rsid w:val="00F81479"/>
    <w:rsid w:val="00F81481"/>
    <w:rsid w:val="00F814DC"/>
    <w:rsid w:val="00F8153F"/>
    <w:rsid w:val="00F815E9"/>
    <w:rsid w:val="00F815FD"/>
    <w:rsid w:val="00F81666"/>
    <w:rsid w:val="00F81680"/>
    <w:rsid w:val="00F8168E"/>
    <w:rsid w:val="00F8172B"/>
    <w:rsid w:val="00F817B4"/>
    <w:rsid w:val="00F817CC"/>
    <w:rsid w:val="00F8188B"/>
    <w:rsid w:val="00F818A6"/>
    <w:rsid w:val="00F819F7"/>
    <w:rsid w:val="00F81A8A"/>
    <w:rsid w:val="00F81B04"/>
    <w:rsid w:val="00F81D9D"/>
    <w:rsid w:val="00F81DE0"/>
    <w:rsid w:val="00F81E9C"/>
    <w:rsid w:val="00F81EC2"/>
    <w:rsid w:val="00F8217F"/>
    <w:rsid w:val="00F821B0"/>
    <w:rsid w:val="00F821DA"/>
    <w:rsid w:val="00F8224C"/>
    <w:rsid w:val="00F82254"/>
    <w:rsid w:val="00F82270"/>
    <w:rsid w:val="00F82433"/>
    <w:rsid w:val="00F825ED"/>
    <w:rsid w:val="00F8265B"/>
    <w:rsid w:val="00F828FA"/>
    <w:rsid w:val="00F8295F"/>
    <w:rsid w:val="00F82B44"/>
    <w:rsid w:val="00F82BC2"/>
    <w:rsid w:val="00F82CEB"/>
    <w:rsid w:val="00F82CEE"/>
    <w:rsid w:val="00F82D26"/>
    <w:rsid w:val="00F82D2B"/>
    <w:rsid w:val="00F82D85"/>
    <w:rsid w:val="00F8308D"/>
    <w:rsid w:val="00F830DB"/>
    <w:rsid w:val="00F830E3"/>
    <w:rsid w:val="00F8314F"/>
    <w:rsid w:val="00F83243"/>
    <w:rsid w:val="00F83348"/>
    <w:rsid w:val="00F83365"/>
    <w:rsid w:val="00F83454"/>
    <w:rsid w:val="00F83674"/>
    <w:rsid w:val="00F836E1"/>
    <w:rsid w:val="00F836E4"/>
    <w:rsid w:val="00F83739"/>
    <w:rsid w:val="00F837B1"/>
    <w:rsid w:val="00F837C7"/>
    <w:rsid w:val="00F83813"/>
    <w:rsid w:val="00F8387E"/>
    <w:rsid w:val="00F8388C"/>
    <w:rsid w:val="00F838CE"/>
    <w:rsid w:val="00F838E4"/>
    <w:rsid w:val="00F839DD"/>
    <w:rsid w:val="00F83AA8"/>
    <w:rsid w:val="00F83D89"/>
    <w:rsid w:val="00F83F36"/>
    <w:rsid w:val="00F83F72"/>
    <w:rsid w:val="00F83F74"/>
    <w:rsid w:val="00F84053"/>
    <w:rsid w:val="00F84080"/>
    <w:rsid w:val="00F8412E"/>
    <w:rsid w:val="00F8425E"/>
    <w:rsid w:val="00F84287"/>
    <w:rsid w:val="00F844D6"/>
    <w:rsid w:val="00F84529"/>
    <w:rsid w:val="00F8457D"/>
    <w:rsid w:val="00F845AE"/>
    <w:rsid w:val="00F84649"/>
    <w:rsid w:val="00F84697"/>
    <w:rsid w:val="00F84717"/>
    <w:rsid w:val="00F8479A"/>
    <w:rsid w:val="00F84856"/>
    <w:rsid w:val="00F84883"/>
    <w:rsid w:val="00F84894"/>
    <w:rsid w:val="00F848E6"/>
    <w:rsid w:val="00F84997"/>
    <w:rsid w:val="00F84AB2"/>
    <w:rsid w:val="00F84B47"/>
    <w:rsid w:val="00F84C27"/>
    <w:rsid w:val="00F84C2A"/>
    <w:rsid w:val="00F84CC3"/>
    <w:rsid w:val="00F84CF7"/>
    <w:rsid w:val="00F84D11"/>
    <w:rsid w:val="00F84E43"/>
    <w:rsid w:val="00F84E54"/>
    <w:rsid w:val="00F84EB4"/>
    <w:rsid w:val="00F84EFA"/>
    <w:rsid w:val="00F84FC5"/>
    <w:rsid w:val="00F8503E"/>
    <w:rsid w:val="00F85055"/>
    <w:rsid w:val="00F850A7"/>
    <w:rsid w:val="00F8512B"/>
    <w:rsid w:val="00F85135"/>
    <w:rsid w:val="00F8522C"/>
    <w:rsid w:val="00F852C2"/>
    <w:rsid w:val="00F8530B"/>
    <w:rsid w:val="00F85392"/>
    <w:rsid w:val="00F8539F"/>
    <w:rsid w:val="00F853ED"/>
    <w:rsid w:val="00F855FA"/>
    <w:rsid w:val="00F8560E"/>
    <w:rsid w:val="00F856C2"/>
    <w:rsid w:val="00F8575D"/>
    <w:rsid w:val="00F859F8"/>
    <w:rsid w:val="00F85A04"/>
    <w:rsid w:val="00F85C40"/>
    <w:rsid w:val="00F85D07"/>
    <w:rsid w:val="00F85D76"/>
    <w:rsid w:val="00F85E20"/>
    <w:rsid w:val="00F85F7E"/>
    <w:rsid w:val="00F8607F"/>
    <w:rsid w:val="00F86089"/>
    <w:rsid w:val="00F8609C"/>
    <w:rsid w:val="00F862F7"/>
    <w:rsid w:val="00F863A0"/>
    <w:rsid w:val="00F8643C"/>
    <w:rsid w:val="00F86440"/>
    <w:rsid w:val="00F864B1"/>
    <w:rsid w:val="00F864D1"/>
    <w:rsid w:val="00F86713"/>
    <w:rsid w:val="00F86865"/>
    <w:rsid w:val="00F86899"/>
    <w:rsid w:val="00F86907"/>
    <w:rsid w:val="00F869A3"/>
    <w:rsid w:val="00F86A43"/>
    <w:rsid w:val="00F86B4C"/>
    <w:rsid w:val="00F86BA5"/>
    <w:rsid w:val="00F86D6C"/>
    <w:rsid w:val="00F86E76"/>
    <w:rsid w:val="00F86EF1"/>
    <w:rsid w:val="00F86F55"/>
    <w:rsid w:val="00F86F7F"/>
    <w:rsid w:val="00F86FDE"/>
    <w:rsid w:val="00F86FFB"/>
    <w:rsid w:val="00F87049"/>
    <w:rsid w:val="00F87058"/>
    <w:rsid w:val="00F8724B"/>
    <w:rsid w:val="00F872DC"/>
    <w:rsid w:val="00F8730F"/>
    <w:rsid w:val="00F87353"/>
    <w:rsid w:val="00F87354"/>
    <w:rsid w:val="00F8738E"/>
    <w:rsid w:val="00F87412"/>
    <w:rsid w:val="00F87433"/>
    <w:rsid w:val="00F874F0"/>
    <w:rsid w:val="00F87513"/>
    <w:rsid w:val="00F875C0"/>
    <w:rsid w:val="00F87762"/>
    <w:rsid w:val="00F87804"/>
    <w:rsid w:val="00F87971"/>
    <w:rsid w:val="00F8799C"/>
    <w:rsid w:val="00F879C6"/>
    <w:rsid w:val="00F87C5B"/>
    <w:rsid w:val="00F87D16"/>
    <w:rsid w:val="00F87D89"/>
    <w:rsid w:val="00F87DCB"/>
    <w:rsid w:val="00F87F32"/>
    <w:rsid w:val="00F90408"/>
    <w:rsid w:val="00F90453"/>
    <w:rsid w:val="00F90483"/>
    <w:rsid w:val="00F90498"/>
    <w:rsid w:val="00F904DA"/>
    <w:rsid w:val="00F904E9"/>
    <w:rsid w:val="00F907BB"/>
    <w:rsid w:val="00F909C5"/>
    <w:rsid w:val="00F90C19"/>
    <w:rsid w:val="00F90CCB"/>
    <w:rsid w:val="00F90D00"/>
    <w:rsid w:val="00F90D26"/>
    <w:rsid w:val="00F90D50"/>
    <w:rsid w:val="00F90D57"/>
    <w:rsid w:val="00F90D5E"/>
    <w:rsid w:val="00F90DD5"/>
    <w:rsid w:val="00F90E9E"/>
    <w:rsid w:val="00F90EBA"/>
    <w:rsid w:val="00F90EF7"/>
    <w:rsid w:val="00F91061"/>
    <w:rsid w:val="00F91113"/>
    <w:rsid w:val="00F911B5"/>
    <w:rsid w:val="00F912B7"/>
    <w:rsid w:val="00F91336"/>
    <w:rsid w:val="00F913FC"/>
    <w:rsid w:val="00F91411"/>
    <w:rsid w:val="00F9152D"/>
    <w:rsid w:val="00F91587"/>
    <w:rsid w:val="00F91627"/>
    <w:rsid w:val="00F9188E"/>
    <w:rsid w:val="00F918F7"/>
    <w:rsid w:val="00F91AF3"/>
    <w:rsid w:val="00F91B61"/>
    <w:rsid w:val="00F91C0F"/>
    <w:rsid w:val="00F91C54"/>
    <w:rsid w:val="00F91D36"/>
    <w:rsid w:val="00F91D76"/>
    <w:rsid w:val="00F91F06"/>
    <w:rsid w:val="00F91FD0"/>
    <w:rsid w:val="00F9204F"/>
    <w:rsid w:val="00F9212E"/>
    <w:rsid w:val="00F921E8"/>
    <w:rsid w:val="00F922E3"/>
    <w:rsid w:val="00F92363"/>
    <w:rsid w:val="00F9240D"/>
    <w:rsid w:val="00F9241F"/>
    <w:rsid w:val="00F924A0"/>
    <w:rsid w:val="00F924E3"/>
    <w:rsid w:val="00F92518"/>
    <w:rsid w:val="00F92535"/>
    <w:rsid w:val="00F92570"/>
    <w:rsid w:val="00F925AC"/>
    <w:rsid w:val="00F925F0"/>
    <w:rsid w:val="00F92641"/>
    <w:rsid w:val="00F927B6"/>
    <w:rsid w:val="00F927CF"/>
    <w:rsid w:val="00F928CE"/>
    <w:rsid w:val="00F92908"/>
    <w:rsid w:val="00F92ABB"/>
    <w:rsid w:val="00F92B48"/>
    <w:rsid w:val="00F92BE0"/>
    <w:rsid w:val="00F92C51"/>
    <w:rsid w:val="00F92CD0"/>
    <w:rsid w:val="00F92D57"/>
    <w:rsid w:val="00F92EB8"/>
    <w:rsid w:val="00F93027"/>
    <w:rsid w:val="00F93098"/>
    <w:rsid w:val="00F931C4"/>
    <w:rsid w:val="00F93218"/>
    <w:rsid w:val="00F9349C"/>
    <w:rsid w:val="00F9350F"/>
    <w:rsid w:val="00F935CB"/>
    <w:rsid w:val="00F9368C"/>
    <w:rsid w:val="00F93730"/>
    <w:rsid w:val="00F93751"/>
    <w:rsid w:val="00F93785"/>
    <w:rsid w:val="00F93958"/>
    <w:rsid w:val="00F93992"/>
    <w:rsid w:val="00F93AA0"/>
    <w:rsid w:val="00F93B09"/>
    <w:rsid w:val="00F93C51"/>
    <w:rsid w:val="00F93C5E"/>
    <w:rsid w:val="00F93D3B"/>
    <w:rsid w:val="00F93E78"/>
    <w:rsid w:val="00F93E7F"/>
    <w:rsid w:val="00F93E88"/>
    <w:rsid w:val="00F93E92"/>
    <w:rsid w:val="00F93EEE"/>
    <w:rsid w:val="00F93FA5"/>
    <w:rsid w:val="00F9402F"/>
    <w:rsid w:val="00F9403A"/>
    <w:rsid w:val="00F94054"/>
    <w:rsid w:val="00F940A0"/>
    <w:rsid w:val="00F940AA"/>
    <w:rsid w:val="00F94177"/>
    <w:rsid w:val="00F9427D"/>
    <w:rsid w:val="00F942EA"/>
    <w:rsid w:val="00F9431C"/>
    <w:rsid w:val="00F943FD"/>
    <w:rsid w:val="00F94499"/>
    <w:rsid w:val="00F9452E"/>
    <w:rsid w:val="00F9459A"/>
    <w:rsid w:val="00F946A4"/>
    <w:rsid w:val="00F946F4"/>
    <w:rsid w:val="00F94785"/>
    <w:rsid w:val="00F94792"/>
    <w:rsid w:val="00F9488C"/>
    <w:rsid w:val="00F948DF"/>
    <w:rsid w:val="00F94978"/>
    <w:rsid w:val="00F949D2"/>
    <w:rsid w:val="00F949FF"/>
    <w:rsid w:val="00F94A3D"/>
    <w:rsid w:val="00F94A97"/>
    <w:rsid w:val="00F94AAF"/>
    <w:rsid w:val="00F94CAB"/>
    <w:rsid w:val="00F94D1D"/>
    <w:rsid w:val="00F94EFB"/>
    <w:rsid w:val="00F95012"/>
    <w:rsid w:val="00F95097"/>
    <w:rsid w:val="00F951B0"/>
    <w:rsid w:val="00F9542F"/>
    <w:rsid w:val="00F95508"/>
    <w:rsid w:val="00F9556E"/>
    <w:rsid w:val="00F95622"/>
    <w:rsid w:val="00F9576D"/>
    <w:rsid w:val="00F9583E"/>
    <w:rsid w:val="00F95970"/>
    <w:rsid w:val="00F959FF"/>
    <w:rsid w:val="00F95A22"/>
    <w:rsid w:val="00F95B9C"/>
    <w:rsid w:val="00F95BA5"/>
    <w:rsid w:val="00F95BD2"/>
    <w:rsid w:val="00F95BE6"/>
    <w:rsid w:val="00F95C6A"/>
    <w:rsid w:val="00F95CDC"/>
    <w:rsid w:val="00F95D43"/>
    <w:rsid w:val="00F95DAC"/>
    <w:rsid w:val="00F95E33"/>
    <w:rsid w:val="00F95FBD"/>
    <w:rsid w:val="00F95FDA"/>
    <w:rsid w:val="00F9601D"/>
    <w:rsid w:val="00F960DE"/>
    <w:rsid w:val="00F9627F"/>
    <w:rsid w:val="00F96302"/>
    <w:rsid w:val="00F9640E"/>
    <w:rsid w:val="00F9644B"/>
    <w:rsid w:val="00F9652E"/>
    <w:rsid w:val="00F96597"/>
    <w:rsid w:val="00F965AA"/>
    <w:rsid w:val="00F96636"/>
    <w:rsid w:val="00F96754"/>
    <w:rsid w:val="00F96882"/>
    <w:rsid w:val="00F96A3D"/>
    <w:rsid w:val="00F96A97"/>
    <w:rsid w:val="00F96AF7"/>
    <w:rsid w:val="00F96B6B"/>
    <w:rsid w:val="00F96C25"/>
    <w:rsid w:val="00F96C3F"/>
    <w:rsid w:val="00F96CA5"/>
    <w:rsid w:val="00F96D4B"/>
    <w:rsid w:val="00F96E24"/>
    <w:rsid w:val="00F96F34"/>
    <w:rsid w:val="00F9702F"/>
    <w:rsid w:val="00F97283"/>
    <w:rsid w:val="00F97324"/>
    <w:rsid w:val="00F973C7"/>
    <w:rsid w:val="00F97464"/>
    <w:rsid w:val="00F97514"/>
    <w:rsid w:val="00F9763E"/>
    <w:rsid w:val="00F976B4"/>
    <w:rsid w:val="00F9775C"/>
    <w:rsid w:val="00F97837"/>
    <w:rsid w:val="00F9786D"/>
    <w:rsid w:val="00F979B7"/>
    <w:rsid w:val="00F97A35"/>
    <w:rsid w:val="00F97B74"/>
    <w:rsid w:val="00F97DF2"/>
    <w:rsid w:val="00F97E19"/>
    <w:rsid w:val="00F97E29"/>
    <w:rsid w:val="00F97F17"/>
    <w:rsid w:val="00FA0153"/>
    <w:rsid w:val="00FA02BD"/>
    <w:rsid w:val="00FA02F5"/>
    <w:rsid w:val="00FA031E"/>
    <w:rsid w:val="00FA036E"/>
    <w:rsid w:val="00FA0496"/>
    <w:rsid w:val="00FA04FF"/>
    <w:rsid w:val="00FA05D9"/>
    <w:rsid w:val="00FA0679"/>
    <w:rsid w:val="00FA0690"/>
    <w:rsid w:val="00FA06B6"/>
    <w:rsid w:val="00FA06CD"/>
    <w:rsid w:val="00FA0744"/>
    <w:rsid w:val="00FA0749"/>
    <w:rsid w:val="00FA075F"/>
    <w:rsid w:val="00FA088D"/>
    <w:rsid w:val="00FA0A24"/>
    <w:rsid w:val="00FA0A7F"/>
    <w:rsid w:val="00FA0AA1"/>
    <w:rsid w:val="00FA0AF3"/>
    <w:rsid w:val="00FA0B0F"/>
    <w:rsid w:val="00FA0B2E"/>
    <w:rsid w:val="00FA0BC5"/>
    <w:rsid w:val="00FA0CC6"/>
    <w:rsid w:val="00FA0DB3"/>
    <w:rsid w:val="00FA0E80"/>
    <w:rsid w:val="00FA0E97"/>
    <w:rsid w:val="00FA0E9D"/>
    <w:rsid w:val="00FA0EFC"/>
    <w:rsid w:val="00FA0F07"/>
    <w:rsid w:val="00FA0F1E"/>
    <w:rsid w:val="00FA10A2"/>
    <w:rsid w:val="00FA11AA"/>
    <w:rsid w:val="00FA1239"/>
    <w:rsid w:val="00FA1355"/>
    <w:rsid w:val="00FA15B6"/>
    <w:rsid w:val="00FA15C9"/>
    <w:rsid w:val="00FA15D5"/>
    <w:rsid w:val="00FA162D"/>
    <w:rsid w:val="00FA1656"/>
    <w:rsid w:val="00FA16AC"/>
    <w:rsid w:val="00FA17A4"/>
    <w:rsid w:val="00FA1977"/>
    <w:rsid w:val="00FA19BF"/>
    <w:rsid w:val="00FA1A3A"/>
    <w:rsid w:val="00FA1A75"/>
    <w:rsid w:val="00FA1B41"/>
    <w:rsid w:val="00FA1B94"/>
    <w:rsid w:val="00FA1BD9"/>
    <w:rsid w:val="00FA1BFE"/>
    <w:rsid w:val="00FA1C18"/>
    <w:rsid w:val="00FA1C29"/>
    <w:rsid w:val="00FA1F40"/>
    <w:rsid w:val="00FA1F8E"/>
    <w:rsid w:val="00FA2019"/>
    <w:rsid w:val="00FA2063"/>
    <w:rsid w:val="00FA208A"/>
    <w:rsid w:val="00FA2196"/>
    <w:rsid w:val="00FA223C"/>
    <w:rsid w:val="00FA225D"/>
    <w:rsid w:val="00FA246F"/>
    <w:rsid w:val="00FA254F"/>
    <w:rsid w:val="00FA25FD"/>
    <w:rsid w:val="00FA262C"/>
    <w:rsid w:val="00FA2666"/>
    <w:rsid w:val="00FA268C"/>
    <w:rsid w:val="00FA2A80"/>
    <w:rsid w:val="00FA2AA0"/>
    <w:rsid w:val="00FA2B31"/>
    <w:rsid w:val="00FA2BC1"/>
    <w:rsid w:val="00FA2BF2"/>
    <w:rsid w:val="00FA2C67"/>
    <w:rsid w:val="00FA2CDC"/>
    <w:rsid w:val="00FA2F17"/>
    <w:rsid w:val="00FA3102"/>
    <w:rsid w:val="00FA3115"/>
    <w:rsid w:val="00FA32F8"/>
    <w:rsid w:val="00FA32FA"/>
    <w:rsid w:val="00FA33AD"/>
    <w:rsid w:val="00FA34BE"/>
    <w:rsid w:val="00FA3588"/>
    <w:rsid w:val="00FA37A7"/>
    <w:rsid w:val="00FA3804"/>
    <w:rsid w:val="00FA396E"/>
    <w:rsid w:val="00FA3B54"/>
    <w:rsid w:val="00FA3C81"/>
    <w:rsid w:val="00FA3D1A"/>
    <w:rsid w:val="00FA3D94"/>
    <w:rsid w:val="00FA3DDA"/>
    <w:rsid w:val="00FA3E62"/>
    <w:rsid w:val="00FA3EA3"/>
    <w:rsid w:val="00FA4085"/>
    <w:rsid w:val="00FA417B"/>
    <w:rsid w:val="00FA41EF"/>
    <w:rsid w:val="00FA4250"/>
    <w:rsid w:val="00FA42F0"/>
    <w:rsid w:val="00FA43D8"/>
    <w:rsid w:val="00FA43EA"/>
    <w:rsid w:val="00FA446B"/>
    <w:rsid w:val="00FA4478"/>
    <w:rsid w:val="00FA44C7"/>
    <w:rsid w:val="00FA4582"/>
    <w:rsid w:val="00FA45F1"/>
    <w:rsid w:val="00FA463D"/>
    <w:rsid w:val="00FA4661"/>
    <w:rsid w:val="00FA46D4"/>
    <w:rsid w:val="00FA484F"/>
    <w:rsid w:val="00FA487A"/>
    <w:rsid w:val="00FA49D8"/>
    <w:rsid w:val="00FA4ABA"/>
    <w:rsid w:val="00FA4ADA"/>
    <w:rsid w:val="00FA4B6E"/>
    <w:rsid w:val="00FA4B74"/>
    <w:rsid w:val="00FA4C57"/>
    <w:rsid w:val="00FA4C86"/>
    <w:rsid w:val="00FA4C8C"/>
    <w:rsid w:val="00FA4C8D"/>
    <w:rsid w:val="00FA4C96"/>
    <w:rsid w:val="00FA4D3C"/>
    <w:rsid w:val="00FA4E40"/>
    <w:rsid w:val="00FA4E73"/>
    <w:rsid w:val="00FA4F07"/>
    <w:rsid w:val="00FA4F47"/>
    <w:rsid w:val="00FA4FB9"/>
    <w:rsid w:val="00FA5004"/>
    <w:rsid w:val="00FA50D7"/>
    <w:rsid w:val="00FA523C"/>
    <w:rsid w:val="00FA526B"/>
    <w:rsid w:val="00FA530F"/>
    <w:rsid w:val="00FA5366"/>
    <w:rsid w:val="00FA536F"/>
    <w:rsid w:val="00FA53A3"/>
    <w:rsid w:val="00FA53AC"/>
    <w:rsid w:val="00FA53E9"/>
    <w:rsid w:val="00FA54DA"/>
    <w:rsid w:val="00FA5505"/>
    <w:rsid w:val="00FA5513"/>
    <w:rsid w:val="00FA5602"/>
    <w:rsid w:val="00FA5672"/>
    <w:rsid w:val="00FA57FB"/>
    <w:rsid w:val="00FA5873"/>
    <w:rsid w:val="00FA58C0"/>
    <w:rsid w:val="00FA5A22"/>
    <w:rsid w:val="00FA5C6A"/>
    <w:rsid w:val="00FA5E19"/>
    <w:rsid w:val="00FA5E64"/>
    <w:rsid w:val="00FA6051"/>
    <w:rsid w:val="00FA607F"/>
    <w:rsid w:val="00FA60A9"/>
    <w:rsid w:val="00FA612A"/>
    <w:rsid w:val="00FA6217"/>
    <w:rsid w:val="00FA62D5"/>
    <w:rsid w:val="00FA63A6"/>
    <w:rsid w:val="00FA643D"/>
    <w:rsid w:val="00FA64BA"/>
    <w:rsid w:val="00FA64DA"/>
    <w:rsid w:val="00FA65EC"/>
    <w:rsid w:val="00FA67E7"/>
    <w:rsid w:val="00FA6850"/>
    <w:rsid w:val="00FA69AF"/>
    <w:rsid w:val="00FA69BC"/>
    <w:rsid w:val="00FA6A04"/>
    <w:rsid w:val="00FA6A13"/>
    <w:rsid w:val="00FA6B45"/>
    <w:rsid w:val="00FA6BA5"/>
    <w:rsid w:val="00FA6F20"/>
    <w:rsid w:val="00FA6F9F"/>
    <w:rsid w:val="00FA7049"/>
    <w:rsid w:val="00FA7184"/>
    <w:rsid w:val="00FA71A2"/>
    <w:rsid w:val="00FA71C1"/>
    <w:rsid w:val="00FA71E8"/>
    <w:rsid w:val="00FA7220"/>
    <w:rsid w:val="00FA7278"/>
    <w:rsid w:val="00FA730D"/>
    <w:rsid w:val="00FA7372"/>
    <w:rsid w:val="00FA73D7"/>
    <w:rsid w:val="00FA7425"/>
    <w:rsid w:val="00FA75AC"/>
    <w:rsid w:val="00FA75D2"/>
    <w:rsid w:val="00FA76A8"/>
    <w:rsid w:val="00FA7719"/>
    <w:rsid w:val="00FA799C"/>
    <w:rsid w:val="00FA79E2"/>
    <w:rsid w:val="00FA7A4D"/>
    <w:rsid w:val="00FA7A6A"/>
    <w:rsid w:val="00FA7AAC"/>
    <w:rsid w:val="00FA7C0D"/>
    <w:rsid w:val="00FA7C84"/>
    <w:rsid w:val="00FA7CED"/>
    <w:rsid w:val="00FA7F7A"/>
    <w:rsid w:val="00FB00D5"/>
    <w:rsid w:val="00FB0179"/>
    <w:rsid w:val="00FB0192"/>
    <w:rsid w:val="00FB0202"/>
    <w:rsid w:val="00FB02A6"/>
    <w:rsid w:val="00FB03DE"/>
    <w:rsid w:val="00FB04EE"/>
    <w:rsid w:val="00FB04F3"/>
    <w:rsid w:val="00FB05DB"/>
    <w:rsid w:val="00FB060A"/>
    <w:rsid w:val="00FB061D"/>
    <w:rsid w:val="00FB0701"/>
    <w:rsid w:val="00FB0842"/>
    <w:rsid w:val="00FB0902"/>
    <w:rsid w:val="00FB0943"/>
    <w:rsid w:val="00FB095C"/>
    <w:rsid w:val="00FB0B07"/>
    <w:rsid w:val="00FB0D58"/>
    <w:rsid w:val="00FB0E3E"/>
    <w:rsid w:val="00FB0EAA"/>
    <w:rsid w:val="00FB0FCC"/>
    <w:rsid w:val="00FB0FF0"/>
    <w:rsid w:val="00FB0FFB"/>
    <w:rsid w:val="00FB1007"/>
    <w:rsid w:val="00FB1083"/>
    <w:rsid w:val="00FB1214"/>
    <w:rsid w:val="00FB130C"/>
    <w:rsid w:val="00FB1333"/>
    <w:rsid w:val="00FB1487"/>
    <w:rsid w:val="00FB156C"/>
    <w:rsid w:val="00FB1671"/>
    <w:rsid w:val="00FB16A6"/>
    <w:rsid w:val="00FB1792"/>
    <w:rsid w:val="00FB1967"/>
    <w:rsid w:val="00FB19D6"/>
    <w:rsid w:val="00FB1A0D"/>
    <w:rsid w:val="00FB1C4E"/>
    <w:rsid w:val="00FB1D31"/>
    <w:rsid w:val="00FB1D48"/>
    <w:rsid w:val="00FB1E58"/>
    <w:rsid w:val="00FB1E97"/>
    <w:rsid w:val="00FB1F5C"/>
    <w:rsid w:val="00FB2046"/>
    <w:rsid w:val="00FB2120"/>
    <w:rsid w:val="00FB215B"/>
    <w:rsid w:val="00FB223A"/>
    <w:rsid w:val="00FB22AE"/>
    <w:rsid w:val="00FB22D6"/>
    <w:rsid w:val="00FB22E0"/>
    <w:rsid w:val="00FB2330"/>
    <w:rsid w:val="00FB233A"/>
    <w:rsid w:val="00FB23D6"/>
    <w:rsid w:val="00FB2420"/>
    <w:rsid w:val="00FB2459"/>
    <w:rsid w:val="00FB2550"/>
    <w:rsid w:val="00FB266A"/>
    <w:rsid w:val="00FB269F"/>
    <w:rsid w:val="00FB26A3"/>
    <w:rsid w:val="00FB26E2"/>
    <w:rsid w:val="00FB2861"/>
    <w:rsid w:val="00FB2971"/>
    <w:rsid w:val="00FB29D7"/>
    <w:rsid w:val="00FB2ACC"/>
    <w:rsid w:val="00FB2ACF"/>
    <w:rsid w:val="00FB2B2E"/>
    <w:rsid w:val="00FB2BAA"/>
    <w:rsid w:val="00FB2C4A"/>
    <w:rsid w:val="00FB2CC2"/>
    <w:rsid w:val="00FB2D6A"/>
    <w:rsid w:val="00FB2D84"/>
    <w:rsid w:val="00FB2DA9"/>
    <w:rsid w:val="00FB2DB6"/>
    <w:rsid w:val="00FB2E16"/>
    <w:rsid w:val="00FB2E89"/>
    <w:rsid w:val="00FB2EBD"/>
    <w:rsid w:val="00FB2FB0"/>
    <w:rsid w:val="00FB3079"/>
    <w:rsid w:val="00FB30E9"/>
    <w:rsid w:val="00FB3154"/>
    <w:rsid w:val="00FB3277"/>
    <w:rsid w:val="00FB3315"/>
    <w:rsid w:val="00FB331E"/>
    <w:rsid w:val="00FB3334"/>
    <w:rsid w:val="00FB343B"/>
    <w:rsid w:val="00FB3477"/>
    <w:rsid w:val="00FB367F"/>
    <w:rsid w:val="00FB36F7"/>
    <w:rsid w:val="00FB373C"/>
    <w:rsid w:val="00FB379A"/>
    <w:rsid w:val="00FB37E8"/>
    <w:rsid w:val="00FB3917"/>
    <w:rsid w:val="00FB39DB"/>
    <w:rsid w:val="00FB39F9"/>
    <w:rsid w:val="00FB3B61"/>
    <w:rsid w:val="00FB3B63"/>
    <w:rsid w:val="00FB3C2D"/>
    <w:rsid w:val="00FB3CE7"/>
    <w:rsid w:val="00FB3D57"/>
    <w:rsid w:val="00FB3E2C"/>
    <w:rsid w:val="00FB3E46"/>
    <w:rsid w:val="00FB3F87"/>
    <w:rsid w:val="00FB3FA6"/>
    <w:rsid w:val="00FB3FB6"/>
    <w:rsid w:val="00FB4033"/>
    <w:rsid w:val="00FB4074"/>
    <w:rsid w:val="00FB4108"/>
    <w:rsid w:val="00FB4296"/>
    <w:rsid w:val="00FB4350"/>
    <w:rsid w:val="00FB4478"/>
    <w:rsid w:val="00FB44F7"/>
    <w:rsid w:val="00FB4619"/>
    <w:rsid w:val="00FB47E1"/>
    <w:rsid w:val="00FB4897"/>
    <w:rsid w:val="00FB48EF"/>
    <w:rsid w:val="00FB490F"/>
    <w:rsid w:val="00FB493C"/>
    <w:rsid w:val="00FB4990"/>
    <w:rsid w:val="00FB4998"/>
    <w:rsid w:val="00FB499F"/>
    <w:rsid w:val="00FB4A09"/>
    <w:rsid w:val="00FB4ACE"/>
    <w:rsid w:val="00FB4BCF"/>
    <w:rsid w:val="00FB4C67"/>
    <w:rsid w:val="00FB4C82"/>
    <w:rsid w:val="00FB4D4C"/>
    <w:rsid w:val="00FB4DBD"/>
    <w:rsid w:val="00FB4E0F"/>
    <w:rsid w:val="00FB4F09"/>
    <w:rsid w:val="00FB5078"/>
    <w:rsid w:val="00FB5234"/>
    <w:rsid w:val="00FB5263"/>
    <w:rsid w:val="00FB52CA"/>
    <w:rsid w:val="00FB52E8"/>
    <w:rsid w:val="00FB53C9"/>
    <w:rsid w:val="00FB53D4"/>
    <w:rsid w:val="00FB5486"/>
    <w:rsid w:val="00FB54C6"/>
    <w:rsid w:val="00FB5587"/>
    <w:rsid w:val="00FB55A1"/>
    <w:rsid w:val="00FB55EE"/>
    <w:rsid w:val="00FB57F5"/>
    <w:rsid w:val="00FB5874"/>
    <w:rsid w:val="00FB58F2"/>
    <w:rsid w:val="00FB591B"/>
    <w:rsid w:val="00FB5948"/>
    <w:rsid w:val="00FB5B37"/>
    <w:rsid w:val="00FB5B7C"/>
    <w:rsid w:val="00FB5B8C"/>
    <w:rsid w:val="00FB5D03"/>
    <w:rsid w:val="00FB5DAE"/>
    <w:rsid w:val="00FB5E82"/>
    <w:rsid w:val="00FB5F28"/>
    <w:rsid w:val="00FB5F74"/>
    <w:rsid w:val="00FB5FA9"/>
    <w:rsid w:val="00FB5FFD"/>
    <w:rsid w:val="00FB6098"/>
    <w:rsid w:val="00FB60D4"/>
    <w:rsid w:val="00FB60FC"/>
    <w:rsid w:val="00FB6158"/>
    <w:rsid w:val="00FB61E4"/>
    <w:rsid w:val="00FB6302"/>
    <w:rsid w:val="00FB6352"/>
    <w:rsid w:val="00FB637A"/>
    <w:rsid w:val="00FB639D"/>
    <w:rsid w:val="00FB6509"/>
    <w:rsid w:val="00FB656B"/>
    <w:rsid w:val="00FB668D"/>
    <w:rsid w:val="00FB6698"/>
    <w:rsid w:val="00FB67EC"/>
    <w:rsid w:val="00FB68DB"/>
    <w:rsid w:val="00FB6AD3"/>
    <w:rsid w:val="00FB6B67"/>
    <w:rsid w:val="00FB6BB8"/>
    <w:rsid w:val="00FB6C5B"/>
    <w:rsid w:val="00FB6C76"/>
    <w:rsid w:val="00FB6CDC"/>
    <w:rsid w:val="00FB6CE3"/>
    <w:rsid w:val="00FB6D7A"/>
    <w:rsid w:val="00FB6E97"/>
    <w:rsid w:val="00FB70E7"/>
    <w:rsid w:val="00FB7118"/>
    <w:rsid w:val="00FB721A"/>
    <w:rsid w:val="00FB7294"/>
    <w:rsid w:val="00FB7387"/>
    <w:rsid w:val="00FB7457"/>
    <w:rsid w:val="00FB7507"/>
    <w:rsid w:val="00FB75A3"/>
    <w:rsid w:val="00FB77DF"/>
    <w:rsid w:val="00FB7805"/>
    <w:rsid w:val="00FB795F"/>
    <w:rsid w:val="00FB797B"/>
    <w:rsid w:val="00FB7BB8"/>
    <w:rsid w:val="00FB7C82"/>
    <w:rsid w:val="00FB7D9B"/>
    <w:rsid w:val="00FB7E8A"/>
    <w:rsid w:val="00FB7EFC"/>
    <w:rsid w:val="00FC002D"/>
    <w:rsid w:val="00FC0051"/>
    <w:rsid w:val="00FC0060"/>
    <w:rsid w:val="00FC0255"/>
    <w:rsid w:val="00FC0313"/>
    <w:rsid w:val="00FC035B"/>
    <w:rsid w:val="00FC036A"/>
    <w:rsid w:val="00FC037C"/>
    <w:rsid w:val="00FC038A"/>
    <w:rsid w:val="00FC0405"/>
    <w:rsid w:val="00FC045F"/>
    <w:rsid w:val="00FC0579"/>
    <w:rsid w:val="00FC063F"/>
    <w:rsid w:val="00FC067F"/>
    <w:rsid w:val="00FC078E"/>
    <w:rsid w:val="00FC0980"/>
    <w:rsid w:val="00FC09E7"/>
    <w:rsid w:val="00FC0AFF"/>
    <w:rsid w:val="00FC0C16"/>
    <w:rsid w:val="00FC0C4B"/>
    <w:rsid w:val="00FC103A"/>
    <w:rsid w:val="00FC1165"/>
    <w:rsid w:val="00FC1207"/>
    <w:rsid w:val="00FC152B"/>
    <w:rsid w:val="00FC15C4"/>
    <w:rsid w:val="00FC1658"/>
    <w:rsid w:val="00FC16A4"/>
    <w:rsid w:val="00FC16F4"/>
    <w:rsid w:val="00FC1842"/>
    <w:rsid w:val="00FC1950"/>
    <w:rsid w:val="00FC19BE"/>
    <w:rsid w:val="00FC1A0D"/>
    <w:rsid w:val="00FC1A69"/>
    <w:rsid w:val="00FC1AA1"/>
    <w:rsid w:val="00FC1AD6"/>
    <w:rsid w:val="00FC1B60"/>
    <w:rsid w:val="00FC1B70"/>
    <w:rsid w:val="00FC1C76"/>
    <w:rsid w:val="00FC1D00"/>
    <w:rsid w:val="00FC1D3E"/>
    <w:rsid w:val="00FC1D95"/>
    <w:rsid w:val="00FC1DA5"/>
    <w:rsid w:val="00FC1DF2"/>
    <w:rsid w:val="00FC1E0C"/>
    <w:rsid w:val="00FC1E7C"/>
    <w:rsid w:val="00FC1ED1"/>
    <w:rsid w:val="00FC1F0F"/>
    <w:rsid w:val="00FC1F4B"/>
    <w:rsid w:val="00FC2028"/>
    <w:rsid w:val="00FC20DF"/>
    <w:rsid w:val="00FC2470"/>
    <w:rsid w:val="00FC247C"/>
    <w:rsid w:val="00FC248F"/>
    <w:rsid w:val="00FC24A3"/>
    <w:rsid w:val="00FC2527"/>
    <w:rsid w:val="00FC25C8"/>
    <w:rsid w:val="00FC2747"/>
    <w:rsid w:val="00FC274C"/>
    <w:rsid w:val="00FC2881"/>
    <w:rsid w:val="00FC2D08"/>
    <w:rsid w:val="00FC2DC3"/>
    <w:rsid w:val="00FC2E53"/>
    <w:rsid w:val="00FC2E6B"/>
    <w:rsid w:val="00FC2EB2"/>
    <w:rsid w:val="00FC2F01"/>
    <w:rsid w:val="00FC2F0C"/>
    <w:rsid w:val="00FC2F3C"/>
    <w:rsid w:val="00FC2FE9"/>
    <w:rsid w:val="00FC3002"/>
    <w:rsid w:val="00FC3112"/>
    <w:rsid w:val="00FC31F2"/>
    <w:rsid w:val="00FC3597"/>
    <w:rsid w:val="00FC3606"/>
    <w:rsid w:val="00FC3687"/>
    <w:rsid w:val="00FC379B"/>
    <w:rsid w:val="00FC394C"/>
    <w:rsid w:val="00FC3A1A"/>
    <w:rsid w:val="00FC3AF3"/>
    <w:rsid w:val="00FC3D20"/>
    <w:rsid w:val="00FC3FD9"/>
    <w:rsid w:val="00FC4130"/>
    <w:rsid w:val="00FC4289"/>
    <w:rsid w:val="00FC42B3"/>
    <w:rsid w:val="00FC42CA"/>
    <w:rsid w:val="00FC4355"/>
    <w:rsid w:val="00FC4389"/>
    <w:rsid w:val="00FC43D2"/>
    <w:rsid w:val="00FC441A"/>
    <w:rsid w:val="00FC4462"/>
    <w:rsid w:val="00FC449F"/>
    <w:rsid w:val="00FC44DC"/>
    <w:rsid w:val="00FC455C"/>
    <w:rsid w:val="00FC456E"/>
    <w:rsid w:val="00FC4615"/>
    <w:rsid w:val="00FC4636"/>
    <w:rsid w:val="00FC46EA"/>
    <w:rsid w:val="00FC474F"/>
    <w:rsid w:val="00FC4880"/>
    <w:rsid w:val="00FC488F"/>
    <w:rsid w:val="00FC48C4"/>
    <w:rsid w:val="00FC48C7"/>
    <w:rsid w:val="00FC48E3"/>
    <w:rsid w:val="00FC496F"/>
    <w:rsid w:val="00FC49E8"/>
    <w:rsid w:val="00FC4A3C"/>
    <w:rsid w:val="00FC4AA2"/>
    <w:rsid w:val="00FC4AD8"/>
    <w:rsid w:val="00FC4AD9"/>
    <w:rsid w:val="00FC4B12"/>
    <w:rsid w:val="00FC4BCF"/>
    <w:rsid w:val="00FC4BD1"/>
    <w:rsid w:val="00FC4C0B"/>
    <w:rsid w:val="00FC4D74"/>
    <w:rsid w:val="00FC4DA2"/>
    <w:rsid w:val="00FC4E54"/>
    <w:rsid w:val="00FC4E5C"/>
    <w:rsid w:val="00FC4EB4"/>
    <w:rsid w:val="00FC4F09"/>
    <w:rsid w:val="00FC4F37"/>
    <w:rsid w:val="00FC4F54"/>
    <w:rsid w:val="00FC4FC2"/>
    <w:rsid w:val="00FC4FFB"/>
    <w:rsid w:val="00FC50B4"/>
    <w:rsid w:val="00FC510C"/>
    <w:rsid w:val="00FC5121"/>
    <w:rsid w:val="00FC524C"/>
    <w:rsid w:val="00FC5280"/>
    <w:rsid w:val="00FC52D9"/>
    <w:rsid w:val="00FC53F3"/>
    <w:rsid w:val="00FC545C"/>
    <w:rsid w:val="00FC5496"/>
    <w:rsid w:val="00FC54BD"/>
    <w:rsid w:val="00FC55BD"/>
    <w:rsid w:val="00FC55C5"/>
    <w:rsid w:val="00FC55C8"/>
    <w:rsid w:val="00FC5605"/>
    <w:rsid w:val="00FC569B"/>
    <w:rsid w:val="00FC56E2"/>
    <w:rsid w:val="00FC5764"/>
    <w:rsid w:val="00FC58EB"/>
    <w:rsid w:val="00FC58FC"/>
    <w:rsid w:val="00FC592A"/>
    <w:rsid w:val="00FC599F"/>
    <w:rsid w:val="00FC59CF"/>
    <w:rsid w:val="00FC59F5"/>
    <w:rsid w:val="00FC5AEC"/>
    <w:rsid w:val="00FC5B30"/>
    <w:rsid w:val="00FC5B60"/>
    <w:rsid w:val="00FC5B9B"/>
    <w:rsid w:val="00FC5CAD"/>
    <w:rsid w:val="00FC5D3F"/>
    <w:rsid w:val="00FC5DD5"/>
    <w:rsid w:val="00FC5EFB"/>
    <w:rsid w:val="00FC6261"/>
    <w:rsid w:val="00FC6332"/>
    <w:rsid w:val="00FC634A"/>
    <w:rsid w:val="00FC6381"/>
    <w:rsid w:val="00FC6404"/>
    <w:rsid w:val="00FC647D"/>
    <w:rsid w:val="00FC652F"/>
    <w:rsid w:val="00FC6667"/>
    <w:rsid w:val="00FC66B4"/>
    <w:rsid w:val="00FC67D4"/>
    <w:rsid w:val="00FC67FD"/>
    <w:rsid w:val="00FC680C"/>
    <w:rsid w:val="00FC6867"/>
    <w:rsid w:val="00FC6962"/>
    <w:rsid w:val="00FC696D"/>
    <w:rsid w:val="00FC698E"/>
    <w:rsid w:val="00FC6BC2"/>
    <w:rsid w:val="00FC6C60"/>
    <w:rsid w:val="00FC6C85"/>
    <w:rsid w:val="00FC6D2B"/>
    <w:rsid w:val="00FC6D8A"/>
    <w:rsid w:val="00FC6D8D"/>
    <w:rsid w:val="00FC6E45"/>
    <w:rsid w:val="00FC702F"/>
    <w:rsid w:val="00FC7095"/>
    <w:rsid w:val="00FC7101"/>
    <w:rsid w:val="00FC731C"/>
    <w:rsid w:val="00FC73C6"/>
    <w:rsid w:val="00FC7441"/>
    <w:rsid w:val="00FC7590"/>
    <w:rsid w:val="00FC75B2"/>
    <w:rsid w:val="00FC763A"/>
    <w:rsid w:val="00FC7685"/>
    <w:rsid w:val="00FC77F4"/>
    <w:rsid w:val="00FC783E"/>
    <w:rsid w:val="00FC792D"/>
    <w:rsid w:val="00FC7A20"/>
    <w:rsid w:val="00FC7A45"/>
    <w:rsid w:val="00FC7A83"/>
    <w:rsid w:val="00FC7BB3"/>
    <w:rsid w:val="00FC7E9C"/>
    <w:rsid w:val="00FC7F11"/>
    <w:rsid w:val="00FC7F42"/>
    <w:rsid w:val="00FC7F53"/>
    <w:rsid w:val="00FC7F75"/>
    <w:rsid w:val="00FC7F78"/>
    <w:rsid w:val="00FC7FCA"/>
    <w:rsid w:val="00FD016F"/>
    <w:rsid w:val="00FD0282"/>
    <w:rsid w:val="00FD02D2"/>
    <w:rsid w:val="00FD046B"/>
    <w:rsid w:val="00FD066D"/>
    <w:rsid w:val="00FD0698"/>
    <w:rsid w:val="00FD06EA"/>
    <w:rsid w:val="00FD0707"/>
    <w:rsid w:val="00FD082B"/>
    <w:rsid w:val="00FD08A2"/>
    <w:rsid w:val="00FD08A8"/>
    <w:rsid w:val="00FD08B3"/>
    <w:rsid w:val="00FD0907"/>
    <w:rsid w:val="00FD094B"/>
    <w:rsid w:val="00FD09A2"/>
    <w:rsid w:val="00FD09D9"/>
    <w:rsid w:val="00FD0A49"/>
    <w:rsid w:val="00FD0A6F"/>
    <w:rsid w:val="00FD0AB5"/>
    <w:rsid w:val="00FD0BAA"/>
    <w:rsid w:val="00FD0BD6"/>
    <w:rsid w:val="00FD0CAA"/>
    <w:rsid w:val="00FD0CE4"/>
    <w:rsid w:val="00FD0D7B"/>
    <w:rsid w:val="00FD0EFD"/>
    <w:rsid w:val="00FD0F14"/>
    <w:rsid w:val="00FD0F3D"/>
    <w:rsid w:val="00FD109B"/>
    <w:rsid w:val="00FD132D"/>
    <w:rsid w:val="00FD1436"/>
    <w:rsid w:val="00FD149C"/>
    <w:rsid w:val="00FD14B0"/>
    <w:rsid w:val="00FD153A"/>
    <w:rsid w:val="00FD1617"/>
    <w:rsid w:val="00FD1685"/>
    <w:rsid w:val="00FD1711"/>
    <w:rsid w:val="00FD17E0"/>
    <w:rsid w:val="00FD17EF"/>
    <w:rsid w:val="00FD1986"/>
    <w:rsid w:val="00FD1A07"/>
    <w:rsid w:val="00FD1A3D"/>
    <w:rsid w:val="00FD1B2D"/>
    <w:rsid w:val="00FD1B96"/>
    <w:rsid w:val="00FD1BB7"/>
    <w:rsid w:val="00FD1BB8"/>
    <w:rsid w:val="00FD1BDA"/>
    <w:rsid w:val="00FD1C9C"/>
    <w:rsid w:val="00FD1CBE"/>
    <w:rsid w:val="00FD1CF7"/>
    <w:rsid w:val="00FD1DAC"/>
    <w:rsid w:val="00FD1EBB"/>
    <w:rsid w:val="00FD1F82"/>
    <w:rsid w:val="00FD1FC4"/>
    <w:rsid w:val="00FD2175"/>
    <w:rsid w:val="00FD2186"/>
    <w:rsid w:val="00FD220B"/>
    <w:rsid w:val="00FD2212"/>
    <w:rsid w:val="00FD2256"/>
    <w:rsid w:val="00FD22C4"/>
    <w:rsid w:val="00FD22F3"/>
    <w:rsid w:val="00FD23ED"/>
    <w:rsid w:val="00FD2417"/>
    <w:rsid w:val="00FD245E"/>
    <w:rsid w:val="00FD2644"/>
    <w:rsid w:val="00FD2705"/>
    <w:rsid w:val="00FD270C"/>
    <w:rsid w:val="00FD275E"/>
    <w:rsid w:val="00FD27A4"/>
    <w:rsid w:val="00FD27CF"/>
    <w:rsid w:val="00FD2850"/>
    <w:rsid w:val="00FD2860"/>
    <w:rsid w:val="00FD28B8"/>
    <w:rsid w:val="00FD2990"/>
    <w:rsid w:val="00FD2C2A"/>
    <w:rsid w:val="00FD2CAC"/>
    <w:rsid w:val="00FD2CDD"/>
    <w:rsid w:val="00FD2D2C"/>
    <w:rsid w:val="00FD2D6C"/>
    <w:rsid w:val="00FD2F68"/>
    <w:rsid w:val="00FD3024"/>
    <w:rsid w:val="00FD3035"/>
    <w:rsid w:val="00FD3048"/>
    <w:rsid w:val="00FD3058"/>
    <w:rsid w:val="00FD30B0"/>
    <w:rsid w:val="00FD30BC"/>
    <w:rsid w:val="00FD30F9"/>
    <w:rsid w:val="00FD3119"/>
    <w:rsid w:val="00FD3134"/>
    <w:rsid w:val="00FD3160"/>
    <w:rsid w:val="00FD3243"/>
    <w:rsid w:val="00FD3291"/>
    <w:rsid w:val="00FD32C3"/>
    <w:rsid w:val="00FD33B7"/>
    <w:rsid w:val="00FD3513"/>
    <w:rsid w:val="00FD3515"/>
    <w:rsid w:val="00FD3557"/>
    <w:rsid w:val="00FD356A"/>
    <w:rsid w:val="00FD359D"/>
    <w:rsid w:val="00FD35D8"/>
    <w:rsid w:val="00FD38E2"/>
    <w:rsid w:val="00FD38F8"/>
    <w:rsid w:val="00FD38FF"/>
    <w:rsid w:val="00FD39A4"/>
    <w:rsid w:val="00FD3AFC"/>
    <w:rsid w:val="00FD3B69"/>
    <w:rsid w:val="00FD3C11"/>
    <w:rsid w:val="00FD3C9E"/>
    <w:rsid w:val="00FD3CF4"/>
    <w:rsid w:val="00FD3E4A"/>
    <w:rsid w:val="00FD3EF6"/>
    <w:rsid w:val="00FD3FC0"/>
    <w:rsid w:val="00FD40D2"/>
    <w:rsid w:val="00FD41C5"/>
    <w:rsid w:val="00FD42F5"/>
    <w:rsid w:val="00FD4447"/>
    <w:rsid w:val="00FD47B7"/>
    <w:rsid w:val="00FD4849"/>
    <w:rsid w:val="00FD4897"/>
    <w:rsid w:val="00FD493E"/>
    <w:rsid w:val="00FD4A35"/>
    <w:rsid w:val="00FD4A43"/>
    <w:rsid w:val="00FD4A61"/>
    <w:rsid w:val="00FD4B39"/>
    <w:rsid w:val="00FD4B7D"/>
    <w:rsid w:val="00FD4BEA"/>
    <w:rsid w:val="00FD4C18"/>
    <w:rsid w:val="00FD4C75"/>
    <w:rsid w:val="00FD4D7C"/>
    <w:rsid w:val="00FD4DEF"/>
    <w:rsid w:val="00FD4E78"/>
    <w:rsid w:val="00FD4FBE"/>
    <w:rsid w:val="00FD50CE"/>
    <w:rsid w:val="00FD5467"/>
    <w:rsid w:val="00FD5478"/>
    <w:rsid w:val="00FD54F5"/>
    <w:rsid w:val="00FD55C8"/>
    <w:rsid w:val="00FD5610"/>
    <w:rsid w:val="00FD5630"/>
    <w:rsid w:val="00FD5650"/>
    <w:rsid w:val="00FD5665"/>
    <w:rsid w:val="00FD5798"/>
    <w:rsid w:val="00FD5857"/>
    <w:rsid w:val="00FD58BB"/>
    <w:rsid w:val="00FD58F6"/>
    <w:rsid w:val="00FD595A"/>
    <w:rsid w:val="00FD599A"/>
    <w:rsid w:val="00FD59B1"/>
    <w:rsid w:val="00FD5B54"/>
    <w:rsid w:val="00FD5B88"/>
    <w:rsid w:val="00FD5BDB"/>
    <w:rsid w:val="00FD5BF3"/>
    <w:rsid w:val="00FD5CCD"/>
    <w:rsid w:val="00FD5DB0"/>
    <w:rsid w:val="00FD5E15"/>
    <w:rsid w:val="00FD5E29"/>
    <w:rsid w:val="00FD5F1E"/>
    <w:rsid w:val="00FD5F2E"/>
    <w:rsid w:val="00FD5F68"/>
    <w:rsid w:val="00FD600D"/>
    <w:rsid w:val="00FD6041"/>
    <w:rsid w:val="00FD6056"/>
    <w:rsid w:val="00FD624A"/>
    <w:rsid w:val="00FD62D5"/>
    <w:rsid w:val="00FD640C"/>
    <w:rsid w:val="00FD6494"/>
    <w:rsid w:val="00FD64D1"/>
    <w:rsid w:val="00FD65A3"/>
    <w:rsid w:val="00FD65B1"/>
    <w:rsid w:val="00FD660C"/>
    <w:rsid w:val="00FD66BB"/>
    <w:rsid w:val="00FD671B"/>
    <w:rsid w:val="00FD67D4"/>
    <w:rsid w:val="00FD67EB"/>
    <w:rsid w:val="00FD687A"/>
    <w:rsid w:val="00FD688F"/>
    <w:rsid w:val="00FD68CE"/>
    <w:rsid w:val="00FD690A"/>
    <w:rsid w:val="00FD691D"/>
    <w:rsid w:val="00FD6A50"/>
    <w:rsid w:val="00FD6A78"/>
    <w:rsid w:val="00FD6AB5"/>
    <w:rsid w:val="00FD6AB7"/>
    <w:rsid w:val="00FD6B6F"/>
    <w:rsid w:val="00FD6BCC"/>
    <w:rsid w:val="00FD6D49"/>
    <w:rsid w:val="00FD6E06"/>
    <w:rsid w:val="00FD6F5B"/>
    <w:rsid w:val="00FD6FE2"/>
    <w:rsid w:val="00FD70A7"/>
    <w:rsid w:val="00FD71A3"/>
    <w:rsid w:val="00FD71AF"/>
    <w:rsid w:val="00FD72D2"/>
    <w:rsid w:val="00FD7340"/>
    <w:rsid w:val="00FD741F"/>
    <w:rsid w:val="00FD74B7"/>
    <w:rsid w:val="00FD7519"/>
    <w:rsid w:val="00FD7547"/>
    <w:rsid w:val="00FD7634"/>
    <w:rsid w:val="00FD7889"/>
    <w:rsid w:val="00FD7ABF"/>
    <w:rsid w:val="00FD7BA6"/>
    <w:rsid w:val="00FD7BB3"/>
    <w:rsid w:val="00FD7BF3"/>
    <w:rsid w:val="00FD7D27"/>
    <w:rsid w:val="00FD7D38"/>
    <w:rsid w:val="00FD7DA2"/>
    <w:rsid w:val="00FD7E88"/>
    <w:rsid w:val="00FD7ED3"/>
    <w:rsid w:val="00FD7F76"/>
    <w:rsid w:val="00FD7FB7"/>
    <w:rsid w:val="00FD7FE2"/>
    <w:rsid w:val="00FD7FFC"/>
    <w:rsid w:val="00FE007E"/>
    <w:rsid w:val="00FE0395"/>
    <w:rsid w:val="00FE04F9"/>
    <w:rsid w:val="00FE0859"/>
    <w:rsid w:val="00FE08A8"/>
    <w:rsid w:val="00FE0A03"/>
    <w:rsid w:val="00FE0B88"/>
    <w:rsid w:val="00FE0BAF"/>
    <w:rsid w:val="00FE0C10"/>
    <w:rsid w:val="00FE0C1E"/>
    <w:rsid w:val="00FE0C62"/>
    <w:rsid w:val="00FE0C88"/>
    <w:rsid w:val="00FE0D6D"/>
    <w:rsid w:val="00FE0DBA"/>
    <w:rsid w:val="00FE106E"/>
    <w:rsid w:val="00FE108C"/>
    <w:rsid w:val="00FE11D6"/>
    <w:rsid w:val="00FE1253"/>
    <w:rsid w:val="00FE12BD"/>
    <w:rsid w:val="00FE138B"/>
    <w:rsid w:val="00FE13B2"/>
    <w:rsid w:val="00FE1477"/>
    <w:rsid w:val="00FE14E5"/>
    <w:rsid w:val="00FE1531"/>
    <w:rsid w:val="00FE1553"/>
    <w:rsid w:val="00FE155E"/>
    <w:rsid w:val="00FE157E"/>
    <w:rsid w:val="00FE1718"/>
    <w:rsid w:val="00FE179A"/>
    <w:rsid w:val="00FE17B1"/>
    <w:rsid w:val="00FE18E2"/>
    <w:rsid w:val="00FE1977"/>
    <w:rsid w:val="00FE198C"/>
    <w:rsid w:val="00FE1AC3"/>
    <w:rsid w:val="00FE1BE0"/>
    <w:rsid w:val="00FE1F08"/>
    <w:rsid w:val="00FE2016"/>
    <w:rsid w:val="00FE20B1"/>
    <w:rsid w:val="00FE20BA"/>
    <w:rsid w:val="00FE20DE"/>
    <w:rsid w:val="00FE214A"/>
    <w:rsid w:val="00FE23D9"/>
    <w:rsid w:val="00FE240F"/>
    <w:rsid w:val="00FE266F"/>
    <w:rsid w:val="00FE2679"/>
    <w:rsid w:val="00FE26E5"/>
    <w:rsid w:val="00FE27CB"/>
    <w:rsid w:val="00FE27F1"/>
    <w:rsid w:val="00FE289F"/>
    <w:rsid w:val="00FE2920"/>
    <w:rsid w:val="00FE29B9"/>
    <w:rsid w:val="00FE29BC"/>
    <w:rsid w:val="00FE2A93"/>
    <w:rsid w:val="00FE2A96"/>
    <w:rsid w:val="00FE2B43"/>
    <w:rsid w:val="00FE2BCC"/>
    <w:rsid w:val="00FE2C22"/>
    <w:rsid w:val="00FE2C9A"/>
    <w:rsid w:val="00FE2CD1"/>
    <w:rsid w:val="00FE2D0E"/>
    <w:rsid w:val="00FE2DB5"/>
    <w:rsid w:val="00FE2DEA"/>
    <w:rsid w:val="00FE2E8A"/>
    <w:rsid w:val="00FE2F6D"/>
    <w:rsid w:val="00FE2F79"/>
    <w:rsid w:val="00FE2F8F"/>
    <w:rsid w:val="00FE33AA"/>
    <w:rsid w:val="00FE3488"/>
    <w:rsid w:val="00FE3498"/>
    <w:rsid w:val="00FE354F"/>
    <w:rsid w:val="00FE3631"/>
    <w:rsid w:val="00FE3911"/>
    <w:rsid w:val="00FE395C"/>
    <w:rsid w:val="00FE3A17"/>
    <w:rsid w:val="00FE3A46"/>
    <w:rsid w:val="00FE3B7C"/>
    <w:rsid w:val="00FE3B81"/>
    <w:rsid w:val="00FE3E36"/>
    <w:rsid w:val="00FE40B8"/>
    <w:rsid w:val="00FE40ED"/>
    <w:rsid w:val="00FE4129"/>
    <w:rsid w:val="00FE4298"/>
    <w:rsid w:val="00FE42E0"/>
    <w:rsid w:val="00FE4420"/>
    <w:rsid w:val="00FE4455"/>
    <w:rsid w:val="00FE44BF"/>
    <w:rsid w:val="00FE44F3"/>
    <w:rsid w:val="00FE46C9"/>
    <w:rsid w:val="00FE4724"/>
    <w:rsid w:val="00FE47F6"/>
    <w:rsid w:val="00FE483D"/>
    <w:rsid w:val="00FE4883"/>
    <w:rsid w:val="00FE49E3"/>
    <w:rsid w:val="00FE4A26"/>
    <w:rsid w:val="00FE4A4E"/>
    <w:rsid w:val="00FE4AA4"/>
    <w:rsid w:val="00FE4ACB"/>
    <w:rsid w:val="00FE4BF3"/>
    <w:rsid w:val="00FE4C6F"/>
    <w:rsid w:val="00FE4CA8"/>
    <w:rsid w:val="00FE4D1A"/>
    <w:rsid w:val="00FE4D49"/>
    <w:rsid w:val="00FE4DA0"/>
    <w:rsid w:val="00FE4DB7"/>
    <w:rsid w:val="00FE4E1E"/>
    <w:rsid w:val="00FE4F30"/>
    <w:rsid w:val="00FE4F48"/>
    <w:rsid w:val="00FE50E9"/>
    <w:rsid w:val="00FE5165"/>
    <w:rsid w:val="00FE5283"/>
    <w:rsid w:val="00FE52BF"/>
    <w:rsid w:val="00FE53C3"/>
    <w:rsid w:val="00FE5481"/>
    <w:rsid w:val="00FE55D3"/>
    <w:rsid w:val="00FE55EB"/>
    <w:rsid w:val="00FE5644"/>
    <w:rsid w:val="00FE56A2"/>
    <w:rsid w:val="00FE5864"/>
    <w:rsid w:val="00FE5952"/>
    <w:rsid w:val="00FE59E4"/>
    <w:rsid w:val="00FE5A5D"/>
    <w:rsid w:val="00FE5A6E"/>
    <w:rsid w:val="00FE5B02"/>
    <w:rsid w:val="00FE5BAC"/>
    <w:rsid w:val="00FE5DDE"/>
    <w:rsid w:val="00FE5DE0"/>
    <w:rsid w:val="00FE5E45"/>
    <w:rsid w:val="00FE5F69"/>
    <w:rsid w:val="00FE5FA6"/>
    <w:rsid w:val="00FE5FDE"/>
    <w:rsid w:val="00FE6075"/>
    <w:rsid w:val="00FE60C0"/>
    <w:rsid w:val="00FE616C"/>
    <w:rsid w:val="00FE61C3"/>
    <w:rsid w:val="00FE61C6"/>
    <w:rsid w:val="00FE61EB"/>
    <w:rsid w:val="00FE62FC"/>
    <w:rsid w:val="00FE635B"/>
    <w:rsid w:val="00FE649A"/>
    <w:rsid w:val="00FE6517"/>
    <w:rsid w:val="00FE6560"/>
    <w:rsid w:val="00FE6686"/>
    <w:rsid w:val="00FE6750"/>
    <w:rsid w:val="00FE6756"/>
    <w:rsid w:val="00FE679E"/>
    <w:rsid w:val="00FE67CA"/>
    <w:rsid w:val="00FE6A88"/>
    <w:rsid w:val="00FE6A94"/>
    <w:rsid w:val="00FE6ACF"/>
    <w:rsid w:val="00FE6B6B"/>
    <w:rsid w:val="00FE6C5D"/>
    <w:rsid w:val="00FE6EF4"/>
    <w:rsid w:val="00FE6F06"/>
    <w:rsid w:val="00FE703B"/>
    <w:rsid w:val="00FE706A"/>
    <w:rsid w:val="00FE70AF"/>
    <w:rsid w:val="00FE71A6"/>
    <w:rsid w:val="00FE720D"/>
    <w:rsid w:val="00FE7443"/>
    <w:rsid w:val="00FE75D2"/>
    <w:rsid w:val="00FE76D5"/>
    <w:rsid w:val="00FE775A"/>
    <w:rsid w:val="00FE779B"/>
    <w:rsid w:val="00FE77CB"/>
    <w:rsid w:val="00FE77E3"/>
    <w:rsid w:val="00FE77E9"/>
    <w:rsid w:val="00FE7837"/>
    <w:rsid w:val="00FE78F2"/>
    <w:rsid w:val="00FE7933"/>
    <w:rsid w:val="00FE79D8"/>
    <w:rsid w:val="00FE7A44"/>
    <w:rsid w:val="00FE7A48"/>
    <w:rsid w:val="00FE7C66"/>
    <w:rsid w:val="00FE7CF7"/>
    <w:rsid w:val="00FE7D8E"/>
    <w:rsid w:val="00FE7DA6"/>
    <w:rsid w:val="00FF0013"/>
    <w:rsid w:val="00FF00B5"/>
    <w:rsid w:val="00FF01DF"/>
    <w:rsid w:val="00FF01E6"/>
    <w:rsid w:val="00FF0323"/>
    <w:rsid w:val="00FF03A2"/>
    <w:rsid w:val="00FF0464"/>
    <w:rsid w:val="00FF054B"/>
    <w:rsid w:val="00FF054F"/>
    <w:rsid w:val="00FF07A8"/>
    <w:rsid w:val="00FF07BF"/>
    <w:rsid w:val="00FF085F"/>
    <w:rsid w:val="00FF08F3"/>
    <w:rsid w:val="00FF0950"/>
    <w:rsid w:val="00FF0A28"/>
    <w:rsid w:val="00FF0A94"/>
    <w:rsid w:val="00FF0ACA"/>
    <w:rsid w:val="00FF0AF9"/>
    <w:rsid w:val="00FF0BEF"/>
    <w:rsid w:val="00FF0C00"/>
    <w:rsid w:val="00FF0C1C"/>
    <w:rsid w:val="00FF0C94"/>
    <w:rsid w:val="00FF0CE0"/>
    <w:rsid w:val="00FF0CF0"/>
    <w:rsid w:val="00FF0E5B"/>
    <w:rsid w:val="00FF0ED2"/>
    <w:rsid w:val="00FF0F5A"/>
    <w:rsid w:val="00FF0FBD"/>
    <w:rsid w:val="00FF0FCB"/>
    <w:rsid w:val="00FF10D8"/>
    <w:rsid w:val="00FF10EF"/>
    <w:rsid w:val="00FF11AC"/>
    <w:rsid w:val="00FF121F"/>
    <w:rsid w:val="00FF134B"/>
    <w:rsid w:val="00FF1419"/>
    <w:rsid w:val="00FF1434"/>
    <w:rsid w:val="00FF1452"/>
    <w:rsid w:val="00FF1499"/>
    <w:rsid w:val="00FF1544"/>
    <w:rsid w:val="00FF1572"/>
    <w:rsid w:val="00FF1579"/>
    <w:rsid w:val="00FF15FE"/>
    <w:rsid w:val="00FF1661"/>
    <w:rsid w:val="00FF174D"/>
    <w:rsid w:val="00FF17C7"/>
    <w:rsid w:val="00FF17D1"/>
    <w:rsid w:val="00FF1ABA"/>
    <w:rsid w:val="00FF1C25"/>
    <w:rsid w:val="00FF1CC3"/>
    <w:rsid w:val="00FF1E82"/>
    <w:rsid w:val="00FF1F48"/>
    <w:rsid w:val="00FF1F4C"/>
    <w:rsid w:val="00FF1F78"/>
    <w:rsid w:val="00FF202F"/>
    <w:rsid w:val="00FF2031"/>
    <w:rsid w:val="00FF2096"/>
    <w:rsid w:val="00FF2100"/>
    <w:rsid w:val="00FF210C"/>
    <w:rsid w:val="00FF2147"/>
    <w:rsid w:val="00FF2176"/>
    <w:rsid w:val="00FF21C0"/>
    <w:rsid w:val="00FF2204"/>
    <w:rsid w:val="00FF22CE"/>
    <w:rsid w:val="00FF22D9"/>
    <w:rsid w:val="00FF247D"/>
    <w:rsid w:val="00FF2554"/>
    <w:rsid w:val="00FF2569"/>
    <w:rsid w:val="00FF25FA"/>
    <w:rsid w:val="00FF2601"/>
    <w:rsid w:val="00FF27A2"/>
    <w:rsid w:val="00FF2886"/>
    <w:rsid w:val="00FF290E"/>
    <w:rsid w:val="00FF2956"/>
    <w:rsid w:val="00FF2A3F"/>
    <w:rsid w:val="00FF2A91"/>
    <w:rsid w:val="00FF2AD1"/>
    <w:rsid w:val="00FF2B22"/>
    <w:rsid w:val="00FF2D5E"/>
    <w:rsid w:val="00FF2E71"/>
    <w:rsid w:val="00FF2EAC"/>
    <w:rsid w:val="00FF2EB0"/>
    <w:rsid w:val="00FF2FCD"/>
    <w:rsid w:val="00FF2FFF"/>
    <w:rsid w:val="00FF30F3"/>
    <w:rsid w:val="00FF3330"/>
    <w:rsid w:val="00FF34CE"/>
    <w:rsid w:val="00FF350A"/>
    <w:rsid w:val="00FF363B"/>
    <w:rsid w:val="00FF3676"/>
    <w:rsid w:val="00FF3B97"/>
    <w:rsid w:val="00FF3BDC"/>
    <w:rsid w:val="00FF3C0C"/>
    <w:rsid w:val="00FF3C0E"/>
    <w:rsid w:val="00FF3D31"/>
    <w:rsid w:val="00FF3D5E"/>
    <w:rsid w:val="00FF3DD3"/>
    <w:rsid w:val="00FF3E5A"/>
    <w:rsid w:val="00FF3EAE"/>
    <w:rsid w:val="00FF40A5"/>
    <w:rsid w:val="00FF4158"/>
    <w:rsid w:val="00FF419B"/>
    <w:rsid w:val="00FF426F"/>
    <w:rsid w:val="00FF42B7"/>
    <w:rsid w:val="00FF42D1"/>
    <w:rsid w:val="00FF4378"/>
    <w:rsid w:val="00FF4457"/>
    <w:rsid w:val="00FF449B"/>
    <w:rsid w:val="00FF4579"/>
    <w:rsid w:val="00FF458B"/>
    <w:rsid w:val="00FF471E"/>
    <w:rsid w:val="00FF473B"/>
    <w:rsid w:val="00FF4771"/>
    <w:rsid w:val="00FF477B"/>
    <w:rsid w:val="00FF47A0"/>
    <w:rsid w:val="00FF4838"/>
    <w:rsid w:val="00FF4997"/>
    <w:rsid w:val="00FF49BA"/>
    <w:rsid w:val="00FF4A2D"/>
    <w:rsid w:val="00FF4A3C"/>
    <w:rsid w:val="00FF4B03"/>
    <w:rsid w:val="00FF4B09"/>
    <w:rsid w:val="00FF4B2C"/>
    <w:rsid w:val="00FF4BBD"/>
    <w:rsid w:val="00FF4C9E"/>
    <w:rsid w:val="00FF4CC7"/>
    <w:rsid w:val="00FF4CE4"/>
    <w:rsid w:val="00FF4DE3"/>
    <w:rsid w:val="00FF4F02"/>
    <w:rsid w:val="00FF501A"/>
    <w:rsid w:val="00FF5050"/>
    <w:rsid w:val="00FF5112"/>
    <w:rsid w:val="00FF51B8"/>
    <w:rsid w:val="00FF528E"/>
    <w:rsid w:val="00FF533B"/>
    <w:rsid w:val="00FF5445"/>
    <w:rsid w:val="00FF55BF"/>
    <w:rsid w:val="00FF55F6"/>
    <w:rsid w:val="00FF581D"/>
    <w:rsid w:val="00FF5846"/>
    <w:rsid w:val="00FF5874"/>
    <w:rsid w:val="00FF58F6"/>
    <w:rsid w:val="00FF59C1"/>
    <w:rsid w:val="00FF5A19"/>
    <w:rsid w:val="00FF5C19"/>
    <w:rsid w:val="00FF5CBB"/>
    <w:rsid w:val="00FF5D69"/>
    <w:rsid w:val="00FF5D8C"/>
    <w:rsid w:val="00FF5E59"/>
    <w:rsid w:val="00FF5F91"/>
    <w:rsid w:val="00FF6037"/>
    <w:rsid w:val="00FF6164"/>
    <w:rsid w:val="00FF621B"/>
    <w:rsid w:val="00FF624D"/>
    <w:rsid w:val="00FF6319"/>
    <w:rsid w:val="00FF635D"/>
    <w:rsid w:val="00FF640E"/>
    <w:rsid w:val="00FF6489"/>
    <w:rsid w:val="00FF64FE"/>
    <w:rsid w:val="00FF660E"/>
    <w:rsid w:val="00FF6627"/>
    <w:rsid w:val="00FF6701"/>
    <w:rsid w:val="00FF672A"/>
    <w:rsid w:val="00FF673B"/>
    <w:rsid w:val="00FF6760"/>
    <w:rsid w:val="00FF6787"/>
    <w:rsid w:val="00FF69D5"/>
    <w:rsid w:val="00FF6A30"/>
    <w:rsid w:val="00FF6A6F"/>
    <w:rsid w:val="00FF6B66"/>
    <w:rsid w:val="00FF6BF6"/>
    <w:rsid w:val="00FF6C93"/>
    <w:rsid w:val="00FF6DF0"/>
    <w:rsid w:val="00FF6E6A"/>
    <w:rsid w:val="00FF6E8B"/>
    <w:rsid w:val="00FF6EA0"/>
    <w:rsid w:val="00FF6EAF"/>
    <w:rsid w:val="00FF6F5B"/>
    <w:rsid w:val="00FF6F8D"/>
    <w:rsid w:val="00FF701C"/>
    <w:rsid w:val="00FF702E"/>
    <w:rsid w:val="00FF70A8"/>
    <w:rsid w:val="00FF7110"/>
    <w:rsid w:val="00FF7153"/>
    <w:rsid w:val="00FF716C"/>
    <w:rsid w:val="00FF7182"/>
    <w:rsid w:val="00FF71DD"/>
    <w:rsid w:val="00FF7358"/>
    <w:rsid w:val="00FF73E1"/>
    <w:rsid w:val="00FF75C8"/>
    <w:rsid w:val="00FF76A5"/>
    <w:rsid w:val="00FF76C4"/>
    <w:rsid w:val="00FF76E4"/>
    <w:rsid w:val="00FF78F7"/>
    <w:rsid w:val="00FF7905"/>
    <w:rsid w:val="00FF7A05"/>
    <w:rsid w:val="00FF7C4C"/>
    <w:rsid w:val="00FF7C59"/>
    <w:rsid w:val="00FF7D36"/>
    <w:rsid w:val="00FF7DBF"/>
    <w:rsid w:val="00FF7DC4"/>
    <w:rsid w:val="00FF7E5A"/>
    <w:rsid w:val="011102AC"/>
    <w:rsid w:val="0113DAE3"/>
    <w:rsid w:val="012EBD6B"/>
    <w:rsid w:val="013A4BF2"/>
    <w:rsid w:val="013EC952"/>
    <w:rsid w:val="01456F1C"/>
    <w:rsid w:val="01478026"/>
    <w:rsid w:val="01577D34"/>
    <w:rsid w:val="015EEFCD"/>
    <w:rsid w:val="017F14E9"/>
    <w:rsid w:val="01936781"/>
    <w:rsid w:val="0198EAE1"/>
    <w:rsid w:val="01A04F8F"/>
    <w:rsid w:val="01C8E944"/>
    <w:rsid w:val="01D43B23"/>
    <w:rsid w:val="01D93572"/>
    <w:rsid w:val="01DFBDBB"/>
    <w:rsid w:val="01E30EA7"/>
    <w:rsid w:val="01E93F38"/>
    <w:rsid w:val="01EBAA39"/>
    <w:rsid w:val="01F8DFE5"/>
    <w:rsid w:val="020C5BCB"/>
    <w:rsid w:val="022030E7"/>
    <w:rsid w:val="022872BC"/>
    <w:rsid w:val="022C0B9E"/>
    <w:rsid w:val="022EA7FA"/>
    <w:rsid w:val="022FF0B9"/>
    <w:rsid w:val="0235FFB3"/>
    <w:rsid w:val="023656E8"/>
    <w:rsid w:val="023E1091"/>
    <w:rsid w:val="02480B2C"/>
    <w:rsid w:val="0255EEB9"/>
    <w:rsid w:val="02568477"/>
    <w:rsid w:val="025B0131"/>
    <w:rsid w:val="025D66B4"/>
    <w:rsid w:val="028F49D0"/>
    <w:rsid w:val="0296576E"/>
    <w:rsid w:val="02A2BD59"/>
    <w:rsid w:val="02A871FB"/>
    <w:rsid w:val="02AA8B2E"/>
    <w:rsid w:val="02ADCFCB"/>
    <w:rsid w:val="02C6C4CC"/>
    <w:rsid w:val="02CB6D45"/>
    <w:rsid w:val="02CC2447"/>
    <w:rsid w:val="02CE710F"/>
    <w:rsid w:val="02CE7E05"/>
    <w:rsid w:val="02E88382"/>
    <w:rsid w:val="030696B3"/>
    <w:rsid w:val="03082E6E"/>
    <w:rsid w:val="030DECA4"/>
    <w:rsid w:val="0310F815"/>
    <w:rsid w:val="033086AD"/>
    <w:rsid w:val="033E2446"/>
    <w:rsid w:val="0345464E"/>
    <w:rsid w:val="035379E9"/>
    <w:rsid w:val="035B4141"/>
    <w:rsid w:val="03606EDC"/>
    <w:rsid w:val="036CAB39"/>
    <w:rsid w:val="0379D9F0"/>
    <w:rsid w:val="037DE610"/>
    <w:rsid w:val="03806441"/>
    <w:rsid w:val="038BB751"/>
    <w:rsid w:val="03932B3E"/>
    <w:rsid w:val="03989C0A"/>
    <w:rsid w:val="03A721C5"/>
    <w:rsid w:val="03BD54CA"/>
    <w:rsid w:val="03C286A0"/>
    <w:rsid w:val="03C4D3F4"/>
    <w:rsid w:val="03C84C46"/>
    <w:rsid w:val="03C8D6E5"/>
    <w:rsid w:val="03E55A61"/>
    <w:rsid w:val="03ED7950"/>
    <w:rsid w:val="04008C28"/>
    <w:rsid w:val="0400E031"/>
    <w:rsid w:val="0410F67E"/>
    <w:rsid w:val="04119AA9"/>
    <w:rsid w:val="0421CBE5"/>
    <w:rsid w:val="04242817"/>
    <w:rsid w:val="043EAB72"/>
    <w:rsid w:val="04452A3C"/>
    <w:rsid w:val="0447455D"/>
    <w:rsid w:val="0447A4DB"/>
    <w:rsid w:val="047EF7FC"/>
    <w:rsid w:val="048758CF"/>
    <w:rsid w:val="04897AE7"/>
    <w:rsid w:val="0491C842"/>
    <w:rsid w:val="0499EC70"/>
    <w:rsid w:val="04B59E07"/>
    <w:rsid w:val="04BCEB02"/>
    <w:rsid w:val="04C1FC35"/>
    <w:rsid w:val="04C98D19"/>
    <w:rsid w:val="04D4A500"/>
    <w:rsid w:val="04E9D2DA"/>
    <w:rsid w:val="050A2067"/>
    <w:rsid w:val="05357F68"/>
    <w:rsid w:val="0539871E"/>
    <w:rsid w:val="0541E7A9"/>
    <w:rsid w:val="055AEEBA"/>
    <w:rsid w:val="056869E1"/>
    <w:rsid w:val="056A3F9B"/>
    <w:rsid w:val="056FCB11"/>
    <w:rsid w:val="0575C067"/>
    <w:rsid w:val="059107B7"/>
    <w:rsid w:val="059BE4C8"/>
    <w:rsid w:val="05ABF6EC"/>
    <w:rsid w:val="05CA4F29"/>
    <w:rsid w:val="05E8197F"/>
    <w:rsid w:val="05F517E8"/>
    <w:rsid w:val="05F64839"/>
    <w:rsid w:val="05F719DA"/>
    <w:rsid w:val="05FAD9E8"/>
    <w:rsid w:val="06088782"/>
    <w:rsid w:val="061A8CA2"/>
    <w:rsid w:val="061EE27D"/>
    <w:rsid w:val="06342ED6"/>
    <w:rsid w:val="066AAD75"/>
    <w:rsid w:val="0682204F"/>
    <w:rsid w:val="06A24F71"/>
    <w:rsid w:val="06A79E17"/>
    <w:rsid w:val="06B45C51"/>
    <w:rsid w:val="06BDC698"/>
    <w:rsid w:val="06BE3E56"/>
    <w:rsid w:val="06E101EA"/>
    <w:rsid w:val="06E7FD30"/>
    <w:rsid w:val="06EF3461"/>
    <w:rsid w:val="06F40ECC"/>
    <w:rsid w:val="06F551B1"/>
    <w:rsid w:val="06F68B68"/>
    <w:rsid w:val="06F97A02"/>
    <w:rsid w:val="071F0EF8"/>
    <w:rsid w:val="0721F2E4"/>
    <w:rsid w:val="0722221E"/>
    <w:rsid w:val="072CB8BF"/>
    <w:rsid w:val="074910FD"/>
    <w:rsid w:val="0755988E"/>
    <w:rsid w:val="0764B1E6"/>
    <w:rsid w:val="076781DE"/>
    <w:rsid w:val="07765132"/>
    <w:rsid w:val="07786CAB"/>
    <w:rsid w:val="0779775B"/>
    <w:rsid w:val="079B8746"/>
    <w:rsid w:val="079EB9A9"/>
    <w:rsid w:val="07A5FAE7"/>
    <w:rsid w:val="07C02911"/>
    <w:rsid w:val="07C66C12"/>
    <w:rsid w:val="07D4B760"/>
    <w:rsid w:val="07D4C2D5"/>
    <w:rsid w:val="07DAF6EE"/>
    <w:rsid w:val="07EA97C7"/>
    <w:rsid w:val="07ED4049"/>
    <w:rsid w:val="07EDACEC"/>
    <w:rsid w:val="07FB79C1"/>
    <w:rsid w:val="07FB8DC4"/>
    <w:rsid w:val="07FC7157"/>
    <w:rsid w:val="08076D6E"/>
    <w:rsid w:val="080AD90D"/>
    <w:rsid w:val="083177E0"/>
    <w:rsid w:val="08377307"/>
    <w:rsid w:val="083EDC10"/>
    <w:rsid w:val="085960A7"/>
    <w:rsid w:val="085CE7F2"/>
    <w:rsid w:val="08606757"/>
    <w:rsid w:val="087B7CCF"/>
    <w:rsid w:val="0881024E"/>
    <w:rsid w:val="088FBE3B"/>
    <w:rsid w:val="08A2656B"/>
    <w:rsid w:val="08A527C8"/>
    <w:rsid w:val="08A7E7AF"/>
    <w:rsid w:val="08AB8B54"/>
    <w:rsid w:val="08B9D9CA"/>
    <w:rsid w:val="08C42435"/>
    <w:rsid w:val="08D3C379"/>
    <w:rsid w:val="08D9BFC2"/>
    <w:rsid w:val="09169EC6"/>
    <w:rsid w:val="092A6C61"/>
    <w:rsid w:val="09317D23"/>
    <w:rsid w:val="093459AF"/>
    <w:rsid w:val="093EAAD8"/>
    <w:rsid w:val="094C7F59"/>
    <w:rsid w:val="094F7575"/>
    <w:rsid w:val="09504CA9"/>
    <w:rsid w:val="097936C3"/>
    <w:rsid w:val="098326F5"/>
    <w:rsid w:val="098E2829"/>
    <w:rsid w:val="099D3446"/>
    <w:rsid w:val="099DED81"/>
    <w:rsid w:val="09A7F95E"/>
    <w:rsid w:val="09AA6E34"/>
    <w:rsid w:val="09B46315"/>
    <w:rsid w:val="09B876CE"/>
    <w:rsid w:val="09C88787"/>
    <w:rsid w:val="09C9B04C"/>
    <w:rsid w:val="09DAC514"/>
    <w:rsid w:val="09DB027D"/>
    <w:rsid w:val="09F6A4D7"/>
    <w:rsid w:val="09F6E954"/>
    <w:rsid w:val="09FE7942"/>
    <w:rsid w:val="09FFFD49"/>
    <w:rsid w:val="0A0386F7"/>
    <w:rsid w:val="0A11FFE5"/>
    <w:rsid w:val="0A12FCA4"/>
    <w:rsid w:val="0A16C9FA"/>
    <w:rsid w:val="0A2272F7"/>
    <w:rsid w:val="0A2518D8"/>
    <w:rsid w:val="0A264431"/>
    <w:rsid w:val="0A31011D"/>
    <w:rsid w:val="0A372890"/>
    <w:rsid w:val="0A42E310"/>
    <w:rsid w:val="0A438FDB"/>
    <w:rsid w:val="0A4D98FE"/>
    <w:rsid w:val="0A542B68"/>
    <w:rsid w:val="0A547B3B"/>
    <w:rsid w:val="0A660167"/>
    <w:rsid w:val="0A6A4807"/>
    <w:rsid w:val="0A6D1F1C"/>
    <w:rsid w:val="0A6E28A6"/>
    <w:rsid w:val="0A76781D"/>
    <w:rsid w:val="0A788AAE"/>
    <w:rsid w:val="0A954CA9"/>
    <w:rsid w:val="0AA90390"/>
    <w:rsid w:val="0AB7F9F8"/>
    <w:rsid w:val="0AB8933B"/>
    <w:rsid w:val="0AC48A99"/>
    <w:rsid w:val="0AC667B0"/>
    <w:rsid w:val="0B08C262"/>
    <w:rsid w:val="0B0A3E7B"/>
    <w:rsid w:val="0B12176A"/>
    <w:rsid w:val="0B13847B"/>
    <w:rsid w:val="0B20581C"/>
    <w:rsid w:val="0B238F16"/>
    <w:rsid w:val="0B27EB93"/>
    <w:rsid w:val="0B3644BE"/>
    <w:rsid w:val="0B4071AE"/>
    <w:rsid w:val="0B4A887F"/>
    <w:rsid w:val="0B504ED7"/>
    <w:rsid w:val="0B591BCF"/>
    <w:rsid w:val="0B5D49B4"/>
    <w:rsid w:val="0B65EE7F"/>
    <w:rsid w:val="0B8B96EE"/>
    <w:rsid w:val="0B8F3305"/>
    <w:rsid w:val="0B945225"/>
    <w:rsid w:val="0B94B575"/>
    <w:rsid w:val="0B97EDFE"/>
    <w:rsid w:val="0BA0EDC4"/>
    <w:rsid w:val="0BA3AD69"/>
    <w:rsid w:val="0BAA4DF6"/>
    <w:rsid w:val="0BAF3CEC"/>
    <w:rsid w:val="0BBE4DF0"/>
    <w:rsid w:val="0BC600BF"/>
    <w:rsid w:val="0BD7A948"/>
    <w:rsid w:val="0BDEE344"/>
    <w:rsid w:val="0BDF9983"/>
    <w:rsid w:val="0BF8A69D"/>
    <w:rsid w:val="0BFA7484"/>
    <w:rsid w:val="0C08971C"/>
    <w:rsid w:val="0C08ADE2"/>
    <w:rsid w:val="0C09CFF1"/>
    <w:rsid w:val="0C1265BC"/>
    <w:rsid w:val="0C271C4E"/>
    <w:rsid w:val="0C31114D"/>
    <w:rsid w:val="0C32EA5E"/>
    <w:rsid w:val="0C3401D0"/>
    <w:rsid w:val="0C45ED5B"/>
    <w:rsid w:val="0C644C0F"/>
    <w:rsid w:val="0C64EF96"/>
    <w:rsid w:val="0C656AD2"/>
    <w:rsid w:val="0C797D5A"/>
    <w:rsid w:val="0C830A21"/>
    <w:rsid w:val="0C943A17"/>
    <w:rsid w:val="0C9D87A0"/>
    <w:rsid w:val="0CAA00F4"/>
    <w:rsid w:val="0CADFBBD"/>
    <w:rsid w:val="0CAF4810"/>
    <w:rsid w:val="0CB371A9"/>
    <w:rsid w:val="0CBC6B3E"/>
    <w:rsid w:val="0CDF03CD"/>
    <w:rsid w:val="0CDFB6D9"/>
    <w:rsid w:val="0CEB6B13"/>
    <w:rsid w:val="0D0499A5"/>
    <w:rsid w:val="0D051059"/>
    <w:rsid w:val="0D2A8E7D"/>
    <w:rsid w:val="0D2CF5A3"/>
    <w:rsid w:val="0D33AC41"/>
    <w:rsid w:val="0D4528AE"/>
    <w:rsid w:val="0D5916EF"/>
    <w:rsid w:val="0D59C917"/>
    <w:rsid w:val="0D5FBF1B"/>
    <w:rsid w:val="0D8B9C1C"/>
    <w:rsid w:val="0D94662E"/>
    <w:rsid w:val="0D951191"/>
    <w:rsid w:val="0D9D7D49"/>
    <w:rsid w:val="0DA0492C"/>
    <w:rsid w:val="0DAA85B5"/>
    <w:rsid w:val="0DAEF714"/>
    <w:rsid w:val="0DB7E38E"/>
    <w:rsid w:val="0DB8A244"/>
    <w:rsid w:val="0DB8CBDC"/>
    <w:rsid w:val="0DBC9CA5"/>
    <w:rsid w:val="0DC6290D"/>
    <w:rsid w:val="0DCC6C1E"/>
    <w:rsid w:val="0DD5A251"/>
    <w:rsid w:val="0DEAEED2"/>
    <w:rsid w:val="0DF1D35D"/>
    <w:rsid w:val="0E096D8A"/>
    <w:rsid w:val="0E0A4E82"/>
    <w:rsid w:val="0E0CCD06"/>
    <w:rsid w:val="0E107DCC"/>
    <w:rsid w:val="0E2E0348"/>
    <w:rsid w:val="0E59BB64"/>
    <w:rsid w:val="0E5DDD14"/>
    <w:rsid w:val="0E6A3CD5"/>
    <w:rsid w:val="0E6A4156"/>
    <w:rsid w:val="0E7FF4A0"/>
    <w:rsid w:val="0E984985"/>
    <w:rsid w:val="0EA0298F"/>
    <w:rsid w:val="0EA4674B"/>
    <w:rsid w:val="0EA8D6B8"/>
    <w:rsid w:val="0EB09DB4"/>
    <w:rsid w:val="0EB82693"/>
    <w:rsid w:val="0ED8297F"/>
    <w:rsid w:val="0EF539EC"/>
    <w:rsid w:val="0EFBA65F"/>
    <w:rsid w:val="0F06C4BC"/>
    <w:rsid w:val="0F0E1B26"/>
    <w:rsid w:val="0F1D392A"/>
    <w:rsid w:val="0F27B28C"/>
    <w:rsid w:val="0F2995C4"/>
    <w:rsid w:val="0F2AA44D"/>
    <w:rsid w:val="0F343170"/>
    <w:rsid w:val="0F369458"/>
    <w:rsid w:val="0F372539"/>
    <w:rsid w:val="0F42A056"/>
    <w:rsid w:val="0F4BACC9"/>
    <w:rsid w:val="0F54232E"/>
    <w:rsid w:val="0F5A99ED"/>
    <w:rsid w:val="0F66E704"/>
    <w:rsid w:val="0F7879A7"/>
    <w:rsid w:val="0F85069E"/>
    <w:rsid w:val="0F95F815"/>
    <w:rsid w:val="0F9BD20C"/>
    <w:rsid w:val="0FA0AD94"/>
    <w:rsid w:val="0FBCBEBB"/>
    <w:rsid w:val="0FDF2735"/>
    <w:rsid w:val="0FE4D37C"/>
    <w:rsid w:val="0FF71CEE"/>
    <w:rsid w:val="101CAF4C"/>
    <w:rsid w:val="102A3778"/>
    <w:rsid w:val="10350D1B"/>
    <w:rsid w:val="10376764"/>
    <w:rsid w:val="10411D53"/>
    <w:rsid w:val="105712A7"/>
    <w:rsid w:val="10672372"/>
    <w:rsid w:val="10756145"/>
    <w:rsid w:val="10840642"/>
    <w:rsid w:val="108FBB72"/>
    <w:rsid w:val="109F740D"/>
    <w:rsid w:val="10AEDC38"/>
    <w:rsid w:val="10B1822A"/>
    <w:rsid w:val="10C71F92"/>
    <w:rsid w:val="10CA4FF5"/>
    <w:rsid w:val="10D0AF69"/>
    <w:rsid w:val="10E239F5"/>
    <w:rsid w:val="10E4EFF5"/>
    <w:rsid w:val="10E683EF"/>
    <w:rsid w:val="10F572A8"/>
    <w:rsid w:val="10F817C0"/>
    <w:rsid w:val="11136657"/>
    <w:rsid w:val="111E457D"/>
    <w:rsid w:val="113618BA"/>
    <w:rsid w:val="1137AD05"/>
    <w:rsid w:val="113E54CE"/>
    <w:rsid w:val="115955CE"/>
    <w:rsid w:val="116233F1"/>
    <w:rsid w:val="1173BAB5"/>
    <w:rsid w:val="1175D666"/>
    <w:rsid w:val="1196E5E7"/>
    <w:rsid w:val="11A2E044"/>
    <w:rsid w:val="11B0E626"/>
    <w:rsid w:val="11B36CDE"/>
    <w:rsid w:val="11C810EA"/>
    <w:rsid w:val="11E43972"/>
    <w:rsid w:val="11EE67C7"/>
    <w:rsid w:val="11FFDE43"/>
    <w:rsid w:val="12092188"/>
    <w:rsid w:val="1213809A"/>
    <w:rsid w:val="121396F9"/>
    <w:rsid w:val="1238667C"/>
    <w:rsid w:val="124888D1"/>
    <w:rsid w:val="124C3109"/>
    <w:rsid w:val="1274C1A8"/>
    <w:rsid w:val="128359F7"/>
    <w:rsid w:val="128DD8D4"/>
    <w:rsid w:val="12A5CF54"/>
    <w:rsid w:val="12A70EA9"/>
    <w:rsid w:val="12C9F07B"/>
    <w:rsid w:val="12CFBEEF"/>
    <w:rsid w:val="12D62961"/>
    <w:rsid w:val="12DFED15"/>
    <w:rsid w:val="12E4ADA5"/>
    <w:rsid w:val="12E98A43"/>
    <w:rsid w:val="12EA848B"/>
    <w:rsid w:val="12EAFBAD"/>
    <w:rsid w:val="12EB4E9A"/>
    <w:rsid w:val="12F71AF3"/>
    <w:rsid w:val="13065FDA"/>
    <w:rsid w:val="13066940"/>
    <w:rsid w:val="130B60A5"/>
    <w:rsid w:val="131BFD8E"/>
    <w:rsid w:val="13234A92"/>
    <w:rsid w:val="132C0553"/>
    <w:rsid w:val="13361017"/>
    <w:rsid w:val="1339B217"/>
    <w:rsid w:val="134A170B"/>
    <w:rsid w:val="134B3353"/>
    <w:rsid w:val="1356894A"/>
    <w:rsid w:val="135E84D2"/>
    <w:rsid w:val="1360FAF3"/>
    <w:rsid w:val="1367E4E9"/>
    <w:rsid w:val="137FAC88"/>
    <w:rsid w:val="138693F5"/>
    <w:rsid w:val="1386A362"/>
    <w:rsid w:val="138D48A3"/>
    <w:rsid w:val="1393433E"/>
    <w:rsid w:val="139EF209"/>
    <w:rsid w:val="13A29409"/>
    <w:rsid w:val="13AB8400"/>
    <w:rsid w:val="13AC31F6"/>
    <w:rsid w:val="13C0D13A"/>
    <w:rsid w:val="13CC9296"/>
    <w:rsid w:val="13CE3CB1"/>
    <w:rsid w:val="13D4D0A3"/>
    <w:rsid w:val="13D5A27E"/>
    <w:rsid w:val="13E42502"/>
    <w:rsid w:val="13E4B71B"/>
    <w:rsid w:val="13EDF7D9"/>
    <w:rsid w:val="13F20C0E"/>
    <w:rsid w:val="1402D9C0"/>
    <w:rsid w:val="1408BAE6"/>
    <w:rsid w:val="140D8D76"/>
    <w:rsid w:val="14132B8E"/>
    <w:rsid w:val="1416A0AA"/>
    <w:rsid w:val="141DA020"/>
    <w:rsid w:val="14254770"/>
    <w:rsid w:val="1428159E"/>
    <w:rsid w:val="142F6F86"/>
    <w:rsid w:val="143EEBAE"/>
    <w:rsid w:val="14533933"/>
    <w:rsid w:val="145F9157"/>
    <w:rsid w:val="146144B6"/>
    <w:rsid w:val="1472021F"/>
    <w:rsid w:val="147B9B08"/>
    <w:rsid w:val="14851FFF"/>
    <w:rsid w:val="1499D6FB"/>
    <w:rsid w:val="149FD482"/>
    <w:rsid w:val="14B05814"/>
    <w:rsid w:val="14C0875F"/>
    <w:rsid w:val="14C3B4E0"/>
    <w:rsid w:val="14C8B01F"/>
    <w:rsid w:val="14CA3AD8"/>
    <w:rsid w:val="14D0BF59"/>
    <w:rsid w:val="14D346CD"/>
    <w:rsid w:val="14DA6A13"/>
    <w:rsid w:val="14EA84F1"/>
    <w:rsid w:val="150B9C5E"/>
    <w:rsid w:val="151D32EB"/>
    <w:rsid w:val="151DDC62"/>
    <w:rsid w:val="151E9B18"/>
    <w:rsid w:val="153AA5C4"/>
    <w:rsid w:val="154D0497"/>
    <w:rsid w:val="1551D9BD"/>
    <w:rsid w:val="1566AFA7"/>
    <w:rsid w:val="15695BBB"/>
    <w:rsid w:val="15745629"/>
    <w:rsid w:val="157A7689"/>
    <w:rsid w:val="1582277D"/>
    <w:rsid w:val="1582A644"/>
    <w:rsid w:val="15A4CA7A"/>
    <w:rsid w:val="15A53E64"/>
    <w:rsid w:val="15B16768"/>
    <w:rsid w:val="15B1BD7F"/>
    <w:rsid w:val="15C336B6"/>
    <w:rsid w:val="15C70252"/>
    <w:rsid w:val="15D3E0C1"/>
    <w:rsid w:val="15E539A4"/>
    <w:rsid w:val="15E56EFB"/>
    <w:rsid w:val="15F06967"/>
    <w:rsid w:val="15F277B7"/>
    <w:rsid w:val="1614CDB6"/>
    <w:rsid w:val="162BD901"/>
    <w:rsid w:val="162C7079"/>
    <w:rsid w:val="16323620"/>
    <w:rsid w:val="16419134"/>
    <w:rsid w:val="1653CA43"/>
    <w:rsid w:val="166936DD"/>
    <w:rsid w:val="1688B468"/>
    <w:rsid w:val="168F1DF1"/>
    <w:rsid w:val="168F38AB"/>
    <w:rsid w:val="169BEA93"/>
    <w:rsid w:val="16B41D47"/>
    <w:rsid w:val="16B70226"/>
    <w:rsid w:val="16B94C6E"/>
    <w:rsid w:val="16CD628D"/>
    <w:rsid w:val="16DDCAC8"/>
    <w:rsid w:val="16E0DDFF"/>
    <w:rsid w:val="16ECDFD5"/>
    <w:rsid w:val="16EFC160"/>
    <w:rsid w:val="16F94F63"/>
    <w:rsid w:val="1701BF0A"/>
    <w:rsid w:val="17045D70"/>
    <w:rsid w:val="1709EE4B"/>
    <w:rsid w:val="170DDAB8"/>
    <w:rsid w:val="170E0D93"/>
    <w:rsid w:val="170E7230"/>
    <w:rsid w:val="1718A7D8"/>
    <w:rsid w:val="171DB690"/>
    <w:rsid w:val="172841A4"/>
    <w:rsid w:val="172DB242"/>
    <w:rsid w:val="173D83F4"/>
    <w:rsid w:val="173FF792"/>
    <w:rsid w:val="1745434A"/>
    <w:rsid w:val="1762E921"/>
    <w:rsid w:val="1772985D"/>
    <w:rsid w:val="1774C9E2"/>
    <w:rsid w:val="1780DFB4"/>
    <w:rsid w:val="178D62F7"/>
    <w:rsid w:val="17930958"/>
    <w:rsid w:val="1796CCA1"/>
    <w:rsid w:val="17A3B741"/>
    <w:rsid w:val="17B1581C"/>
    <w:rsid w:val="17B45F80"/>
    <w:rsid w:val="17D7B3F7"/>
    <w:rsid w:val="17D95421"/>
    <w:rsid w:val="17DDEADE"/>
    <w:rsid w:val="17E46A13"/>
    <w:rsid w:val="17ECA192"/>
    <w:rsid w:val="18108399"/>
    <w:rsid w:val="18128A06"/>
    <w:rsid w:val="18165480"/>
    <w:rsid w:val="1824C0FC"/>
    <w:rsid w:val="182FD4B5"/>
    <w:rsid w:val="183D83B7"/>
    <w:rsid w:val="1861D9D2"/>
    <w:rsid w:val="18697B4B"/>
    <w:rsid w:val="1881F29B"/>
    <w:rsid w:val="188AA2AA"/>
    <w:rsid w:val="189B3408"/>
    <w:rsid w:val="189E09FD"/>
    <w:rsid w:val="18AB8F58"/>
    <w:rsid w:val="18B13DB4"/>
    <w:rsid w:val="18B2BAA2"/>
    <w:rsid w:val="18C3E9FD"/>
    <w:rsid w:val="18CA7CE4"/>
    <w:rsid w:val="18CC9226"/>
    <w:rsid w:val="18ED8ACE"/>
    <w:rsid w:val="19099B65"/>
    <w:rsid w:val="1909DCF5"/>
    <w:rsid w:val="190AA233"/>
    <w:rsid w:val="19150229"/>
    <w:rsid w:val="191BE90A"/>
    <w:rsid w:val="19256729"/>
    <w:rsid w:val="1928893F"/>
    <w:rsid w:val="193DCDE5"/>
    <w:rsid w:val="196C9F3E"/>
    <w:rsid w:val="1987806C"/>
    <w:rsid w:val="198AA685"/>
    <w:rsid w:val="198F4DC6"/>
    <w:rsid w:val="1991D903"/>
    <w:rsid w:val="199F3F0C"/>
    <w:rsid w:val="19A4B7B4"/>
    <w:rsid w:val="19B48FBA"/>
    <w:rsid w:val="19C58711"/>
    <w:rsid w:val="19E31BCB"/>
    <w:rsid w:val="19E6D275"/>
    <w:rsid w:val="19F2803E"/>
    <w:rsid w:val="19FD40B7"/>
    <w:rsid w:val="1A10048D"/>
    <w:rsid w:val="1A21725F"/>
    <w:rsid w:val="1A24C1C6"/>
    <w:rsid w:val="1A2C3772"/>
    <w:rsid w:val="1A491D76"/>
    <w:rsid w:val="1A4A6AA4"/>
    <w:rsid w:val="1A4C3A10"/>
    <w:rsid w:val="1A4EE3CB"/>
    <w:rsid w:val="1A4F3478"/>
    <w:rsid w:val="1A562323"/>
    <w:rsid w:val="1A6A8C71"/>
    <w:rsid w:val="1A7B06E7"/>
    <w:rsid w:val="1A7F73E0"/>
    <w:rsid w:val="1A85AD0A"/>
    <w:rsid w:val="1A878FA6"/>
    <w:rsid w:val="1A9C0D05"/>
    <w:rsid w:val="1AA73CC6"/>
    <w:rsid w:val="1ABDD472"/>
    <w:rsid w:val="1AC75A61"/>
    <w:rsid w:val="1ACD25BB"/>
    <w:rsid w:val="1AD7212B"/>
    <w:rsid w:val="1ADB84ED"/>
    <w:rsid w:val="1AE2A4E3"/>
    <w:rsid w:val="1AE36BBF"/>
    <w:rsid w:val="1AE46D6D"/>
    <w:rsid w:val="1AF2A274"/>
    <w:rsid w:val="1AF3F902"/>
    <w:rsid w:val="1AF45B8B"/>
    <w:rsid w:val="1AF6A6D4"/>
    <w:rsid w:val="1AFB9879"/>
    <w:rsid w:val="1B062465"/>
    <w:rsid w:val="1B06A0E5"/>
    <w:rsid w:val="1B0B98E8"/>
    <w:rsid w:val="1B0BE394"/>
    <w:rsid w:val="1B21136D"/>
    <w:rsid w:val="1B227A35"/>
    <w:rsid w:val="1B40C651"/>
    <w:rsid w:val="1B44A994"/>
    <w:rsid w:val="1B4CE1BC"/>
    <w:rsid w:val="1B4E744B"/>
    <w:rsid w:val="1B56BFC7"/>
    <w:rsid w:val="1B68A467"/>
    <w:rsid w:val="1B73826B"/>
    <w:rsid w:val="1B89609E"/>
    <w:rsid w:val="1B89C14B"/>
    <w:rsid w:val="1B9C4AF1"/>
    <w:rsid w:val="1BA09567"/>
    <w:rsid w:val="1BB282BE"/>
    <w:rsid w:val="1BB8C53A"/>
    <w:rsid w:val="1BBA2E88"/>
    <w:rsid w:val="1BBF1296"/>
    <w:rsid w:val="1BC88920"/>
    <w:rsid w:val="1BCB9EB2"/>
    <w:rsid w:val="1BCD1474"/>
    <w:rsid w:val="1BD335A6"/>
    <w:rsid w:val="1BDA4961"/>
    <w:rsid w:val="1BEC82E4"/>
    <w:rsid w:val="1BEE588A"/>
    <w:rsid w:val="1BF2B913"/>
    <w:rsid w:val="1BFB8222"/>
    <w:rsid w:val="1C003AAC"/>
    <w:rsid w:val="1C01D4DE"/>
    <w:rsid w:val="1C0F0089"/>
    <w:rsid w:val="1C14E509"/>
    <w:rsid w:val="1C38A262"/>
    <w:rsid w:val="1C3FE5F9"/>
    <w:rsid w:val="1C60D78E"/>
    <w:rsid w:val="1C64E188"/>
    <w:rsid w:val="1C80E8D5"/>
    <w:rsid w:val="1C8D04DB"/>
    <w:rsid w:val="1C8F2496"/>
    <w:rsid w:val="1C9ED92B"/>
    <w:rsid w:val="1C9F333A"/>
    <w:rsid w:val="1CA08968"/>
    <w:rsid w:val="1CAA123A"/>
    <w:rsid w:val="1CAEDB00"/>
    <w:rsid w:val="1CDCF686"/>
    <w:rsid w:val="1CF9C831"/>
    <w:rsid w:val="1D16BB2B"/>
    <w:rsid w:val="1D3D6EE4"/>
    <w:rsid w:val="1D4823A0"/>
    <w:rsid w:val="1D4FD676"/>
    <w:rsid w:val="1D5E2788"/>
    <w:rsid w:val="1D6A6630"/>
    <w:rsid w:val="1D6FDB72"/>
    <w:rsid w:val="1D747425"/>
    <w:rsid w:val="1D7700DB"/>
    <w:rsid w:val="1D8E53B9"/>
    <w:rsid w:val="1D9C6A79"/>
    <w:rsid w:val="1D9E147E"/>
    <w:rsid w:val="1DAB219A"/>
    <w:rsid w:val="1DAD0ED3"/>
    <w:rsid w:val="1DB60AF0"/>
    <w:rsid w:val="1DBFB70F"/>
    <w:rsid w:val="1DC352AF"/>
    <w:rsid w:val="1DCF40A3"/>
    <w:rsid w:val="1DE5B334"/>
    <w:rsid w:val="1DF86579"/>
    <w:rsid w:val="1DFB4A04"/>
    <w:rsid w:val="1E08D73E"/>
    <w:rsid w:val="1E298F69"/>
    <w:rsid w:val="1E367810"/>
    <w:rsid w:val="1E3B686C"/>
    <w:rsid w:val="1E4E4CC2"/>
    <w:rsid w:val="1E5BCCE6"/>
    <w:rsid w:val="1E5EDB77"/>
    <w:rsid w:val="1E60A077"/>
    <w:rsid w:val="1E668891"/>
    <w:rsid w:val="1E66BD63"/>
    <w:rsid w:val="1E697BBB"/>
    <w:rsid w:val="1E6AFA76"/>
    <w:rsid w:val="1E73D4B1"/>
    <w:rsid w:val="1E75ABAD"/>
    <w:rsid w:val="1E793B41"/>
    <w:rsid w:val="1E82576F"/>
    <w:rsid w:val="1EA3F41A"/>
    <w:rsid w:val="1EA955C9"/>
    <w:rsid w:val="1EB54D04"/>
    <w:rsid w:val="1EB67722"/>
    <w:rsid w:val="1EBE7AE4"/>
    <w:rsid w:val="1EC0B66B"/>
    <w:rsid w:val="1ECABD8D"/>
    <w:rsid w:val="1ECC2AFD"/>
    <w:rsid w:val="1ECDFA11"/>
    <w:rsid w:val="1ED861F7"/>
    <w:rsid w:val="1EDABA7C"/>
    <w:rsid w:val="1EDC363F"/>
    <w:rsid w:val="1EE2B6FA"/>
    <w:rsid w:val="1EEC36AC"/>
    <w:rsid w:val="1F0B20F5"/>
    <w:rsid w:val="1F0CB48C"/>
    <w:rsid w:val="1F25B214"/>
    <w:rsid w:val="1F358F39"/>
    <w:rsid w:val="1F394ACB"/>
    <w:rsid w:val="1F43FACF"/>
    <w:rsid w:val="1F482AE9"/>
    <w:rsid w:val="1F4E3798"/>
    <w:rsid w:val="1F64F2EA"/>
    <w:rsid w:val="1F663A05"/>
    <w:rsid w:val="1F6D6D5A"/>
    <w:rsid w:val="1F85B971"/>
    <w:rsid w:val="1F8C80C4"/>
    <w:rsid w:val="1F9182FE"/>
    <w:rsid w:val="1F96E79D"/>
    <w:rsid w:val="1F9EBE88"/>
    <w:rsid w:val="1FB18089"/>
    <w:rsid w:val="1FB41FEA"/>
    <w:rsid w:val="1FB729C4"/>
    <w:rsid w:val="1FC42935"/>
    <w:rsid w:val="1FC5D2F7"/>
    <w:rsid w:val="1FC9E585"/>
    <w:rsid w:val="1FDC2F5F"/>
    <w:rsid w:val="1FE174DF"/>
    <w:rsid w:val="1FE6F0DF"/>
    <w:rsid w:val="1FF4AB48"/>
    <w:rsid w:val="1FFD0850"/>
    <w:rsid w:val="20082C69"/>
    <w:rsid w:val="201397F4"/>
    <w:rsid w:val="201F6C10"/>
    <w:rsid w:val="2021EDB1"/>
    <w:rsid w:val="202EB3A1"/>
    <w:rsid w:val="203A91B2"/>
    <w:rsid w:val="2041472E"/>
    <w:rsid w:val="2060A3EA"/>
    <w:rsid w:val="206B31D3"/>
    <w:rsid w:val="20775294"/>
    <w:rsid w:val="207A55DF"/>
    <w:rsid w:val="20833F84"/>
    <w:rsid w:val="208C5B7C"/>
    <w:rsid w:val="2096DAD7"/>
    <w:rsid w:val="209BD719"/>
    <w:rsid w:val="20A031CC"/>
    <w:rsid w:val="20A1D1EA"/>
    <w:rsid w:val="20A5F537"/>
    <w:rsid w:val="20AC2680"/>
    <w:rsid w:val="20B00239"/>
    <w:rsid w:val="20B045DB"/>
    <w:rsid w:val="20B82D4D"/>
    <w:rsid w:val="20C51836"/>
    <w:rsid w:val="20CECF6C"/>
    <w:rsid w:val="20D54601"/>
    <w:rsid w:val="20D8741A"/>
    <w:rsid w:val="20EF7354"/>
    <w:rsid w:val="210A44AA"/>
    <w:rsid w:val="210B0ED4"/>
    <w:rsid w:val="212958A7"/>
    <w:rsid w:val="212E2692"/>
    <w:rsid w:val="213047BC"/>
    <w:rsid w:val="213D5768"/>
    <w:rsid w:val="213DEC50"/>
    <w:rsid w:val="215D3CA6"/>
    <w:rsid w:val="2163CAF4"/>
    <w:rsid w:val="216FCC0F"/>
    <w:rsid w:val="218D14C8"/>
    <w:rsid w:val="2193F598"/>
    <w:rsid w:val="21A25A6D"/>
    <w:rsid w:val="21A9B979"/>
    <w:rsid w:val="21B432DF"/>
    <w:rsid w:val="21B4688B"/>
    <w:rsid w:val="21BA173B"/>
    <w:rsid w:val="21BAF450"/>
    <w:rsid w:val="21C1F04F"/>
    <w:rsid w:val="21C61B98"/>
    <w:rsid w:val="21CE9B65"/>
    <w:rsid w:val="21E1E0DF"/>
    <w:rsid w:val="21E83CA8"/>
    <w:rsid w:val="21E88D71"/>
    <w:rsid w:val="2208D9C0"/>
    <w:rsid w:val="2212DF29"/>
    <w:rsid w:val="2212FFEF"/>
    <w:rsid w:val="22214DAA"/>
    <w:rsid w:val="22285C99"/>
    <w:rsid w:val="225E66FA"/>
    <w:rsid w:val="226228C5"/>
    <w:rsid w:val="226D926B"/>
    <w:rsid w:val="2271FBA3"/>
    <w:rsid w:val="22727752"/>
    <w:rsid w:val="228DE761"/>
    <w:rsid w:val="22904A37"/>
    <w:rsid w:val="229052D4"/>
    <w:rsid w:val="2293303F"/>
    <w:rsid w:val="229B79C0"/>
    <w:rsid w:val="22B46DE4"/>
    <w:rsid w:val="22C23D13"/>
    <w:rsid w:val="22C3AB65"/>
    <w:rsid w:val="22D94D72"/>
    <w:rsid w:val="22ECCC38"/>
    <w:rsid w:val="2306E147"/>
    <w:rsid w:val="23106221"/>
    <w:rsid w:val="231CC9AA"/>
    <w:rsid w:val="2333E031"/>
    <w:rsid w:val="233F954A"/>
    <w:rsid w:val="234431ED"/>
    <w:rsid w:val="2345E3A6"/>
    <w:rsid w:val="234E737F"/>
    <w:rsid w:val="234EEFB9"/>
    <w:rsid w:val="236339E8"/>
    <w:rsid w:val="236A644B"/>
    <w:rsid w:val="2370B18C"/>
    <w:rsid w:val="237E94D0"/>
    <w:rsid w:val="2388E2C4"/>
    <w:rsid w:val="238FC8DB"/>
    <w:rsid w:val="23911099"/>
    <w:rsid w:val="239861A1"/>
    <w:rsid w:val="239C770A"/>
    <w:rsid w:val="23B4C703"/>
    <w:rsid w:val="23B6F640"/>
    <w:rsid w:val="23CF9A7D"/>
    <w:rsid w:val="23D24907"/>
    <w:rsid w:val="23DC62D8"/>
    <w:rsid w:val="23ED6E4B"/>
    <w:rsid w:val="23FAF489"/>
    <w:rsid w:val="2427EE64"/>
    <w:rsid w:val="24289F00"/>
    <w:rsid w:val="2428D175"/>
    <w:rsid w:val="242FC118"/>
    <w:rsid w:val="243021A7"/>
    <w:rsid w:val="244A09EF"/>
    <w:rsid w:val="244A6440"/>
    <w:rsid w:val="244F25C3"/>
    <w:rsid w:val="245C2522"/>
    <w:rsid w:val="24724EDC"/>
    <w:rsid w:val="24787234"/>
    <w:rsid w:val="249776FA"/>
    <w:rsid w:val="249D7049"/>
    <w:rsid w:val="249F463A"/>
    <w:rsid w:val="24A99F89"/>
    <w:rsid w:val="24B1078F"/>
    <w:rsid w:val="24B1DE55"/>
    <w:rsid w:val="24EE4FF0"/>
    <w:rsid w:val="24FC0A59"/>
    <w:rsid w:val="24FCB6B7"/>
    <w:rsid w:val="25028928"/>
    <w:rsid w:val="2509B4E2"/>
    <w:rsid w:val="250D2579"/>
    <w:rsid w:val="250E86AE"/>
    <w:rsid w:val="250F7BD2"/>
    <w:rsid w:val="2520CB28"/>
    <w:rsid w:val="253FF05A"/>
    <w:rsid w:val="25464E15"/>
    <w:rsid w:val="2550BD22"/>
    <w:rsid w:val="255B0E5D"/>
    <w:rsid w:val="255EF9DD"/>
    <w:rsid w:val="2579F364"/>
    <w:rsid w:val="257DBC6E"/>
    <w:rsid w:val="258281D5"/>
    <w:rsid w:val="2582E777"/>
    <w:rsid w:val="2584B1B9"/>
    <w:rsid w:val="2585D938"/>
    <w:rsid w:val="25864550"/>
    <w:rsid w:val="2588A0BC"/>
    <w:rsid w:val="25A0F8CE"/>
    <w:rsid w:val="25A53A04"/>
    <w:rsid w:val="25BBDC8D"/>
    <w:rsid w:val="25D3834B"/>
    <w:rsid w:val="25D60E72"/>
    <w:rsid w:val="25DCAFAA"/>
    <w:rsid w:val="25DF34C8"/>
    <w:rsid w:val="25EC6D2F"/>
    <w:rsid w:val="261D3A4C"/>
    <w:rsid w:val="2621C03F"/>
    <w:rsid w:val="26294590"/>
    <w:rsid w:val="2631DA25"/>
    <w:rsid w:val="2638D5BD"/>
    <w:rsid w:val="2642E054"/>
    <w:rsid w:val="2643E003"/>
    <w:rsid w:val="265B0521"/>
    <w:rsid w:val="26602540"/>
    <w:rsid w:val="26637B81"/>
    <w:rsid w:val="2668C897"/>
    <w:rsid w:val="267C27DD"/>
    <w:rsid w:val="268EB496"/>
    <w:rsid w:val="2697BAC0"/>
    <w:rsid w:val="269FDDB3"/>
    <w:rsid w:val="26A32DE3"/>
    <w:rsid w:val="26B552F1"/>
    <w:rsid w:val="26BBE29C"/>
    <w:rsid w:val="26D4D7C7"/>
    <w:rsid w:val="26D883CA"/>
    <w:rsid w:val="26D8E257"/>
    <w:rsid w:val="26DE09C8"/>
    <w:rsid w:val="2703DC1A"/>
    <w:rsid w:val="270AE838"/>
    <w:rsid w:val="2716ABAF"/>
    <w:rsid w:val="271D1573"/>
    <w:rsid w:val="2722C74C"/>
    <w:rsid w:val="272B4BF9"/>
    <w:rsid w:val="273637C9"/>
    <w:rsid w:val="27472DC6"/>
    <w:rsid w:val="274B8663"/>
    <w:rsid w:val="2758E79B"/>
    <w:rsid w:val="2764E191"/>
    <w:rsid w:val="2769CA7C"/>
    <w:rsid w:val="2770ED8F"/>
    <w:rsid w:val="2772D4FC"/>
    <w:rsid w:val="278180ED"/>
    <w:rsid w:val="27827AEA"/>
    <w:rsid w:val="278FF16D"/>
    <w:rsid w:val="27A57CAF"/>
    <w:rsid w:val="27B4955C"/>
    <w:rsid w:val="27C6D7C1"/>
    <w:rsid w:val="27C91299"/>
    <w:rsid w:val="27CBBD74"/>
    <w:rsid w:val="27D45F85"/>
    <w:rsid w:val="27D6B784"/>
    <w:rsid w:val="27E2151B"/>
    <w:rsid w:val="27F6FB1A"/>
    <w:rsid w:val="280B2CDF"/>
    <w:rsid w:val="280F3B83"/>
    <w:rsid w:val="281E47A0"/>
    <w:rsid w:val="282832BB"/>
    <w:rsid w:val="2829771E"/>
    <w:rsid w:val="282A4167"/>
    <w:rsid w:val="283542CF"/>
    <w:rsid w:val="2837D056"/>
    <w:rsid w:val="283AC162"/>
    <w:rsid w:val="2850391B"/>
    <w:rsid w:val="28526BA7"/>
    <w:rsid w:val="285E40BD"/>
    <w:rsid w:val="285EE1C5"/>
    <w:rsid w:val="28705F8D"/>
    <w:rsid w:val="287F6956"/>
    <w:rsid w:val="288C3ED6"/>
    <w:rsid w:val="28A51E82"/>
    <w:rsid w:val="28C681A3"/>
    <w:rsid w:val="28C92B37"/>
    <w:rsid w:val="28E21D53"/>
    <w:rsid w:val="28F337ED"/>
    <w:rsid w:val="2907FD60"/>
    <w:rsid w:val="2909804E"/>
    <w:rsid w:val="290C2678"/>
    <w:rsid w:val="291197A8"/>
    <w:rsid w:val="29126037"/>
    <w:rsid w:val="291CE747"/>
    <w:rsid w:val="291EE8F7"/>
    <w:rsid w:val="29200730"/>
    <w:rsid w:val="292B184D"/>
    <w:rsid w:val="29375A14"/>
    <w:rsid w:val="2941A59F"/>
    <w:rsid w:val="294823BB"/>
    <w:rsid w:val="294D54F2"/>
    <w:rsid w:val="296E059F"/>
    <w:rsid w:val="296EC73B"/>
    <w:rsid w:val="29763238"/>
    <w:rsid w:val="29836D26"/>
    <w:rsid w:val="29893A35"/>
    <w:rsid w:val="298C5699"/>
    <w:rsid w:val="298FE501"/>
    <w:rsid w:val="29926074"/>
    <w:rsid w:val="29AF76D8"/>
    <w:rsid w:val="29BE7E51"/>
    <w:rsid w:val="29C7984E"/>
    <w:rsid w:val="29D48A18"/>
    <w:rsid w:val="29D83DF4"/>
    <w:rsid w:val="29DDB75C"/>
    <w:rsid w:val="29F47F7D"/>
    <w:rsid w:val="2A0F4134"/>
    <w:rsid w:val="2A1A3FBD"/>
    <w:rsid w:val="2A395B1D"/>
    <w:rsid w:val="2A49E320"/>
    <w:rsid w:val="2A4F43A2"/>
    <w:rsid w:val="2A50E587"/>
    <w:rsid w:val="2A54EC41"/>
    <w:rsid w:val="2A601753"/>
    <w:rsid w:val="2A81F567"/>
    <w:rsid w:val="2AA68511"/>
    <w:rsid w:val="2AAEE745"/>
    <w:rsid w:val="2AB59A05"/>
    <w:rsid w:val="2AC9B1AB"/>
    <w:rsid w:val="2ACDD11E"/>
    <w:rsid w:val="2AD9426B"/>
    <w:rsid w:val="2AE763EA"/>
    <w:rsid w:val="2B162A08"/>
    <w:rsid w:val="2B19E615"/>
    <w:rsid w:val="2B37CCBE"/>
    <w:rsid w:val="2B3F0FFF"/>
    <w:rsid w:val="2B43BF49"/>
    <w:rsid w:val="2B4D41C0"/>
    <w:rsid w:val="2B5157CE"/>
    <w:rsid w:val="2B52307B"/>
    <w:rsid w:val="2B5247DB"/>
    <w:rsid w:val="2B66BA44"/>
    <w:rsid w:val="2B6E6199"/>
    <w:rsid w:val="2B78BB18"/>
    <w:rsid w:val="2B7CA74A"/>
    <w:rsid w:val="2B88EB5E"/>
    <w:rsid w:val="2BA089C1"/>
    <w:rsid w:val="2BAEEDAA"/>
    <w:rsid w:val="2BAF826A"/>
    <w:rsid w:val="2BB2DE82"/>
    <w:rsid w:val="2BC41648"/>
    <w:rsid w:val="2BD0A87C"/>
    <w:rsid w:val="2BD66C5F"/>
    <w:rsid w:val="2C00AE8F"/>
    <w:rsid w:val="2C181A29"/>
    <w:rsid w:val="2C1CFB6E"/>
    <w:rsid w:val="2C240BEA"/>
    <w:rsid w:val="2C2AF65C"/>
    <w:rsid w:val="2C4124D5"/>
    <w:rsid w:val="2C4143D8"/>
    <w:rsid w:val="2C55D183"/>
    <w:rsid w:val="2C5705E2"/>
    <w:rsid w:val="2C5E9C7B"/>
    <w:rsid w:val="2C74E17B"/>
    <w:rsid w:val="2C771643"/>
    <w:rsid w:val="2C7C0D6E"/>
    <w:rsid w:val="2CA1D435"/>
    <w:rsid w:val="2CBB82C5"/>
    <w:rsid w:val="2CC95C5E"/>
    <w:rsid w:val="2CCB52D8"/>
    <w:rsid w:val="2CD1F26A"/>
    <w:rsid w:val="2CDD90F1"/>
    <w:rsid w:val="2CE2E028"/>
    <w:rsid w:val="2CEB8B55"/>
    <w:rsid w:val="2CF657FA"/>
    <w:rsid w:val="2CFA4B96"/>
    <w:rsid w:val="2D15B844"/>
    <w:rsid w:val="2D1F2FF3"/>
    <w:rsid w:val="2D44CC40"/>
    <w:rsid w:val="2D45C461"/>
    <w:rsid w:val="2D5AA1EB"/>
    <w:rsid w:val="2D651351"/>
    <w:rsid w:val="2D75BC76"/>
    <w:rsid w:val="2D800D1B"/>
    <w:rsid w:val="2DA14BB3"/>
    <w:rsid w:val="2DA19B40"/>
    <w:rsid w:val="2DA49108"/>
    <w:rsid w:val="2DBDE0A3"/>
    <w:rsid w:val="2DBEDAD3"/>
    <w:rsid w:val="2DCE8EF3"/>
    <w:rsid w:val="2DCF384C"/>
    <w:rsid w:val="2E159C07"/>
    <w:rsid w:val="2E18287D"/>
    <w:rsid w:val="2E1D6B4D"/>
    <w:rsid w:val="2E1E413A"/>
    <w:rsid w:val="2E2EC6E7"/>
    <w:rsid w:val="2E362938"/>
    <w:rsid w:val="2E4051A8"/>
    <w:rsid w:val="2E61F991"/>
    <w:rsid w:val="2E799DDF"/>
    <w:rsid w:val="2E7A4B24"/>
    <w:rsid w:val="2E82B5A5"/>
    <w:rsid w:val="2E882412"/>
    <w:rsid w:val="2E8F4480"/>
    <w:rsid w:val="2E9E64AB"/>
    <w:rsid w:val="2EA5A27B"/>
    <w:rsid w:val="2EA65D0C"/>
    <w:rsid w:val="2EAB8710"/>
    <w:rsid w:val="2EB1F1CF"/>
    <w:rsid w:val="2EB47A81"/>
    <w:rsid w:val="2EB72A8F"/>
    <w:rsid w:val="2EBAC830"/>
    <w:rsid w:val="2EEF5AA2"/>
    <w:rsid w:val="2F04488C"/>
    <w:rsid w:val="2F04FA09"/>
    <w:rsid w:val="2F1003F3"/>
    <w:rsid w:val="2F2F389E"/>
    <w:rsid w:val="2F398432"/>
    <w:rsid w:val="2F3D0C3F"/>
    <w:rsid w:val="2F4001EB"/>
    <w:rsid w:val="2F41862E"/>
    <w:rsid w:val="2F45637C"/>
    <w:rsid w:val="2F4A8870"/>
    <w:rsid w:val="2F4B62E8"/>
    <w:rsid w:val="2F5BF143"/>
    <w:rsid w:val="2F5FD48B"/>
    <w:rsid w:val="2F71BDE2"/>
    <w:rsid w:val="2F722A32"/>
    <w:rsid w:val="2F7D52A5"/>
    <w:rsid w:val="2F8DB1B6"/>
    <w:rsid w:val="2F8DD1C3"/>
    <w:rsid w:val="2F96E313"/>
    <w:rsid w:val="2FBE7145"/>
    <w:rsid w:val="2FC01B4C"/>
    <w:rsid w:val="2FD4CB88"/>
    <w:rsid w:val="2FE0824C"/>
    <w:rsid w:val="2FE9B6BD"/>
    <w:rsid w:val="2FFF8888"/>
    <w:rsid w:val="3001A4B0"/>
    <w:rsid w:val="30085498"/>
    <w:rsid w:val="3008B046"/>
    <w:rsid w:val="300AAF20"/>
    <w:rsid w:val="301133DC"/>
    <w:rsid w:val="3019027D"/>
    <w:rsid w:val="301ECE75"/>
    <w:rsid w:val="302AD01B"/>
    <w:rsid w:val="304E78FE"/>
    <w:rsid w:val="30565CA1"/>
    <w:rsid w:val="3071DAB3"/>
    <w:rsid w:val="3075607F"/>
    <w:rsid w:val="307ED22F"/>
    <w:rsid w:val="308A170B"/>
    <w:rsid w:val="309047EF"/>
    <w:rsid w:val="30950EF5"/>
    <w:rsid w:val="30986DA5"/>
    <w:rsid w:val="30AA6BBD"/>
    <w:rsid w:val="30AF7403"/>
    <w:rsid w:val="30B48A36"/>
    <w:rsid w:val="30B58D3C"/>
    <w:rsid w:val="30B753A4"/>
    <w:rsid w:val="30B92DF3"/>
    <w:rsid w:val="30BDAF9C"/>
    <w:rsid w:val="30CD9141"/>
    <w:rsid w:val="30D0C81A"/>
    <w:rsid w:val="30D8AC2D"/>
    <w:rsid w:val="30E262F2"/>
    <w:rsid w:val="30E4C53A"/>
    <w:rsid w:val="30E540BE"/>
    <w:rsid w:val="30E5DAEE"/>
    <w:rsid w:val="30E87485"/>
    <w:rsid w:val="30E8D92D"/>
    <w:rsid w:val="30E94795"/>
    <w:rsid w:val="30EDF0DD"/>
    <w:rsid w:val="30EFF717"/>
    <w:rsid w:val="30F1FABA"/>
    <w:rsid w:val="30FCD862"/>
    <w:rsid w:val="3128D8A4"/>
    <w:rsid w:val="31366309"/>
    <w:rsid w:val="315C39E4"/>
    <w:rsid w:val="31635D21"/>
    <w:rsid w:val="31644EA8"/>
    <w:rsid w:val="316853A7"/>
    <w:rsid w:val="31706BB3"/>
    <w:rsid w:val="317823CD"/>
    <w:rsid w:val="318A021C"/>
    <w:rsid w:val="31901C63"/>
    <w:rsid w:val="319CE1FC"/>
    <w:rsid w:val="31A517DC"/>
    <w:rsid w:val="31ACBA2F"/>
    <w:rsid w:val="31C6C5DD"/>
    <w:rsid w:val="31CE58E3"/>
    <w:rsid w:val="31CF52AD"/>
    <w:rsid w:val="31D5E0DD"/>
    <w:rsid w:val="31DA549D"/>
    <w:rsid w:val="31EC26A7"/>
    <w:rsid w:val="31EDE3B6"/>
    <w:rsid w:val="31F29166"/>
    <w:rsid w:val="31F9EFC5"/>
    <w:rsid w:val="3200D59A"/>
    <w:rsid w:val="3205A999"/>
    <w:rsid w:val="320BF76F"/>
    <w:rsid w:val="3224564C"/>
    <w:rsid w:val="322C8EE4"/>
    <w:rsid w:val="3242A83D"/>
    <w:rsid w:val="324617AE"/>
    <w:rsid w:val="324D51E0"/>
    <w:rsid w:val="32503A40"/>
    <w:rsid w:val="325D96D3"/>
    <w:rsid w:val="326C9BA7"/>
    <w:rsid w:val="327311F9"/>
    <w:rsid w:val="32753536"/>
    <w:rsid w:val="327CC4EC"/>
    <w:rsid w:val="327FBDAB"/>
    <w:rsid w:val="32827F67"/>
    <w:rsid w:val="328DF0F9"/>
    <w:rsid w:val="329416D6"/>
    <w:rsid w:val="329CE441"/>
    <w:rsid w:val="32A53658"/>
    <w:rsid w:val="32A76167"/>
    <w:rsid w:val="32B6BD38"/>
    <w:rsid w:val="32B9B822"/>
    <w:rsid w:val="32BA46F3"/>
    <w:rsid w:val="32CDEDAD"/>
    <w:rsid w:val="32D80DDF"/>
    <w:rsid w:val="32DD7A16"/>
    <w:rsid w:val="32DFDB6B"/>
    <w:rsid w:val="32E165A3"/>
    <w:rsid w:val="32EB8064"/>
    <w:rsid w:val="33049C22"/>
    <w:rsid w:val="331F96C6"/>
    <w:rsid w:val="33227811"/>
    <w:rsid w:val="334402F5"/>
    <w:rsid w:val="339385A7"/>
    <w:rsid w:val="339515C5"/>
    <w:rsid w:val="339DD774"/>
    <w:rsid w:val="33B4122D"/>
    <w:rsid w:val="33BCFEB6"/>
    <w:rsid w:val="33C3306C"/>
    <w:rsid w:val="33C90429"/>
    <w:rsid w:val="33CCA4D9"/>
    <w:rsid w:val="33D2440E"/>
    <w:rsid w:val="33DAA6DF"/>
    <w:rsid w:val="33E995DD"/>
    <w:rsid w:val="33EEF74A"/>
    <w:rsid w:val="33F76B20"/>
    <w:rsid w:val="33FA4588"/>
    <w:rsid w:val="33FB9936"/>
    <w:rsid w:val="340007FF"/>
    <w:rsid w:val="341F3EE6"/>
    <w:rsid w:val="3431C92A"/>
    <w:rsid w:val="343F4890"/>
    <w:rsid w:val="3450C467"/>
    <w:rsid w:val="34604EC3"/>
    <w:rsid w:val="3469C44D"/>
    <w:rsid w:val="346CC703"/>
    <w:rsid w:val="34702145"/>
    <w:rsid w:val="347C2FFD"/>
    <w:rsid w:val="348271D3"/>
    <w:rsid w:val="348359F3"/>
    <w:rsid w:val="348C384D"/>
    <w:rsid w:val="34A9ABD6"/>
    <w:rsid w:val="34AE2EB7"/>
    <w:rsid w:val="34E722A7"/>
    <w:rsid w:val="34F16936"/>
    <w:rsid w:val="34FA33F4"/>
    <w:rsid w:val="34FF52BF"/>
    <w:rsid w:val="35197640"/>
    <w:rsid w:val="3519F47C"/>
    <w:rsid w:val="351F75E2"/>
    <w:rsid w:val="352F6802"/>
    <w:rsid w:val="35361869"/>
    <w:rsid w:val="35426CFB"/>
    <w:rsid w:val="3550DE64"/>
    <w:rsid w:val="356CA4C2"/>
    <w:rsid w:val="357D3DCC"/>
    <w:rsid w:val="35819CC5"/>
    <w:rsid w:val="358E990F"/>
    <w:rsid w:val="35957D98"/>
    <w:rsid w:val="359B9636"/>
    <w:rsid w:val="359C86AB"/>
    <w:rsid w:val="359ECCBD"/>
    <w:rsid w:val="35A6EC19"/>
    <w:rsid w:val="35C002A3"/>
    <w:rsid w:val="35C22917"/>
    <w:rsid w:val="35C27CEE"/>
    <w:rsid w:val="35CBA301"/>
    <w:rsid w:val="3601A960"/>
    <w:rsid w:val="36057AA4"/>
    <w:rsid w:val="3621A1F6"/>
    <w:rsid w:val="362214CF"/>
    <w:rsid w:val="3627B3B2"/>
    <w:rsid w:val="36345243"/>
    <w:rsid w:val="36392967"/>
    <w:rsid w:val="363C1EBF"/>
    <w:rsid w:val="364572A7"/>
    <w:rsid w:val="36501C91"/>
    <w:rsid w:val="36567B56"/>
    <w:rsid w:val="36634F42"/>
    <w:rsid w:val="3667C117"/>
    <w:rsid w:val="36713119"/>
    <w:rsid w:val="367B3195"/>
    <w:rsid w:val="3680B227"/>
    <w:rsid w:val="369E0CE5"/>
    <w:rsid w:val="369E9ED5"/>
    <w:rsid w:val="36B3672F"/>
    <w:rsid w:val="36B6ED0F"/>
    <w:rsid w:val="36BC8439"/>
    <w:rsid w:val="36C6A9D8"/>
    <w:rsid w:val="36CB63DC"/>
    <w:rsid w:val="36D171C3"/>
    <w:rsid w:val="36DDDF93"/>
    <w:rsid w:val="36EAC921"/>
    <w:rsid w:val="36EFD659"/>
    <w:rsid w:val="3706E003"/>
    <w:rsid w:val="371AE9F7"/>
    <w:rsid w:val="373023C1"/>
    <w:rsid w:val="373FEF5B"/>
    <w:rsid w:val="375AD855"/>
    <w:rsid w:val="375FCAA5"/>
    <w:rsid w:val="37650AEA"/>
    <w:rsid w:val="376E5286"/>
    <w:rsid w:val="3771A7E0"/>
    <w:rsid w:val="3786153A"/>
    <w:rsid w:val="3787196B"/>
    <w:rsid w:val="3794CD24"/>
    <w:rsid w:val="37A2154E"/>
    <w:rsid w:val="37BECAB9"/>
    <w:rsid w:val="37C6E7E1"/>
    <w:rsid w:val="37DC0D44"/>
    <w:rsid w:val="37E1ACB5"/>
    <w:rsid w:val="37EDF6C4"/>
    <w:rsid w:val="37EEB64C"/>
    <w:rsid w:val="37EEC0F4"/>
    <w:rsid w:val="37F487CC"/>
    <w:rsid w:val="37FC544F"/>
    <w:rsid w:val="37FFF636"/>
    <w:rsid w:val="381587F4"/>
    <w:rsid w:val="3835460F"/>
    <w:rsid w:val="3836C72C"/>
    <w:rsid w:val="38380935"/>
    <w:rsid w:val="3856A2CE"/>
    <w:rsid w:val="385ED1F6"/>
    <w:rsid w:val="386AC8F7"/>
    <w:rsid w:val="38729A65"/>
    <w:rsid w:val="38734B6D"/>
    <w:rsid w:val="3876A735"/>
    <w:rsid w:val="3878330F"/>
    <w:rsid w:val="38810810"/>
    <w:rsid w:val="3884873F"/>
    <w:rsid w:val="3886013D"/>
    <w:rsid w:val="38966426"/>
    <w:rsid w:val="38A5FE8F"/>
    <w:rsid w:val="38A7E040"/>
    <w:rsid w:val="38B479E7"/>
    <w:rsid w:val="38BA4BD7"/>
    <w:rsid w:val="38C1D2B4"/>
    <w:rsid w:val="38CB4E33"/>
    <w:rsid w:val="38D3FA2C"/>
    <w:rsid w:val="38E43784"/>
    <w:rsid w:val="38F5F4EF"/>
    <w:rsid w:val="38F6B7E1"/>
    <w:rsid w:val="390076A4"/>
    <w:rsid w:val="390E7186"/>
    <w:rsid w:val="390F5496"/>
    <w:rsid w:val="3911B44A"/>
    <w:rsid w:val="391BAF56"/>
    <w:rsid w:val="3921A7EF"/>
    <w:rsid w:val="3926A060"/>
    <w:rsid w:val="392CC3E7"/>
    <w:rsid w:val="3942C7CE"/>
    <w:rsid w:val="394B1CAE"/>
    <w:rsid w:val="394DB488"/>
    <w:rsid w:val="394DE6FE"/>
    <w:rsid w:val="3955DE21"/>
    <w:rsid w:val="3957BA4E"/>
    <w:rsid w:val="395E94F5"/>
    <w:rsid w:val="396A1DBD"/>
    <w:rsid w:val="398D5932"/>
    <w:rsid w:val="39A5BEE9"/>
    <w:rsid w:val="39AEEE61"/>
    <w:rsid w:val="39BDF536"/>
    <w:rsid w:val="39D602E1"/>
    <w:rsid w:val="39D843AC"/>
    <w:rsid w:val="39D8AF8F"/>
    <w:rsid w:val="39E41298"/>
    <w:rsid w:val="39F168E1"/>
    <w:rsid w:val="3A01F6CB"/>
    <w:rsid w:val="3A0793EA"/>
    <w:rsid w:val="3A10E236"/>
    <w:rsid w:val="3A11DDA2"/>
    <w:rsid w:val="3A12F567"/>
    <w:rsid w:val="3A210448"/>
    <w:rsid w:val="3A250EAB"/>
    <w:rsid w:val="3A3828D4"/>
    <w:rsid w:val="3A5CA237"/>
    <w:rsid w:val="3A60D35F"/>
    <w:rsid w:val="3A62BEA7"/>
    <w:rsid w:val="3A750067"/>
    <w:rsid w:val="3A7C6745"/>
    <w:rsid w:val="3A876ED1"/>
    <w:rsid w:val="3A8A14B2"/>
    <w:rsid w:val="3A8CE181"/>
    <w:rsid w:val="3A91C29D"/>
    <w:rsid w:val="3A96E699"/>
    <w:rsid w:val="3AA4E23F"/>
    <w:rsid w:val="3AB70455"/>
    <w:rsid w:val="3AB9EBC3"/>
    <w:rsid w:val="3ABA05C8"/>
    <w:rsid w:val="3ACBBA42"/>
    <w:rsid w:val="3AD3178A"/>
    <w:rsid w:val="3AD943D9"/>
    <w:rsid w:val="3AE2E773"/>
    <w:rsid w:val="3AEFE0A7"/>
    <w:rsid w:val="3AF17172"/>
    <w:rsid w:val="3AF38B52"/>
    <w:rsid w:val="3B00D9BC"/>
    <w:rsid w:val="3B1AC997"/>
    <w:rsid w:val="3B1ED1D7"/>
    <w:rsid w:val="3B35F780"/>
    <w:rsid w:val="3B51ABA9"/>
    <w:rsid w:val="3B5B6033"/>
    <w:rsid w:val="3B64163E"/>
    <w:rsid w:val="3B64EE46"/>
    <w:rsid w:val="3B6F581B"/>
    <w:rsid w:val="3B736E66"/>
    <w:rsid w:val="3B75F73E"/>
    <w:rsid w:val="3B9CF5F7"/>
    <w:rsid w:val="3BA833FA"/>
    <w:rsid w:val="3BB610D3"/>
    <w:rsid w:val="3BBFAE67"/>
    <w:rsid w:val="3BC72231"/>
    <w:rsid w:val="3BCEC467"/>
    <w:rsid w:val="3BF1CFE9"/>
    <w:rsid w:val="3BF3B860"/>
    <w:rsid w:val="3C05FE52"/>
    <w:rsid w:val="3C23265C"/>
    <w:rsid w:val="3C3672CD"/>
    <w:rsid w:val="3C481AEF"/>
    <w:rsid w:val="3C4888EF"/>
    <w:rsid w:val="3C4AC5CB"/>
    <w:rsid w:val="3C57A0B0"/>
    <w:rsid w:val="3C60B21B"/>
    <w:rsid w:val="3C7FE86F"/>
    <w:rsid w:val="3C8A5C43"/>
    <w:rsid w:val="3C95910B"/>
    <w:rsid w:val="3CC46F97"/>
    <w:rsid w:val="3CC9DC86"/>
    <w:rsid w:val="3CE011EC"/>
    <w:rsid w:val="3CE805F7"/>
    <w:rsid w:val="3CEB2770"/>
    <w:rsid w:val="3CEFE877"/>
    <w:rsid w:val="3CF9CE3B"/>
    <w:rsid w:val="3CFB10DC"/>
    <w:rsid w:val="3D0193CB"/>
    <w:rsid w:val="3D0C8842"/>
    <w:rsid w:val="3D217D42"/>
    <w:rsid w:val="3D25D7DD"/>
    <w:rsid w:val="3D29FD83"/>
    <w:rsid w:val="3D2CF2F8"/>
    <w:rsid w:val="3D2D57C5"/>
    <w:rsid w:val="3D3C4079"/>
    <w:rsid w:val="3D47CE07"/>
    <w:rsid w:val="3D61428B"/>
    <w:rsid w:val="3D64B90C"/>
    <w:rsid w:val="3D7739D6"/>
    <w:rsid w:val="3D7D3160"/>
    <w:rsid w:val="3D8DBB2A"/>
    <w:rsid w:val="3D97149A"/>
    <w:rsid w:val="3DA1E74D"/>
    <w:rsid w:val="3DA5AD2B"/>
    <w:rsid w:val="3DB4CD00"/>
    <w:rsid w:val="3DCEACAC"/>
    <w:rsid w:val="3DD2EBA8"/>
    <w:rsid w:val="3DD35429"/>
    <w:rsid w:val="3DDB8229"/>
    <w:rsid w:val="3DDF9913"/>
    <w:rsid w:val="3DDFEAA4"/>
    <w:rsid w:val="3DE7CCF0"/>
    <w:rsid w:val="3DFD386E"/>
    <w:rsid w:val="3E13100E"/>
    <w:rsid w:val="3E1B38FF"/>
    <w:rsid w:val="3E1B4FDC"/>
    <w:rsid w:val="3E1BB4FB"/>
    <w:rsid w:val="3E20FE12"/>
    <w:rsid w:val="3E24721B"/>
    <w:rsid w:val="3E300833"/>
    <w:rsid w:val="3E34D157"/>
    <w:rsid w:val="3E39EE2D"/>
    <w:rsid w:val="3E4277A1"/>
    <w:rsid w:val="3E4A7BF0"/>
    <w:rsid w:val="3E4B56D8"/>
    <w:rsid w:val="3E4D3B2E"/>
    <w:rsid w:val="3E5F52CE"/>
    <w:rsid w:val="3E75704B"/>
    <w:rsid w:val="3E7D7F82"/>
    <w:rsid w:val="3EB4D7F2"/>
    <w:rsid w:val="3EB6ADE4"/>
    <w:rsid w:val="3EC295A3"/>
    <w:rsid w:val="3EC45495"/>
    <w:rsid w:val="3EE499F6"/>
    <w:rsid w:val="3EF49D02"/>
    <w:rsid w:val="3EF8BD6A"/>
    <w:rsid w:val="3F09F15A"/>
    <w:rsid w:val="3F0EDB2A"/>
    <w:rsid w:val="3F1A2FE5"/>
    <w:rsid w:val="3F2F4E02"/>
    <w:rsid w:val="3F495D67"/>
    <w:rsid w:val="3F4F3AB8"/>
    <w:rsid w:val="3F55B177"/>
    <w:rsid w:val="3F5C3C17"/>
    <w:rsid w:val="3F5E5D00"/>
    <w:rsid w:val="3F66E04E"/>
    <w:rsid w:val="3F6B44F4"/>
    <w:rsid w:val="3F7231EF"/>
    <w:rsid w:val="3F8AC9C0"/>
    <w:rsid w:val="3F8C2F1B"/>
    <w:rsid w:val="3F8E07ED"/>
    <w:rsid w:val="3F93D6D5"/>
    <w:rsid w:val="3F9C6E72"/>
    <w:rsid w:val="3F9FE0B2"/>
    <w:rsid w:val="3FA2E16B"/>
    <w:rsid w:val="3FA4B9DB"/>
    <w:rsid w:val="3FAF9682"/>
    <w:rsid w:val="3FB128F1"/>
    <w:rsid w:val="3FD1D56C"/>
    <w:rsid w:val="3FD5E062"/>
    <w:rsid w:val="3FDBC2F5"/>
    <w:rsid w:val="3FDBDA31"/>
    <w:rsid w:val="3FF37261"/>
    <w:rsid w:val="40088061"/>
    <w:rsid w:val="40111736"/>
    <w:rsid w:val="402F744A"/>
    <w:rsid w:val="40311FC9"/>
    <w:rsid w:val="4035D4F2"/>
    <w:rsid w:val="40428911"/>
    <w:rsid w:val="404D5B96"/>
    <w:rsid w:val="40515266"/>
    <w:rsid w:val="4055FB53"/>
    <w:rsid w:val="4057F2C2"/>
    <w:rsid w:val="407F868E"/>
    <w:rsid w:val="409D64D4"/>
    <w:rsid w:val="40BA311D"/>
    <w:rsid w:val="40D0F6AF"/>
    <w:rsid w:val="40D1D259"/>
    <w:rsid w:val="40D231F0"/>
    <w:rsid w:val="40E12A2A"/>
    <w:rsid w:val="40E43B2D"/>
    <w:rsid w:val="40F34FF1"/>
    <w:rsid w:val="4108A4FC"/>
    <w:rsid w:val="4108F915"/>
    <w:rsid w:val="411EDB66"/>
    <w:rsid w:val="4121A62C"/>
    <w:rsid w:val="4125D7F5"/>
    <w:rsid w:val="4129F0D2"/>
    <w:rsid w:val="41322AE4"/>
    <w:rsid w:val="414E1ADA"/>
    <w:rsid w:val="41568B34"/>
    <w:rsid w:val="415DF56E"/>
    <w:rsid w:val="416F04D6"/>
    <w:rsid w:val="4174E5E4"/>
    <w:rsid w:val="4177B50C"/>
    <w:rsid w:val="417FE466"/>
    <w:rsid w:val="41894070"/>
    <w:rsid w:val="418DD858"/>
    <w:rsid w:val="41970367"/>
    <w:rsid w:val="419B6AB4"/>
    <w:rsid w:val="41A16570"/>
    <w:rsid w:val="41B22AC3"/>
    <w:rsid w:val="41BEA4E0"/>
    <w:rsid w:val="41C26D2B"/>
    <w:rsid w:val="41C6777F"/>
    <w:rsid w:val="41C7BA01"/>
    <w:rsid w:val="41E5F558"/>
    <w:rsid w:val="41E60381"/>
    <w:rsid w:val="41EECF5B"/>
    <w:rsid w:val="41F2E6D2"/>
    <w:rsid w:val="41F921C2"/>
    <w:rsid w:val="42028B07"/>
    <w:rsid w:val="420ED813"/>
    <w:rsid w:val="42101F0B"/>
    <w:rsid w:val="4212FF2B"/>
    <w:rsid w:val="4214B90D"/>
    <w:rsid w:val="4223D5CB"/>
    <w:rsid w:val="422B8199"/>
    <w:rsid w:val="4234B6D6"/>
    <w:rsid w:val="4235A8B6"/>
    <w:rsid w:val="42473E40"/>
    <w:rsid w:val="425579CB"/>
    <w:rsid w:val="425BD39A"/>
    <w:rsid w:val="427528D4"/>
    <w:rsid w:val="42770AB1"/>
    <w:rsid w:val="42851512"/>
    <w:rsid w:val="42A1275E"/>
    <w:rsid w:val="42A52199"/>
    <w:rsid w:val="42B66C8C"/>
    <w:rsid w:val="42B9AF51"/>
    <w:rsid w:val="42C44E32"/>
    <w:rsid w:val="42CCCE88"/>
    <w:rsid w:val="42D3356A"/>
    <w:rsid w:val="42D33C4E"/>
    <w:rsid w:val="42DB1171"/>
    <w:rsid w:val="42E978C0"/>
    <w:rsid w:val="42FA7E7A"/>
    <w:rsid w:val="4300E1F2"/>
    <w:rsid w:val="43325F8D"/>
    <w:rsid w:val="434D3F07"/>
    <w:rsid w:val="434ED5FB"/>
    <w:rsid w:val="43594ED4"/>
    <w:rsid w:val="435E9283"/>
    <w:rsid w:val="436599CC"/>
    <w:rsid w:val="4365A687"/>
    <w:rsid w:val="4387248D"/>
    <w:rsid w:val="439606C6"/>
    <w:rsid w:val="43AD7883"/>
    <w:rsid w:val="43B3ABC7"/>
    <w:rsid w:val="43B4DAB7"/>
    <w:rsid w:val="43BEA7AF"/>
    <w:rsid w:val="43CC5F5D"/>
    <w:rsid w:val="43D85480"/>
    <w:rsid w:val="43E14725"/>
    <w:rsid w:val="43E26543"/>
    <w:rsid w:val="43F9D30B"/>
    <w:rsid w:val="43FC7732"/>
    <w:rsid w:val="440A5063"/>
    <w:rsid w:val="4427CB47"/>
    <w:rsid w:val="4440FE3C"/>
    <w:rsid w:val="44478F80"/>
    <w:rsid w:val="445D57AC"/>
    <w:rsid w:val="447E33B8"/>
    <w:rsid w:val="449F822F"/>
    <w:rsid w:val="44A243BB"/>
    <w:rsid w:val="44A57CA0"/>
    <w:rsid w:val="44A68D52"/>
    <w:rsid w:val="44AF3829"/>
    <w:rsid w:val="44B1B18E"/>
    <w:rsid w:val="44B6DE86"/>
    <w:rsid w:val="44C22543"/>
    <w:rsid w:val="44C32AA7"/>
    <w:rsid w:val="44D2276B"/>
    <w:rsid w:val="44D3CA2C"/>
    <w:rsid w:val="44E8C366"/>
    <w:rsid w:val="44F3A3C2"/>
    <w:rsid w:val="45078644"/>
    <w:rsid w:val="45127D57"/>
    <w:rsid w:val="45183494"/>
    <w:rsid w:val="45233DB5"/>
    <w:rsid w:val="4523B73F"/>
    <w:rsid w:val="452B618D"/>
    <w:rsid w:val="452EB973"/>
    <w:rsid w:val="4547949D"/>
    <w:rsid w:val="455AA5D6"/>
    <w:rsid w:val="45651246"/>
    <w:rsid w:val="45675CCE"/>
    <w:rsid w:val="456CEFD9"/>
    <w:rsid w:val="4573C3D1"/>
    <w:rsid w:val="457CC32C"/>
    <w:rsid w:val="45E84CC5"/>
    <w:rsid w:val="4605D4E5"/>
    <w:rsid w:val="460A8AD5"/>
    <w:rsid w:val="4614005F"/>
    <w:rsid w:val="46227DF6"/>
    <w:rsid w:val="46401BC7"/>
    <w:rsid w:val="4642102B"/>
    <w:rsid w:val="464C2C23"/>
    <w:rsid w:val="465FBEBA"/>
    <w:rsid w:val="466C3F21"/>
    <w:rsid w:val="468843F1"/>
    <w:rsid w:val="4688B8BC"/>
    <w:rsid w:val="468B5A9C"/>
    <w:rsid w:val="46A0711E"/>
    <w:rsid w:val="46A820AD"/>
    <w:rsid w:val="46A89AB3"/>
    <w:rsid w:val="46AF23E2"/>
    <w:rsid w:val="46B6F1D3"/>
    <w:rsid w:val="46B92503"/>
    <w:rsid w:val="46BD5385"/>
    <w:rsid w:val="46CB34BB"/>
    <w:rsid w:val="46D6E056"/>
    <w:rsid w:val="46D9FEB6"/>
    <w:rsid w:val="46E4E2DA"/>
    <w:rsid w:val="46EADE54"/>
    <w:rsid w:val="46FB70FA"/>
    <w:rsid w:val="470AF27C"/>
    <w:rsid w:val="47242CD3"/>
    <w:rsid w:val="47474CD0"/>
    <w:rsid w:val="4747B92E"/>
    <w:rsid w:val="4747CCAB"/>
    <w:rsid w:val="4747D490"/>
    <w:rsid w:val="474E4946"/>
    <w:rsid w:val="47526662"/>
    <w:rsid w:val="475AE7EF"/>
    <w:rsid w:val="47605DBA"/>
    <w:rsid w:val="477005F5"/>
    <w:rsid w:val="478D1070"/>
    <w:rsid w:val="47A73017"/>
    <w:rsid w:val="47A8421E"/>
    <w:rsid w:val="47A9630D"/>
    <w:rsid w:val="47AAF297"/>
    <w:rsid w:val="47B66776"/>
    <w:rsid w:val="47BD84BE"/>
    <w:rsid w:val="47DD6683"/>
    <w:rsid w:val="47EA8E8A"/>
    <w:rsid w:val="4817F67A"/>
    <w:rsid w:val="48337FAF"/>
    <w:rsid w:val="483EE9C7"/>
    <w:rsid w:val="4845DF05"/>
    <w:rsid w:val="484C7FD3"/>
    <w:rsid w:val="484E3BBC"/>
    <w:rsid w:val="485737B2"/>
    <w:rsid w:val="4860632C"/>
    <w:rsid w:val="486D8DD8"/>
    <w:rsid w:val="487047FF"/>
    <w:rsid w:val="4884FF50"/>
    <w:rsid w:val="48986A7F"/>
    <w:rsid w:val="4898B2F5"/>
    <w:rsid w:val="489C53D0"/>
    <w:rsid w:val="489D21F3"/>
    <w:rsid w:val="489EE386"/>
    <w:rsid w:val="48B1F36C"/>
    <w:rsid w:val="48BCBCD9"/>
    <w:rsid w:val="48CBFD1B"/>
    <w:rsid w:val="48D36945"/>
    <w:rsid w:val="48E23C70"/>
    <w:rsid w:val="48F2B9F9"/>
    <w:rsid w:val="48F6A1CC"/>
    <w:rsid w:val="490A1445"/>
    <w:rsid w:val="490BDFC9"/>
    <w:rsid w:val="490FC6A8"/>
    <w:rsid w:val="491A4138"/>
    <w:rsid w:val="491DB5FF"/>
    <w:rsid w:val="4932C1C0"/>
    <w:rsid w:val="49347C95"/>
    <w:rsid w:val="493E57C1"/>
    <w:rsid w:val="4943FCA9"/>
    <w:rsid w:val="495D7F03"/>
    <w:rsid w:val="4964A240"/>
    <w:rsid w:val="49835708"/>
    <w:rsid w:val="4993E44F"/>
    <w:rsid w:val="49B6C724"/>
    <w:rsid w:val="49BD0F4B"/>
    <w:rsid w:val="49CB6934"/>
    <w:rsid w:val="49D1252F"/>
    <w:rsid w:val="49E5A0FE"/>
    <w:rsid w:val="49FEAA57"/>
    <w:rsid w:val="4A1F1969"/>
    <w:rsid w:val="4A283534"/>
    <w:rsid w:val="4A302D0E"/>
    <w:rsid w:val="4A31745A"/>
    <w:rsid w:val="4A37ABDA"/>
    <w:rsid w:val="4A513620"/>
    <w:rsid w:val="4A5184E7"/>
    <w:rsid w:val="4A646EE8"/>
    <w:rsid w:val="4A6D5DB5"/>
    <w:rsid w:val="4A86DF1B"/>
    <w:rsid w:val="4A884A0D"/>
    <w:rsid w:val="4A89C831"/>
    <w:rsid w:val="4A93A2C8"/>
    <w:rsid w:val="4AAEE426"/>
    <w:rsid w:val="4AB38351"/>
    <w:rsid w:val="4ACB7163"/>
    <w:rsid w:val="4ACCC3C6"/>
    <w:rsid w:val="4AD14A10"/>
    <w:rsid w:val="4AD1AEB7"/>
    <w:rsid w:val="4AE97583"/>
    <w:rsid w:val="4AF44528"/>
    <w:rsid w:val="4B068351"/>
    <w:rsid w:val="4B0B6A96"/>
    <w:rsid w:val="4B14D880"/>
    <w:rsid w:val="4B4E475F"/>
    <w:rsid w:val="4B510E2F"/>
    <w:rsid w:val="4B5359D5"/>
    <w:rsid w:val="4B553EEF"/>
    <w:rsid w:val="4B5836FD"/>
    <w:rsid w:val="4B58FBE4"/>
    <w:rsid w:val="4B662B8C"/>
    <w:rsid w:val="4B718B18"/>
    <w:rsid w:val="4B78960B"/>
    <w:rsid w:val="4B7D1E20"/>
    <w:rsid w:val="4B8518DA"/>
    <w:rsid w:val="4BACB105"/>
    <w:rsid w:val="4BBE57CF"/>
    <w:rsid w:val="4BCBD377"/>
    <w:rsid w:val="4BD70047"/>
    <w:rsid w:val="4BD78605"/>
    <w:rsid w:val="4BE03C10"/>
    <w:rsid w:val="4BEC3E3F"/>
    <w:rsid w:val="4BF40B9C"/>
    <w:rsid w:val="4BFDE2BC"/>
    <w:rsid w:val="4C197FB6"/>
    <w:rsid w:val="4C198D91"/>
    <w:rsid w:val="4C1EA73A"/>
    <w:rsid w:val="4C278C0A"/>
    <w:rsid w:val="4C57D0A0"/>
    <w:rsid w:val="4C5A5A75"/>
    <w:rsid w:val="4C6B8A08"/>
    <w:rsid w:val="4C750EF8"/>
    <w:rsid w:val="4C82066D"/>
    <w:rsid w:val="4C9D975E"/>
    <w:rsid w:val="4CB211A0"/>
    <w:rsid w:val="4CBB53D6"/>
    <w:rsid w:val="4CBC1D24"/>
    <w:rsid w:val="4CD2B13B"/>
    <w:rsid w:val="4CDBDC21"/>
    <w:rsid w:val="4CECC158"/>
    <w:rsid w:val="4CF38FC7"/>
    <w:rsid w:val="4D1292CE"/>
    <w:rsid w:val="4D1CA740"/>
    <w:rsid w:val="4D1CE7A6"/>
    <w:rsid w:val="4D6DE9CB"/>
    <w:rsid w:val="4D7180ED"/>
    <w:rsid w:val="4D73F3CB"/>
    <w:rsid w:val="4D87640A"/>
    <w:rsid w:val="4D9389E8"/>
    <w:rsid w:val="4D9A1E58"/>
    <w:rsid w:val="4DA2CC7D"/>
    <w:rsid w:val="4DAA340E"/>
    <w:rsid w:val="4DB6B9C0"/>
    <w:rsid w:val="4DCD3804"/>
    <w:rsid w:val="4DD76EF9"/>
    <w:rsid w:val="4DEB61BF"/>
    <w:rsid w:val="4DED0553"/>
    <w:rsid w:val="4DFFFCCD"/>
    <w:rsid w:val="4E11D37C"/>
    <w:rsid w:val="4E20ADD7"/>
    <w:rsid w:val="4E3265DC"/>
    <w:rsid w:val="4E42A238"/>
    <w:rsid w:val="4E585B66"/>
    <w:rsid w:val="4E59E0AD"/>
    <w:rsid w:val="4E5CFA62"/>
    <w:rsid w:val="4E6FF11A"/>
    <w:rsid w:val="4E9F0442"/>
    <w:rsid w:val="4EA70BBE"/>
    <w:rsid w:val="4ECA4763"/>
    <w:rsid w:val="4ECE76E5"/>
    <w:rsid w:val="4ED091D1"/>
    <w:rsid w:val="4ED142DF"/>
    <w:rsid w:val="4ED56602"/>
    <w:rsid w:val="4EDC4CB4"/>
    <w:rsid w:val="4F07E50C"/>
    <w:rsid w:val="4F10C053"/>
    <w:rsid w:val="4F12AF9B"/>
    <w:rsid w:val="4F1EA566"/>
    <w:rsid w:val="4F309020"/>
    <w:rsid w:val="4F3F6629"/>
    <w:rsid w:val="4F43C3ED"/>
    <w:rsid w:val="4F48EDF1"/>
    <w:rsid w:val="4F5DD69E"/>
    <w:rsid w:val="4F5FA2E3"/>
    <w:rsid w:val="4F76008C"/>
    <w:rsid w:val="4F80C380"/>
    <w:rsid w:val="4F93B127"/>
    <w:rsid w:val="4FA9FF2A"/>
    <w:rsid w:val="4FAC5F7A"/>
    <w:rsid w:val="4FBF7658"/>
    <w:rsid w:val="4FC00323"/>
    <w:rsid w:val="4FC6DAAC"/>
    <w:rsid w:val="4FCB6DA3"/>
    <w:rsid w:val="4FCE85F4"/>
    <w:rsid w:val="4FCF2FE8"/>
    <w:rsid w:val="4FE6AC21"/>
    <w:rsid w:val="4FED104F"/>
    <w:rsid w:val="4FEDDD6B"/>
    <w:rsid w:val="4FF4DE4E"/>
    <w:rsid w:val="4FF5A3E8"/>
    <w:rsid w:val="50018D7C"/>
    <w:rsid w:val="500484AC"/>
    <w:rsid w:val="50054C94"/>
    <w:rsid w:val="5014D924"/>
    <w:rsid w:val="501945FC"/>
    <w:rsid w:val="50234682"/>
    <w:rsid w:val="5024F9F8"/>
    <w:rsid w:val="50368AD2"/>
    <w:rsid w:val="504309D8"/>
    <w:rsid w:val="50440C02"/>
    <w:rsid w:val="504FB78F"/>
    <w:rsid w:val="505648C3"/>
    <w:rsid w:val="50670EEC"/>
    <w:rsid w:val="506C1F2B"/>
    <w:rsid w:val="506E87AB"/>
    <w:rsid w:val="5073438A"/>
    <w:rsid w:val="508915F7"/>
    <w:rsid w:val="509909C8"/>
    <w:rsid w:val="50A1E30A"/>
    <w:rsid w:val="50A3CBB1"/>
    <w:rsid w:val="50B5224D"/>
    <w:rsid w:val="50BA97FA"/>
    <w:rsid w:val="50BDCF65"/>
    <w:rsid w:val="50C57AAD"/>
    <w:rsid w:val="50D998DC"/>
    <w:rsid w:val="50E0957C"/>
    <w:rsid w:val="50F14601"/>
    <w:rsid w:val="50F485E5"/>
    <w:rsid w:val="5118C2AE"/>
    <w:rsid w:val="512DBDC5"/>
    <w:rsid w:val="513E45A2"/>
    <w:rsid w:val="5140A7FC"/>
    <w:rsid w:val="51548A39"/>
    <w:rsid w:val="51588406"/>
    <w:rsid w:val="515AD3CF"/>
    <w:rsid w:val="51654830"/>
    <w:rsid w:val="5169D24E"/>
    <w:rsid w:val="5171C882"/>
    <w:rsid w:val="5183630D"/>
    <w:rsid w:val="5186E845"/>
    <w:rsid w:val="51894AD9"/>
    <w:rsid w:val="51901F44"/>
    <w:rsid w:val="519A5156"/>
    <w:rsid w:val="519EA4D2"/>
    <w:rsid w:val="51AC8BE2"/>
    <w:rsid w:val="51B3C7FF"/>
    <w:rsid w:val="51BA07E9"/>
    <w:rsid w:val="51BFF1C8"/>
    <w:rsid w:val="51CBB54B"/>
    <w:rsid w:val="51D41E80"/>
    <w:rsid w:val="51D8D31A"/>
    <w:rsid w:val="51E6AB5C"/>
    <w:rsid w:val="51FDD26D"/>
    <w:rsid w:val="51FDDAD9"/>
    <w:rsid w:val="520898FF"/>
    <w:rsid w:val="5237A78B"/>
    <w:rsid w:val="523F6A3C"/>
    <w:rsid w:val="524223C0"/>
    <w:rsid w:val="52532C8A"/>
    <w:rsid w:val="5279C732"/>
    <w:rsid w:val="5289E53E"/>
    <w:rsid w:val="528DA749"/>
    <w:rsid w:val="529539F7"/>
    <w:rsid w:val="529C67CC"/>
    <w:rsid w:val="52A86770"/>
    <w:rsid w:val="52B952A9"/>
    <w:rsid w:val="52C04760"/>
    <w:rsid w:val="52C1358F"/>
    <w:rsid w:val="52C4AF56"/>
    <w:rsid w:val="52CD22E4"/>
    <w:rsid w:val="52D580B9"/>
    <w:rsid w:val="52D80609"/>
    <w:rsid w:val="52E41352"/>
    <w:rsid w:val="52E967EC"/>
    <w:rsid w:val="52EAFB13"/>
    <w:rsid w:val="52EBDFD1"/>
    <w:rsid w:val="52F44A98"/>
    <w:rsid w:val="52FB6C78"/>
    <w:rsid w:val="52FE5B6D"/>
    <w:rsid w:val="531C81B1"/>
    <w:rsid w:val="532E01C4"/>
    <w:rsid w:val="5335E343"/>
    <w:rsid w:val="533A2037"/>
    <w:rsid w:val="534E77A4"/>
    <w:rsid w:val="534F2921"/>
    <w:rsid w:val="53555645"/>
    <w:rsid w:val="53586AAC"/>
    <w:rsid w:val="535CDDAF"/>
    <w:rsid w:val="536155B1"/>
    <w:rsid w:val="5365ED28"/>
    <w:rsid w:val="5367CCB9"/>
    <w:rsid w:val="5377C4E9"/>
    <w:rsid w:val="537BE573"/>
    <w:rsid w:val="537C4E96"/>
    <w:rsid w:val="538B6467"/>
    <w:rsid w:val="5393B624"/>
    <w:rsid w:val="5397B2FC"/>
    <w:rsid w:val="53ADD7AB"/>
    <w:rsid w:val="53B733F4"/>
    <w:rsid w:val="53CDEE7E"/>
    <w:rsid w:val="53D17962"/>
    <w:rsid w:val="53D2D42E"/>
    <w:rsid w:val="53E25DDA"/>
    <w:rsid w:val="53EBB673"/>
    <w:rsid w:val="53F4EC88"/>
    <w:rsid w:val="5401BAF3"/>
    <w:rsid w:val="542486AF"/>
    <w:rsid w:val="5424F1B8"/>
    <w:rsid w:val="5427DB7D"/>
    <w:rsid w:val="5429579F"/>
    <w:rsid w:val="5432E9C4"/>
    <w:rsid w:val="54388C4F"/>
    <w:rsid w:val="543C7A0E"/>
    <w:rsid w:val="543FA4D0"/>
    <w:rsid w:val="544780FE"/>
    <w:rsid w:val="5458BD90"/>
    <w:rsid w:val="545EA169"/>
    <w:rsid w:val="54749DA4"/>
    <w:rsid w:val="5476CFBE"/>
    <w:rsid w:val="547FCF23"/>
    <w:rsid w:val="5487CFFF"/>
    <w:rsid w:val="54895E69"/>
    <w:rsid w:val="548C50AF"/>
    <w:rsid w:val="549257D3"/>
    <w:rsid w:val="54A6754E"/>
    <w:rsid w:val="54A7173B"/>
    <w:rsid w:val="54AA1732"/>
    <w:rsid w:val="54B43540"/>
    <w:rsid w:val="54C44D83"/>
    <w:rsid w:val="54D26298"/>
    <w:rsid w:val="54ED1401"/>
    <w:rsid w:val="54FA53A9"/>
    <w:rsid w:val="5519832A"/>
    <w:rsid w:val="55256275"/>
    <w:rsid w:val="5537F5F2"/>
    <w:rsid w:val="553DC1DC"/>
    <w:rsid w:val="5541C58F"/>
    <w:rsid w:val="554F83C9"/>
    <w:rsid w:val="55506DE1"/>
    <w:rsid w:val="5553B95D"/>
    <w:rsid w:val="555AF0E0"/>
    <w:rsid w:val="556ECADA"/>
    <w:rsid w:val="55736FE9"/>
    <w:rsid w:val="5574DB99"/>
    <w:rsid w:val="5577406B"/>
    <w:rsid w:val="557F919D"/>
    <w:rsid w:val="55B23A5C"/>
    <w:rsid w:val="55B93794"/>
    <w:rsid w:val="55D3C0B7"/>
    <w:rsid w:val="55DB2C24"/>
    <w:rsid w:val="55E3CD99"/>
    <w:rsid w:val="55EAD30B"/>
    <w:rsid w:val="56088DF4"/>
    <w:rsid w:val="560EA00C"/>
    <w:rsid w:val="56105F80"/>
    <w:rsid w:val="56106618"/>
    <w:rsid w:val="562FCEDF"/>
    <w:rsid w:val="56374400"/>
    <w:rsid w:val="5637A7BD"/>
    <w:rsid w:val="5640F16F"/>
    <w:rsid w:val="564B6769"/>
    <w:rsid w:val="564E666E"/>
    <w:rsid w:val="565DA541"/>
    <w:rsid w:val="56605351"/>
    <w:rsid w:val="5699570F"/>
    <w:rsid w:val="56A088BD"/>
    <w:rsid w:val="56B319BB"/>
    <w:rsid w:val="56B4C698"/>
    <w:rsid w:val="56BCD9AB"/>
    <w:rsid w:val="56C81AC6"/>
    <w:rsid w:val="56D39B54"/>
    <w:rsid w:val="56D8F0F6"/>
    <w:rsid w:val="56D91066"/>
    <w:rsid w:val="56F07548"/>
    <w:rsid w:val="56F39355"/>
    <w:rsid w:val="56FA6F03"/>
    <w:rsid w:val="56FE0A34"/>
    <w:rsid w:val="5715FABB"/>
    <w:rsid w:val="5723E1A1"/>
    <w:rsid w:val="57287B8F"/>
    <w:rsid w:val="5728D771"/>
    <w:rsid w:val="572F2DB0"/>
    <w:rsid w:val="573621CC"/>
    <w:rsid w:val="573FA33C"/>
    <w:rsid w:val="574BDF67"/>
    <w:rsid w:val="5756D709"/>
    <w:rsid w:val="57614676"/>
    <w:rsid w:val="578774F8"/>
    <w:rsid w:val="57894F85"/>
    <w:rsid w:val="578C6DEB"/>
    <w:rsid w:val="579FDA7B"/>
    <w:rsid w:val="57A23EC5"/>
    <w:rsid w:val="57A5AC2A"/>
    <w:rsid w:val="57CD649D"/>
    <w:rsid w:val="57F8E142"/>
    <w:rsid w:val="58082207"/>
    <w:rsid w:val="58091CF5"/>
    <w:rsid w:val="580963BA"/>
    <w:rsid w:val="580A222B"/>
    <w:rsid w:val="5810ADF0"/>
    <w:rsid w:val="581BD116"/>
    <w:rsid w:val="582C2D64"/>
    <w:rsid w:val="5834772B"/>
    <w:rsid w:val="583B4286"/>
    <w:rsid w:val="583E842D"/>
    <w:rsid w:val="58403AE5"/>
    <w:rsid w:val="5842BDA5"/>
    <w:rsid w:val="58456479"/>
    <w:rsid w:val="58473B28"/>
    <w:rsid w:val="584C5082"/>
    <w:rsid w:val="58576920"/>
    <w:rsid w:val="585DA335"/>
    <w:rsid w:val="587F3D87"/>
    <w:rsid w:val="5886E14A"/>
    <w:rsid w:val="5891266E"/>
    <w:rsid w:val="58918A2E"/>
    <w:rsid w:val="5894CE7C"/>
    <w:rsid w:val="58A21B5D"/>
    <w:rsid w:val="58B43394"/>
    <w:rsid w:val="58E835BF"/>
    <w:rsid w:val="58EBE028"/>
    <w:rsid w:val="58EDD83C"/>
    <w:rsid w:val="58F44272"/>
    <w:rsid w:val="58F65200"/>
    <w:rsid w:val="58FD67AB"/>
    <w:rsid w:val="5903831E"/>
    <w:rsid w:val="590A901B"/>
    <w:rsid w:val="592327EB"/>
    <w:rsid w:val="59247325"/>
    <w:rsid w:val="5938D7A3"/>
    <w:rsid w:val="593D8892"/>
    <w:rsid w:val="59526A81"/>
    <w:rsid w:val="595C9B12"/>
    <w:rsid w:val="595CAE55"/>
    <w:rsid w:val="59603F07"/>
    <w:rsid w:val="59A358FB"/>
    <w:rsid w:val="59ACE2F8"/>
    <w:rsid w:val="59AFBAAF"/>
    <w:rsid w:val="59B6B6AE"/>
    <w:rsid w:val="59B8D725"/>
    <w:rsid w:val="59BCC7A1"/>
    <w:rsid w:val="59BDBAEF"/>
    <w:rsid w:val="59C57046"/>
    <w:rsid w:val="59CB9AF7"/>
    <w:rsid w:val="59CEAA6D"/>
    <w:rsid w:val="59D36749"/>
    <w:rsid w:val="59F2355F"/>
    <w:rsid w:val="59F29E3C"/>
    <w:rsid w:val="59F6AAA3"/>
    <w:rsid w:val="5A013685"/>
    <w:rsid w:val="5A032577"/>
    <w:rsid w:val="5A1E5D58"/>
    <w:rsid w:val="5A218A22"/>
    <w:rsid w:val="5A2D828A"/>
    <w:rsid w:val="5A327DDE"/>
    <w:rsid w:val="5A3A1689"/>
    <w:rsid w:val="5A4C84A9"/>
    <w:rsid w:val="5A5035A1"/>
    <w:rsid w:val="5A58ED9A"/>
    <w:rsid w:val="5A5F3E88"/>
    <w:rsid w:val="5A61AF58"/>
    <w:rsid w:val="5A652D5A"/>
    <w:rsid w:val="5A7FE3CB"/>
    <w:rsid w:val="5A859BBC"/>
    <w:rsid w:val="5A97CC7C"/>
    <w:rsid w:val="5A9AD5DC"/>
    <w:rsid w:val="5A9C5094"/>
    <w:rsid w:val="5AA41837"/>
    <w:rsid w:val="5AAAF013"/>
    <w:rsid w:val="5AB0A55E"/>
    <w:rsid w:val="5AB76EE7"/>
    <w:rsid w:val="5ADBB809"/>
    <w:rsid w:val="5ADDC57F"/>
    <w:rsid w:val="5AE89EE6"/>
    <w:rsid w:val="5B358EB6"/>
    <w:rsid w:val="5B3AA1F6"/>
    <w:rsid w:val="5B3E3793"/>
    <w:rsid w:val="5B5AF9E3"/>
    <w:rsid w:val="5B5B3534"/>
    <w:rsid w:val="5B61C9A8"/>
    <w:rsid w:val="5B735623"/>
    <w:rsid w:val="5B7A9163"/>
    <w:rsid w:val="5B842407"/>
    <w:rsid w:val="5BB53C94"/>
    <w:rsid w:val="5BBD1ADA"/>
    <w:rsid w:val="5BBE6452"/>
    <w:rsid w:val="5BC0109C"/>
    <w:rsid w:val="5BCDCF94"/>
    <w:rsid w:val="5BD1B5E8"/>
    <w:rsid w:val="5BD418F4"/>
    <w:rsid w:val="5BE36559"/>
    <w:rsid w:val="5BFDBD10"/>
    <w:rsid w:val="5BFFB6D8"/>
    <w:rsid w:val="5C06B3B3"/>
    <w:rsid w:val="5C0B75FB"/>
    <w:rsid w:val="5C271852"/>
    <w:rsid w:val="5C2BDBD7"/>
    <w:rsid w:val="5C343455"/>
    <w:rsid w:val="5C3C59A6"/>
    <w:rsid w:val="5C3E15D4"/>
    <w:rsid w:val="5C3F277F"/>
    <w:rsid w:val="5C3F3269"/>
    <w:rsid w:val="5C454F02"/>
    <w:rsid w:val="5C475780"/>
    <w:rsid w:val="5C6344C2"/>
    <w:rsid w:val="5C678628"/>
    <w:rsid w:val="5C6D7E4F"/>
    <w:rsid w:val="5C6FB4F1"/>
    <w:rsid w:val="5C74C4F0"/>
    <w:rsid w:val="5C8D4B67"/>
    <w:rsid w:val="5C8F1328"/>
    <w:rsid w:val="5C921057"/>
    <w:rsid w:val="5C9BD9B8"/>
    <w:rsid w:val="5CA72042"/>
    <w:rsid w:val="5CAB3DE7"/>
    <w:rsid w:val="5CC38166"/>
    <w:rsid w:val="5CC548AB"/>
    <w:rsid w:val="5CC72D35"/>
    <w:rsid w:val="5CD9D4A8"/>
    <w:rsid w:val="5CDAD0C7"/>
    <w:rsid w:val="5CED2880"/>
    <w:rsid w:val="5CF4FD3F"/>
    <w:rsid w:val="5CFEF17E"/>
    <w:rsid w:val="5D0608AA"/>
    <w:rsid w:val="5D3118B8"/>
    <w:rsid w:val="5D321140"/>
    <w:rsid w:val="5D356C19"/>
    <w:rsid w:val="5D39CBF5"/>
    <w:rsid w:val="5D49943B"/>
    <w:rsid w:val="5D4FF0B2"/>
    <w:rsid w:val="5D5502A9"/>
    <w:rsid w:val="5D662034"/>
    <w:rsid w:val="5D6AFAF3"/>
    <w:rsid w:val="5D6E495F"/>
    <w:rsid w:val="5D92D880"/>
    <w:rsid w:val="5D96CA80"/>
    <w:rsid w:val="5DAB5287"/>
    <w:rsid w:val="5DBFAEDD"/>
    <w:rsid w:val="5DCC771D"/>
    <w:rsid w:val="5DCE4443"/>
    <w:rsid w:val="5DCFC16C"/>
    <w:rsid w:val="5DE77D45"/>
    <w:rsid w:val="5DF2D4E8"/>
    <w:rsid w:val="5DF3A3B6"/>
    <w:rsid w:val="5DF5DD23"/>
    <w:rsid w:val="5E07A0D1"/>
    <w:rsid w:val="5E2D6A2E"/>
    <w:rsid w:val="5E2E46AD"/>
    <w:rsid w:val="5E3C8627"/>
    <w:rsid w:val="5E41EE3E"/>
    <w:rsid w:val="5E5CA4A2"/>
    <w:rsid w:val="5E678A66"/>
    <w:rsid w:val="5E69901E"/>
    <w:rsid w:val="5E69E2A2"/>
    <w:rsid w:val="5E6A9BE8"/>
    <w:rsid w:val="5E7120EF"/>
    <w:rsid w:val="5E94FE72"/>
    <w:rsid w:val="5EA30857"/>
    <w:rsid w:val="5EC4DC22"/>
    <w:rsid w:val="5ECC57AA"/>
    <w:rsid w:val="5ED84D6C"/>
    <w:rsid w:val="5EDE250B"/>
    <w:rsid w:val="5EDF0DD5"/>
    <w:rsid w:val="5EE87235"/>
    <w:rsid w:val="5EEE2D3B"/>
    <w:rsid w:val="5EF07438"/>
    <w:rsid w:val="5EF4EE6D"/>
    <w:rsid w:val="5EF7738B"/>
    <w:rsid w:val="5EF82092"/>
    <w:rsid w:val="5F02DDD2"/>
    <w:rsid w:val="5F2379BB"/>
    <w:rsid w:val="5F2C4C55"/>
    <w:rsid w:val="5F38A10A"/>
    <w:rsid w:val="5F45619D"/>
    <w:rsid w:val="5F5BC392"/>
    <w:rsid w:val="5F74BCA4"/>
    <w:rsid w:val="5FA3EC47"/>
    <w:rsid w:val="5FB0BC99"/>
    <w:rsid w:val="5FD98D6C"/>
    <w:rsid w:val="5FE35451"/>
    <w:rsid w:val="5FE94541"/>
    <w:rsid w:val="5FEB4116"/>
    <w:rsid w:val="5FFD4A75"/>
    <w:rsid w:val="60090697"/>
    <w:rsid w:val="600CAE5F"/>
    <w:rsid w:val="60164E77"/>
    <w:rsid w:val="60185480"/>
    <w:rsid w:val="602B0A0E"/>
    <w:rsid w:val="60376138"/>
    <w:rsid w:val="604531AC"/>
    <w:rsid w:val="6053E49F"/>
    <w:rsid w:val="605BCEBF"/>
    <w:rsid w:val="606261B9"/>
    <w:rsid w:val="6070253E"/>
    <w:rsid w:val="607DB149"/>
    <w:rsid w:val="60809C79"/>
    <w:rsid w:val="6096110B"/>
    <w:rsid w:val="609B63C4"/>
    <w:rsid w:val="60B08162"/>
    <w:rsid w:val="60C64804"/>
    <w:rsid w:val="60CDDF86"/>
    <w:rsid w:val="60D1B7EC"/>
    <w:rsid w:val="60D4000D"/>
    <w:rsid w:val="60DADE02"/>
    <w:rsid w:val="60E1DB0F"/>
    <w:rsid w:val="60E3A2A5"/>
    <w:rsid w:val="60E62197"/>
    <w:rsid w:val="60F20C49"/>
    <w:rsid w:val="60FC79BF"/>
    <w:rsid w:val="6109F3EB"/>
    <w:rsid w:val="6157D176"/>
    <w:rsid w:val="615D079F"/>
    <w:rsid w:val="6161DD1C"/>
    <w:rsid w:val="61641A2B"/>
    <w:rsid w:val="616C4EC5"/>
    <w:rsid w:val="61728D71"/>
    <w:rsid w:val="6173D6A6"/>
    <w:rsid w:val="617FBB69"/>
    <w:rsid w:val="618E4B8C"/>
    <w:rsid w:val="619AA6E6"/>
    <w:rsid w:val="61A36007"/>
    <w:rsid w:val="61A54074"/>
    <w:rsid w:val="61AE5B12"/>
    <w:rsid w:val="61CBB36D"/>
    <w:rsid w:val="61CBD595"/>
    <w:rsid w:val="61D3F5C8"/>
    <w:rsid w:val="61D9AD63"/>
    <w:rsid w:val="61FADD9D"/>
    <w:rsid w:val="620105D8"/>
    <w:rsid w:val="62103E76"/>
    <w:rsid w:val="621B48C5"/>
    <w:rsid w:val="622B2644"/>
    <w:rsid w:val="622DAC15"/>
    <w:rsid w:val="62359812"/>
    <w:rsid w:val="625A7262"/>
    <w:rsid w:val="62656905"/>
    <w:rsid w:val="62668538"/>
    <w:rsid w:val="6275E954"/>
    <w:rsid w:val="62802DA8"/>
    <w:rsid w:val="6280D17B"/>
    <w:rsid w:val="628B7A63"/>
    <w:rsid w:val="628C6167"/>
    <w:rsid w:val="628C7A3F"/>
    <w:rsid w:val="628E2E7A"/>
    <w:rsid w:val="6296961A"/>
    <w:rsid w:val="62A52CD4"/>
    <w:rsid w:val="62CAA1A9"/>
    <w:rsid w:val="62D23425"/>
    <w:rsid w:val="62D63FA1"/>
    <w:rsid w:val="6317BC40"/>
    <w:rsid w:val="63256FCC"/>
    <w:rsid w:val="63287A38"/>
    <w:rsid w:val="633A9D6D"/>
    <w:rsid w:val="636E9C5E"/>
    <w:rsid w:val="638B4448"/>
    <w:rsid w:val="63992C91"/>
    <w:rsid w:val="639AF1D4"/>
    <w:rsid w:val="639C96ED"/>
    <w:rsid w:val="63B504C8"/>
    <w:rsid w:val="63B7415F"/>
    <w:rsid w:val="63BC4EBD"/>
    <w:rsid w:val="63C5A994"/>
    <w:rsid w:val="63CA5AC3"/>
    <w:rsid w:val="63DE4A85"/>
    <w:rsid w:val="63E96DB9"/>
    <w:rsid w:val="63F70104"/>
    <w:rsid w:val="63F9A419"/>
    <w:rsid w:val="63FB6D52"/>
    <w:rsid w:val="64060071"/>
    <w:rsid w:val="64093332"/>
    <w:rsid w:val="640A7CD8"/>
    <w:rsid w:val="64147DE3"/>
    <w:rsid w:val="641FE784"/>
    <w:rsid w:val="6427B769"/>
    <w:rsid w:val="64285BB9"/>
    <w:rsid w:val="642F0F03"/>
    <w:rsid w:val="64351482"/>
    <w:rsid w:val="644185B0"/>
    <w:rsid w:val="64542248"/>
    <w:rsid w:val="6459F6C5"/>
    <w:rsid w:val="645DFDDF"/>
    <w:rsid w:val="64646B91"/>
    <w:rsid w:val="6465BB50"/>
    <w:rsid w:val="647656F6"/>
    <w:rsid w:val="647DD0A1"/>
    <w:rsid w:val="647ECFDB"/>
    <w:rsid w:val="649662EE"/>
    <w:rsid w:val="649AB9C4"/>
    <w:rsid w:val="64A6F35C"/>
    <w:rsid w:val="64BF8307"/>
    <w:rsid w:val="64CC84E2"/>
    <w:rsid w:val="64D2722E"/>
    <w:rsid w:val="64D43758"/>
    <w:rsid w:val="64DB6DAC"/>
    <w:rsid w:val="64E4E134"/>
    <w:rsid w:val="64FACB42"/>
    <w:rsid w:val="64FD11D0"/>
    <w:rsid w:val="64FE63F5"/>
    <w:rsid w:val="65073166"/>
    <w:rsid w:val="650AD1EA"/>
    <w:rsid w:val="652E7008"/>
    <w:rsid w:val="6534FB1A"/>
    <w:rsid w:val="6536C872"/>
    <w:rsid w:val="65513506"/>
    <w:rsid w:val="65534353"/>
    <w:rsid w:val="656E121E"/>
    <w:rsid w:val="6570C796"/>
    <w:rsid w:val="657CDC3E"/>
    <w:rsid w:val="65812BF5"/>
    <w:rsid w:val="6590D92F"/>
    <w:rsid w:val="659C52F7"/>
    <w:rsid w:val="659C836A"/>
    <w:rsid w:val="659EE2FC"/>
    <w:rsid w:val="65A07AAD"/>
    <w:rsid w:val="65A500D9"/>
    <w:rsid w:val="65B81B9A"/>
    <w:rsid w:val="65CB7AB9"/>
    <w:rsid w:val="65E0BCCE"/>
    <w:rsid w:val="65E8CB92"/>
    <w:rsid w:val="65E9F987"/>
    <w:rsid w:val="65F6E315"/>
    <w:rsid w:val="65FDFC3D"/>
    <w:rsid w:val="65FFC248"/>
    <w:rsid w:val="66229D6A"/>
    <w:rsid w:val="662361EB"/>
    <w:rsid w:val="6625D4FB"/>
    <w:rsid w:val="662FAE79"/>
    <w:rsid w:val="663383FD"/>
    <w:rsid w:val="663FD880"/>
    <w:rsid w:val="66507E47"/>
    <w:rsid w:val="6652F4EB"/>
    <w:rsid w:val="6655305D"/>
    <w:rsid w:val="66713716"/>
    <w:rsid w:val="668CAFA2"/>
    <w:rsid w:val="66AF2360"/>
    <w:rsid w:val="66B3942B"/>
    <w:rsid w:val="66B3F22E"/>
    <w:rsid w:val="66BDF2C5"/>
    <w:rsid w:val="66CDCE02"/>
    <w:rsid w:val="66D287BB"/>
    <w:rsid w:val="66E3C930"/>
    <w:rsid w:val="66F9EDEF"/>
    <w:rsid w:val="66FAA757"/>
    <w:rsid w:val="66FE382B"/>
    <w:rsid w:val="670B3B06"/>
    <w:rsid w:val="670F57F3"/>
    <w:rsid w:val="67207DC2"/>
    <w:rsid w:val="6720D89A"/>
    <w:rsid w:val="672334B6"/>
    <w:rsid w:val="67322462"/>
    <w:rsid w:val="673E360F"/>
    <w:rsid w:val="673E36E9"/>
    <w:rsid w:val="67584D7C"/>
    <w:rsid w:val="67639D65"/>
    <w:rsid w:val="67655EB0"/>
    <w:rsid w:val="676B5290"/>
    <w:rsid w:val="677A4701"/>
    <w:rsid w:val="677FA1ED"/>
    <w:rsid w:val="678F997E"/>
    <w:rsid w:val="6797CF08"/>
    <w:rsid w:val="679A2F06"/>
    <w:rsid w:val="679D2CD2"/>
    <w:rsid w:val="67A2034C"/>
    <w:rsid w:val="67A235D3"/>
    <w:rsid w:val="67A4237C"/>
    <w:rsid w:val="67AB2A56"/>
    <w:rsid w:val="67B35D23"/>
    <w:rsid w:val="67BC3EB2"/>
    <w:rsid w:val="67D4A618"/>
    <w:rsid w:val="67D70E36"/>
    <w:rsid w:val="67DD941A"/>
    <w:rsid w:val="67EFACD2"/>
    <w:rsid w:val="67FEF103"/>
    <w:rsid w:val="6805E535"/>
    <w:rsid w:val="6817E0C0"/>
    <w:rsid w:val="684DDA96"/>
    <w:rsid w:val="68552FBF"/>
    <w:rsid w:val="68559074"/>
    <w:rsid w:val="686FA65C"/>
    <w:rsid w:val="688BDE9F"/>
    <w:rsid w:val="688DE41D"/>
    <w:rsid w:val="689E1B1A"/>
    <w:rsid w:val="68A12142"/>
    <w:rsid w:val="68A8398B"/>
    <w:rsid w:val="68ACF530"/>
    <w:rsid w:val="68C1F24A"/>
    <w:rsid w:val="68C2A717"/>
    <w:rsid w:val="68DDA522"/>
    <w:rsid w:val="68E08EDC"/>
    <w:rsid w:val="68EB2AAA"/>
    <w:rsid w:val="69154270"/>
    <w:rsid w:val="691721E2"/>
    <w:rsid w:val="6926F848"/>
    <w:rsid w:val="69273E0B"/>
    <w:rsid w:val="692C4CE2"/>
    <w:rsid w:val="692F98C2"/>
    <w:rsid w:val="6931AB05"/>
    <w:rsid w:val="693E5F5C"/>
    <w:rsid w:val="696B1690"/>
    <w:rsid w:val="696F319E"/>
    <w:rsid w:val="697729FF"/>
    <w:rsid w:val="698AECF0"/>
    <w:rsid w:val="698C93B6"/>
    <w:rsid w:val="698E274D"/>
    <w:rsid w:val="6993F2F1"/>
    <w:rsid w:val="69943CE3"/>
    <w:rsid w:val="6994A8A4"/>
    <w:rsid w:val="6998C1E1"/>
    <w:rsid w:val="69AD598B"/>
    <w:rsid w:val="69BB1B00"/>
    <w:rsid w:val="69C83013"/>
    <w:rsid w:val="69DA8D54"/>
    <w:rsid w:val="6A0442B4"/>
    <w:rsid w:val="6A119E56"/>
    <w:rsid w:val="6A24F419"/>
    <w:rsid w:val="6A2E6492"/>
    <w:rsid w:val="6A3A4C02"/>
    <w:rsid w:val="6A3ABC6C"/>
    <w:rsid w:val="6A5919E1"/>
    <w:rsid w:val="6A6FD7E6"/>
    <w:rsid w:val="6A878858"/>
    <w:rsid w:val="6A9C5A97"/>
    <w:rsid w:val="6A9FF9C9"/>
    <w:rsid w:val="6AA869DA"/>
    <w:rsid w:val="6AACB40F"/>
    <w:rsid w:val="6AC35F56"/>
    <w:rsid w:val="6ACBFD91"/>
    <w:rsid w:val="6ACFA29B"/>
    <w:rsid w:val="6AE967A9"/>
    <w:rsid w:val="6AEE904E"/>
    <w:rsid w:val="6B02319D"/>
    <w:rsid w:val="6B067D78"/>
    <w:rsid w:val="6B0E3570"/>
    <w:rsid w:val="6B0F61F1"/>
    <w:rsid w:val="6B184C9D"/>
    <w:rsid w:val="6B19E265"/>
    <w:rsid w:val="6B1E1710"/>
    <w:rsid w:val="6B1FB7DB"/>
    <w:rsid w:val="6B39D9BB"/>
    <w:rsid w:val="6B4CB19C"/>
    <w:rsid w:val="6B566D25"/>
    <w:rsid w:val="6B59BCE0"/>
    <w:rsid w:val="6B8C6C1D"/>
    <w:rsid w:val="6B90A595"/>
    <w:rsid w:val="6B9B5D80"/>
    <w:rsid w:val="6BA93662"/>
    <w:rsid w:val="6BAC1B72"/>
    <w:rsid w:val="6BB2AC2E"/>
    <w:rsid w:val="6BBCE8F2"/>
    <w:rsid w:val="6BBF1618"/>
    <w:rsid w:val="6BC9283E"/>
    <w:rsid w:val="6BDB90D1"/>
    <w:rsid w:val="6BE672B4"/>
    <w:rsid w:val="6BF577B2"/>
    <w:rsid w:val="6C030287"/>
    <w:rsid w:val="6C0AE8C6"/>
    <w:rsid w:val="6C0B7132"/>
    <w:rsid w:val="6C237F33"/>
    <w:rsid w:val="6C38EA77"/>
    <w:rsid w:val="6C466205"/>
    <w:rsid w:val="6C4C0E0E"/>
    <w:rsid w:val="6C614FCF"/>
    <w:rsid w:val="6C63865A"/>
    <w:rsid w:val="6C760BA0"/>
    <w:rsid w:val="6C7A4A57"/>
    <w:rsid w:val="6C85A6CE"/>
    <w:rsid w:val="6C89928C"/>
    <w:rsid w:val="6C8E1B7B"/>
    <w:rsid w:val="6C978856"/>
    <w:rsid w:val="6CA78420"/>
    <w:rsid w:val="6CC455C1"/>
    <w:rsid w:val="6CC68A72"/>
    <w:rsid w:val="6CD1EE12"/>
    <w:rsid w:val="6CD220E3"/>
    <w:rsid w:val="6CD67606"/>
    <w:rsid w:val="6CE2371F"/>
    <w:rsid w:val="6CE5C80C"/>
    <w:rsid w:val="6CE86677"/>
    <w:rsid w:val="6CF9B887"/>
    <w:rsid w:val="6D266B3B"/>
    <w:rsid w:val="6D295322"/>
    <w:rsid w:val="6D2CF606"/>
    <w:rsid w:val="6D333C61"/>
    <w:rsid w:val="6D476815"/>
    <w:rsid w:val="6D47CE76"/>
    <w:rsid w:val="6D60C1A4"/>
    <w:rsid w:val="6D6F40D1"/>
    <w:rsid w:val="6D75E297"/>
    <w:rsid w:val="6D7EDE36"/>
    <w:rsid w:val="6D80FDB7"/>
    <w:rsid w:val="6D81673E"/>
    <w:rsid w:val="6DA5E7B3"/>
    <w:rsid w:val="6DC32B6D"/>
    <w:rsid w:val="6DCB0D59"/>
    <w:rsid w:val="6DD8E7F4"/>
    <w:rsid w:val="6DD9BEC3"/>
    <w:rsid w:val="6DF59C98"/>
    <w:rsid w:val="6DF657BE"/>
    <w:rsid w:val="6E12C092"/>
    <w:rsid w:val="6E1535B9"/>
    <w:rsid w:val="6E2CEAD1"/>
    <w:rsid w:val="6E3276AB"/>
    <w:rsid w:val="6E33235D"/>
    <w:rsid w:val="6E35BBAF"/>
    <w:rsid w:val="6E473B87"/>
    <w:rsid w:val="6E4832AA"/>
    <w:rsid w:val="6E4F2680"/>
    <w:rsid w:val="6E50399F"/>
    <w:rsid w:val="6E581DCD"/>
    <w:rsid w:val="6E698448"/>
    <w:rsid w:val="6E6E49A5"/>
    <w:rsid w:val="6E70CDA9"/>
    <w:rsid w:val="6E77CAC2"/>
    <w:rsid w:val="6E819AD0"/>
    <w:rsid w:val="6E8F0295"/>
    <w:rsid w:val="6E95E946"/>
    <w:rsid w:val="6E97F2B0"/>
    <w:rsid w:val="6EA42D90"/>
    <w:rsid w:val="6EAF298D"/>
    <w:rsid w:val="6EB0BACD"/>
    <w:rsid w:val="6EC5B18E"/>
    <w:rsid w:val="6EDFE5B5"/>
    <w:rsid w:val="6EEEA136"/>
    <w:rsid w:val="6EF66D6E"/>
    <w:rsid w:val="6EFC23E2"/>
    <w:rsid w:val="6F03177D"/>
    <w:rsid w:val="6F0366EF"/>
    <w:rsid w:val="6F1B7713"/>
    <w:rsid w:val="6F1E3AB4"/>
    <w:rsid w:val="6F3686BA"/>
    <w:rsid w:val="6F5576CB"/>
    <w:rsid w:val="6F80892F"/>
    <w:rsid w:val="6F88547B"/>
    <w:rsid w:val="6F8BF2BA"/>
    <w:rsid w:val="6F97578B"/>
    <w:rsid w:val="6F9D94E8"/>
    <w:rsid w:val="6FA271D8"/>
    <w:rsid w:val="6FA30B55"/>
    <w:rsid w:val="6FB014DA"/>
    <w:rsid w:val="6FB82626"/>
    <w:rsid w:val="6FC09BD6"/>
    <w:rsid w:val="6FC1D248"/>
    <w:rsid w:val="6FDD4A6C"/>
    <w:rsid w:val="6FDE0185"/>
    <w:rsid w:val="6FE939F3"/>
    <w:rsid w:val="6FEDCC29"/>
    <w:rsid w:val="6FFB2558"/>
    <w:rsid w:val="70011D10"/>
    <w:rsid w:val="70058D48"/>
    <w:rsid w:val="70124C54"/>
    <w:rsid w:val="701A8BC6"/>
    <w:rsid w:val="7021E250"/>
    <w:rsid w:val="702C6246"/>
    <w:rsid w:val="704443DC"/>
    <w:rsid w:val="70448E63"/>
    <w:rsid w:val="7051D1E6"/>
    <w:rsid w:val="705618C5"/>
    <w:rsid w:val="7059F38B"/>
    <w:rsid w:val="7076B420"/>
    <w:rsid w:val="70845E37"/>
    <w:rsid w:val="7085D161"/>
    <w:rsid w:val="7088619F"/>
    <w:rsid w:val="7089C9BF"/>
    <w:rsid w:val="708EE92B"/>
    <w:rsid w:val="70937FD0"/>
    <w:rsid w:val="7093CAEB"/>
    <w:rsid w:val="709C1D5B"/>
    <w:rsid w:val="70A77A10"/>
    <w:rsid w:val="70AABD31"/>
    <w:rsid w:val="70BB8047"/>
    <w:rsid w:val="70C41576"/>
    <w:rsid w:val="70CB6CE7"/>
    <w:rsid w:val="70DD20AF"/>
    <w:rsid w:val="70DDF919"/>
    <w:rsid w:val="70E60C78"/>
    <w:rsid w:val="70E92B7B"/>
    <w:rsid w:val="70F6864F"/>
    <w:rsid w:val="70FA8882"/>
    <w:rsid w:val="70FDDDAC"/>
    <w:rsid w:val="71048875"/>
    <w:rsid w:val="7109FCF1"/>
    <w:rsid w:val="711584D6"/>
    <w:rsid w:val="7126D43B"/>
    <w:rsid w:val="712A3233"/>
    <w:rsid w:val="714992D2"/>
    <w:rsid w:val="716397FD"/>
    <w:rsid w:val="71705327"/>
    <w:rsid w:val="71719DAE"/>
    <w:rsid w:val="7177A935"/>
    <w:rsid w:val="717B3CD8"/>
    <w:rsid w:val="717CD729"/>
    <w:rsid w:val="717D19DC"/>
    <w:rsid w:val="717E76F1"/>
    <w:rsid w:val="718158F9"/>
    <w:rsid w:val="7183FC5F"/>
    <w:rsid w:val="718D5436"/>
    <w:rsid w:val="71A1588E"/>
    <w:rsid w:val="71A6162E"/>
    <w:rsid w:val="71B5724F"/>
    <w:rsid w:val="71B7CD9F"/>
    <w:rsid w:val="71C080EC"/>
    <w:rsid w:val="71D3C252"/>
    <w:rsid w:val="71D810FF"/>
    <w:rsid w:val="71DBF88B"/>
    <w:rsid w:val="71E5614C"/>
    <w:rsid w:val="71EB7F79"/>
    <w:rsid w:val="71F41408"/>
    <w:rsid w:val="721239D0"/>
    <w:rsid w:val="721DAC9A"/>
    <w:rsid w:val="72305C2C"/>
    <w:rsid w:val="72345C10"/>
    <w:rsid w:val="72477697"/>
    <w:rsid w:val="724B69CD"/>
    <w:rsid w:val="724D0EC2"/>
    <w:rsid w:val="724F5650"/>
    <w:rsid w:val="7250A2BE"/>
    <w:rsid w:val="725E4062"/>
    <w:rsid w:val="7264AD22"/>
    <w:rsid w:val="726539A3"/>
    <w:rsid w:val="7265CF8C"/>
    <w:rsid w:val="7266B26F"/>
    <w:rsid w:val="72790B17"/>
    <w:rsid w:val="72848168"/>
    <w:rsid w:val="72864827"/>
    <w:rsid w:val="728CFC25"/>
    <w:rsid w:val="72915148"/>
    <w:rsid w:val="72930862"/>
    <w:rsid w:val="72987485"/>
    <w:rsid w:val="729AAF01"/>
    <w:rsid w:val="72ACAF4C"/>
    <w:rsid w:val="72B04DB5"/>
    <w:rsid w:val="72B3C763"/>
    <w:rsid w:val="72BA7368"/>
    <w:rsid w:val="72C7EB7B"/>
    <w:rsid w:val="72C8592B"/>
    <w:rsid w:val="72E0D00B"/>
    <w:rsid w:val="72EB11B5"/>
    <w:rsid w:val="72FEE05B"/>
    <w:rsid w:val="730C28DF"/>
    <w:rsid w:val="730EE414"/>
    <w:rsid w:val="73130410"/>
    <w:rsid w:val="731D79C9"/>
    <w:rsid w:val="731EEFDB"/>
    <w:rsid w:val="731F17D1"/>
    <w:rsid w:val="7328CAC4"/>
    <w:rsid w:val="732C7672"/>
    <w:rsid w:val="73333501"/>
    <w:rsid w:val="73361BC4"/>
    <w:rsid w:val="733A78E2"/>
    <w:rsid w:val="7347A1CF"/>
    <w:rsid w:val="734AD7BB"/>
    <w:rsid w:val="7356DD5B"/>
    <w:rsid w:val="736019A3"/>
    <w:rsid w:val="7370897B"/>
    <w:rsid w:val="73780A53"/>
    <w:rsid w:val="737EA219"/>
    <w:rsid w:val="7394D1A6"/>
    <w:rsid w:val="739E14B8"/>
    <w:rsid w:val="73AE1DC8"/>
    <w:rsid w:val="73C1011E"/>
    <w:rsid w:val="73E27D07"/>
    <w:rsid w:val="73EF56CD"/>
    <w:rsid w:val="73F055A9"/>
    <w:rsid w:val="73F142C8"/>
    <w:rsid w:val="74076169"/>
    <w:rsid w:val="74199485"/>
    <w:rsid w:val="741C13CF"/>
    <w:rsid w:val="74204788"/>
    <w:rsid w:val="7422DB3B"/>
    <w:rsid w:val="742AEB4F"/>
    <w:rsid w:val="74308CDF"/>
    <w:rsid w:val="743254A4"/>
    <w:rsid w:val="74328532"/>
    <w:rsid w:val="74423BE9"/>
    <w:rsid w:val="74642152"/>
    <w:rsid w:val="746BF137"/>
    <w:rsid w:val="7479B6E3"/>
    <w:rsid w:val="7479C984"/>
    <w:rsid w:val="74807665"/>
    <w:rsid w:val="7483942E"/>
    <w:rsid w:val="748737AD"/>
    <w:rsid w:val="7488BC72"/>
    <w:rsid w:val="748A506B"/>
    <w:rsid w:val="74970251"/>
    <w:rsid w:val="74A14ED2"/>
    <w:rsid w:val="74BF7465"/>
    <w:rsid w:val="74FABFB5"/>
    <w:rsid w:val="750FDC96"/>
    <w:rsid w:val="751209DA"/>
    <w:rsid w:val="75232A8F"/>
    <w:rsid w:val="75250E30"/>
    <w:rsid w:val="75287414"/>
    <w:rsid w:val="7529A1A8"/>
    <w:rsid w:val="753355A3"/>
    <w:rsid w:val="753B4A47"/>
    <w:rsid w:val="754A32E5"/>
    <w:rsid w:val="754DE21E"/>
    <w:rsid w:val="7554562B"/>
    <w:rsid w:val="7572C070"/>
    <w:rsid w:val="757D2781"/>
    <w:rsid w:val="759086C0"/>
    <w:rsid w:val="7592928E"/>
    <w:rsid w:val="7598A238"/>
    <w:rsid w:val="759A0446"/>
    <w:rsid w:val="75A7B348"/>
    <w:rsid w:val="75B43001"/>
    <w:rsid w:val="75C3D403"/>
    <w:rsid w:val="75D9FB0B"/>
    <w:rsid w:val="75DADDB1"/>
    <w:rsid w:val="75DF8AB1"/>
    <w:rsid w:val="75E805F2"/>
    <w:rsid w:val="75EEDA21"/>
    <w:rsid w:val="75F5640F"/>
    <w:rsid w:val="75FEA785"/>
    <w:rsid w:val="760B44C9"/>
    <w:rsid w:val="7612DBF8"/>
    <w:rsid w:val="76131A30"/>
    <w:rsid w:val="762F3E00"/>
    <w:rsid w:val="76333681"/>
    <w:rsid w:val="7634D3C9"/>
    <w:rsid w:val="76487DAC"/>
    <w:rsid w:val="76576E5C"/>
    <w:rsid w:val="765983F0"/>
    <w:rsid w:val="76618CAC"/>
    <w:rsid w:val="7682554F"/>
    <w:rsid w:val="7696F56A"/>
    <w:rsid w:val="7699B26F"/>
    <w:rsid w:val="76ACB13E"/>
    <w:rsid w:val="76B340C1"/>
    <w:rsid w:val="76C06E73"/>
    <w:rsid w:val="76C0B93C"/>
    <w:rsid w:val="76C41307"/>
    <w:rsid w:val="76D08B1D"/>
    <w:rsid w:val="76D66EE5"/>
    <w:rsid w:val="76E69618"/>
    <w:rsid w:val="76E6A556"/>
    <w:rsid w:val="76F63291"/>
    <w:rsid w:val="77051893"/>
    <w:rsid w:val="770621DC"/>
    <w:rsid w:val="770C0A64"/>
    <w:rsid w:val="770CD532"/>
    <w:rsid w:val="770D3131"/>
    <w:rsid w:val="7720891C"/>
    <w:rsid w:val="772737AF"/>
    <w:rsid w:val="7729B923"/>
    <w:rsid w:val="7733A998"/>
    <w:rsid w:val="77385186"/>
    <w:rsid w:val="7764925F"/>
    <w:rsid w:val="778F0E7B"/>
    <w:rsid w:val="779CAD63"/>
    <w:rsid w:val="77AA158C"/>
    <w:rsid w:val="77ACC4B2"/>
    <w:rsid w:val="77B077F0"/>
    <w:rsid w:val="77B4595B"/>
    <w:rsid w:val="77C0DBF2"/>
    <w:rsid w:val="77C2444A"/>
    <w:rsid w:val="77D36491"/>
    <w:rsid w:val="77D500AA"/>
    <w:rsid w:val="77DBC353"/>
    <w:rsid w:val="77E21DD2"/>
    <w:rsid w:val="77FD97A5"/>
    <w:rsid w:val="780119A0"/>
    <w:rsid w:val="78218572"/>
    <w:rsid w:val="7824B35D"/>
    <w:rsid w:val="7838AED3"/>
    <w:rsid w:val="7843FB77"/>
    <w:rsid w:val="7847BAC1"/>
    <w:rsid w:val="7856D521"/>
    <w:rsid w:val="78573AEB"/>
    <w:rsid w:val="787577C2"/>
    <w:rsid w:val="787D9E51"/>
    <w:rsid w:val="78875EAF"/>
    <w:rsid w:val="78923EC9"/>
    <w:rsid w:val="78A98A21"/>
    <w:rsid w:val="78BC3312"/>
    <w:rsid w:val="78DB9FD9"/>
    <w:rsid w:val="78E012C1"/>
    <w:rsid w:val="78EFA12C"/>
    <w:rsid w:val="78F18304"/>
    <w:rsid w:val="78F25CA9"/>
    <w:rsid w:val="78FD0EF3"/>
    <w:rsid w:val="78FE023A"/>
    <w:rsid w:val="78FFED37"/>
    <w:rsid w:val="790A2919"/>
    <w:rsid w:val="790EE6F8"/>
    <w:rsid w:val="79108308"/>
    <w:rsid w:val="7925BDC8"/>
    <w:rsid w:val="7932C423"/>
    <w:rsid w:val="7934A5C7"/>
    <w:rsid w:val="7944A148"/>
    <w:rsid w:val="796C92AD"/>
    <w:rsid w:val="79785B7F"/>
    <w:rsid w:val="797BDFF0"/>
    <w:rsid w:val="799EA2A5"/>
    <w:rsid w:val="79B050C6"/>
    <w:rsid w:val="79B90027"/>
    <w:rsid w:val="79C07269"/>
    <w:rsid w:val="79CAF148"/>
    <w:rsid w:val="79D4B246"/>
    <w:rsid w:val="79D82AD6"/>
    <w:rsid w:val="79E48EE2"/>
    <w:rsid w:val="79EE9EDB"/>
    <w:rsid w:val="79EFC1F5"/>
    <w:rsid w:val="79F0D2C0"/>
    <w:rsid w:val="79F579F2"/>
    <w:rsid w:val="79FE134A"/>
    <w:rsid w:val="7A065ADF"/>
    <w:rsid w:val="7A0724F6"/>
    <w:rsid w:val="7A079963"/>
    <w:rsid w:val="7A0C5911"/>
    <w:rsid w:val="7A209436"/>
    <w:rsid w:val="7A20D1F4"/>
    <w:rsid w:val="7A24AE67"/>
    <w:rsid w:val="7A44EF19"/>
    <w:rsid w:val="7A4FF3AD"/>
    <w:rsid w:val="7A52C588"/>
    <w:rsid w:val="7A7529C8"/>
    <w:rsid w:val="7A7BC69F"/>
    <w:rsid w:val="7A8413F7"/>
    <w:rsid w:val="7A896E05"/>
    <w:rsid w:val="7A91DC45"/>
    <w:rsid w:val="7A94F54E"/>
    <w:rsid w:val="7A9A6AEF"/>
    <w:rsid w:val="7A9B378A"/>
    <w:rsid w:val="7AA02CE6"/>
    <w:rsid w:val="7AAD6C2E"/>
    <w:rsid w:val="7AB5F196"/>
    <w:rsid w:val="7AB81515"/>
    <w:rsid w:val="7AC8168A"/>
    <w:rsid w:val="7AE288C9"/>
    <w:rsid w:val="7AE7C8E2"/>
    <w:rsid w:val="7AEBEC88"/>
    <w:rsid w:val="7AF5050B"/>
    <w:rsid w:val="7AFA5E9F"/>
    <w:rsid w:val="7B05672F"/>
    <w:rsid w:val="7B0A5777"/>
    <w:rsid w:val="7B138A99"/>
    <w:rsid w:val="7B29759D"/>
    <w:rsid w:val="7B30234E"/>
    <w:rsid w:val="7B30E377"/>
    <w:rsid w:val="7B5A6F80"/>
    <w:rsid w:val="7B646600"/>
    <w:rsid w:val="7B6EB259"/>
    <w:rsid w:val="7B720690"/>
    <w:rsid w:val="7B7E53D1"/>
    <w:rsid w:val="7B815C66"/>
    <w:rsid w:val="7B8536AA"/>
    <w:rsid w:val="7B893623"/>
    <w:rsid w:val="7B8ABE96"/>
    <w:rsid w:val="7BAC1F4E"/>
    <w:rsid w:val="7BAC598B"/>
    <w:rsid w:val="7BB14A9C"/>
    <w:rsid w:val="7BC8E8D8"/>
    <w:rsid w:val="7BDCF8FB"/>
    <w:rsid w:val="7BE36E21"/>
    <w:rsid w:val="7BE53672"/>
    <w:rsid w:val="7BE63981"/>
    <w:rsid w:val="7BEA9BF6"/>
    <w:rsid w:val="7BEBADFD"/>
    <w:rsid w:val="7BFF5E5E"/>
    <w:rsid w:val="7C0101CC"/>
    <w:rsid w:val="7C03AEF1"/>
    <w:rsid w:val="7C1E3C74"/>
    <w:rsid w:val="7C1EF360"/>
    <w:rsid w:val="7C2201AE"/>
    <w:rsid w:val="7C2BE60A"/>
    <w:rsid w:val="7C33C24B"/>
    <w:rsid w:val="7C366E21"/>
    <w:rsid w:val="7C39064A"/>
    <w:rsid w:val="7C3E96CF"/>
    <w:rsid w:val="7C4EF925"/>
    <w:rsid w:val="7C530AD6"/>
    <w:rsid w:val="7C5BC2D2"/>
    <w:rsid w:val="7C6957ED"/>
    <w:rsid w:val="7C92A6C8"/>
    <w:rsid w:val="7CA16210"/>
    <w:rsid w:val="7CA2E917"/>
    <w:rsid w:val="7CB08950"/>
    <w:rsid w:val="7CB123FE"/>
    <w:rsid w:val="7CB27AF5"/>
    <w:rsid w:val="7CB2AD27"/>
    <w:rsid w:val="7CB8243A"/>
    <w:rsid w:val="7CC45177"/>
    <w:rsid w:val="7CCCBF6B"/>
    <w:rsid w:val="7CCEE29A"/>
    <w:rsid w:val="7CE99551"/>
    <w:rsid w:val="7CF3ACF8"/>
    <w:rsid w:val="7D06E547"/>
    <w:rsid w:val="7D120F6E"/>
    <w:rsid w:val="7D15C3A6"/>
    <w:rsid w:val="7D229433"/>
    <w:rsid w:val="7D32A61E"/>
    <w:rsid w:val="7D34C9B5"/>
    <w:rsid w:val="7D57DD06"/>
    <w:rsid w:val="7D63FA82"/>
    <w:rsid w:val="7D7C99F5"/>
    <w:rsid w:val="7D8095D5"/>
    <w:rsid w:val="7D99C2FD"/>
    <w:rsid w:val="7DAE07C6"/>
    <w:rsid w:val="7DB0F6C9"/>
    <w:rsid w:val="7DC20A62"/>
    <w:rsid w:val="7DD0D202"/>
    <w:rsid w:val="7DD7E0A3"/>
    <w:rsid w:val="7DDC0D71"/>
    <w:rsid w:val="7DEB66CD"/>
    <w:rsid w:val="7DED1322"/>
    <w:rsid w:val="7DEEC0AC"/>
    <w:rsid w:val="7DF4BAA6"/>
    <w:rsid w:val="7DF8846F"/>
    <w:rsid w:val="7E295B60"/>
    <w:rsid w:val="7E2CE297"/>
    <w:rsid w:val="7E326F16"/>
    <w:rsid w:val="7E38AC86"/>
    <w:rsid w:val="7E3E3EA6"/>
    <w:rsid w:val="7E41ADD5"/>
    <w:rsid w:val="7E43D99B"/>
    <w:rsid w:val="7E49EA01"/>
    <w:rsid w:val="7E4C9A50"/>
    <w:rsid w:val="7E5ED61B"/>
    <w:rsid w:val="7E64AD19"/>
    <w:rsid w:val="7E713C76"/>
    <w:rsid w:val="7E9C7DBA"/>
    <w:rsid w:val="7EB9E5EF"/>
    <w:rsid w:val="7EBE7F11"/>
    <w:rsid w:val="7EC098CA"/>
    <w:rsid w:val="7EC6A828"/>
    <w:rsid w:val="7EDC3C76"/>
    <w:rsid w:val="7EDCE4FC"/>
    <w:rsid w:val="7EE7D5B6"/>
    <w:rsid w:val="7F0067AB"/>
    <w:rsid w:val="7F037A76"/>
    <w:rsid w:val="7F0A29B7"/>
    <w:rsid w:val="7F0BABE0"/>
    <w:rsid w:val="7F16BEBF"/>
    <w:rsid w:val="7F17E7B5"/>
    <w:rsid w:val="7F1B7FC6"/>
    <w:rsid w:val="7F255F30"/>
    <w:rsid w:val="7F25DBA5"/>
    <w:rsid w:val="7F264E7E"/>
    <w:rsid w:val="7F2E8AF4"/>
    <w:rsid w:val="7F3242DC"/>
    <w:rsid w:val="7F339FC8"/>
    <w:rsid w:val="7F3AACA2"/>
    <w:rsid w:val="7F472FFA"/>
    <w:rsid w:val="7F58161A"/>
    <w:rsid w:val="7F59BE2E"/>
    <w:rsid w:val="7F645BF0"/>
    <w:rsid w:val="7F6F407F"/>
    <w:rsid w:val="7F77A530"/>
    <w:rsid w:val="7F8078D4"/>
    <w:rsid w:val="7F88C416"/>
    <w:rsid w:val="7F89B12E"/>
    <w:rsid w:val="7FA76649"/>
    <w:rsid w:val="7FCF9F47"/>
    <w:rsid w:val="7FD27397"/>
    <w:rsid w:val="7FD798EE"/>
    <w:rsid w:val="7FDD668C"/>
    <w:rsid w:val="7FE3D13C"/>
    <w:rsid w:val="7FECD20B"/>
    <w:rsid w:val="7FF22496"/>
    <w:rsid w:val="7FFFCCA6"/>
    <w:rsid w:val="7FFFEA6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8AC93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kern w:val="2"/>
        <w:sz w:val="24"/>
        <w:szCs w:val="24"/>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4120"/>
    <w:pPr>
      <w:jc w:val="both"/>
    </w:pPr>
    <w:rPr>
      <w:rFonts w:ascii="Segoe UI" w:hAnsi="Segoe UI"/>
      <w:kern w:val="0"/>
      <w14:ligatures w14:val="none"/>
    </w:rPr>
  </w:style>
  <w:style w:type="paragraph" w:styleId="Heading1">
    <w:name w:val="heading 1"/>
    <w:basedOn w:val="Normal"/>
    <w:next w:val="Normal"/>
    <w:link w:val="Heading1Char"/>
    <w:uiPriority w:val="9"/>
    <w:qFormat/>
    <w:rsid w:val="00FB5874"/>
    <w:pPr>
      <w:keepNext/>
      <w:spacing w:before="240" w:after="120" w:line="276" w:lineRule="auto"/>
      <w:jc w:val="left"/>
      <w:outlineLvl w:val="0"/>
    </w:pPr>
    <w:rPr>
      <w:rFonts w:eastAsia="Times New Roman" w:cs="Segoe UI"/>
      <w:bCs/>
      <w:color w:val="0A1D37" w:themeColor="text2" w:themeShade="80"/>
      <w:kern w:val="28"/>
      <w:sz w:val="56"/>
      <w:szCs w:val="36"/>
    </w:rPr>
  </w:style>
  <w:style w:type="paragraph" w:styleId="Heading2">
    <w:name w:val="heading 2"/>
    <w:next w:val="Normal"/>
    <w:link w:val="Heading2Char"/>
    <w:uiPriority w:val="9"/>
    <w:qFormat/>
    <w:rsid w:val="00F51C08"/>
    <w:pPr>
      <w:keepNext/>
      <w:spacing w:after="0" w:line="264" w:lineRule="auto"/>
      <w:outlineLvl w:val="1"/>
    </w:pPr>
    <w:rPr>
      <w:rFonts w:ascii="Segoe UI Light" w:eastAsia="Times New Roman" w:hAnsi="Segoe UI Light" w:cs="Segoe UI"/>
      <w:bCs/>
      <w:iCs/>
      <w:color w:val="00808A"/>
      <w:kern w:val="0"/>
      <w:sz w:val="44"/>
      <w:szCs w:val="28"/>
      <w14:ligatures w14:val="none"/>
    </w:rPr>
  </w:style>
  <w:style w:type="paragraph" w:styleId="Heading3">
    <w:name w:val="heading 3"/>
    <w:basedOn w:val="Normal"/>
    <w:next w:val="Normal"/>
    <w:link w:val="Heading3Char"/>
    <w:uiPriority w:val="9"/>
    <w:unhideWhenUsed/>
    <w:qFormat/>
    <w:rsid w:val="00FB5874"/>
    <w:pPr>
      <w:keepNext/>
      <w:keepLines/>
      <w:spacing w:before="40" w:after="0"/>
      <w:jc w:val="left"/>
      <w:outlineLvl w:val="2"/>
    </w:pPr>
    <w:rPr>
      <w:rFonts w:ascii="Segoe UI Light" w:eastAsiaTheme="majorEastAsia" w:hAnsi="Segoe UI Light" w:cstheme="majorBidi"/>
      <w:color w:val="0E6C9B"/>
      <w:sz w:val="36"/>
    </w:rPr>
  </w:style>
  <w:style w:type="paragraph" w:styleId="Heading4">
    <w:name w:val="heading 4"/>
    <w:basedOn w:val="Normal"/>
    <w:next w:val="Normal"/>
    <w:link w:val="Heading4Char"/>
    <w:uiPriority w:val="9"/>
    <w:unhideWhenUsed/>
    <w:qFormat/>
    <w:rsid w:val="009561F7"/>
    <w:pPr>
      <w:keepNext/>
      <w:keepLines/>
      <w:spacing w:before="40" w:after="0"/>
      <w:jc w:val="left"/>
      <w:outlineLvl w:val="3"/>
    </w:pPr>
    <w:rPr>
      <w:rFonts w:eastAsiaTheme="majorEastAsia" w:cstheme="majorBidi"/>
      <w:iCs/>
      <w:color w:val="00717A"/>
      <w:sz w:val="28"/>
    </w:rPr>
  </w:style>
  <w:style w:type="paragraph" w:styleId="Heading5">
    <w:name w:val="heading 5"/>
    <w:basedOn w:val="Normal"/>
    <w:next w:val="Normal"/>
    <w:link w:val="Heading5Char"/>
    <w:uiPriority w:val="9"/>
    <w:unhideWhenUsed/>
    <w:qFormat/>
    <w:rsid w:val="00D13D5B"/>
    <w:pPr>
      <w:keepNext/>
      <w:keepLines/>
      <w:spacing w:before="40" w:after="0"/>
      <w:outlineLvl w:val="4"/>
    </w:pPr>
    <w:rPr>
      <w:rFonts w:eastAsiaTheme="majorEastAsia" w:cstheme="majorBidi"/>
      <w:color w:val="0E6C9B"/>
    </w:rPr>
  </w:style>
  <w:style w:type="paragraph" w:styleId="Heading6">
    <w:name w:val="heading 6"/>
    <w:basedOn w:val="Normal"/>
    <w:next w:val="Normal"/>
    <w:link w:val="Heading6Char"/>
    <w:uiPriority w:val="9"/>
    <w:unhideWhenUsed/>
    <w:qFormat/>
    <w:rsid w:val="00827030"/>
    <w:pPr>
      <w:keepNext/>
      <w:keepLines/>
      <w:spacing w:before="40" w:after="0"/>
      <w:outlineLvl w:val="5"/>
    </w:pPr>
    <w:rPr>
      <w:rFonts w:asciiTheme="majorHAnsi" w:eastAsiaTheme="majorEastAsia" w:hAnsiTheme="majorHAnsi" w:cstheme="majorBidi"/>
      <w:color w:val="0E213F" w:themeColor="accent1" w:themeShade="7F"/>
    </w:rPr>
  </w:style>
  <w:style w:type="paragraph" w:styleId="Heading7">
    <w:name w:val="heading 7"/>
    <w:basedOn w:val="Normal"/>
    <w:next w:val="Normal"/>
    <w:link w:val="Heading7Char"/>
    <w:uiPriority w:val="9"/>
    <w:unhideWhenUsed/>
    <w:qFormat/>
    <w:rsid w:val="00827030"/>
    <w:pPr>
      <w:keepNext/>
      <w:keepLines/>
      <w:spacing w:before="40" w:after="0"/>
      <w:outlineLvl w:val="6"/>
    </w:pPr>
    <w:rPr>
      <w:rFonts w:asciiTheme="majorHAnsi" w:eastAsiaTheme="majorEastAsia" w:hAnsiTheme="majorHAnsi" w:cstheme="majorBidi"/>
      <w:i/>
      <w:iCs/>
      <w:color w:val="0E213F"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74"/>
    <w:rPr>
      <w:rFonts w:ascii="Segoe UI" w:eastAsia="Times New Roman" w:hAnsi="Segoe UI" w:cs="Segoe UI"/>
      <w:bCs/>
      <w:color w:val="0A1D37" w:themeColor="text2" w:themeShade="80"/>
      <w:kern w:val="28"/>
      <w:sz w:val="56"/>
      <w:szCs w:val="36"/>
      <w14:ligatures w14:val="none"/>
    </w:rPr>
  </w:style>
  <w:style w:type="character" w:customStyle="1" w:styleId="Heading2Char">
    <w:name w:val="Heading 2 Char"/>
    <w:basedOn w:val="DefaultParagraphFont"/>
    <w:link w:val="Heading2"/>
    <w:uiPriority w:val="9"/>
    <w:rsid w:val="002D24F5"/>
    <w:rPr>
      <w:rFonts w:ascii="Segoe UI Light" w:eastAsia="Times New Roman" w:hAnsi="Segoe UI Light" w:cs="Segoe UI"/>
      <w:bCs/>
      <w:iCs/>
      <w:color w:val="00808A"/>
      <w:kern w:val="0"/>
      <w:sz w:val="44"/>
      <w:szCs w:val="28"/>
      <w14:ligatures w14:val="none"/>
    </w:rPr>
  </w:style>
  <w:style w:type="character" w:customStyle="1" w:styleId="Heading3Char">
    <w:name w:val="Heading 3 Char"/>
    <w:basedOn w:val="DefaultParagraphFont"/>
    <w:link w:val="Heading3"/>
    <w:uiPriority w:val="9"/>
    <w:rsid w:val="00FB5874"/>
    <w:rPr>
      <w:rFonts w:ascii="Segoe UI Light" w:eastAsiaTheme="majorEastAsia" w:hAnsi="Segoe UI Light" w:cstheme="majorBidi"/>
      <w:color w:val="0E6C9B"/>
      <w:kern w:val="0"/>
      <w:sz w:val="36"/>
      <w14:ligatures w14:val="none"/>
    </w:rPr>
  </w:style>
  <w:style w:type="character" w:customStyle="1" w:styleId="Heading4Char">
    <w:name w:val="Heading 4 Char"/>
    <w:basedOn w:val="DefaultParagraphFont"/>
    <w:link w:val="Heading4"/>
    <w:uiPriority w:val="9"/>
    <w:rsid w:val="009561F7"/>
    <w:rPr>
      <w:rFonts w:ascii="Segoe UI" w:eastAsiaTheme="majorEastAsia" w:hAnsi="Segoe UI" w:cstheme="majorBidi"/>
      <w:iCs/>
      <w:color w:val="00717A"/>
      <w:kern w:val="0"/>
      <w:sz w:val="28"/>
      <w14:ligatures w14:val="none"/>
    </w:rPr>
  </w:style>
  <w:style w:type="character" w:customStyle="1" w:styleId="Heading5Char">
    <w:name w:val="Heading 5 Char"/>
    <w:basedOn w:val="DefaultParagraphFont"/>
    <w:link w:val="Heading5"/>
    <w:uiPriority w:val="9"/>
    <w:rsid w:val="00D13D5B"/>
    <w:rPr>
      <w:rFonts w:ascii="Segoe UI" w:eastAsiaTheme="majorEastAsia" w:hAnsi="Segoe UI" w:cstheme="majorBidi"/>
      <w:color w:val="0E6C9B"/>
      <w:kern w:val="0"/>
      <w14:ligatures w14:val="none"/>
    </w:rPr>
  </w:style>
  <w:style w:type="character" w:customStyle="1" w:styleId="Heading6Char">
    <w:name w:val="Heading 6 Char"/>
    <w:basedOn w:val="DefaultParagraphFont"/>
    <w:link w:val="Heading6"/>
    <w:uiPriority w:val="9"/>
    <w:rsid w:val="00827030"/>
    <w:rPr>
      <w:rFonts w:asciiTheme="majorHAnsi" w:eastAsiaTheme="majorEastAsia" w:hAnsiTheme="majorHAnsi" w:cstheme="majorBidi"/>
      <w:color w:val="0E213F" w:themeColor="accent1" w:themeShade="7F"/>
      <w:kern w:val="0"/>
      <w14:ligatures w14:val="none"/>
    </w:rPr>
  </w:style>
  <w:style w:type="character" w:customStyle="1" w:styleId="Heading7Char">
    <w:name w:val="Heading 7 Char"/>
    <w:basedOn w:val="DefaultParagraphFont"/>
    <w:link w:val="Heading7"/>
    <w:uiPriority w:val="9"/>
    <w:rsid w:val="00827030"/>
    <w:rPr>
      <w:rFonts w:asciiTheme="majorHAnsi" w:eastAsiaTheme="majorEastAsia" w:hAnsiTheme="majorHAnsi" w:cstheme="majorBidi"/>
      <w:i/>
      <w:iCs/>
      <w:color w:val="0E213F" w:themeColor="accent1" w:themeShade="7F"/>
      <w:kern w:val="0"/>
      <w14:ligatures w14:val="none"/>
    </w:rPr>
  </w:style>
  <w:style w:type="character" w:styleId="Hyperlink">
    <w:name w:val="Hyperlink"/>
    <w:basedOn w:val="DefaultParagraphFont"/>
    <w:uiPriority w:val="99"/>
    <w:unhideWhenUsed/>
    <w:qFormat/>
    <w:rsid w:val="00F41DDF"/>
    <w:rPr>
      <w:color w:val="0E6C9B" w:themeColor="hyperlink"/>
      <w:u w:val="single"/>
    </w:rPr>
  </w:style>
  <w:style w:type="character" w:styleId="PlaceholderText">
    <w:name w:val="Placeholder Text"/>
    <w:basedOn w:val="DefaultParagraphFont"/>
    <w:uiPriority w:val="99"/>
    <w:semiHidden/>
    <w:rsid w:val="005B5951"/>
    <w:rPr>
      <w:color w:val="808080"/>
    </w:rPr>
  </w:style>
  <w:style w:type="paragraph" w:styleId="Header">
    <w:name w:val="header"/>
    <w:basedOn w:val="Normal"/>
    <w:link w:val="HeaderChar"/>
    <w:uiPriority w:val="99"/>
    <w:unhideWhenUsed/>
    <w:rsid w:val="006979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79E9"/>
    <w:rPr>
      <w:rFonts w:ascii="Segoe UI" w:hAnsi="Segoe UI"/>
      <w:kern w:val="0"/>
      <w14:ligatures w14:val="none"/>
    </w:rPr>
  </w:style>
  <w:style w:type="paragraph" w:styleId="Footer">
    <w:name w:val="footer"/>
    <w:basedOn w:val="Normal"/>
    <w:link w:val="FooterChar"/>
    <w:uiPriority w:val="99"/>
    <w:unhideWhenUsed/>
    <w:rsid w:val="006979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79E9"/>
    <w:rPr>
      <w:rFonts w:ascii="Segoe UI" w:hAnsi="Segoe UI"/>
      <w:kern w:val="0"/>
      <w14:ligatures w14:val="none"/>
    </w:rPr>
  </w:style>
  <w:style w:type="paragraph" w:styleId="TOC1">
    <w:name w:val="toc 1"/>
    <w:basedOn w:val="Normal"/>
    <w:next w:val="Normal"/>
    <w:autoRedefine/>
    <w:uiPriority w:val="39"/>
    <w:unhideWhenUsed/>
    <w:rsid w:val="00E51781"/>
    <w:pPr>
      <w:tabs>
        <w:tab w:val="right" w:leader="dot" w:pos="9016"/>
      </w:tabs>
      <w:spacing w:before="120" w:after="120" w:line="240" w:lineRule="auto"/>
      <w:jc w:val="left"/>
    </w:pPr>
    <w:rPr>
      <w:rFonts w:cstheme="minorHAnsi"/>
      <w:bCs/>
      <w:szCs w:val="20"/>
    </w:rPr>
  </w:style>
  <w:style w:type="paragraph" w:customStyle="1" w:styleId="Figurecaption">
    <w:name w:val="Figure caption"/>
    <w:basedOn w:val="Caption"/>
    <w:link w:val="FigurecaptionChar"/>
    <w:qFormat/>
    <w:rsid w:val="00FA41EF"/>
    <w:pPr>
      <w:textAlignment w:val="baseline"/>
    </w:pPr>
    <w:rPr>
      <w:rFonts w:eastAsia="Calibri" w:cs="Calibri"/>
      <w:bCs/>
      <w:iCs w:val="0"/>
      <w:color w:val="057D8B"/>
      <w:szCs w:val="22"/>
    </w:rPr>
  </w:style>
  <w:style w:type="paragraph" w:styleId="Caption">
    <w:name w:val="caption"/>
    <w:basedOn w:val="Normal"/>
    <w:next w:val="Normal"/>
    <w:uiPriority w:val="35"/>
    <w:unhideWhenUsed/>
    <w:qFormat/>
    <w:rsid w:val="00C077E7"/>
    <w:pPr>
      <w:spacing w:after="240" w:line="240" w:lineRule="auto"/>
    </w:pPr>
    <w:rPr>
      <w:i/>
      <w:iCs/>
      <w:color w:val="005A68" w:themeColor="accent6" w:themeShade="80"/>
      <w:szCs w:val="18"/>
    </w:rPr>
  </w:style>
  <w:style w:type="character" w:customStyle="1" w:styleId="FigurecaptionChar">
    <w:name w:val="Figure caption Char"/>
    <w:basedOn w:val="DefaultParagraphFont"/>
    <w:link w:val="Figurecaption"/>
    <w:rsid w:val="00FA41EF"/>
    <w:rPr>
      <w:rFonts w:ascii="Segoe UI" w:eastAsia="Calibri" w:hAnsi="Segoe UI" w:cs="Calibri"/>
      <w:bCs/>
      <w:i/>
      <w:color w:val="057D8B"/>
      <w:kern w:val="0"/>
      <w:szCs w:val="22"/>
      <w14:ligatures w14:val="none"/>
    </w:rPr>
  </w:style>
  <w:style w:type="character" w:customStyle="1" w:styleId="cf01">
    <w:name w:val="cf01"/>
    <w:basedOn w:val="DefaultParagraphFont"/>
    <w:rsid w:val="00B94385"/>
    <w:rPr>
      <w:rFonts w:ascii="Segoe UI" w:hAnsi="Segoe UI" w:cs="Segoe UI" w:hint="default"/>
      <w:sz w:val="18"/>
      <w:szCs w:val="18"/>
    </w:rPr>
  </w:style>
  <w:style w:type="character" w:styleId="Emphasis">
    <w:name w:val="Emphasis"/>
    <w:basedOn w:val="DefaultParagraphFont"/>
    <w:uiPriority w:val="20"/>
    <w:qFormat/>
    <w:rsid w:val="007020C6"/>
    <w:rPr>
      <w:i/>
      <w:iCs/>
    </w:rPr>
  </w:style>
  <w:style w:type="paragraph" w:styleId="FootnoteText">
    <w:name w:val="footnote text"/>
    <w:basedOn w:val="Normal"/>
    <w:link w:val="FootnoteTextChar"/>
    <w:uiPriority w:val="99"/>
    <w:unhideWhenUsed/>
    <w:rsid w:val="00B11721"/>
    <w:pPr>
      <w:spacing w:before="40" w:after="0" w:line="240" w:lineRule="auto"/>
    </w:pPr>
    <w:rPr>
      <w:rFonts w:asciiTheme="minorHAnsi" w:hAnsiTheme="minorHAnsi" w:cstheme="minorBidi"/>
      <w:sz w:val="20"/>
      <w:szCs w:val="20"/>
    </w:rPr>
  </w:style>
  <w:style w:type="character" w:customStyle="1" w:styleId="FootnoteTextChar">
    <w:name w:val="Footnote Text Char"/>
    <w:basedOn w:val="DefaultParagraphFont"/>
    <w:link w:val="FootnoteText"/>
    <w:uiPriority w:val="99"/>
    <w:rsid w:val="00B11721"/>
    <w:rPr>
      <w:rFonts w:asciiTheme="minorHAnsi" w:hAnsiTheme="minorHAnsi" w:cstheme="minorBidi"/>
      <w:kern w:val="0"/>
      <w:sz w:val="20"/>
      <w:szCs w:val="20"/>
      <w14:ligatures w14:val="none"/>
    </w:rPr>
  </w:style>
  <w:style w:type="character" w:styleId="FootnoteReference">
    <w:name w:val="footnote reference"/>
    <w:basedOn w:val="DefaultParagraphFont"/>
    <w:uiPriority w:val="99"/>
    <w:unhideWhenUsed/>
    <w:rsid w:val="006660B2"/>
    <w:rPr>
      <w:vertAlign w:val="superscript"/>
    </w:rPr>
  </w:style>
  <w:style w:type="paragraph" w:styleId="Index1">
    <w:name w:val="index 1"/>
    <w:basedOn w:val="Normal"/>
    <w:next w:val="Normal"/>
    <w:autoRedefine/>
    <w:uiPriority w:val="99"/>
    <w:unhideWhenUsed/>
    <w:rsid w:val="004E20D4"/>
    <w:pPr>
      <w:spacing w:after="0"/>
      <w:ind w:left="240" w:hanging="240"/>
      <w:jc w:val="left"/>
    </w:pPr>
    <w:rPr>
      <w:rFonts w:asciiTheme="minorHAnsi" w:hAnsiTheme="minorHAnsi" w:cstheme="minorHAnsi"/>
      <w:sz w:val="20"/>
      <w:szCs w:val="20"/>
    </w:rPr>
  </w:style>
  <w:style w:type="paragraph" w:styleId="Index2">
    <w:name w:val="index 2"/>
    <w:basedOn w:val="Normal"/>
    <w:next w:val="Normal"/>
    <w:autoRedefine/>
    <w:uiPriority w:val="99"/>
    <w:unhideWhenUsed/>
    <w:rsid w:val="00954DA8"/>
    <w:pPr>
      <w:spacing w:after="0"/>
      <w:ind w:left="480" w:hanging="240"/>
      <w:jc w:val="left"/>
    </w:pPr>
    <w:rPr>
      <w:rFonts w:asciiTheme="minorHAnsi" w:hAnsiTheme="minorHAnsi" w:cstheme="minorHAnsi"/>
      <w:sz w:val="20"/>
      <w:szCs w:val="20"/>
    </w:rPr>
  </w:style>
  <w:style w:type="table" w:styleId="TableGrid">
    <w:name w:val="Table Grid"/>
    <w:basedOn w:val="TableNormal"/>
    <w:uiPriority w:val="39"/>
    <w:rsid w:val="006D592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0733E"/>
    <w:rPr>
      <w:b/>
      <w:bCs/>
    </w:rPr>
  </w:style>
  <w:style w:type="character" w:styleId="UnresolvedMention">
    <w:name w:val="Unresolved Mention"/>
    <w:basedOn w:val="DefaultParagraphFont"/>
    <w:uiPriority w:val="99"/>
    <w:semiHidden/>
    <w:unhideWhenUsed/>
    <w:rsid w:val="00263DCA"/>
    <w:rPr>
      <w:color w:val="605E5C"/>
      <w:shd w:val="clear" w:color="auto" w:fill="E1DFDD"/>
    </w:rPr>
  </w:style>
  <w:style w:type="paragraph" w:styleId="NoSpacing">
    <w:name w:val="No Spacing"/>
    <w:uiPriority w:val="1"/>
    <w:qFormat/>
    <w:rsid w:val="006E3FB3"/>
    <w:pPr>
      <w:spacing w:after="0" w:line="240" w:lineRule="auto"/>
    </w:pPr>
    <w:rPr>
      <w:rFonts w:ascii="Segoe UI" w:hAnsi="Segoe UI"/>
      <w:kern w:val="0"/>
      <w14:ligatures w14:val="none"/>
    </w:rPr>
  </w:style>
  <w:style w:type="character" w:styleId="CommentReference">
    <w:name w:val="annotation reference"/>
    <w:basedOn w:val="DefaultParagraphFont"/>
    <w:uiPriority w:val="99"/>
    <w:semiHidden/>
    <w:unhideWhenUsed/>
    <w:rsid w:val="00BD7210"/>
    <w:rPr>
      <w:sz w:val="16"/>
      <w:szCs w:val="16"/>
    </w:rPr>
  </w:style>
  <w:style w:type="paragraph" w:styleId="CommentText">
    <w:name w:val="annotation text"/>
    <w:basedOn w:val="Normal"/>
    <w:link w:val="CommentTextChar"/>
    <w:uiPriority w:val="99"/>
    <w:unhideWhenUsed/>
    <w:rsid w:val="00BD7210"/>
    <w:pPr>
      <w:spacing w:line="240" w:lineRule="auto"/>
    </w:pPr>
    <w:rPr>
      <w:sz w:val="20"/>
      <w:szCs w:val="20"/>
    </w:rPr>
  </w:style>
  <w:style w:type="character" w:customStyle="1" w:styleId="CommentTextChar">
    <w:name w:val="Comment Text Char"/>
    <w:basedOn w:val="DefaultParagraphFont"/>
    <w:link w:val="CommentText"/>
    <w:uiPriority w:val="99"/>
    <w:rsid w:val="00BD7210"/>
    <w:rPr>
      <w:rFonts w:ascii="Segoe UI" w:hAnsi="Segoe U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BD7210"/>
    <w:rPr>
      <w:b/>
      <w:bCs/>
    </w:rPr>
  </w:style>
  <w:style w:type="character" w:customStyle="1" w:styleId="CommentSubjectChar">
    <w:name w:val="Comment Subject Char"/>
    <w:basedOn w:val="CommentTextChar"/>
    <w:link w:val="CommentSubject"/>
    <w:uiPriority w:val="99"/>
    <w:semiHidden/>
    <w:rsid w:val="00BD7210"/>
    <w:rPr>
      <w:rFonts w:ascii="Segoe UI" w:hAnsi="Segoe UI"/>
      <w:b/>
      <w:bCs/>
      <w:kern w:val="0"/>
      <w:sz w:val="20"/>
      <w:szCs w:val="20"/>
      <w14:ligatures w14:val="none"/>
    </w:rPr>
  </w:style>
  <w:style w:type="paragraph" w:styleId="ListParagraph">
    <w:name w:val="List Paragraph"/>
    <w:aliases w:val="OBC Bullet,F5 List Paragraph,Colorful List - Accent 11,Normal numbered,Bullet 1,Bullet Style,Dot pt,No Spacing1,Indicator Text,Numbered Para 1,List Paragraph1,Bullet Points,MAIN CONTENT,List Paragraph12,L,Recommendation,#List Paragraph,列"/>
    <w:basedOn w:val="Normal"/>
    <w:link w:val="ListParagraphChar"/>
    <w:uiPriority w:val="34"/>
    <w:qFormat/>
    <w:rsid w:val="008945B7"/>
    <w:pPr>
      <w:ind w:left="720"/>
      <w:contextualSpacing/>
    </w:pPr>
  </w:style>
  <w:style w:type="character" w:customStyle="1" w:styleId="ListParagraphChar">
    <w:name w:val="List Paragraph Char"/>
    <w:aliases w:val="OBC Bullet Char,F5 List Paragraph Char,Colorful List - Accent 11 Char,Normal numbered Char,Bullet 1 Char,Bullet Style Char,Dot pt Char,No Spacing1 Char,Indicator Text Char,Numbered Para 1 Char,List Paragraph1 Char,Bullet Points Char"/>
    <w:basedOn w:val="DefaultParagraphFont"/>
    <w:link w:val="ListParagraph"/>
    <w:uiPriority w:val="34"/>
    <w:qFormat/>
    <w:locked/>
    <w:rsid w:val="0017077A"/>
    <w:rPr>
      <w:rFonts w:ascii="Segoe UI" w:hAnsi="Segoe UI"/>
      <w:kern w:val="0"/>
      <w14:ligatures w14:val="none"/>
    </w:rPr>
  </w:style>
  <w:style w:type="paragraph" w:customStyle="1" w:styleId="Emphasise">
    <w:name w:val="Emphasise"/>
    <w:basedOn w:val="Normal"/>
    <w:link w:val="EmphasiseChar"/>
    <w:qFormat/>
    <w:rsid w:val="00A72F38"/>
    <w:pPr>
      <w:spacing w:line="240" w:lineRule="auto"/>
    </w:pPr>
    <w:rPr>
      <w:color w:val="566015" w:themeColor="accent5" w:themeShade="80"/>
    </w:rPr>
  </w:style>
  <w:style w:type="character" w:customStyle="1" w:styleId="EmphasiseChar">
    <w:name w:val="Emphasise Char"/>
    <w:basedOn w:val="DefaultParagraphFont"/>
    <w:link w:val="Emphasise"/>
    <w:rsid w:val="00A72F38"/>
    <w:rPr>
      <w:rFonts w:ascii="Segoe UI" w:hAnsi="Segoe UI"/>
      <w:color w:val="566015" w:themeColor="accent5" w:themeShade="80"/>
      <w:kern w:val="0"/>
      <w14:ligatures w14:val="none"/>
    </w:rPr>
  </w:style>
  <w:style w:type="paragraph" w:customStyle="1" w:styleId="pf0">
    <w:name w:val="pf0"/>
    <w:basedOn w:val="Normal"/>
    <w:rsid w:val="001910B6"/>
    <w:pPr>
      <w:spacing w:before="100" w:beforeAutospacing="1" w:after="100" w:afterAutospacing="1" w:line="240" w:lineRule="auto"/>
    </w:pPr>
    <w:rPr>
      <w:rFonts w:ascii="Times New Roman" w:eastAsia="Times New Roman" w:hAnsi="Times New Roman"/>
      <w:lang w:eastAsia="en-AU"/>
    </w:rPr>
  </w:style>
  <w:style w:type="character" w:customStyle="1" w:styleId="eop">
    <w:name w:val="eop"/>
    <w:basedOn w:val="DefaultParagraphFont"/>
    <w:rsid w:val="00D26616"/>
  </w:style>
  <w:style w:type="table" w:styleId="PlainTable3">
    <w:name w:val="Plain Table 3"/>
    <w:basedOn w:val="TableNormal"/>
    <w:uiPriority w:val="43"/>
    <w:rsid w:val="00734C4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Style1">
    <w:name w:val="Style1"/>
    <w:basedOn w:val="TableNormal"/>
    <w:uiPriority w:val="99"/>
    <w:rsid w:val="00FC6BC2"/>
    <w:pPr>
      <w:spacing w:after="0" w:line="240" w:lineRule="auto"/>
    </w:pPr>
    <w:tblPr/>
  </w:style>
  <w:style w:type="paragraph" w:styleId="ListBullet">
    <w:name w:val="List Bullet"/>
    <w:basedOn w:val="ListParagraph"/>
    <w:uiPriority w:val="99"/>
    <w:unhideWhenUsed/>
    <w:rsid w:val="00274AA9"/>
    <w:pPr>
      <w:numPr>
        <w:numId w:val="93"/>
      </w:numPr>
    </w:pPr>
    <w:rPr>
      <w:rFonts w:eastAsia="Segoe UI" w:cs="Segoe UI"/>
    </w:rPr>
  </w:style>
  <w:style w:type="character" w:styleId="Mention">
    <w:name w:val="Mention"/>
    <w:basedOn w:val="DefaultParagraphFont"/>
    <w:uiPriority w:val="99"/>
    <w:unhideWhenUsed/>
    <w:rsid w:val="00943944"/>
    <w:rPr>
      <w:color w:val="2B579A"/>
      <w:shd w:val="clear" w:color="auto" w:fill="E1DFDD"/>
    </w:rPr>
  </w:style>
  <w:style w:type="paragraph" w:styleId="Revision">
    <w:name w:val="Revision"/>
    <w:hidden/>
    <w:uiPriority w:val="99"/>
    <w:semiHidden/>
    <w:rsid w:val="004235DE"/>
    <w:pPr>
      <w:spacing w:after="0" w:line="240" w:lineRule="auto"/>
    </w:pPr>
    <w:rPr>
      <w:rFonts w:ascii="Segoe UI" w:hAnsi="Segoe UI"/>
      <w:kern w:val="0"/>
      <w14:ligatures w14:val="none"/>
    </w:rPr>
  </w:style>
  <w:style w:type="paragraph" w:styleId="TOCHeading">
    <w:name w:val="TOC Heading"/>
    <w:basedOn w:val="Heading1"/>
    <w:next w:val="Normal"/>
    <w:uiPriority w:val="39"/>
    <w:unhideWhenUsed/>
    <w:qFormat/>
    <w:rsid w:val="009C0134"/>
    <w:pPr>
      <w:keepLines/>
      <w:spacing w:after="0" w:line="259" w:lineRule="auto"/>
      <w:outlineLvl w:val="9"/>
    </w:pPr>
    <w:rPr>
      <w:rFonts w:asciiTheme="majorHAnsi" w:eastAsiaTheme="majorEastAsia" w:hAnsiTheme="majorHAnsi" w:cstheme="majorBidi"/>
      <w:bCs w:val="0"/>
      <w:color w:val="0E213F" w:themeColor="accent1" w:themeShade="80"/>
      <w:kern w:val="0"/>
      <w:sz w:val="32"/>
      <w:szCs w:val="32"/>
      <w:lang w:val="en-US"/>
    </w:rPr>
  </w:style>
  <w:style w:type="paragraph" w:styleId="TOC3">
    <w:name w:val="toc 3"/>
    <w:basedOn w:val="Normal"/>
    <w:next w:val="Normal"/>
    <w:autoRedefine/>
    <w:uiPriority w:val="39"/>
    <w:unhideWhenUsed/>
    <w:rsid w:val="00565DD0"/>
    <w:pPr>
      <w:tabs>
        <w:tab w:val="right" w:leader="dot" w:pos="9016"/>
      </w:tabs>
      <w:spacing w:after="100"/>
      <w:ind w:left="480"/>
    </w:pPr>
  </w:style>
  <w:style w:type="character" w:customStyle="1" w:styleId="normaltextrun">
    <w:name w:val="normaltextrun"/>
    <w:basedOn w:val="DefaultParagraphFont"/>
    <w:rsid w:val="00E71C2E"/>
  </w:style>
  <w:style w:type="paragraph" w:customStyle="1" w:styleId="paragraph">
    <w:name w:val="paragraph"/>
    <w:basedOn w:val="Normal"/>
    <w:rsid w:val="00E71C2E"/>
    <w:pPr>
      <w:spacing w:before="100" w:beforeAutospacing="1" w:after="100" w:afterAutospacing="1" w:line="240" w:lineRule="auto"/>
    </w:pPr>
    <w:rPr>
      <w:rFonts w:ascii="Times New Roman" w:eastAsia="Times New Roman" w:hAnsi="Times New Roman"/>
      <w:lang w:eastAsia="ja-JP"/>
    </w:rPr>
  </w:style>
  <w:style w:type="paragraph" w:styleId="ListNumber">
    <w:name w:val="List Number"/>
    <w:basedOn w:val="Normal"/>
    <w:uiPriority w:val="99"/>
    <w:unhideWhenUsed/>
    <w:rsid w:val="00681451"/>
    <w:pPr>
      <w:numPr>
        <w:numId w:val="130"/>
      </w:numPr>
      <w:contextualSpacing/>
    </w:pPr>
  </w:style>
  <w:style w:type="character" w:styleId="FollowedHyperlink">
    <w:name w:val="FollowedHyperlink"/>
    <w:basedOn w:val="DefaultParagraphFont"/>
    <w:uiPriority w:val="99"/>
    <w:semiHidden/>
    <w:unhideWhenUsed/>
    <w:rsid w:val="003E5E1D"/>
    <w:rPr>
      <w:color w:val="954F72" w:themeColor="followedHyperlink"/>
      <w:u w:val="single"/>
    </w:rPr>
  </w:style>
  <w:style w:type="paragraph" w:customStyle="1" w:styleId="2-SectionHeading">
    <w:name w:val="2-Section Heading"/>
    <w:qFormat/>
    <w:rsid w:val="00BE4268"/>
    <w:pPr>
      <w:keepNext/>
      <w:numPr>
        <w:numId w:val="1"/>
      </w:numPr>
      <w:spacing w:before="240" w:after="120" w:line="240" w:lineRule="auto"/>
      <w:outlineLvl w:val="0"/>
    </w:pPr>
    <w:rPr>
      <w:rFonts w:asciiTheme="minorHAnsi" w:eastAsia="Times New Roman" w:hAnsiTheme="minorHAnsi" w:cs="Arial"/>
      <w:b/>
      <w:snapToGrid w:val="0"/>
      <w:kern w:val="0"/>
      <w:sz w:val="32"/>
      <w:szCs w:val="32"/>
      <w:lang w:eastAsia="en-AU"/>
      <w14:ligatures w14:val="none"/>
    </w:rPr>
  </w:style>
  <w:style w:type="paragraph" w:customStyle="1" w:styleId="3-BodyText">
    <w:name w:val="3-Body Text"/>
    <w:basedOn w:val="ListParagraph"/>
    <w:qFormat/>
    <w:rsid w:val="00BE4268"/>
    <w:pPr>
      <w:numPr>
        <w:ilvl w:val="1"/>
        <w:numId w:val="1"/>
      </w:numPr>
      <w:tabs>
        <w:tab w:val="num" w:pos="360"/>
      </w:tabs>
      <w:spacing w:after="120" w:line="240" w:lineRule="auto"/>
      <w:contextualSpacing w:val="0"/>
    </w:pPr>
    <w:rPr>
      <w:rFonts w:asciiTheme="minorHAnsi" w:eastAsia="Times New Roman" w:hAnsiTheme="minorHAnsi" w:cs="Arial"/>
      <w:snapToGrid w:val="0"/>
      <w:lang w:eastAsia="en-AU"/>
    </w:rPr>
  </w:style>
  <w:style w:type="character" w:customStyle="1" w:styleId="superscript">
    <w:name w:val="superscript"/>
    <w:basedOn w:val="DefaultParagraphFont"/>
    <w:rsid w:val="00C711AD"/>
  </w:style>
  <w:style w:type="paragraph" w:customStyle="1" w:styleId="Default">
    <w:name w:val="Default"/>
    <w:rsid w:val="00DC5FE9"/>
    <w:pPr>
      <w:autoSpaceDE w:val="0"/>
      <w:autoSpaceDN w:val="0"/>
      <w:adjustRightInd w:val="0"/>
      <w:spacing w:after="0" w:line="240" w:lineRule="auto"/>
    </w:pPr>
    <w:rPr>
      <w:rFonts w:ascii="Calibri" w:hAnsi="Calibri" w:cs="Calibri"/>
      <w:color w:val="000000"/>
      <w:kern w:val="0"/>
      <w14:ligatures w14:val="none"/>
    </w:rPr>
  </w:style>
  <w:style w:type="paragraph" w:styleId="BodyText">
    <w:name w:val="Body Text"/>
    <w:basedOn w:val="Normal"/>
    <w:link w:val="BodyTextChar"/>
    <w:uiPriority w:val="1"/>
    <w:qFormat/>
    <w:rsid w:val="004A1839"/>
    <w:pPr>
      <w:spacing w:after="0" w:line="360" w:lineRule="auto"/>
    </w:pPr>
    <w:rPr>
      <w:rFonts w:ascii="Calibri Light" w:eastAsia="Times New Roman" w:hAnsi="Calibri Light"/>
      <w:sz w:val="30"/>
      <w:szCs w:val="30"/>
      <w:lang w:eastAsia="en-GB"/>
    </w:rPr>
  </w:style>
  <w:style w:type="character" w:customStyle="1" w:styleId="BodyTextChar">
    <w:name w:val="Body Text Char"/>
    <w:basedOn w:val="DefaultParagraphFont"/>
    <w:link w:val="BodyText"/>
    <w:uiPriority w:val="1"/>
    <w:rsid w:val="004A1839"/>
    <w:rPr>
      <w:rFonts w:ascii="Calibri Light" w:eastAsia="Times New Roman" w:hAnsi="Calibri Light"/>
      <w:kern w:val="0"/>
      <w:sz w:val="30"/>
      <w:szCs w:val="30"/>
      <w:lang w:eastAsia="en-GB"/>
      <w14:ligatures w14:val="none"/>
    </w:rPr>
  </w:style>
  <w:style w:type="paragraph" w:customStyle="1" w:styleId="BodyTextPostTableBullets">
    <w:name w:val="Body Text Post Table / Bullets"/>
    <w:basedOn w:val="BodyText"/>
    <w:qFormat/>
    <w:rsid w:val="004A1839"/>
    <w:pPr>
      <w:tabs>
        <w:tab w:val="left" w:pos="2268"/>
        <w:tab w:val="left" w:pos="4536"/>
        <w:tab w:val="left" w:pos="6804"/>
        <w:tab w:val="right" w:pos="9638"/>
      </w:tabs>
      <w:spacing w:before="260" w:after="120" w:line="240" w:lineRule="auto"/>
      <w:ind w:right="-57"/>
    </w:pPr>
    <w:rPr>
      <w:rFonts w:ascii="Arial Nova Light" w:eastAsia="Arial" w:hAnsi="Arial Nova Light"/>
      <w:color w:val="000000" w:themeColor="text1"/>
      <w:sz w:val="24"/>
      <w:szCs w:val="22"/>
      <w:lang w:eastAsia="en-AU"/>
    </w:rPr>
  </w:style>
  <w:style w:type="paragraph" w:customStyle="1" w:styleId="m-3898885607672279583m4394978681082405797msolistnumber">
    <w:name w:val="m_-3898885607672279583m4394978681082405797msolistnumber"/>
    <w:basedOn w:val="Normal"/>
    <w:rsid w:val="004A1839"/>
    <w:pPr>
      <w:spacing w:before="100" w:beforeAutospacing="1" w:after="100" w:afterAutospacing="1" w:line="240" w:lineRule="auto"/>
    </w:pPr>
    <w:rPr>
      <w:rFonts w:ascii="Calibri" w:hAnsi="Calibri" w:cs="Calibri"/>
      <w:sz w:val="22"/>
      <w:szCs w:val="22"/>
      <w:lang w:eastAsia="en-AU"/>
    </w:rPr>
  </w:style>
  <w:style w:type="character" w:customStyle="1" w:styleId="field">
    <w:name w:val="field"/>
    <w:basedOn w:val="DefaultParagraphFont"/>
    <w:rsid w:val="004A1839"/>
  </w:style>
  <w:style w:type="character" w:customStyle="1" w:styleId="findhit">
    <w:name w:val="findhit"/>
    <w:basedOn w:val="DefaultParagraphFont"/>
    <w:rsid w:val="004A1839"/>
  </w:style>
  <w:style w:type="paragraph" w:styleId="NormalWeb">
    <w:name w:val="Normal (Web)"/>
    <w:basedOn w:val="Normal"/>
    <w:uiPriority w:val="99"/>
    <w:unhideWhenUsed/>
    <w:rsid w:val="004A1839"/>
    <w:pPr>
      <w:spacing w:before="100" w:beforeAutospacing="1" w:after="100" w:afterAutospacing="1" w:line="240" w:lineRule="auto"/>
    </w:pPr>
    <w:rPr>
      <w:rFonts w:eastAsia="Times New Roman"/>
      <w:lang w:eastAsia="en-AU"/>
    </w:rPr>
  </w:style>
  <w:style w:type="numbering" w:customStyle="1" w:styleId="Final">
    <w:name w:val="Final"/>
    <w:uiPriority w:val="99"/>
    <w:rsid w:val="00A57182"/>
    <w:pPr>
      <w:numPr>
        <w:numId w:val="2"/>
      </w:numPr>
    </w:pPr>
  </w:style>
  <w:style w:type="paragraph" w:styleId="TOC4">
    <w:name w:val="toc 4"/>
    <w:basedOn w:val="Normal"/>
    <w:next w:val="Normal"/>
    <w:autoRedefine/>
    <w:uiPriority w:val="39"/>
    <w:unhideWhenUsed/>
    <w:rsid w:val="004E2F23"/>
    <w:pPr>
      <w:spacing w:after="100"/>
      <w:ind w:left="660"/>
    </w:pPr>
    <w:rPr>
      <w:rFonts w:asciiTheme="minorHAnsi" w:eastAsiaTheme="minorEastAsia" w:hAnsiTheme="minorHAnsi" w:cstheme="minorBidi"/>
      <w:kern w:val="2"/>
      <w:sz w:val="22"/>
      <w:szCs w:val="22"/>
      <w:lang w:eastAsia="en-AU"/>
      <w14:ligatures w14:val="standardContextual"/>
    </w:rPr>
  </w:style>
  <w:style w:type="paragraph" w:styleId="TOC5">
    <w:name w:val="toc 5"/>
    <w:basedOn w:val="Normal"/>
    <w:next w:val="Normal"/>
    <w:autoRedefine/>
    <w:uiPriority w:val="39"/>
    <w:unhideWhenUsed/>
    <w:rsid w:val="004E2F23"/>
    <w:pPr>
      <w:spacing w:after="100"/>
      <w:ind w:left="880"/>
    </w:pPr>
    <w:rPr>
      <w:rFonts w:asciiTheme="minorHAnsi" w:eastAsiaTheme="minorEastAsia" w:hAnsiTheme="minorHAnsi" w:cstheme="minorBidi"/>
      <w:kern w:val="2"/>
      <w:sz w:val="22"/>
      <w:szCs w:val="22"/>
      <w:lang w:eastAsia="en-AU"/>
      <w14:ligatures w14:val="standardContextual"/>
    </w:rPr>
  </w:style>
  <w:style w:type="paragraph" w:styleId="TOC6">
    <w:name w:val="toc 6"/>
    <w:basedOn w:val="Normal"/>
    <w:next w:val="Normal"/>
    <w:autoRedefine/>
    <w:uiPriority w:val="39"/>
    <w:unhideWhenUsed/>
    <w:rsid w:val="004E2F23"/>
    <w:pPr>
      <w:spacing w:after="100"/>
      <w:ind w:left="1100"/>
    </w:pPr>
    <w:rPr>
      <w:rFonts w:asciiTheme="minorHAnsi" w:eastAsiaTheme="minorEastAsia" w:hAnsiTheme="minorHAnsi" w:cstheme="minorBidi"/>
      <w:kern w:val="2"/>
      <w:sz w:val="22"/>
      <w:szCs w:val="22"/>
      <w:lang w:eastAsia="en-AU"/>
      <w14:ligatures w14:val="standardContextual"/>
    </w:rPr>
  </w:style>
  <w:style w:type="paragraph" w:styleId="TOC7">
    <w:name w:val="toc 7"/>
    <w:basedOn w:val="Normal"/>
    <w:next w:val="Normal"/>
    <w:autoRedefine/>
    <w:uiPriority w:val="39"/>
    <w:unhideWhenUsed/>
    <w:rsid w:val="004E2F23"/>
    <w:pPr>
      <w:spacing w:after="100"/>
      <w:ind w:left="1320"/>
    </w:pPr>
    <w:rPr>
      <w:rFonts w:asciiTheme="minorHAnsi" w:eastAsiaTheme="minorEastAsia" w:hAnsiTheme="minorHAnsi" w:cstheme="minorBidi"/>
      <w:kern w:val="2"/>
      <w:sz w:val="22"/>
      <w:szCs w:val="22"/>
      <w:lang w:eastAsia="en-AU"/>
      <w14:ligatures w14:val="standardContextual"/>
    </w:rPr>
  </w:style>
  <w:style w:type="paragraph" w:styleId="TOC8">
    <w:name w:val="toc 8"/>
    <w:basedOn w:val="Normal"/>
    <w:next w:val="Normal"/>
    <w:autoRedefine/>
    <w:uiPriority w:val="39"/>
    <w:unhideWhenUsed/>
    <w:rsid w:val="004E2F23"/>
    <w:pPr>
      <w:spacing w:after="100"/>
      <w:ind w:left="1540"/>
    </w:pPr>
    <w:rPr>
      <w:rFonts w:asciiTheme="minorHAnsi" w:eastAsiaTheme="minorEastAsia" w:hAnsiTheme="minorHAnsi" w:cstheme="minorBidi"/>
      <w:kern w:val="2"/>
      <w:sz w:val="22"/>
      <w:szCs w:val="22"/>
      <w:lang w:eastAsia="en-AU"/>
      <w14:ligatures w14:val="standardContextual"/>
    </w:rPr>
  </w:style>
  <w:style w:type="paragraph" w:styleId="TOC9">
    <w:name w:val="toc 9"/>
    <w:basedOn w:val="Normal"/>
    <w:next w:val="Normal"/>
    <w:autoRedefine/>
    <w:uiPriority w:val="39"/>
    <w:unhideWhenUsed/>
    <w:rsid w:val="008B2DA5"/>
    <w:pPr>
      <w:spacing w:after="100"/>
    </w:pPr>
    <w:rPr>
      <w:rFonts w:asciiTheme="minorHAnsi" w:eastAsiaTheme="minorEastAsia" w:hAnsiTheme="minorHAnsi" w:cstheme="minorBidi"/>
      <w:kern w:val="2"/>
      <w:sz w:val="22"/>
      <w:szCs w:val="22"/>
      <w:lang w:eastAsia="en-AU"/>
      <w14:ligatures w14:val="standardContextual"/>
    </w:rPr>
  </w:style>
  <w:style w:type="table" w:styleId="ListTable7Colorful-Accent1">
    <w:name w:val="List Table 7 Colorful Accent 1"/>
    <w:basedOn w:val="TableNormal"/>
    <w:uiPriority w:val="52"/>
    <w:rsid w:val="00117E57"/>
    <w:pPr>
      <w:spacing w:after="0" w:line="240" w:lineRule="auto"/>
    </w:pPr>
    <w:rPr>
      <w:color w:val="15315E"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D437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D437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D437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D437F" w:themeColor="accent1"/>
        </w:tcBorders>
        <w:shd w:val="clear" w:color="auto" w:fill="FFFFFF" w:themeFill="background1"/>
      </w:tcPr>
    </w:tblStylePr>
    <w:tblStylePr w:type="band1Vert">
      <w:tblPr/>
      <w:tcPr>
        <w:shd w:val="clear" w:color="auto" w:fill="C5D6F1" w:themeFill="accent1" w:themeFillTint="33"/>
      </w:tcPr>
    </w:tblStylePr>
    <w:tblStylePr w:type="band1Horz">
      <w:tblPr/>
      <w:tcPr>
        <w:shd w:val="clear" w:color="auto" w:fill="C5D6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5Dark-Accent1">
    <w:name w:val="Grid Table 5 Dark Accent 1"/>
    <w:basedOn w:val="TableNormal"/>
    <w:uiPriority w:val="50"/>
    <w:rsid w:val="00117E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5D6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D437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D437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D437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D437F" w:themeFill="accent1"/>
      </w:tcPr>
    </w:tblStylePr>
    <w:tblStylePr w:type="band1Vert">
      <w:tblPr/>
      <w:tcPr>
        <w:shd w:val="clear" w:color="auto" w:fill="8BADE4" w:themeFill="accent1" w:themeFillTint="66"/>
      </w:tcPr>
    </w:tblStylePr>
    <w:tblStylePr w:type="band1Horz">
      <w:tblPr/>
      <w:tcPr>
        <w:shd w:val="clear" w:color="auto" w:fill="8BADE4" w:themeFill="accent1" w:themeFillTint="66"/>
      </w:tcPr>
    </w:tblStylePr>
  </w:style>
  <w:style w:type="paragraph" w:customStyle="1" w:styleId="Call-outbox">
    <w:name w:val="Call-out box"/>
    <w:basedOn w:val="Heading4"/>
    <w:link w:val="Call-outboxChar"/>
    <w:qFormat/>
    <w:rsid w:val="000B5053"/>
    <w:rPr>
      <w:b/>
      <w:i/>
      <w:color w:val="808F1F" w:themeColor="accent5" w:themeShade="BF"/>
    </w:rPr>
  </w:style>
  <w:style w:type="character" w:customStyle="1" w:styleId="Call-outboxChar">
    <w:name w:val="Call-out box Char"/>
    <w:basedOn w:val="Heading4Char"/>
    <w:link w:val="Call-outbox"/>
    <w:rsid w:val="002B4046"/>
    <w:rPr>
      <w:rFonts w:ascii="Segoe UI" w:eastAsiaTheme="majorEastAsia" w:hAnsi="Segoe UI" w:cstheme="majorBidi"/>
      <w:b/>
      <w:i/>
      <w:iCs/>
      <w:color w:val="808F1F" w:themeColor="accent5" w:themeShade="BF"/>
      <w:kern w:val="0"/>
      <w:sz w:val="28"/>
      <w14:ligatures w14:val="none"/>
    </w:rPr>
  </w:style>
  <w:style w:type="character" w:styleId="IntenseEmphasis">
    <w:name w:val="Intense Emphasis"/>
    <w:basedOn w:val="DefaultParagraphFont"/>
    <w:uiPriority w:val="21"/>
    <w:qFormat/>
    <w:rsid w:val="00EF496D"/>
    <w:rPr>
      <w:i/>
      <w:iCs/>
      <w:color w:val="1D437F" w:themeColor="accent1"/>
    </w:rPr>
  </w:style>
  <w:style w:type="table" w:styleId="PlainTable4">
    <w:name w:val="Plain Table 4"/>
    <w:basedOn w:val="TableNormal"/>
    <w:uiPriority w:val="44"/>
    <w:rsid w:val="00AE217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s1">
    <w:name w:val="s1"/>
    <w:basedOn w:val="DefaultParagraphFont"/>
    <w:rsid w:val="00AE2177"/>
  </w:style>
  <w:style w:type="table" w:styleId="ListTable1Light-Accent1">
    <w:name w:val="List Table 1 Light Accent 1"/>
    <w:basedOn w:val="TableNormal"/>
    <w:uiPriority w:val="46"/>
    <w:rsid w:val="00AE2177"/>
    <w:pPr>
      <w:spacing w:after="0" w:line="240" w:lineRule="auto"/>
    </w:pPr>
    <w:tblPr>
      <w:tblStyleRowBandSize w:val="1"/>
      <w:tblStyleColBandSize w:val="1"/>
    </w:tblPr>
    <w:tblStylePr w:type="firstRow">
      <w:rPr>
        <w:b/>
        <w:bCs/>
      </w:rPr>
      <w:tblPr/>
      <w:tcPr>
        <w:tcBorders>
          <w:bottom w:val="single" w:sz="4" w:space="0" w:color="5185D7" w:themeColor="accent1" w:themeTint="99"/>
        </w:tcBorders>
      </w:tcPr>
    </w:tblStylePr>
    <w:tblStylePr w:type="lastRow">
      <w:rPr>
        <w:b/>
        <w:bCs/>
      </w:rPr>
      <w:tblPr/>
      <w:tcPr>
        <w:tcBorders>
          <w:top w:val="single" w:sz="4" w:space="0" w:color="5185D7" w:themeColor="accent1" w:themeTint="99"/>
        </w:tcBorders>
      </w:tcPr>
    </w:tblStylePr>
    <w:tblStylePr w:type="firstCol">
      <w:rPr>
        <w:b/>
        <w:bCs/>
      </w:rPr>
    </w:tblStylePr>
    <w:tblStylePr w:type="lastCol">
      <w:rPr>
        <w:b/>
        <w:bCs/>
      </w:rPr>
    </w:tblStylePr>
    <w:tblStylePr w:type="band1Vert">
      <w:tblPr/>
      <w:tcPr>
        <w:shd w:val="clear" w:color="auto" w:fill="C5D6F1" w:themeFill="accent1" w:themeFillTint="33"/>
      </w:tcPr>
    </w:tblStylePr>
    <w:tblStylePr w:type="band1Horz">
      <w:tblPr/>
      <w:tcPr>
        <w:shd w:val="clear" w:color="auto" w:fill="E4F4FC"/>
      </w:tcPr>
    </w:tblStylePr>
  </w:style>
  <w:style w:type="paragraph" w:styleId="Title">
    <w:name w:val="Title"/>
    <w:basedOn w:val="Normal"/>
    <w:next w:val="Normal"/>
    <w:link w:val="TitleChar"/>
    <w:uiPriority w:val="10"/>
    <w:qFormat/>
    <w:rsid w:val="00AE217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2177"/>
    <w:rPr>
      <w:rFonts w:asciiTheme="majorHAnsi" w:eastAsiaTheme="majorEastAsia" w:hAnsiTheme="majorHAnsi" w:cstheme="majorBidi"/>
      <w:spacing w:val="-10"/>
      <w:kern w:val="28"/>
      <w:sz w:val="56"/>
      <w:szCs w:val="56"/>
      <w14:ligatures w14:val="none"/>
    </w:rPr>
  </w:style>
  <w:style w:type="table" w:styleId="ListTable7Colorful-Accent4">
    <w:name w:val="List Table 7 Colorful Accent 4"/>
    <w:basedOn w:val="TableNormal"/>
    <w:uiPriority w:val="52"/>
    <w:rsid w:val="00AE2177"/>
    <w:pPr>
      <w:spacing w:after="0" w:line="240" w:lineRule="auto"/>
    </w:pPr>
    <w:rPr>
      <w:color w:val="0E6B9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390CF"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390CF"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390CF"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390CF" w:themeColor="accent4"/>
        </w:tcBorders>
        <w:shd w:val="clear" w:color="auto" w:fill="FFFFFF" w:themeFill="background1"/>
      </w:tcPr>
    </w:tblStylePr>
    <w:tblStylePr w:type="band1Vert">
      <w:tblPr/>
      <w:tcPr>
        <w:shd w:val="clear" w:color="auto" w:fill="CAEAFA" w:themeFill="accent4" w:themeFillTint="33"/>
      </w:tcPr>
    </w:tblStylePr>
    <w:tblStylePr w:type="band1Horz">
      <w:tblPr/>
      <w:tcPr>
        <w:shd w:val="clear" w:color="auto" w:fill="CAEAFA"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Recommendation1">
    <w:name w:val="Recommendation#1"/>
    <w:basedOn w:val="Heading4"/>
    <w:link w:val="Recommendation1Char"/>
    <w:autoRedefine/>
    <w:qFormat/>
    <w:rsid w:val="00645D5E"/>
    <w:pPr>
      <w:numPr>
        <w:numId w:val="10"/>
      </w:numPr>
      <w:spacing w:before="120" w:after="120"/>
      <w:ind w:left="0" w:firstLine="0"/>
    </w:pPr>
    <w:rPr>
      <w:lang w:val="en-US"/>
    </w:rPr>
  </w:style>
  <w:style w:type="character" w:customStyle="1" w:styleId="Recommendation1Char">
    <w:name w:val="Recommendation#1 Char"/>
    <w:basedOn w:val="Heading4Char"/>
    <w:link w:val="Recommendation1"/>
    <w:rsid w:val="00645D5E"/>
    <w:rPr>
      <w:rFonts w:ascii="Segoe UI" w:eastAsiaTheme="majorEastAsia" w:hAnsi="Segoe UI" w:cstheme="majorBidi"/>
      <w:iCs/>
      <w:color w:val="00717A"/>
      <w:kern w:val="0"/>
      <w:sz w:val="28"/>
      <w:lang w:val="en-US"/>
      <w14:ligatures w14:val="none"/>
    </w:rPr>
  </w:style>
  <w:style w:type="paragraph" w:customStyle="1" w:styleId="Recommendation2">
    <w:name w:val="Recommendation#2"/>
    <w:basedOn w:val="Heading4"/>
    <w:link w:val="Recommendation2Char"/>
    <w:qFormat/>
    <w:rsid w:val="005B4965"/>
    <w:pPr>
      <w:numPr>
        <w:ilvl w:val="1"/>
        <w:numId w:val="10"/>
      </w:numPr>
      <w:spacing w:before="120"/>
    </w:pPr>
  </w:style>
  <w:style w:type="character" w:customStyle="1" w:styleId="Recommendation2Char">
    <w:name w:val="Recommendation#2 Char"/>
    <w:basedOn w:val="Heading4Char"/>
    <w:link w:val="Recommendation2"/>
    <w:rsid w:val="005B4965"/>
    <w:rPr>
      <w:rFonts w:ascii="Segoe UI" w:eastAsiaTheme="majorEastAsia" w:hAnsi="Segoe UI" w:cstheme="majorBidi"/>
      <w:iCs/>
      <w:color w:val="00717A"/>
      <w:kern w:val="0"/>
      <w:sz w:val="28"/>
      <w14:ligatures w14:val="none"/>
    </w:rPr>
  </w:style>
  <w:style w:type="paragraph" w:customStyle="1" w:styleId="emphasised">
    <w:name w:val="emphasised"/>
    <w:basedOn w:val="Normal"/>
    <w:link w:val="emphasisedChar"/>
    <w:qFormat/>
    <w:rsid w:val="006344F7"/>
    <w:rPr>
      <w:color w:val="0E6B9A" w:themeColor="accent4" w:themeShade="BF"/>
    </w:rPr>
  </w:style>
  <w:style w:type="character" w:customStyle="1" w:styleId="emphasisedChar">
    <w:name w:val="emphasised Char"/>
    <w:basedOn w:val="DefaultParagraphFont"/>
    <w:link w:val="emphasised"/>
    <w:rsid w:val="006344F7"/>
    <w:rPr>
      <w:rFonts w:ascii="Segoe UI" w:hAnsi="Segoe UI"/>
      <w:color w:val="0E6B9A" w:themeColor="accent4" w:themeShade="BF"/>
      <w:kern w:val="0"/>
      <w14:ligatures w14:val="none"/>
    </w:rPr>
  </w:style>
  <w:style w:type="table" w:styleId="ListTable1Light-Accent4">
    <w:name w:val="List Table 1 Light Accent 4"/>
    <w:basedOn w:val="TableNormal"/>
    <w:uiPriority w:val="46"/>
    <w:rsid w:val="00B27A25"/>
    <w:pPr>
      <w:spacing w:after="0" w:line="240" w:lineRule="auto"/>
    </w:pPr>
    <w:tblPr>
      <w:tblStyleRowBandSize w:val="1"/>
      <w:tblStyleColBandSize w:val="1"/>
    </w:tblPr>
    <w:tblStylePr w:type="firstRow">
      <w:rPr>
        <w:b/>
        <w:bCs/>
      </w:rPr>
      <w:tblPr/>
      <w:tcPr>
        <w:tcBorders>
          <w:bottom w:val="single" w:sz="4" w:space="0" w:color="62C0F0" w:themeColor="accent4" w:themeTint="99"/>
        </w:tcBorders>
      </w:tcPr>
    </w:tblStylePr>
    <w:tblStylePr w:type="lastRow">
      <w:rPr>
        <w:b/>
        <w:bCs/>
      </w:rPr>
      <w:tblPr/>
      <w:tcPr>
        <w:tcBorders>
          <w:top w:val="single" w:sz="4" w:space="0" w:color="62C0F0" w:themeColor="accent4" w:themeTint="99"/>
        </w:tcBorders>
      </w:tcPr>
    </w:tblStylePr>
    <w:tblStylePr w:type="firstCol">
      <w:rPr>
        <w:b/>
        <w:bCs/>
      </w:rPr>
    </w:tblStylePr>
    <w:tblStylePr w:type="lastCol">
      <w:rPr>
        <w:b/>
        <w:bCs/>
      </w:rPr>
    </w:tblStylePr>
    <w:tblStylePr w:type="band1Vert">
      <w:tblPr/>
      <w:tcPr>
        <w:shd w:val="clear" w:color="auto" w:fill="CAEAFA" w:themeFill="accent4" w:themeFillTint="33"/>
      </w:tcPr>
    </w:tblStylePr>
    <w:tblStylePr w:type="band1Horz">
      <w:tblPr/>
      <w:tcPr>
        <w:shd w:val="clear" w:color="auto" w:fill="CAEAFA" w:themeFill="accent4" w:themeFillTint="33"/>
      </w:tcPr>
    </w:tblStylePr>
  </w:style>
  <w:style w:type="paragraph" w:styleId="Index3">
    <w:name w:val="index 3"/>
    <w:basedOn w:val="Normal"/>
    <w:next w:val="Normal"/>
    <w:autoRedefine/>
    <w:uiPriority w:val="99"/>
    <w:unhideWhenUsed/>
    <w:rsid w:val="00F93992"/>
    <w:pPr>
      <w:spacing w:after="0"/>
      <w:ind w:left="720" w:hanging="240"/>
      <w:jc w:val="left"/>
    </w:pPr>
    <w:rPr>
      <w:rFonts w:asciiTheme="minorHAnsi" w:hAnsiTheme="minorHAnsi" w:cstheme="minorHAnsi"/>
      <w:sz w:val="20"/>
      <w:szCs w:val="20"/>
    </w:rPr>
  </w:style>
  <w:style w:type="numbering" w:customStyle="1" w:styleId="Recommendationlist">
    <w:name w:val="Recommendation list"/>
    <w:uiPriority w:val="99"/>
    <w:rsid w:val="00F615F6"/>
    <w:pPr>
      <w:numPr>
        <w:numId w:val="48"/>
      </w:numPr>
    </w:pPr>
  </w:style>
  <w:style w:type="numbering" w:customStyle="1" w:styleId="donotusestyle">
    <w:name w:val="do not use style"/>
    <w:basedOn w:val="NoList"/>
    <w:uiPriority w:val="99"/>
    <w:rsid w:val="00100B7F"/>
    <w:pPr>
      <w:numPr>
        <w:numId w:val="18"/>
      </w:numPr>
    </w:pPr>
  </w:style>
  <w:style w:type="paragraph" w:styleId="Index4">
    <w:name w:val="index 4"/>
    <w:basedOn w:val="Normal"/>
    <w:next w:val="Normal"/>
    <w:autoRedefine/>
    <w:uiPriority w:val="99"/>
    <w:unhideWhenUsed/>
    <w:rsid w:val="00F93992"/>
    <w:pPr>
      <w:spacing w:after="0"/>
      <w:ind w:left="960" w:hanging="240"/>
      <w:jc w:val="left"/>
    </w:pPr>
    <w:rPr>
      <w:rFonts w:asciiTheme="minorHAnsi" w:hAnsiTheme="minorHAnsi" w:cstheme="minorHAnsi"/>
      <w:sz w:val="20"/>
      <w:szCs w:val="20"/>
    </w:rPr>
  </w:style>
  <w:style w:type="paragraph" w:styleId="Index5">
    <w:name w:val="index 5"/>
    <w:basedOn w:val="Normal"/>
    <w:next w:val="Normal"/>
    <w:autoRedefine/>
    <w:uiPriority w:val="99"/>
    <w:unhideWhenUsed/>
    <w:rsid w:val="00F93992"/>
    <w:pPr>
      <w:spacing w:after="0"/>
      <w:ind w:left="1200" w:hanging="240"/>
      <w:jc w:val="left"/>
    </w:pPr>
    <w:rPr>
      <w:rFonts w:asciiTheme="minorHAnsi" w:hAnsiTheme="minorHAnsi" w:cstheme="minorHAnsi"/>
      <w:sz w:val="20"/>
      <w:szCs w:val="20"/>
    </w:rPr>
  </w:style>
  <w:style w:type="paragraph" w:styleId="Index6">
    <w:name w:val="index 6"/>
    <w:basedOn w:val="Normal"/>
    <w:next w:val="Normal"/>
    <w:autoRedefine/>
    <w:uiPriority w:val="99"/>
    <w:unhideWhenUsed/>
    <w:rsid w:val="00F93992"/>
    <w:pPr>
      <w:spacing w:after="0"/>
      <w:ind w:left="1440" w:hanging="240"/>
      <w:jc w:val="left"/>
    </w:pPr>
    <w:rPr>
      <w:rFonts w:asciiTheme="minorHAnsi" w:hAnsiTheme="minorHAnsi" w:cstheme="minorHAnsi"/>
      <w:sz w:val="20"/>
      <w:szCs w:val="20"/>
    </w:rPr>
  </w:style>
  <w:style w:type="paragraph" w:styleId="Index7">
    <w:name w:val="index 7"/>
    <w:basedOn w:val="Normal"/>
    <w:next w:val="Normal"/>
    <w:autoRedefine/>
    <w:uiPriority w:val="99"/>
    <w:unhideWhenUsed/>
    <w:rsid w:val="00F93992"/>
    <w:pPr>
      <w:spacing w:after="0"/>
      <w:ind w:left="1680" w:hanging="240"/>
      <w:jc w:val="left"/>
    </w:pPr>
    <w:rPr>
      <w:rFonts w:asciiTheme="minorHAnsi" w:hAnsiTheme="minorHAnsi" w:cstheme="minorHAnsi"/>
      <w:sz w:val="20"/>
      <w:szCs w:val="20"/>
    </w:rPr>
  </w:style>
  <w:style w:type="paragraph" w:styleId="Index8">
    <w:name w:val="index 8"/>
    <w:basedOn w:val="Normal"/>
    <w:next w:val="Normal"/>
    <w:autoRedefine/>
    <w:uiPriority w:val="99"/>
    <w:unhideWhenUsed/>
    <w:rsid w:val="00F93992"/>
    <w:pPr>
      <w:spacing w:after="0"/>
      <w:ind w:left="1920" w:hanging="240"/>
      <w:jc w:val="left"/>
    </w:pPr>
    <w:rPr>
      <w:rFonts w:asciiTheme="minorHAnsi" w:hAnsiTheme="minorHAnsi" w:cstheme="minorHAnsi"/>
      <w:sz w:val="20"/>
      <w:szCs w:val="20"/>
    </w:rPr>
  </w:style>
  <w:style w:type="paragraph" w:styleId="Index9">
    <w:name w:val="index 9"/>
    <w:basedOn w:val="Normal"/>
    <w:next w:val="Normal"/>
    <w:autoRedefine/>
    <w:uiPriority w:val="99"/>
    <w:unhideWhenUsed/>
    <w:rsid w:val="00F93992"/>
    <w:pPr>
      <w:spacing w:after="0"/>
      <w:ind w:left="2160" w:hanging="240"/>
      <w:jc w:val="left"/>
    </w:pPr>
    <w:rPr>
      <w:rFonts w:asciiTheme="minorHAnsi" w:hAnsiTheme="minorHAnsi" w:cstheme="minorHAnsi"/>
      <w:sz w:val="20"/>
      <w:szCs w:val="20"/>
    </w:rPr>
  </w:style>
  <w:style w:type="paragraph" w:styleId="IndexHeading">
    <w:name w:val="index heading"/>
    <w:basedOn w:val="Normal"/>
    <w:next w:val="Index1"/>
    <w:uiPriority w:val="99"/>
    <w:unhideWhenUsed/>
    <w:rsid w:val="00F93992"/>
    <w:pPr>
      <w:spacing w:before="120" w:after="120"/>
      <w:jc w:val="left"/>
    </w:pPr>
    <w:rPr>
      <w:rFonts w:asciiTheme="minorHAnsi" w:hAnsiTheme="minorHAnsi" w:cstheme="minorHAnsi"/>
      <w:b/>
      <w:bCs/>
      <w:i/>
      <w:iCs/>
      <w:sz w:val="20"/>
      <w:szCs w:val="20"/>
    </w:rPr>
  </w:style>
  <w:style w:type="paragraph" w:styleId="TableofFigures">
    <w:name w:val="table of figures"/>
    <w:basedOn w:val="Normal"/>
    <w:next w:val="Normal"/>
    <w:uiPriority w:val="99"/>
    <w:unhideWhenUsed/>
    <w:rsid w:val="00E54E79"/>
    <w:pPr>
      <w:spacing w:after="0"/>
    </w:pPr>
  </w:style>
  <w:style w:type="table" w:styleId="ListTable4-Accent1">
    <w:name w:val="List Table 4 Accent 1"/>
    <w:basedOn w:val="TableNormal"/>
    <w:uiPriority w:val="49"/>
    <w:rsid w:val="001D2030"/>
    <w:pPr>
      <w:spacing w:after="0" w:line="240" w:lineRule="auto"/>
    </w:pPr>
    <w:rPr>
      <w:rFonts w:asciiTheme="minorHAnsi" w:eastAsiaTheme="minorEastAsia" w:hAnsiTheme="minorHAnsi" w:cstheme="minorBidi"/>
      <w:kern w:val="0"/>
      <w:lang w:val="en-GB" w:eastAsia="ja-JP"/>
      <w14:ligatures w14:val="none"/>
    </w:rPr>
    <w:tblPr>
      <w:tblStyleRowBandSize w:val="1"/>
      <w:tblStyleColBandSize w:val="1"/>
      <w:tblBorders>
        <w:top w:val="single" w:sz="4" w:space="0" w:color="5185D7" w:themeColor="accent1" w:themeTint="99"/>
        <w:left w:val="single" w:sz="4" w:space="0" w:color="5185D7" w:themeColor="accent1" w:themeTint="99"/>
        <w:bottom w:val="single" w:sz="4" w:space="0" w:color="5185D7" w:themeColor="accent1" w:themeTint="99"/>
        <w:right w:val="single" w:sz="4" w:space="0" w:color="5185D7" w:themeColor="accent1" w:themeTint="99"/>
        <w:insideH w:val="single" w:sz="4" w:space="0" w:color="5185D7" w:themeColor="accent1" w:themeTint="99"/>
      </w:tblBorders>
    </w:tblPr>
    <w:tblStylePr w:type="firstRow">
      <w:rPr>
        <w:b/>
        <w:bCs/>
        <w:color w:val="FFFFFF" w:themeColor="background1"/>
      </w:rPr>
      <w:tblPr/>
      <w:tcPr>
        <w:tcBorders>
          <w:top w:val="single" w:sz="4" w:space="0" w:color="1D437F" w:themeColor="accent1"/>
          <w:left w:val="single" w:sz="4" w:space="0" w:color="1D437F" w:themeColor="accent1"/>
          <w:bottom w:val="single" w:sz="4" w:space="0" w:color="1D437F" w:themeColor="accent1"/>
          <w:right w:val="single" w:sz="4" w:space="0" w:color="1D437F" w:themeColor="accent1"/>
          <w:insideH w:val="nil"/>
        </w:tcBorders>
        <w:shd w:val="clear" w:color="auto" w:fill="1D437F" w:themeFill="accent1"/>
      </w:tcPr>
    </w:tblStylePr>
    <w:tblStylePr w:type="lastRow">
      <w:rPr>
        <w:b/>
        <w:bCs/>
      </w:rPr>
      <w:tblPr/>
      <w:tcPr>
        <w:tcBorders>
          <w:top w:val="double" w:sz="4" w:space="0" w:color="5185D7" w:themeColor="accent1" w:themeTint="99"/>
        </w:tcBorders>
      </w:tcPr>
    </w:tblStylePr>
    <w:tblStylePr w:type="firstCol">
      <w:rPr>
        <w:b/>
        <w:bCs/>
      </w:rPr>
    </w:tblStylePr>
    <w:tblStylePr w:type="lastCol">
      <w:rPr>
        <w:b/>
        <w:bCs/>
      </w:rPr>
    </w:tblStylePr>
    <w:tblStylePr w:type="band1Vert">
      <w:tblPr/>
      <w:tcPr>
        <w:shd w:val="clear" w:color="auto" w:fill="C5D6F1" w:themeFill="accent1" w:themeFillTint="33"/>
      </w:tcPr>
    </w:tblStylePr>
    <w:tblStylePr w:type="band1Horz">
      <w:tblPr/>
      <w:tcPr>
        <w:shd w:val="clear" w:color="auto" w:fill="C5D6F1" w:themeFill="accent1" w:themeFillTint="33"/>
      </w:tcPr>
    </w:tblStylePr>
  </w:style>
  <w:style w:type="paragraph" w:customStyle="1" w:styleId="Bullet">
    <w:name w:val="Bullet"/>
    <w:basedOn w:val="Normal"/>
    <w:link w:val="BulletChar"/>
    <w:qFormat/>
    <w:rsid w:val="00D37431"/>
    <w:pPr>
      <w:keepNext/>
      <w:keepLines/>
      <w:tabs>
        <w:tab w:val="num" w:pos="814"/>
      </w:tabs>
      <w:spacing w:before="60" w:after="60" w:line="300" w:lineRule="auto"/>
      <w:ind w:left="814" w:hanging="360"/>
      <w:outlineLvl w:val="2"/>
    </w:pPr>
    <w:rPr>
      <w:rFonts w:ascii="Times New Roman" w:eastAsiaTheme="minorEastAsia" w:hAnsi="Times New Roman" w:cstheme="minorBidi"/>
    </w:rPr>
  </w:style>
  <w:style w:type="character" w:customStyle="1" w:styleId="BulletChar">
    <w:name w:val="Bullet Char"/>
    <w:basedOn w:val="DefaultParagraphFont"/>
    <w:link w:val="Bullet"/>
    <w:rsid w:val="00382A4A"/>
    <w:rPr>
      <w:rFonts w:eastAsiaTheme="minorEastAsia" w:cstheme="minorBidi"/>
      <w:kern w:val="0"/>
      <w14:ligatures w14:val="none"/>
    </w:rPr>
  </w:style>
  <w:style w:type="paragraph" w:styleId="TOC2">
    <w:name w:val="toc 2"/>
    <w:basedOn w:val="Normal"/>
    <w:next w:val="Normal"/>
    <w:autoRedefine/>
    <w:uiPriority w:val="39"/>
    <w:unhideWhenUsed/>
    <w:rsid w:val="00E82E3D"/>
    <w:pPr>
      <w:tabs>
        <w:tab w:val="right" w:leader="dot" w:pos="9040"/>
      </w:tabs>
      <w:spacing w:after="100"/>
      <w:ind w:left="238" w:right="567"/>
      <w:jc w:val="left"/>
    </w:pPr>
  </w:style>
  <w:style w:type="paragraph" w:customStyle="1" w:styleId="toc10">
    <w:name w:val="toc 10"/>
    <w:basedOn w:val="Normal"/>
    <w:next w:val="Normal"/>
    <w:autoRedefine/>
    <w:uiPriority w:val="39"/>
    <w:unhideWhenUsed/>
    <w:rsid w:val="00F777AD"/>
    <w:pPr>
      <w:tabs>
        <w:tab w:val="right" w:leader="dot" w:pos="9016"/>
      </w:tabs>
      <w:spacing w:before="120" w:after="120" w:line="240" w:lineRule="auto"/>
    </w:pPr>
    <w:rPr>
      <w:rFonts w:cstheme="minorHAnsi"/>
      <w:bCs/>
      <w:szCs w:val="20"/>
    </w:rPr>
  </w:style>
  <w:style w:type="paragraph" w:customStyle="1" w:styleId="toc11">
    <w:name w:val="toc 11"/>
    <w:basedOn w:val="Normal"/>
    <w:next w:val="Normal"/>
    <w:autoRedefine/>
    <w:uiPriority w:val="39"/>
    <w:unhideWhenUsed/>
    <w:rsid w:val="00F777AD"/>
    <w:pPr>
      <w:tabs>
        <w:tab w:val="right" w:leader="dot" w:pos="9016"/>
      </w:tabs>
      <w:spacing w:before="120" w:after="120" w:line="240" w:lineRule="auto"/>
    </w:pPr>
    <w:rPr>
      <w:rFonts w:cstheme="minorHAnsi"/>
      <w:bCs/>
      <w:szCs w:val="20"/>
    </w:rPr>
  </w:style>
  <w:style w:type="character" w:customStyle="1" w:styleId="cf11">
    <w:name w:val="cf11"/>
    <w:basedOn w:val="DefaultParagraphFont"/>
    <w:rsid w:val="00CB6756"/>
    <w:rPr>
      <w:rFonts w:ascii="Segoe UI" w:hAnsi="Segoe UI" w:cs="Segoe UI" w:hint="default"/>
      <w:sz w:val="18"/>
      <w:szCs w:val="18"/>
    </w:rPr>
  </w:style>
  <w:style w:type="table" w:styleId="ListTable1Light-Accent2">
    <w:name w:val="List Table 1 Light Accent 2"/>
    <w:basedOn w:val="TableNormal"/>
    <w:uiPriority w:val="46"/>
    <w:rsid w:val="00E56288"/>
    <w:pPr>
      <w:spacing w:after="0" w:line="240" w:lineRule="auto"/>
    </w:pPr>
    <w:tblPr>
      <w:tblStyleRowBandSize w:val="1"/>
      <w:tblStyleColBandSize w:val="1"/>
    </w:tblPr>
    <w:tblStylePr w:type="firstRow">
      <w:rPr>
        <w:b/>
        <w:bCs/>
      </w:rPr>
      <w:tblPr/>
      <w:tcPr>
        <w:tcBorders>
          <w:bottom w:val="single" w:sz="4" w:space="0" w:color="E857AC" w:themeColor="accent2" w:themeTint="99"/>
        </w:tcBorders>
      </w:tcPr>
    </w:tblStylePr>
    <w:tblStylePr w:type="lastRow">
      <w:rPr>
        <w:b/>
        <w:bCs/>
      </w:rPr>
      <w:tblPr/>
      <w:tcPr>
        <w:tcBorders>
          <w:top w:val="single" w:sz="4" w:space="0" w:color="E857AC" w:themeColor="accent2" w:themeTint="99"/>
        </w:tcBorders>
      </w:tcPr>
    </w:tblStylePr>
    <w:tblStylePr w:type="firstCol">
      <w:rPr>
        <w:b/>
        <w:bCs/>
      </w:rPr>
    </w:tblStylePr>
    <w:tblStylePr w:type="lastCol">
      <w:rPr>
        <w:b/>
        <w:bCs/>
      </w:rPr>
    </w:tblStylePr>
    <w:tblStylePr w:type="band1Vert">
      <w:tblPr/>
      <w:tcPr>
        <w:shd w:val="clear" w:color="auto" w:fill="F7C6E3" w:themeFill="accent2" w:themeFillTint="33"/>
      </w:tcPr>
    </w:tblStylePr>
    <w:tblStylePr w:type="band1Horz">
      <w:tblPr/>
      <w:tcPr>
        <w:shd w:val="clear" w:color="auto" w:fill="F7C6E3" w:themeFill="accent2" w:themeFillTint="33"/>
      </w:tcPr>
    </w:tblStylePr>
  </w:style>
  <w:style w:type="table" w:styleId="ListTable3-Accent1">
    <w:name w:val="List Table 3 Accent 1"/>
    <w:basedOn w:val="TableNormal"/>
    <w:uiPriority w:val="48"/>
    <w:rsid w:val="004F7178"/>
    <w:pPr>
      <w:spacing w:after="0" w:line="240" w:lineRule="auto"/>
    </w:pPr>
    <w:tblPr>
      <w:tblStyleRowBandSize w:val="1"/>
      <w:tblStyleColBandSize w:val="1"/>
      <w:tblBorders>
        <w:top w:val="single" w:sz="4" w:space="0" w:color="1D437F" w:themeColor="accent1"/>
        <w:left w:val="single" w:sz="4" w:space="0" w:color="1D437F" w:themeColor="accent1"/>
        <w:bottom w:val="single" w:sz="4" w:space="0" w:color="1D437F" w:themeColor="accent1"/>
        <w:right w:val="single" w:sz="4" w:space="0" w:color="1D437F" w:themeColor="accent1"/>
      </w:tblBorders>
    </w:tblPr>
    <w:tblStylePr w:type="firstRow">
      <w:rPr>
        <w:b/>
        <w:bCs/>
        <w:color w:val="FFFFFF" w:themeColor="background1"/>
      </w:rPr>
      <w:tblPr/>
      <w:tcPr>
        <w:shd w:val="clear" w:color="auto" w:fill="1D437F" w:themeFill="accent1"/>
      </w:tcPr>
    </w:tblStylePr>
    <w:tblStylePr w:type="lastRow">
      <w:rPr>
        <w:b/>
        <w:bCs/>
      </w:rPr>
      <w:tblPr/>
      <w:tcPr>
        <w:tcBorders>
          <w:top w:val="double" w:sz="4" w:space="0" w:color="1D437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D437F" w:themeColor="accent1"/>
          <w:right w:val="single" w:sz="4" w:space="0" w:color="1D437F" w:themeColor="accent1"/>
        </w:tcBorders>
      </w:tcPr>
    </w:tblStylePr>
    <w:tblStylePr w:type="band1Horz">
      <w:tblPr/>
      <w:tcPr>
        <w:tcBorders>
          <w:top w:val="single" w:sz="4" w:space="0" w:color="1D437F" w:themeColor="accent1"/>
          <w:bottom w:val="single" w:sz="4" w:space="0" w:color="1D437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D437F" w:themeColor="accent1"/>
          <w:left w:val="nil"/>
        </w:tcBorders>
      </w:tcPr>
    </w:tblStylePr>
    <w:tblStylePr w:type="swCell">
      <w:tblPr/>
      <w:tcPr>
        <w:tcBorders>
          <w:top w:val="double" w:sz="4" w:space="0" w:color="1D437F" w:themeColor="accent1"/>
          <w:right w:val="nil"/>
        </w:tcBorders>
      </w:tcPr>
    </w:tblStylePr>
  </w:style>
  <w:style w:type="paragraph" w:styleId="Date">
    <w:name w:val="Date"/>
    <w:basedOn w:val="Normal"/>
    <w:next w:val="Normal"/>
    <w:link w:val="DateChar"/>
    <w:uiPriority w:val="99"/>
    <w:semiHidden/>
    <w:unhideWhenUsed/>
    <w:rsid w:val="005A4C4B"/>
  </w:style>
  <w:style w:type="character" w:customStyle="1" w:styleId="DateChar">
    <w:name w:val="Date Char"/>
    <w:basedOn w:val="DefaultParagraphFont"/>
    <w:link w:val="Date"/>
    <w:uiPriority w:val="99"/>
    <w:semiHidden/>
    <w:rsid w:val="005A4C4B"/>
    <w:rPr>
      <w:rFonts w:ascii="Segoe UI" w:hAnsi="Segoe UI"/>
      <w:kern w:val="0"/>
      <w14:ligatures w14:val="none"/>
    </w:rPr>
  </w:style>
  <w:style w:type="paragraph" w:customStyle="1" w:styleId="SummaryofRecChapterheading">
    <w:name w:val="Summary of Rec: Chapter heading"/>
    <w:basedOn w:val="Normal"/>
    <w:link w:val="SummaryofRecChapterheadingChar"/>
    <w:qFormat/>
    <w:rsid w:val="00483C98"/>
    <w:rPr>
      <w:rFonts w:cs="Segoe UI"/>
      <w:b/>
      <w:bCs/>
      <w:caps/>
      <w:color w:val="0E6C9B"/>
    </w:rPr>
  </w:style>
  <w:style w:type="character" w:customStyle="1" w:styleId="SummaryofRecChapterheadingChar">
    <w:name w:val="Summary of Rec: Chapter heading Char"/>
    <w:basedOn w:val="DefaultParagraphFont"/>
    <w:link w:val="SummaryofRecChapterheading"/>
    <w:rsid w:val="00483C98"/>
    <w:rPr>
      <w:rFonts w:ascii="Segoe UI" w:hAnsi="Segoe UI" w:cs="Segoe UI"/>
      <w:b/>
      <w:bCs/>
      <w:caps/>
      <w:color w:val="0E6C9B"/>
      <w:kern w:val="0"/>
      <w14:ligatures w14:val="none"/>
    </w:rPr>
  </w:style>
  <w:style w:type="paragraph" w:customStyle="1" w:styleId="SummaryofRecRecheading">
    <w:name w:val="Summary of Rec: Rec heading"/>
    <w:basedOn w:val="ListParagraph"/>
    <w:link w:val="SummaryofRecRecheadingChar"/>
    <w:qFormat/>
    <w:rsid w:val="00483C98"/>
    <w:pPr>
      <w:numPr>
        <w:numId w:val="16"/>
      </w:numPr>
      <w:snapToGrid w:val="0"/>
      <w:spacing w:after="120" w:line="22" w:lineRule="atLeast"/>
      <w:contextualSpacing w:val="0"/>
    </w:pPr>
    <w:rPr>
      <w:rFonts w:cs="Segoe UI"/>
      <w:color w:val="00808A" w:themeColor="accent3"/>
    </w:rPr>
  </w:style>
  <w:style w:type="character" w:customStyle="1" w:styleId="SummaryofRecRecheadingChar">
    <w:name w:val="Summary of Rec: Rec heading Char"/>
    <w:basedOn w:val="ListParagraphChar"/>
    <w:link w:val="SummaryofRecRecheading"/>
    <w:rsid w:val="00483C98"/>
    <w:rPr>
      <w:rFonts w:ascii="Segoe UI" w:hAnsi="Segoe UI" w:cs="Segoe UI"/>
      <w:color w:val="00808A" w:themeColor="accent3"/>
      <w:kern w:val="0"/>
      <w14:ligatures w14:val="none"/>
    </w:rPr>
  </w:style>
  <w:style w:type="paragraph" w:customStyle="1" w:styleId="SummaryofRecSubtitle">
    <w:name w:val="Summary of Rec: Subtitle"/>
    <w:basedOn w:val="Normal"/>
    <w:link w:val="SummaryofRecSubtitleChar"/>
    <w:qFormat/>
    <w:rsid w:val="00483C98"/>
    <w:pPr>
      <w:snapToGrid w:val="0"/>
      <w:spacing w:after="120" w:line="22" w:lineRule="atLeast"/>
      <w:ind w:right="-22"/>
    </w:pPr>
    <w:rPr>
      <w:rFonts w:eastAsia="Calibri" w:cs="Segoe UI"/>
      <w:color w:val="0E6B9A"/>
    </w:rPr>
  </w:style>
  <w:style w:type="character" w:customStyle="1" w:styleId="SummaryofRecSubtitleChar">
    <w:name w:val="Summary of Rec: Subtitle Char"/>
    <w:basedOn w:val="DefaultParagraphFont"/>
    <w:link w:val="SummaryofRecSubtitle"/>
    <w:rsid w:val="00483C98"/>
    <w:rPr>
      <w:rFonts w:ascii="Segoe UI" w:eastAsia="Calibri" w:hAnsi="Segoe UI" w:cs="Segoe UI"/>
      <w:color w:val="0E6B9A"/>
      <w:kern w:val="0"/>
      <w14:ligatures w14:val="none"/>
    </w:rPr>
  </w:style>
  <w:style w:type="numbering" w:customStyle="1" w:styleId="Style2">
    <w:name w:val="Style2"/>
    <w:uiPriority w:val="99"/>
    <w:rsid w:val="003F7184"/>
    <w:pPr>
      <w:numPr>
        <w:numId w:val="14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44906">
      <w:bodyDiv w:val="1"/>
      <w:marLeft w:val="0"/>
      <w:marRight w:val="0"/>
      <w:marTop w:val="0"/>
      <w:marBottom w:val="0"/>
      <w:divBdr>
        <w:top w:val="none" w:sz="0" w:space="0" w:color="auto"/>
        <w:left w:val="none" w:sz="0" w:space="0" w:color="auto"/>
        <w:bottom w:val="none" w:sz="0" w:space="0" w:color="auto"/>
        <w:right w:val="none" w:sz="0" w:space="0" w:color="auto"/>
      </w:divBdr>
    </w:div>
    <w:div w:id="64453144">
      <w:bodyDiv w:val="1"/>
      <w:marLeft w:val="0"/>
      <w:marRight w:val="0"/>
      <w:marTop w:val="0"/>
      <w:marBottom w:val="0"/>
      <w:divBdr>
        <w:top w:val="none" w:sz="0" w:space="0" w:color="auto"/>
        <w:left w:val="none" w:sz="0" w:space="0" w:color="auto"/>
        <w:bottom w:val="none" w:sz="0" w:space="0" w:color="auto"/>
        <w:right w:val="none" w:sz="0" w:space="0" w:color="auto"/>
      </w:divBdr>
    </w:div>
    <w:div w:id="163595841">
      <w:bodyDiv w:val="1"/>
      <w:marLeft w:val="0"/>
      <w:marRight w:val="0"/>
      <w:marTop w:val="0"/>
      <w:marBottom w:val="0"/>
      <w:divBdr>
        <w:top w:val="none" w:sz="0" w:space="0" w:color="auto"/>
        <w:left w:val="none" w:sz="0" w:space="0" w:color="auto"/>
        <w:bottom w:val="none" w:sz="0" w:space="0" w:color="auto"/>
        <w:right w:val="none" w:sz="0" w:space="0" w:color="auto"/>
      </w:divBdr>
    </w:div>
    <w:div w:id="194394083">
      <w:bodyDiv w:val="1"/>
      <w:marLeft w:val="0"/>
      <w:marRight w:val="0"/>
      <w:marTop w:val="0"/>
      <w:marBottom w:val="0"/>
      <w:divBdr>
        <w:top w:val="none" w:sz="0" w:space="0" w:color="auto"/>
        <w:left w:val="none" w:sz="0" w:space="0" w:color="auto"/>
        <w:bottom w:val="none" w:sz="0" w:space="0" w:color="auto"/>
        <w:right w:val="none" w:sz="0" w:space="0" w:color="auto"/>
      </w:divBdr>
    </w:div>
    <w:div w:id="201794798">
      <w:bodyDiv w:val="1"/>
      <w:marLeft w:val="0"/>
      <w:marRight w:val="0"/>
      <w:marTop w:val="0"/>
      <w:marBottom w:val="0"/>
      <w:divBdr>
        <w:top w:val="none" w:sz="0" w:space="0" w:color="auto"/>
        <w:left w:val="none" w:sz="0" w:space="0" w:color="auto"/>
        <w:bottom w:val="none" w:sz="0" w:space="0" w:color="auto"/>
        <w:right w:val="none" w:sz="0" w:space="0" w:color="auto"/>
      </w:divBdr>
    </w:div>
    <w:div w:id="223176235">
      <w:bodyDiv w:val="1"/>
      <w:marLeft w:val="0"/>
      <w:marRight w:val="0"/>
      <w:marTop w:val="0"/>
      <w:marBottom w:val="0"/>
      <w:divBdr>
        <w:top w:val="none" w:sz="0" w:space="0" w:color="auto"/>
        <w:left w:val="none" w:sz="0" w:space="0" w:color="auto"/>
        <w:bottom w:val="none" w:sz="0" w:space="0" w:color="auto"/>
        <w:right w:val="none" w:sz="0" w:space="0" w:color="auto"/>
      </w:divBdr>
    </w:div>
    <w:div w:id="225185570">
      <w:bodyDiv w:val="1"/>
      <w:marLeft w:val="0"/>
      <w:marRight w:val="0"/>
      <w:marTop w:val="0"/>
      <w:marBottom w:val="0"/>
      <w:divBdr>
        <w:top w:val="none" w:sz="0" w:space="0" w:color="auto"/>
        <w:left w:val="none" w:sz="0" w:space="0" w:color="auto"/>
        <w:bottom w:val="none" w:sz="0" w:space="0" w:color="auto"/>
        <w:right w:val="none" w:sz="0" w:space="0" w:color="auto"/>
      </w:divBdr>
      <w:divsChild>
        <w:div w:id="337120236">
          <w:marLeft w:val="0"/>
          <w:marRight w:val="0"/>
          <w:marTop w:val="0"/>
          <w:marBottom w:val="0"/>
          <w:divBdr>
            <w:top w:val="none" w:sz="0" w:space="0" w:color="auto"/>
            <w:left w:val="none" w:sz="0" w:space="0" w:color="auto"/>
            <w:bottom w:val="none" w:sz="0" w:space="0" w:color="auto"/>
            <w:right w:val="none" w:sz="0" w:space="0" w:color="auto"/>
          </w:divBdr>
        </w:div>
        <w:div w:id="356854021">
          <w:marLeft w:val="0"/>
          <w:marRight w:val="0"/>
          <w:marTop w:val="0"/>
          <w:marBottom w:val="0"/>
          <w:divBdr>
            <w:top w:val="none" w:sz="0" w:space="0" w:color="auto"/>
            <w:left w:val="none" w:sz="0" w:space="0" w:color="auto"/>
            <w:bottom w:val="none" w:sz="0" w:space="0" w:color="auto"/>
            <w:right w:val="none" w:sz="0" w:space="0" w:color="auto"/>
          </w:divBdr>
        </w:div>
        <w:div w:id="690881175">
          <w:marLeft w:val="0"/>
          <w:marRight w:val="0"/>
          <w:marTop w:val="0"/>
          <w:marBottom w:val="0"/>
          <w:divBdr>
            <w:top w:val="none" w:sz="0" w:space="0" w:color="auto"/>
            <w:left w:val="none" w:sz="0" w:space="0" w:color="auto"/>
            <w:bottom w:val="none" w:sz="0" w:space="0" w:color="auto"/>
            <w:right w:val="none" w:sz="0" w:space="0" w:color="auto"/>
          </w:divBdr>
        </w:div>
        <w:div w:id="977613493">
          <w:marLeft w:val="0"/>
          <w:marRight w:val="0"/>
          <w:marTop w:val="0"/>
          <w:marBottom w:val="0"/>
          <w:divBdr>
            <w:top w:val="none" w:sz="0" w:space="0" w:color="auto"/>
            <w:left w:val="none" w:sz="0" w:space="0" w:color="auto"/>
            <w:bottom w:val="none" w:sz="0" w:space="0" w:color="auto"/>
            <w:right w:val="none" w:sz="0" w:space="0" w:color="auto"/>
          </w:divBdr>
        </w:div>
        <w:div w:id="1279139869">
          <w:marLeft w:val="0"/>
          <w:marRight w:val="0"/>
          <w:marTop w:val="0"/>
          <w:marBottom w:val="0"/>
          <w:divBdr>
            <w:top w:val="none" w:sz="0" w:space="0" w:color="auto"/>
            <w:left w:val="none" w:sz="0" w:space="0" w:color="auto"/>
            <w:bottom w:val="none" w:sz="0" w:space="0" w:color="auto"/>
            <w:right w:val="none" w:sz="0" w:space="0" w:color="auto"/>
          </w:divBdr>
        </w:div>
        <w:div w:id="1465926280">
          <w:marLeft w:val="0"/>
          <w:marRight w:val="0"/>
          <w:marTop w:val="0"/>
          <w:marBottom w:val="0"/>
          <w:divBdr>
            <w:top w:val="none" w:sz="0" w:space="0" w:color="auto"/>
            <w:left w:val="none" w:sz="0" w:space="0" w:color="auto"/>
            <w:bottom w:val="none" w:sz="0" w:space="0" w:color="auto"/>
            <w:right w:val="none" w:sz="0" w:space="0" w:color="auto"/>
          </w:divBdr>
        </w:div>
        <w:div w:id="2042974771">
          <w:marLeft w:val="0"/>
          <w:marRight w:val="0"/>
          <w:marTop w:val="0"/>
          <w:marBottom w:val="0"/>
          <w:divBdr>
            <w:top w:val="none" w:sz="0" w:space="0" w:color="auto"/>
            <w:left w:val="none" w:sz="0" w:space="0" w:color="auto"/>
            <w:bottom w:val="none" w:sz="0" w:space="0" w:color="auto"/>
            <w:right w:val="none" w:sz="0" w:space="0" w:color="auto"/>
          </w:divBdr>
        </w:div>
        <w:div w:id="2067684065">
          <w:marLeft w:val="0"/>
          <w:marRight w:val="0"/>
          <w:marTop w:val="0"/>
          <w:marBottom w:val="0"/>
          <w:divBdr>
            <w:top w:val="none" w:sz="0" w:space="0" w:color="auto"/>
            <w:left w:val="none" w:sz="0" w:space="0" w:color="auto"/>
            <w:bottom w:val="none" w:sz="0" w:space="0" w:color="auto"/>
            <w:right w:val="none" w:sz="0" w:space="0" w:color="auto"/>
          </w:divBdr>
        </w:div>
        <w:div w:id="2082748104">
          <w:marLeft w:val="0"/>
          <w:marRight w:val="0"/>
          <w:marTop w:val="0"/>
          <w:marBottom w:val="0"/>
          <w:divBdr>
            <w:top w:val="none" w:sz="0" w:space="0" w:color="auto"/>
            <w:left w:val="none" w:sz="0" w:space="0" w:color="auto"/>
            <w:bottom w:val="none" w:sz="0" w:space="0" w:color="auto"/>
            <w:right w:val="none" w:sz="0" w:space="0" w:color="auto"/>
          </w:divBdr>
        </w:div>
        <w:div w:id="2130586293">
          <w:marLeft w:val="0"/>
          <w:marRight w:val="0"/>
          <w:marTop w:val="0"/>
          <w:marBottom w:val="0"/>
          <w:divBdr>
            <w:top w:val="none" w:sz="0" w:space="0" w:color="auto"/>
            <w:left w:val="none" w:sz="0" w:space="0" w:color="auto"/>
            <w:bottom w:val="none" w:sz="0" w:space="0" w:color="auto"/>
            <w:right w:val="none" w:sz="0" w:space="0" w:color="auto"/>
          </w:divBdr>
        </w:div>
      </w:divsChild>
    </w:div>
    <w:div w:id="256641976">
      <w:bodyDiv w:val="1"/>
      <w:marLeft w:val="0"/>
      <w:marRight w:val="0"/>
      <w:marTop w:val="0"/>
      <w:marBottom w:val="0"/>
      <w:divBdr>
        <w:top w:val="none" w:sz="0" w:space="0" w:color="auto"/>
        <w:left w:val="none" w:sz="0" w:space="0" w:color="auto"/>
        <w:bottom w:val="none" w:sz="0" w:space="0" w:color="auto"/>
        <w:right w:val="none" w:sz="0" w:space="0" w:color="auto"/>
      </w:divBdr>
    </w:div>
    <w:div w:id="279606399">
      <w:bodyDiv w:val="1"/>
      <w:marLeft w:val="0"/>
      <w:marRight w:val="0"/>
      <w:marTop w:val="0"/>
      <w:marBottom w:val="0"/>
      <w:divBdr>
        <w:top w:val="none" w:sz="0" w:space="0" w:color="auto"/>
        <w:left w:val="none" w:sz="0" w:space="0" w:color="auto"/>
        <w:bottom w:val="none" w:sz="0" w:space="0" w:color="auto"/>
        <w:right w:val="none" w:sz="0" w:space="0" w:color="auto"/>
      </w:divBdr>
      <w:divsChild>
        <w:div w:id="886451317">
          <w:marLeft w:val="0"/>
          <w:marRight w:val="0"/>
          <w:marTop w:val="0"/>
          <w:marBottom w:val="0"/>
          <w:divBdr>
            <w:top w:val="none" w:sz="0" w:space="0" w:color="auto"/>
            <w:left w:val="none" w:sz="0" w:space="0" w:color="auto"/>
            <w:bottom w:val="none" w:sz="0" w:space="0" w:color="auto"/>
            <w:right w:val="none" w:sz="0" w:space="0" w:color="auto"/>
          </w:divBdr>
          <w:divsChild>
            <w:div w:id="160241746">
              <w:marLeft w:val="0"/>
              <w:marRight w:val="0"/>
              <w:marTop w:val="0"/>
              <w:marBottom w:val="0"/>
              <w:divBdr>
                <w:top w:val="none" w:sz="0" w:space="0" w:color="auto"/>
                <w:left w:val="none" w:sz="0" w:space="0" w:color="auto"/>
                <w:bottom w:val="none" w:sz="0" w:space="0" w:color="auto"/>
                <w:right w:val="none" w:sz="0" w:space="0" w:color="auto"/>
              </w:divBdr>
              <w:divsChild>
                <w:div w:id="384373448">
                  <w:marLeft w:val="0"/>
                  <w:marRight w:val="0"/>
                  <w:marTop w:val="0"/>
                  <w:marBottom w:val="0"/>
                  <w:divBdr>
                    <w:top w:val="none" w:sz="0" w:space="0" w:color="auto"/>
                    <w:left w:val="none" w:sz="0" w:space="0" w:color="auto"/>
                    <w:bottom w:val="none" w:sz="0" w:space="0" w:color="auto"/>
                    <w:right w:val="none" w:sz="0" w:space="0" w:color="auto"/>
                  </w:divBdr>
                </w:div>
              </w:divsChild>
            </w:div>
            <w:div w:id="311446522">
              <w:marLeft w:val="0"/>
              <w:marRight w:val="0"/>
              <w:marTop w:val="0"/>
              <w:marBottom w:val="0"/>
              <w:divBdr>
                <w:top w:val="none" w:sz="0" w:space="0" w:color="auto"/>
                <w:left w:val="none" w:sz="0" w:space="0" w:color="auto"/>
                <w:bottom w:val="none" w:sz="0" w:space="0" w:color="auto"/>
                <w:right w:val="none" w:sz="0" w:space="0" w:color="auto"/>
              </w:divBdr>
              <w:divsChild>
                <w:div w:id="2065833786">
                  <w:marLeft w:val="0"/>
                  <w:marRight w:val="0"/>
                  <w:marTop w:val="0"/>
                  <w:marBottom w:val="0"/>
                  <w:divBdr>
                    <w:top w:val="none" w:sz="0" w:space="0" w:color="auto"/>
                    <w:left w:val="none" w:sz="0" w:space="0" w:color="auto"/>
                    <w:bottom w:val="none" w:sz="0" w:space="0" w:color="auto"/>
                    <w:right w:val="none" w:sz="0" w:space="0" w:color="auto"/>
                  </w:divBdr>
                </w:div>
              </w:divsChild>
            </w:div>
            <w:div w:id="392780150">
              <w:marLeft w:val="0"/>
              <w:marRight w:val="0"/>
              <w:marTop w:val="0"/>
              <w:marBottom w:val="0"/>
              <w:divBdr>
                <w:top w:val="none" w:sz="0" w:space="0" w:color="auto"/>
                <w:left w:val="none" w:sz="0" w:space="0" w:color="auto"/>
                <w:bottom w:val="none" w:sz="0" w:space="0" w:color="auto"/>
                <w:right w:val="none" w:sz="0" w:space="0" w:color="auto"/>
              </w:divBdr>
              <w:divsChild>
                <w:div w:id="1468401405">
                  <w:marLeft w:val="0"/>
                  <w:marRight w:val="0"/>
                  <w:marTop w:val="0"/>
                  <w:marBottom w:val="0"/>
                  <w:divBdr>
                    <w:top w:val="none" w:sz="0" w:space="0" w:color="auto"/>
                    <w:left w:val="none" w:sz="0" w:space="0" w:color="auto"/>
                    <w:bottom w:val="none" w:sz="0" w:space="0" w:color="auto"/>
                    <w:right w:val="none" w:sz="0" w:space="0" w:color="auto"/>
                  </w:divBdr>
                </w:div>
              </w:divsChild>
            </w:div>
            <w:div w:id="454519592">
              <w:marLeft w:val="0"/>
              <w:marRight w:val="0"/>
              <w:marTop w:val="0"/>
              <w:marBottom w:val="0"/>
              <w:divBdr>
                <w:top w:val="none" w:sz="0" w:space="0" w:color="auto"/>
                <w:left w:val="none" w:sz="0" w:space="0" w:color="auto"/>
                <w:bottom w:val="none" w:sz="0" w:space="0" w:color="auto"/>
                <w:right w:val="none" w:sz="0" w:space="0" w:color="auto"/>
              </w:divBdr>
              <w:divsChild>
                <w:div w:id="705906140">
                  <w:marLeft w:val="0"/>
                  <w:marRight w:val="0"/>
                  <w:marTop w:val="0"/>
                  <w:marBottom w:val="0"/>
                  <w:divBdr>
                    <w:top w:val="none" w:sz="0" w:space="0" w:color="auto"/>
                    <w:left w:val="none" w:sz="0" w:space="0" w:color="auto"/>
                    <w:bottom w:val="none" w:sz="0" w:space="0" w:color="auto"/>
                    <w:right w:val="none" w:sz="0" w:space="0" w:color="auto"/>
                  </w:divBdr>
                </w:div>
              </w:divsChild>
            </w:div>
            <w:div w:id="456536095">
              <w:marLeft w:val="0"/>
              <w:marRight w:val="0"/>
              <w:marTop w:val="0"/>
              <w:marBottom w:val="0"/>
              <w:divBdr>
                <w:top w:val="none" w:sz="0" w:space="0" w:color="auto"/>
                <w:left w:val="none" w:sz="0" w:space="0" w:color="auto"/>
                <w:bottom w:val="none" w:sz="0" w:space="0" w:color="auto"/>
                <w:right w:val="none" w:sz="0" w:space="0" w:color="auto"/>
              </w:divBdr>
              <w:divsChild>
                <w:div w:id="1314529763">
                  <w:marLeft w:val="0"/>
                  <w:marRight w:val="0"/>
                  <w:marTop w:val="0"/>
                  <w:marBottom w:val="0"/>
                  <w:divBdr>
                    <w:top w:val="none" w:sz="0" w:space="0" w:color="auto"/>
                    <w:left w:val="none" w:sz="0" w:space="0" w:color="auto"/>
                    <w:bottom w:val="none" w:sz="0" w:space="0" w:color="auto"/>
                    <w:right w:val="none" w:sz="0" w:space="0" w:color="auto"/>
                  </w:divBdr>
                </w:div>
              </w:divsChild>
            </w:div>
            <w:div w:id="460391483">
              <w:marLeft w:val="0"/>
              <w:marRight w:val="0"/>
              <w:marTop w:val="0"/>
              <w:marBottom w:val="0"/>
              <w:divBdr>
                <w:top w:val="none" w:sz="0" w:space="0" w:color="auto"/>
                <w:left w:val="none" w:sz="0" w:space="0" w:color="auto"/>
                <w:bottom w:val="none" w:sz="0" w:space="0" w:color="auto"/>
                <w:right w:val="none" w:sz="0" w:space="0" w:color="auto"/>
              </w:divBdr>
              <w:divsChild>
                <w:div w:id="674964146">
                  <w:marLeft w:val="0"/>
                  <w:marRight w:val="0"/>
                  <w:marTop w:val="0"/>
                  <w:marBottom w:val="0"/>
                  <w:divBdr>
                    <w:top w:val="none" w:sz="0" w:space="0" w:color="auto"/>
                    <w:left w:val="none" w:sz="0" w:space="0" w:color="auto"/>
                    <w:bottom w:val="none" w:sz="0" w:space="0" w:color="auto"/>
                    <w:right w:val="none" w:sz="0" w:space="0" w:color="auto"/>
                  </w:divBdr>
                </w:div>
              </w:divsChild>
            </w:div>
            <w:div w:id="488710470">
              <w:marLeft w:val="0"/>
              <w:marRight w:val="0"/>
              <w:marTop w:val="0"/>
              <w:marBottom w:val="0"/>
              <w:divBdr>
                <w:top w:val="none" w:sz="0" w:space="0" w:color="auto"/>
                <w:left w:val="none" w:sz="0" w:space="0" w:color="auto"/>
                <w:bottom w:val="none" w:sz="0" w:space="0" w:color="auto"/>
                <w:right w:val="none" w:sz="0" w:space="0" w:color="auto"/>
              </w:divBdr>
              <w:divsChild>
                <w:div w:id="1413434304">
                  <w:marLeft w:val="0"/>
                  <w:marRight w:val="0"/>
                  <w:marTop w:val="0"/>
                  <w:marBottom w:val="0"/>
                  <w:divBdr>
                    <w:top w:val="none" w:sz="0" w:space="0" w:color="auto"/>
                    <w:left w:val="none" w:sz="0" w:space="0" w:color="auto"/>
                    <w:bottom w:val="none" w:sz="0" w:space="0" w:color="auto"/>
                    <w:right w:val="none" w:sz="0" w:space="0" w:color="auto"/>
                  </w:divBdr>
                </w:div>
              </w:divsChild>
            </w:div>
            <w:div w:id="580287623">
              <w:marLeft w:val="0"/>
              <w:marRight w:val="0"/>
              <w:marTop w:val="0"/>
              <w:marBottom w:val="0"/>
              <w:divBdr>
                <w:top w:val="none" w:sz="0" w:space="0" w:color="auto"/>
                <w:left w:val="none" w:sz="0" w:space="0" w:color="auto"/>
                <w:bottom w:val="none" w:sz="0" w:space="0" w:color="auto"/>
                <w:right w:val="none" w:sz="0" w:space="0" w:color="auto"/>
              </w:divBdr>
              <w:divsChild>
                <w:div w:id="269746247">
                  <w:marLeft w:val="0"/>
                  <w:marRight w:val="0"/>
                  <w:marTop w:val="0"/>
                  <w:marBottom w:val="0"/>
                  <w:divBdr>
                    <w:top w:val="none" w:sz="0" w:space="0" w:color="auto"/>
                    <w:left w:val="none" w:sz="0" w:space="0" w:color="auto"/>
                    <w:bottom w:val="none" w:sz="0" w:space="0" w:color="auto"/>
                    <w:right w:val="none" w:sz="0" w:space="0" w:color="auto"/>
                  </w:divBdr>
                </w:div>
              </w:divsChild>
            </w:div>
            <w:div w:id="658657215">
              <w:marLeft w:val="0"/>
              <w:marRight w:val="0"/>
              <w:marTop w:val="0"/>
              <w:marBottom w:val="0"/>
              <w:divBdr>
                <w:top w:val="none" w:sz="0" w:space="0" w:color="auto"/>
                <w:left w:val="none" w:sz="0" w:space="0" w:color="auto"/>
                <w:bottom w:val="none" w:sz="0" w:space="0" w:color="auto"/>
                <w:right w:val="none" w:sz="0" w:space="0" w:color="auto"/>
              </w:divBdr>
              <w:divsChild>
                <w:div w:id="1249735425">
                  <w:marLeft w:val="0"/>
                  <w:marRight w:val="0"/>
                  <w:marTop w:val="0"/>
                  <w:marBottom w:val="0"/>
                  <w:divBdr>
                    <w:top w:val="none" w:sz="0" w:space="0" w:color="auto"/>
                    <w:left w:val="none" w:sz="0" w:space="0" w:color="auto"/>
                    <w:bottom w:val="none" w:sz="0" w:space="0" w:color="auto"/>
                    <w:right w:val="none" w:sz="0" w:space="0" w:color="auto"/>
                  </w:divBdr>
                </w:div>
              </w:divsChild>
            </w:div>
            <w:div w:id="863715815">
              <w:marLeft w:val="0"/>
              <w:marRight w:val="0"/>
              <w:marTop w:val="0"/>
              <w:marBottom w:val="0"/>
              <w:divBdr>
                <w:top w:val="none" w:sz="0" w:space="0" w:color="auto"/>
                <w:left w:val="none" w:sz="0" w:space="0" w:color="auto"/>
                <w:bottom w:val="none" w:sz="0" w:space="0" w:color="auto"/>
                <w:right w:val="none" w:sz="0" w:space="0" w:color="auto"/>
              </w:divBdr>
              <w:divsChild>
                <w:div w:id="2000191241">
                  <w:marLeft w:val="0"/>
                  <w:marRight w:val="0"/>
                  <w:marTop w:val="0"/>
                  <w:marBottom w:val="0"/>
                  <w:divBdr>
                    <w:top w:val="none" w:sz="0" w:space="0" w:color="auto"/>
                    <w:left w:val="none" w:sz="0" w:space="0" w:color="auto"/>
                    <w:bottom w:val="none" w:sz="0" w:space="0" w:color="auto"/>
                    <w:right w:val="none" w:sz="0" w:space="0" w:color="auto"/>
                  </w:divBdr>
                </w:div>
              </w:divsChild>
            </w:div>
            <w:div w:id="877619195">
              <w:marLeft w:val="0"/>
              <w:marRight w:val="0"/>
              <w:marTop w:val="0"/>
              <w:marBottom w:val="0"/>
              <w:divBdr>
                <w:top w:val="none" w:sz="0" w:space="0" w:color="auto"/>
                <w:left w:val="none" w:sz="0" w:space="0" w:color="auto"/>
                <w:bottom w:val="none" w:sz="0" w:space="0" w:color="auto"/>
                <w:right w:val="none" w:sz="0" w:space="0" w:color="auto"/>
              </w:divBdr>
              <w:divsChild>
                <w:div w:id="1969893891">
                  <w:marLeft w:val="0"/>
                  <w:marRight w:val="0"/>
                  <w:marTop w:val="0"/>
                  <w:marBottom w:val="0"/>
                  <w:divBdr>
                    <w:top w:val="none" w:sz="0" w:space="0" w:color="auto"/>
                    <w:left w:val="none" w:sz="0" w:space="0" w:color="auto"/>
                    <w:bottom w:val="none" w:sz="0" w:space="0" w:color="auto"/>
                    <w:right w:val="none" w:sz="0" w:space="0" w:color="auto"/>
                  </w:divBdr>
                </w:div>
              </w:divsChild>
            </w:div>
            <w:div w:id="882444579">
              <w:marLeft w:val="0"/>
              <w:marRight w:val="0"/>
              <w:marTop w:val="0"/>
              <w:marBottom w:val="0"/>
              <w:divBdr>
                <w:top w:val="none" w:sz="0" w:space="0" w:color="auto"/>
                <w:left w:val="none" w:sz="0" w:space="0" w:color="auto"/>
                <w:bottom w:val="none" w:sz="0" w:space="0" w:color="auto"/>
                <w:right w:val="none" w:sz="0" w:space="0" w:color="auto"/>
              </w:divBdr>
              <w:divsChild>
                <w:div w:id="298415357">
                  <w:marLeft w:val="0"/>
                  <w:marRight w:val="0"/>
                  <w:marTop w:val="0"/>
                  <w:marBottom w:val="0"/>
                  <w:divBdr>
                    <w:top w:val="none" w:sz="0" w:space="0" w:color="auto"/>
                    <w:left w:val="none" w:sz="0" w:space="0" w:color="auto"/>
                    <w:bottom w:val="none" w:sz="0" w:space="0" w:color="auto"/>
                    <w:right w:val="none" w:sz="0" w:space="0" w:color="auto"/>
                  </w:divBdr>
                </w:div>
              </w:divsChild>
            </w:div>
            <w:div w:id="984895678">
              <w:marLeft w:val="0"/>
              <w:marRight w:val="0"/>
              <w:marTop w:val="0"/>
              <w:marBottom w:val="0"/>
              <w:divBdr>
                <w:top w:val="none" w:sz="0" w:space="0" w:color="auto"/>
                <w:left w:val="none" w:sz="0" w:space="0" w:color="auto"/>
                <w:bottom w:val="none" w:sz="0" w:space="0" w:color="auto"/>
                <w:right w:val="none" w:sz="0" w:space="0" w:color="auto"/>
              </w:divBdr>
              <w:divsChild>
                <w:div w:id="2078434639">
                  <w:marLeft w:val="0"/>
                  <w:marRight w:val="0"/>
                  <w:marTop w:val="0"/>
                  <w:marBottom w:val="0"/>
                  <w:divBdr>
                    <w:top w:val="none" w:sz="0" w:space="0" w:color="auto"/>
                    <w:left w:val="none" w:sz="0" w:space="0" w:color="auto"/>
                    <w:bottom w:val="none" w:sz="0" w:space="0" w:color="auto"/>
                    <w:right w:val="none" w:sz="0" w:space="0" w:color="auto"/>
                  </w:divBdr>
                </w:div>
              </w:divsChild>
            </w:div>
            <w:div w:id="1491554009">
              <w:marLeft w:val="0"/>
              <w:marRight w:val="0"/>
              <w:marTop w:val="0"/>
              <w:marBottom w:val="0"/>
              <w:divBdr>
                <w:top w:val="none" w:sz="0" w:space="0" w:color="auto"/>
                <w:left w:val="none" w:sz="0" w:space="0" w:color="auto"/>
                <w:bottom w:val="none" w:sz="0" w:space="0" w:color="auto"/>
                <w:right w:val="none" w:sz="0" w:space="0" w:color="auto"/>
              </w:divBdr>
              <w:divsChild>
                <w:div w:id="974867574">
                  <w:marLeft w:val="0"/>
                  <w:marRight w:val="0"/>
                  <w:marTop w:val="0"/>
                  <w:marBottom w:val="0"/>
                  <w:divBdr>
                    <w:top w:val="none" w:sz="0" w:space="0" w:color="auto"/>
                    <w:left w:val="none" w:sz="0" w:space="0" w:color="auto"/>
                    <w:bottom w:val="none" w:sz="0" w:space="0" w:color="auto"/>
                    <w:right w:val="none" w:sz="0" w:space="0" w:color="auto"/>
                  </w:divBdr>
                </w:div>
              </w:divsChild>
            </w:div>
            <w:div w:id="1918900143">
              <w:marLeft w:val="0"/>
              <w:marRight w:val="0"/>
              <w:marTop w:val="0"/>
              <w:marBottom w:val="0"/>
              <w:divBdr>
                <w:top w:val="none" w:sz="0" w:space="0" w:color="auto"/>
                <w:left w:val="none" w:sz="0" w:space="0" w:color="auto"/>
                <w:bottom w:val="none" w:sz="0" w:space="0" w:color="auto"/>
                <w:right w:val="none" w:sz="0" w:space="0" w:color="auto"/>
              </w:divBdr>
              <w:divsChild>
                <w:div w:id="2049529888">
                  <w:marLeft w:val="0"/>
                  <w:marRight w:val="0"/>
                  <w:marTop w:val="0"/>
                  <w:marBottom w:val="0"/>
                  <w:divBdr>
                    <w:top w:val="none" w:sz="0" w:space="0" w:color="auto"/>
                    <w:left w:val="none" w:sz="0" w:space="0" w:color="auto"/>
                    <w:bottom w:val="none" w:sz="0" w:space="0" w:color="auto"/>
                    <w:right w:val="none" w:sz="0" w:space="0" w:color="auto"/>
                  </w:divBdr>
                </w:div>
              </w:divsChild>
            </w:div>
            <w:div w:id="1930771184">
              <w:marLeft w:val="0"/>
              <w:marRight w:val="0"/>
              <w:marTop w:val="0"/>
              <w:marBottom w:val="0"/>
              <w:divBdr>
                <w:top w:val="none" w:sz="0" w:space="0" w:color="auto"/>
                <w:left w:val="none" w:sz="0" w:space="0" w:color="auto"/>
                <w:bottom w:val="none" w:sz="0" w:space="0" w:color="auto"/>
                <w:right w:val="none" w:sz="0" w:space="0" w:color="auto"/>
              </w:divBdr>
              <w:divsChild>
                <w:div w:id="58727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686388">
      <w:bodyDiv w:val="1"/>
      <w:marLeft w:val="0"/>
      <w:marRight w:val="0"/>
      <w:marTop w:val="0"/>
      <w:marBottom w:val="0"/>
      <w:divBdr>
        <w:top w:val="none" w:sz="0" w:space="0" w:color="auto"/>
        <w:left w:val="none" w:sz="0" w:space="0" w:color="auto"/>
        <w:bottom w:val="none" w:sz="0" w:space="0" w:color="auto"/>
        <w:right w:val="none" w:sz="0" w:space="0" w:color="auto"/>
      </w:divBdr>
    </w:div>
    <w:div w:id="430055506">
      <w:bodyDiv w:val="1"/>
      <w:marLeft w:val="0"/>
      <w:marRight w:val="0"/>
      <w:marTop w:val="0"/>
      <w:marBottom w:val="0"/>
      <w:divBdr>
        <w:top w:val="none" w:sz="0" w:space="0" w:color="auto"/>
        <w:left w:val="none" w:sz="0" w:space="0" w:color="auto"/>
        <w:bottom w:val="none" w:sz="0" w:space="0" w:color="auto"/>
        <w:right w:val="none" w:sz="0" w:space="0" w:color="auto"/>
      </w:divBdr>
    </w:div>
    <w:div w:id="529101397">
      <w:bodyDiv w:val="1"/>
      <w:marLeft w:val="0"/>
      <w:marRight w:val="0"/>
      <w:marTop w:val="0"/>
      <w:marBottom w:val="0"/>
      <w:divBdr>
        <w:top w:val="none" w:sz="0" w:space="0" w:color="auto"/>
        <w:left w:val="none" w:sz="0" w:space="0" w:color="auto"/>
        <w:bottom w:val="none" w:sz="0" w:space="0" w:color="auto"/>
        <w:right w:val="none" w:sz="0" w:space="0" w:color="auto"/>
      </w:divBdr>
    </w:div>
    <w:div w:id="572814284">
      <w:bodyDiv w:val="1"/>
      <w:marLeft w:val="0"/>
      <w:marRight w:val="0"/>
      <w:marTop w:val="0"/>
      <w:marBottom w:val="0"/>
      <w:divBdr>
        <w:top w:val="none" w:sz="0" w:space="0" w:color="auto"/>
        <w:left w:val="none" w:sz="0" w:space="0" w:color="auto"/>
        <w:bottom w:val="none" w:sz="0" w:space="0" w:color="auto"/>
        <w:right w:val="none" w:sz="0" w:space="0" w:color="auto"/>
      </w:divBdr>
    </w:div>
    <w:div w:id="587076802">
      <w:bodyDiv w:val="1"/>
      <w:marLeft w:val="0"/>
      <w:marRight w:val="0"/>
      <w:marTop w:val="0"/>
      <w:marBottom w:val="0"/>
      <w:divBdr>
        <w:top w:val="none" w:sz="0" w:space="0" w:color="auto"/>
        <w:left w:val="none" w:sz="0" w:space="0" w:color="auto"/>
        <w:bottom w:val="none" w:sz="0" w:space="0" w:color="auto"/>
        <w:right w:val="none" w:sz="0" w:space="0" w:color="auto"/>
      </w:divBdr>
    </w:div>
    <w:div w:id="607854631">
      <w:bodyDiv w:val="1"/>
      <w:marLeft w:val="0"/>
      <w:marRight w:val="0"/>
      <w:marTop w:val="0"/>
      <w:marBottom w:val="0"/>
      <w:divBdr>
        <w:top w:val="none" w:sz="0" w:space="0" w:color="auto"/>
        <w:left w:val="none" w:sz="0" w:space="0" w:color="auto"/>
        <w:bottom w:val="none" w:sz="0" w:space="0" w:color="auto"/>
        <w:right w:val="none" w:sz="0" w:space="0" w:color="auto"/>
      </w:divBdr>
    </w:div>
    <w:div w:id="627587398">
      <w:bodyDiv w:val="1"/>
      <w:marLeft w:val="0"/>
      <w:marRight w:val="0"/>
      <w:marTop w:val="0"/>
      <w:marBottom w:val="0"/>
      <w:divBdr>
        <w:top w:val="none" w:sz="0" w:space="0" w:color="auto"/>
        <w:left w:val="none" w:sz="0" w:space="0" w:color="auto"/>
        <w:bottom w:val="none" w:sz="0" w:space="0" w:color="auto"/>
        <w:right w:val="none" w:sz="0" w:space="0" w:color="auto"/>
      </w:divBdr>
    </w:div>
    <w:div w:id="659576396">
      <w:bodyDiv w:val="1"/>
      <w:marLeft w:val="0"/>
      <w:marRight w:val="0"/>
      <w:marTop w:val="0"/>
      <w:marBottom w:val="0"/>
      <w:divBdr>
        <w:top w:val="none" w:sz="0" w:space="0" w:color="auto"/>
        <w:left w:val="none" w:sz="0" w:space="0" w:color="auto"/>
        <w:bottom w:val="none" w:sz="0" w:space="0" w:color="auto"/>
        <w:right w:val="none" w:sz="0" w:space="0" w:color="auto"/>
      </w:divBdr>
    </w:div>
    <w:div w:id="700976850">
      <w:bodyDiv w:val="1"/>
      <w:marLeft w:val="0"/>
      <w:marRight w:val="0"/>
      <w:marTop w:val="0"/>
      <w:marBottom w:val="0"/>
      <w:divBdr>
        <w:top w:val="none" w:sz="0" w:space="0" w:color="auto"/>
        <w:left w:val="none" w:sz="0" w:space="0" w:color="auto"/>
        <w:bottom w:val="none" w:sz="0" w:space="0" w:color="auto"/>
        <w:right w:val="none" w:sz="0" w:space="0" w:color="auto"/>
      </w:divBdr>
    </w:div>
    <w:div w:id="812524026">
      <w:bodyDiv w:val="1"/>
      <w:marLeft w:val="0"/>
      <w:marRight w:val="0"/>
      <w:marTop w:val="0"/>
      <w:marBottom w:val="0"/>
      <w:divBdr>
        <w:top w:val="none" w:sz="0" w:space="0" w:color="auto"/>
        <w:left w:val="none" w:sz="0" w:space="0" w:color="auto"/>
        <w:bottom w:val="none" w:sz="0" w:space="0" w:color="auto"/>
        <w:right w:val="none" w:sz="0" w:space="0" w:color="auto"/>
      </w:divBdr>
    </w:div>
    <w:div w:id="815224919">
      <w:bodyDiv w:val="1"/>
      <w:marLeft w:val="0"/>
      <w:marRight w:val="0"/>
      <w:marTop w:val="0"/>
      <w:marBottom w:val="0"/>
      <w:divBdr>
        <w:top w:val="none" w:sz="0" w:space="0" w:color="auto"/>
        <w:left w:val="none" w:sz="0" w:space="0" w:color="auto"/>
        <w:bottom w:val="none" w:sz="0" w:space="0" w:color="auto"/>
        <w:right w:val="none" w:sz="0" w:space="0" w:color="auto"/>
      </w:divBdr>
    </w:div>
    <w:div w:id="870605145">
      <w:bodyDiv w:val="1"/>
      <w:marLeft w:val="0"/>
      <w:marRight w:val="0"/>
      <w:marTop w:val="0"/>
      <w:marBottom w:val="0"/>
      <w:divBdr>
        <w:top w:val="none" w:sz="0" w:space="0" w:color="auto"/>
        <w:left w:val="none" w:sz="0" w:space="0" w:color="auto"/>
        <w:bottom w:val="none" w:sz="0" w:space="0" w:color="auto"/>
        <w:right w:val="none" w:sz="0" w:space="0" w:color="auto"/>
      </w:divBdr>
    </w:div>
    <w:div w:id="894044027">
      <w:bodyDiv w:val="1"/>
      <w:marLeft w:val="0"/>
      <w:marRight w:val="0"/>
      <w:marTop w:val="0"/>
      <w:marBottom w:val="0"/>
      <w:divBdr>
        <w:top w:val="none" w:sz="0" w:space="0" w:color="auto"/>
        <w:left w:val="none" w:sz="0" w:space="0" w:color="auto"/>
        <w:bottom w:val="none" w:sz="0" w:space="0" w:color="auto"/>
        <w:right w:val="none" w:sz="0" w:space="0" w:color="auto"/>
      </w:divBdr>
    </w:div>
    <w:div w:id="925917847">
      <w:bodyDiv w:val="1"/>
      <w:marLeft w:val="0"/>
      <w:marRight w:val="0"/>
      <w:marTop w:val="0"/>
      <w:marBottom w:val="0"/>
      <w:divBdr>
        <w:top w:val="none" w:sz="0" w:space="0" w:color="auto"/>
        <w:left w:val="none" w:sz="0" w:space="0" w:color="auto"/>
        <w:bottom w:val="none" w:sz="0" w:space="0" w:color="auto"/>
        <w:right w:val="none" w:sz="0" w:space="0" w:color="auto"/>
      </w:divBdr>
    </w:div>
    <w:div w:id="1006980512">
      <w:bodyDiv w:val="1"/>
      <w:marLeft w:val="0"/>
      <w:marRight w:val="0"/>
      <w:marTop w:val="0"/>
      <w:marBottom w:val="0"/>
      <w:divBdr>
        <w:top w:val="none" w:sz="0" w:space="0" w:color="auto"/>
        <w:left w:val="none" w:sz="0" w:space="0" w:color="auto"/>
        <w:bottom w:val="none" w:sz="0" w:space="0" w:color="auto"/>
        <w:right w:val="none" w:sz="0" w:space="0" w:color="auto"/>
      </w:divBdr>
    </w:div>
    <w:div w:id="1024405970">
      <w:bodyDiv w:val="1"/>
      <w:marLeft w:val="0"/>
      <w:marRight w:val="0"/>
      <w:marTop w:val="0"/>
      <w:marBottom w:val="0"/>
      <w:divBdr>
        <w:top w:val="none" w:sz="0" w:space="0" w:color="auto"/>
        <w:left w:val="none" w:sz="0" w:space="0" w:color="auto"/>
        <w:bottom w:val="none" w:sz="0" w:space="0" w:color="auto"/>
        <w:right w:val="none" w:sz="0" w:space="0" w:color="auto"/>
      </w:divBdr>
    </w:div>
    <w:div w:id="1061487164">
      <w:bodyDiv w:val="1"/>
      <w:marLeft w:val="0"/>
      <w:marRight w:val="0"/>
      <w:marTop w:val="0"/>
      <w:marBottom w:val="0"/>
      <w:divBdr>
        <w:top w:val="none" w:sz="0" w:space="0" w:color="auto"/>
        <w:left w:val="none" w:sz="0" w:space="0" w:color="auto"/>
        <w:bottom w:val="none" w:sz="0" w:space="0" w:color="auto"/>
        <w:right w:val="none" w:sz="0" w:space="0" w:color="auto"/>
      </w:divBdr>
    </w:div>
    <w:div w:id="1087337752">
      <w:bodyDiv w:val="1"/>
      <w:marLeft w:val="0"/>
      <w:marRight w:val="0"/>
      <w:marTop w:val="0"/>
      <w:marBottom w:val="0"/>
      <w:divBdr>
        <w:top w:val="none" w:sz="0" w:space="0" w:color="auto"/>
        <w:left w:val="none" w:sz="0" w:space="0" w:color="auto"/>
        <w:bottom w:val="none" w:sz="0" w:space="0" w:color="auto"/>
        <w:right w:val="none" w:sz="0" w:space="0" w:color="auto"/>
      </w:divBdr>
    </w:div>
    <w:div w:id="1088771037">
      <w:bodyDiv w:val="1"/>
      <w:marLeft w:val="0"/>
      <w:marRight w:val="0"/>
      <w:marTop w:val="0"/>
      <w:marBottom w:val="0"/>
      <w:divBdr>
        <w:top w:val="none" w:sz="0" w:space="0" w:color="auto"/>
        <w:left w:val="none" w:sz="0" w:space="0" w:color="auto"/>
        <w:bottom w:val="none" w:sz="0" w:space="0" w:color="auto"/>
        <w:right w:val="none" w:sz="0" w:space="0" w:color="auto"/>
      </w:divBdr>
    </w:div>
    <w:div w:id="1162045450">
      <w:bodyDiv w:val="1"/>
      <w:marLeft w:val="0"/>
      <w:marRight w:val="0"/>
      <w:marTop w:val="0"/>
      <w:marBottom w:val="0"/>
      <w:divBdr>
        <w:top w:val="none" w:sz="0" w:space="0" w:color="auto"/>
        <w:left w:val="none" w:sz="0" w:space="0" w:color="auto"/>
        <w:bottom w:val="none" w:sz="0" w:space="0" w:color="auto"/>
        <w:right w:val="none" w:sz="0" w:space="0" w:color="auto"/>
      </w:divBdr>
    </w:div>
    <w:div w:id="1163467968">
      <w:bodyDiv w:val="1"/>
      <w:marLeft w:val="0"/>
      <w:marRight w:val="0"/>
      <w:marTop w:val="0"/>
      <w:marBottom w:val="0"/>
      <w:divBdr>
        <w:top w:val="none" w:sz="0" w:space="0" w:color="auto"/>
        <w:left w:val="none" w:sz="0" w:space="0" w:color="auto"/>
        <w:bottom w:val="none" w:sz="0" w:space="0" w:color="auto"/>
        <w:right w:val="none" w:sz="0" w:space="0" w:color="auto"/>
      </w:divBdr>
    </w:div>
    <w:div w:id="1228300183">
      <w:bodyDiv w:val="1"/>
      <w:marLeft w:val="0"/>
      <w:marRight w:val="0"/>
      <w:marTop w:val="0"/>
      <w:marBottom w:val="0"/>
      <w:divBdr>
        <w:top w:val="none" w:sz="0" w:space="0" w:color="auto"/>
        <w:left w:val="none" w:sz="0" w:space="0" w:color="auto"/>
        <w:bottom w:val="none" w:sz="0" w:space="0" w:color="auto"/>
        <w:right w:val="none" w:sz="0" w:space="0" w:color="auto"/>
      </w:divBdr>
    </w:div>
    <w:div w:id="1245921387">
      <w:bodyDiv w:val="1"/>
      <w:marLeft w:val="0"/>
      <w:marRight w:val="0"/>
      <w:marTop w:val="0"/>
      <w:marBottom w:val="0"/>
      <w:divBdr>
        <w:top w:val="none" w:sz="0" w:space="0" w:color="auto"/>
        <w:left w:val="none" w:sz="0" w:space="0" w:color="auto"/>
        <w:bottom w:val="none" w:sz="0" w:space="0" w:color="auto"/>
        <w:right w:val="none" w:sz="0" w:space="0" w:color="auto"/>
      </w:divBdr>
    </w:div>
    <w:div w:id="1247694127">
      <w:bodyDiv w:val="1"/>
      <w:marLeft w:val="0"/>
      <w:marRight w:val="0"/>
      <w:marTop w:val="0"/>
      <w:marBottom w:val="0"/>
      <w:divBdr>
        <w:top w:val="none" w:sz="0" w:space="0" w:color="auto"/>
        <w:left w:val="none" w:sz="0" w:space="0" w:color="auto"/>
        <w:bottom w:val="none" w:sz="0" w:space="0" w:color="auto"/>
        <w:right w:val="none" w:sz="0" w:space="0" w:color="auto"/>
      </w:divBdr>
    </w:div>
    <w:div w:id="1248882993">
      <w:bodyDiv w:val="1"/>
      <w:marLeft w:val="0"/>
      <w:marRight w:val="0"/>
      <w:marTop w:val="0"/>
      <w:marBottom w:val="0"/>
      <w:divBdr>
        <w:top w:val="none" w:sz="0" w:space="0" w:color="auto"/>
        <w:left w:val="none" w:sz="0" w:space="0" w:color="auto"/>
        <w:bottom w:val="none" w:sz="0" w:space="0" w:color="auto"/>
        <w:right w:val="none" w:sz="0" w:space="0" w:color="auto"/>
      </w:divBdr>
    </w:div>
    <w:div w:id="1259487571">
      <w:bodyDiv w:val="1"/>
      <w:marLeft w:val="0"/>
      <w:marRight w:val="0"/>
      <w:marTop w:val="0"/>
      <w:marBottom w:val="0"/>
      <w:divBdr>
        <w:top w:val="none" w:sz="0" w:space="0" w:color="auto"/>
        <w:left w:val="none" w:sz="0" w:space="0" w:color="auto"/>
        <w:bottom w:val="none" w:sz="0" w:space="0" w:color="auto"/>
        <w:right w:val="none" w:sz="0" w:space="0" w:color="auto"/>
      </w:divBdr>
    </w:div>
    <w:div w:id="1263681183">
      <w:bodyDiv w:val="1"/>
      <w:marLeft w:val="0"/>
      <w:marRight w:val="0"/>
      <w:marTop w:val="0"/>
      <w:marBottom w:val="0"/>
      <w:divBdr>
        <w:top w:val="none" w:sz="0" w:space="0" w:color="auto"/>
        <w:left w:val="none" w:sz="0" w:space="0" w:color="auto"/>
        <w:bottom w:val="none" w:sz="0" w:space="0" w:color="auto"/>
        <w:right w:val="none" w:sz="0" w:space="0" w:color="auto"/>
      </w:divBdr>
    </w:div>
    <w:div w:id="1316494955">
      <w:bodyDiv w:val="1"/>
      <w:marLeft w:val="0"/>
      <w:marRight w:val="0"/>
      <w:marTop w:val="0"/>
      <w:marBottom w:val="0"/>
      <w:divBdr>
        <w:top w:val="none" w:sz="0" w:space="0" w:color="auto"/>
        <w:left w:val="none" w:sz="0" w:space="0" w:color="auto"/>
        <w:bottom w:val="none" w:sz="0" w:space="0" w:color="auto"/>
        <w:right w:val="none" w:sz="0" w:space="0" w:color="auto"/>
      </w:divBdr>
      <w:divsChild>
        <w:div w:id="915168577">
          <w:marLeft w:val="0"/>
          <w:marRight w:val="0"/>
          <w:marTop w:val="0"/>
          <w:marBottom w:val="0"/>
          <w:divBdr>
            <w:top w:val="none" w:sz="0" w:space="0" w:color="auto"/>
            <w:left w:val="none" w:sz="0" w:space="0" w:color="auto"/>
            <w:bottom w:val="none" w:sz="0" w:space="0" w:color="auto"/>
            <w:right w:val="none" w:sz="0" w:space="0" w:color="auto"/>
          </w:divBdr>
          <w:divsChild>
            <w:div w:id="360976720">
              <w:marLeft w:val="0"/>
              <w:marRight w:val="0"/>
              <w:marTop w:val="0"/>
              <w:marBottom w:val="0"/>
              <w:divBdr>
                <w:top w:val="none" w:sz="0" w:space="0" w:color="auto"/>
                <w:left w:val="none" w:sz="0" w:space="0" w:color="auto"/>
                <w:bottom w:val="none" w:sz="0" w:space="0" w:color="auto"/>
                <w:right w:val="none" w:sz="0" w:space="0" w:color="auto"/>
              </w:divBdr>
            </w:div>
            <w:div w:id="992954023">
              <w:marLeft w:val="0"/>
              <w:marRight w:val="0"/>
              <w:marTop w:val="0"/>
              <w:marBottom w:val="0"/>
              <w:divBdr>
                <w:top w:val="none" w:sz="0" w:space="0" w:color="auto"/>
                <w:left w:val="none" w:sz="0" w:space="0" w:color="auto"/>
                <w:bottom w:val="none" w:sz="0" w:space="0" w:color="auto"/>
                <w:right w:val="none" w:sz="0" w:space="0" w:color="auto"/>
              </w:divBdr>
            </w:div>
            <w:div w:id="1125928880">
              <w:marLeft w:val="0"/>
              <w:marRight w:val="0"/>
              <w:marTop w:val="0"/>
              <w:marBottom w:val="0"/>
              <w:divBdr>
                <w:top w:val="none" w:sz="0" w:space="0" w:color="auto"/>
                <w:left w:val="none" w:sz="0" w:space="0" w:color="auto"/>
                <w:bottom w:val="none" w:sz="0" w:space="0" w:color="auto"/>
                <w:right w:val="none" w:sz="0" w:space="0" w:color="auto"/>
              </w:divBdr>
            </w:div>
            <w:div w:id="1721518649">
              <w:marLeft w:val="0"/>
              <w:marRight w:val="0"/>
              <w:marTop w:val="0"/>
              <w:marBottom w:val="0"/>
              <w:divBdr>
                <w:top w:val="none" w:sz="0" w:space="0" w:color="auto"/>
                <w:left w:val="none" w:sz="0" w:space="0" w:color="auto"/>
                <w:bottom w:val="none" w:sz="0" w:space="0" w:color="auto"/>
                <w:right w:val="none" w:sz="0" w:space="0" w:color="auto"/>
              </w:divBdr>
            </w:div>
          </w:divsChild>
        </w:div>
        <w:div w:id="1029379193">
          <w:marLeft w:val="0"/>
          <w:marRight w:val="0"/>
          <w:marTop w:val="0"/>
          <w:marBottom w:val="0"/>
          <w:divBdr>
            <w:top w:val="none" w:sz="0" w:space="0" w:color="auto"/>
            <w:left w:val="none" w:sz="0" w:space="0" w:color="auto"/>
            <w:bottom w:val="none" w:sz="0" w:space="0" w:color="auto"/>
            <w:right w:val="none" w:sz="0" w:space="0" w:color="auto"/>
          </w:divBdr>
        </w:div>
        <w:div w:id="1756436550">
          <w:marLeft w:val="0"/>
          <w:marRight w:val="0"/>
          <w:marTop w:val="0"/>
          <w:marBottom w:val="0"/>
          <w:divBdr>
            <w:top w:val="none" w:sz="0" w:space="0" w:color="auto"/>
            <w:left w:val="none" w:sz="0" w:space="0" w:color="auto"/>
            <w:bottom w:val="none" w:sz="0" w:space="0" w:color="auto"/>
            <w:right w:val="none" w:sz="0" w:space="0" w:color="auto"/>
          </w:divBdr>
        </w:div>
      </w:divsChild>
    </w:div>
    <w:div w:id="1360084266">
      <w:bodyDiv w:val="1"/>
      <w:marLeft w:val="0"/>
      <w:marRight w:val="0"/>
      <w:marTop w:val="0"/>
      <w:marBottom w:val="0"/>
      <w:divBdr>
        <w:top w:val="none" w:sz="0" w:space="0" w:color="auto"/>
        <w:left w:val="none" w:sz="0" w:space="0" w:color="auto"/>
        <w:bottom w:val="none" w:sz="0" w:space="0" w:color="auto"/>
        <w:right w:val="none" w:sz="0" w:space="0" w:color="auto"/>
      </w:divBdr>
    </w:div>
    <w:div w:id="1360428073">
      <w:bodyDiv w:val="1"/>
      <w:marLeft w:val="0"/>
      <w:marRight w:val="0"/>
      <w:marTop w:val="0"/>
      <w:marBottom w:val="0"/>
      <w:divBdr>
        <w:top w:val="none" w:sz="0" w:space="0" w:color="auto"/>
        <w:left w:val="none" w:sz="0" w:space="0" w:color="auto"/>
        <w:bottom w:val="none" w:sz="0" w:space="0" w:color="auto"/>
        <w:right w:val="none" w:sz="0" w:space="0" w:color="auto"/>
      </w:divBdr>
    </w:div>
    <w:div w:id="1380401254">
      <w:bodyDiv w:val="1"/>
      <w:marLeft w:val="0"/>
      <w:marRight w:val="0"/>
      <w:marTop w:val="0"/>
      <w:marBottom w:val="0"/>
      <w:divBdr>
        <w:top w:val="none" w:sz="0" w:space="0" w:color="auto"/>
        <w:left w:val="none" w:sz="0" w:space="0" w:color="auto"/>
        <w:bottom w:val="none" w:sz="0" w:space="0" w:color="auto"/>
        <w:right w:val="none" w:sz="0" w:space="0" w:color="auto"/>
      </w:divBdr>
    </w:div>
    <w:div w:id="1383095915">
      <w:bodyDiv w:val="1"/>
      <w:marLeft w:val="0"/>
      <w:marRight w:val="0"/>
      <w:marTop w:val="0"/>
      <w:marBottom w:val="0"/>
      <w:divBdr>
        <w:top w:val="none" w:sz="0" w:space="0" w:color="auto"/>
        <w:left w:val="none" w:sz="0" w:space="0" w:color="auto"/>
        <w:bottom w:val="none" w:sz="0" w:space="0" w:color="auto"/>
        <w:right w:val="none" w:sz="0" w:space="0" w:color="auto"/>
      </w:divBdr>
    </w:div>
    <w:div w:id="1389380291">
      <w:bodyDiv w:val="1"/>
      <w:marLeft w:val="0"/>
      <w:marRight w:val="0"/>
      <w:marTop w:val="0"/>
      <w:marBottom w:val="0"/>
      <w:divBdr>
        <w:top w:val="none" w:sz="0" w:space="0" w:color="auto"/>
        <w:left w:val="none" w:sz="0" w:space="0" w:color="auto"/>
        <w:bottom w:val="none" w:sz="0" w:space="0" w:color="auto"/>
        <w:right w:val="none" w:sz="0" w:space="0" w:color="auto"/>
      </w:divBdr>
      <w:divsChild>
        <w:div w:id="152836170">
          <w:marLeft w:val="0"/>
          <w:marRight w:val="0"/>
          <w:marTop w:val="0"/>
          <w:marBottom w:val="0"/>
          <w:divBdr>
            <w:top w:val="none" w:sz="0" w:space="0" w:color="auto"/>
            <w:left w:val="none" w:sz="0" w:space="0" w:color="auto"/>
            <w:bottom w:val="none" w:sz="0" w:space="0" w:color="auto"/>
            <w:right w:val="none" w:sz="0" w:space="0" w:color="auto"/>
          </w:divBdr>
        </w:div>
        <w:div w:id="231043830">
          <w:marLeft w:val="0"/>
          <w:marRight w:val="0"/>
          <w:marTop w:val="0"/>
          <w:marBottom w:val="0"/>
          <w:divBdr>
            <w:top w:val="none" w:sz="0" w:space="0" w:color="auto"/>
            <w:left w:val="none" w:sz="0" w:space="0" w:color="auto"/>
            <w:bottom w:val="none" w:sz="0" w:space="0" w:color="auto"/>
            <w:right w:val="none" w:sz="0" w:space="0" w:color="auto"/>
          </w:divBdr>
        </w:div>
        <w:div w:id="261450604">
          <w:marLeft w:val="0"/>
          <w:marRight w:val="0"/>
          <w:marTop w:val="0"/>
          <w:marBottom w:val="0"/>
          <w:divBdr>
            <w:top w:val="none" w:sz="0" w:space="0" w:color="auto"/>
            <w:left w:val="none" w:sz="0" w:space="0" w:color="auto"/>
            <w:bottom w:val="none" w:sz="0" w:space="0" w:color="auto"/>
            <w:right w:val="none" w:sz="0" w:space="0" w:color="auto"/>
          </w:divBdr>
        </w:div>
        <w:div w:id="704016125">
          <w:marLeft w:val="0"/>
          <w:marRight w:val="0"/>
          <w:marTop w:val="0"/>
          <w:marBottom w:val="0"/>
          <w:divBdr>
            <w:top w:val="none" w:sz="0" w:space="0" w:color="auto"/>
            <w:left w:val="none" w:sz="0" w:space="0" w:color="auto"/>
            <w:bottom w:val="none" w:sz="0" w:space="0" w:color="auto"/>
            <w:right w:val="none" w:sz="0" w:space="0" w:color="auto"/>
          </w:divBdr>
        </w:div>
        <w:div w:id="833300501">
          <w:marLeft w:val="0"/>
          <w:marRight w:val="0"/>
          <w:marTop w:val="0"/>
          <w:marBottom w:val="0"/>
          <w:divBdr>
            <w:top w:val="none" w:sz="0" w:space="0" w:color="auto"/>
            <w:left w:val="none" w:sz="0" w:space="0" w:color="auto"/>
            <w:bottom w:val="none" w:sz="0" w:space="0" w:color="auto"/>
            <w:right w:val="none" w:sz="0" w:space="0" w:color="auto"/>
          </w:divBdr>
        </w:div>
        <w:div w:id="1486429427">
          <w:marLeft w:val="0"/>
          <w:marRight w:val="0"/>
          <w:marTop w:val="0"/>
          <w:marBottom w:val="0"/>
          <w:divBdr>
            <w:top w:val="none" w:sz="0" w:space="0" w:color="auto"/>
            <w:left w:val="none" w:sz="0" w:space="0" w:color="auto"/>
            <w:bottom w:val="none" w:sz="0" w:space="0" w:color="auto"/>
            <w:right w:val="none" w:sz="0" w:space="0" w:color="auto"/>
          </w:divBdr>
        </w:div>
        <w:div w:id="1726100603">
          <w:marLeft w:val="0"/>
          <w:marRight w:val="0"/>
          <w:marTop w:val="0"/>
          <w:marBottom w:val="0"/>
          <w:divBdr>
            <w:top w:val="none" w:sz="0" w:space="0" w:color="auto"/>
            <w:left w:val="none" w:sz="0" w:space="0" w:color="auto"/>
            <w:bottom w:val="none" w:sz="0" w:space="0" w:color="auto"/>
            <w:right w:val="none" w:sz="0" w:space="0" w:color="auto"/>
          </w:divBdr>
        </w:div>
        <w:div w:id="1746294678">
          <w:marLeft w:val="0"/>
          <w:marRight w:val="0"/>
          <w:marTop w:val="0"/>
          <w:marBottom w:val="0"/>
          <w:divBdr>
            <w:top w:val="none" w:sz="0" w:space="0" w:color="auto"/>
            <w:left w:val="none" w:sz="0" w:space="0" w:color="auto"/>
            <w:bottom w:val="none" w:sz="0" w:space="0" w:color="auto"/>
            <w:right w:val="none" w:sz="0" w:space="0" w:color="auto"/>
          </w:divBdr>
        </w:div>
        <w:div w:id="1860463189">
          <w:marLeft w:val="0"/>
          <w:marRight w:val="0"/>
          <w:marTop w:val="0"/>
          <w:marBottom w:val="0"/>
          <w:divBdr>
            <w:top w:val="none" w:sz="0" w:space="0" w:color="auto"/>
            <w:left w:val="none" w:sz="0" w:space="0" w:color="auto"/>
            <w:bottom w:val="none" w:sz="0" w:space="0" w:color="auto"/>
            <w:right w:val="none" w:sz="0" w:space="0" w:color="auto"/>
          </w:divBdr>
        </w:div>
        <w:div w:id="1878858164">
          <w:marLeft w:val="0"/>
          <w:marRight w:val="0"/>
          <w:marTop w:val="0"/>
          <w:marBottom w:val="0"/>
          <w:divBdr>
            <w:top w:val="none" w:sz="0" w:space="0" w:color="auto"/>
            <w:left w:val="none" w:sz="0" w:space="0" w:color="auto"/>
            <w:bottom w:val="none" w:sz="0" w:space="0" w:color="auto"/>
            <w:right w:val="none" w:sz="0" w:space="0" w:color="auto"/>
          </w:divBdr>
        </w:div>
      </w:divsChild>
    </w:div>
    <w:div w:id="1405102349">
      <w:bodyDiv w:val="1"/>
      <w:marLeft w:val="0"/>
      <w:marRight w:val="0"/>
      <w:marTop w:val="0"/>
      <w:marBottom w:val="0"/>
      <w:divBdr>
        <w:top w:val="none" w:sz="0" w:space="0" w:color="auto"/>
        <w:left w:val="none" w:sz="0" w:space="0" w:color="auto"/>
        <w:bottom w:val="none" w:sz="0" w:space="0" w:color="auto"/>
        <w:right w:val="none" w:sz="0" w:space="0" w:color="auto"/>
      </w:divBdr>
    </w:div>
    <w:div w:id="1449741177">
      <w:bodyDiv w:val="1"/>
      <w:marLeft w:val="0"/>
      <w:marRight w:val="0"/>
      <w:marTop w:val="0"/>
      <w:marBottom w:val="0"/>
      <w:divBdr>
        <w:top w:val="none" w:sz="0" w:space="0" w:color="auto"/>
        <w:left w:val="none" w:sz="0" w:space="0" w:color="auto"/>
        <w:bottom w:val="none" w:sz="0" w:space="0" w:color="auto"/>
        <w:right w:val="none" w:sz="0" w:space="0" w:color="auto"/>
      </w:divBdr>
    </w:div>
    <w:div w:id="1451897942">
      <w:bodyDiv w:val="1"/>
      <w:marLeft w:val="0"/>
      <w:marRight w:val="0"/>
      <w:marTop w:val="0"/>
      <w:marBottom w:val="0"/>
      <w:divBdr>
        <w:top w:val="none" w:sz="0" w:space="0" w:color="auto"/>
        <w:left w:val="none" w:sz="0" w:space="0" w:color="auto"/>
        <w:bottom w:val="none" w:sz="0" w:space="0" w:color="auto"/>
        <w:right w:val="none" w:sz="0" w:space="0" w:color="auto"/>
      </w:divBdr>
    </w:div>
    <w:div w:id="1546017194">
      <w:bodyDiv w:val="1"/>
      <w:marLeft w:val="0"/>
      <w:marRight w:val="0"/>
      <w:marTop w:val="0"/>
      <w:marBottom w:val="0"/>
      <w:divBdr>
        <w:top w:val="none" w:sz="0" w:space="0" w:color="auto"/>
        <w:left w:val="none" w:sz="0" w:space="0" w:color="auto"/>
        <w:bottom w:val="none" w:sz="0" w:space="0" w:color="auto"/>
        <w:right w:val="none" w:sz="0" w:space="0" w:color="auto"/>
      </w:divBdr>
    </w:div>
    <w:div w:id="1558739982">
      <w:bodyDiv w:val="1"/>
      <w:marLeft w:val="0"/>
      <w:marRight w:val="0"/>
      <w:marTop w:val="0"/>
      <w:marBottom w:val="0"/>
      <w:divBdr>
        <w:top w:val="none" w:sz="0" w:space="0" w:color="auto"/>
        <w:left w:val="none" w:sz="0" w:space="0" w:color="auto"/>
        <w:bottom w:val="none" w:sz="0" w:space="0" w:color="auto"/>
        <w:right w:val="none" w:sz="0" w:space="0" w:color="auto"/>
      </w:divBdr>
      <w:divsChild>
        <w:div w:id="1514090">
          <w:marLeft w:val="0"/>
          <w:marRight w:val="0"/>
          <w:marTop w:val="0"/>
          <w:marBottom w:val="0"/>
          <w:divBdr>
            <w:top w:val="none" w:sz="0" w:space="0" w:color="auto"/>
            <w:left w:val="none" w:sz="0" w:space="0" w:color="auto"/>
            <w:bottom w:val="none" w:sz="0" w:space="0" w:color="auto"/>
            <w:right w:val="none" w:sz="0" w:space="0" w:color="auto"/>
          </w:divBdr>
        </w:div>
        <w:div w:id="58135055">
          <w:marLeft w:val="0"/>
          <w:marRight w:val="0"/>
          <w:marTop w:val="0"/>
          <w:marBottom w:val="0"/>
          <w:divBdr>
            <w:top w:val="none" w:sz="0" w:space="0" w:color="auto"/>
            <w:left w:val="none" w:sz="0" w:space="0" w:color="auto"/>
            <w:bottom w:val="none" w:sz="0" w:space="0" w:color="auto"/>
            <w:right w:val="none" w:sz="0" w:space="0" w:color="auto"/>
          </w:divBdr>
        </w:div>
        <w:div w:id="212430330">
          <w:marLeft w:val="0"/>
          <w:marRight w:val="0"/>
          <w:marTop w:val="0"/>
          <w:marBottom w:val="0"/>
          <w:divBdr>
            <w:top w:val="none" w:sz="0" w:space="0" w:color="auto"/>
            <w:left w:val="none" w:sz="0" w:space="0" w:color="auto"/>
            <w:bottom w:val="none" w:sz="0" w:space="0" w:color="auto"/>
            <w:right w:val="none" w:sz="0" w:space="0" w:color="auto"/>
          </w:divBdr>
        </w:div>
        <w:div w:id="282351596">
          <w:marLeft w:val="0"/>
          <w:marRight w:val="0"/>
          <w:marTop w:val="0"/>
          <w:marBottom w:val="0"/>
          <w:divBdr>
            <w:top w:val="none" w:sz="0" w:space="0" w:color="auto"/>
            <w:left w:val="none" w:sz="0" w:space="0" w:color="auto"/>
            <w:bottom w:val="none" w:sz="0" w:space="0" w:color="auto"/>
            <w:right w:val="none" w:sz="0" w:space="0" w:color="auto"/>
          </w:divBdr>
        </w:div>
        <w:div w:id="568418768">
          <w:marLeft w:val="0"/>
          <w:marRight w:val="0"/>
          <w:marTop w:val="0"/>
          <w:marBottom w:val="0"/>
          <w:divBdr>
            <w:top w:val="none" w:sz="0" w:space="0" w:color="auto"/>
            <w:left w:val="none" w:sz="0" w:space="0" w:color="auto"/>
            <w:bottom w:val="none" w:sz="0" w:space="0" w:color="auto"/>
            <w:right w:val="none" w:sz="0" w:space="0" w:color="auto"/>
          </w:divBdr>
        </w:div>
        <w:div w:id="763647156">
          <w:marLeft w:val="0"/>
          <w:marRight w:val="0"/>
          <w:marTop w:val="0"/>
          <w:marBottom w:val="0"/>
          <w:divBdr>
            <w:top w:val="none" w:sz="0" w:space="0" w:color="auto"/>
            <w:left w:val="none" w:sz="0" w:space="0" w:color="auto"/>
            <w:bottom w:val="none" w:sz="0" w:space="0" w:color="auto"/>
            <w:right w:val="none" w:sz="0" w:space="0" w:color="auto"/>
          </w:divBdr>
        </w:div>
        <w:div w:id="768934401">
          <w:marLeft w:val="0"/>
          <w:marRight w:val="0"/>
          <w:marTop w:val="0"/>
          <w:marBottom w:val="0"/>
          <w:divBdr>
            <w:top w:val="none" w:sz="0" w:space="0" w:color="auto"/>
            <w:left w:val="none" w:sz="0" w:space="0" w:color="auto"/>
            <w:bottom w:val="none" w:sz="0" w:space="0" w:color="auto"/>
            <w:right w:val="none" w:sz="0" w:space="0" w:color="auto"/>
          </w:divBdr>
        </w:div>
        <w:div w:id="845360651">
          <w:marLeft w:val="0"/>
          <w:marRight w:val="0"/>
          <w:marTop w:val="0"/>
          <w:marBottom w:val="0"/>
          <w:divBdr>
            <w:top w:val="none" w:sz="0" w:space="0" w:color="auto"/>
            <w:left w:val="none" w:sz="0" w:space="0" w:color="auto"/>
            <w:bottom w:val="none" w:sz="0" w:space="0" w:color="auto"/>
            <w:right w:val="none" w:sz="0" w:space="0" w:color="auto"/>
          </w:divBdr>
        </w:div>
        <w:div w:id="885918376">
          <w:marLeft w:val="0"/>
          <w:marRight w:val="0"/>
          <w:marTop w:val="0"/>
          <w:marBottom w:val="0"/>
          <w:divBdr>
            <w:top w:val="none" w:sz="0" w:space="0" w:color="auto"/>
            <w:left w:val="none" w:sz="0" w:space="0" w:color="auto"/>
            <w:bottom w:val="none" w:sz="0" w:space="0" w:color="auto"/>
            <w:right w:val="none" w:sz="0" w:space="0" w:color="auto"/>
          </w:divBdr>
        </w:div>
        <w:div w:id="915897327">
          <w:marLeft w:val="0"/>
          <w:marRight w:val="0"/>
          <w:marTop w:val="0"/>
          <w:marBottom w:val="0"/>
          <w:divBdr>
            <w:top w:val="none" w:sz="0" w:space="0" w:color="auto"/>
            <w:left w:val="none" w:sz="0" w:space="0" w:color="auto"/>
            <w:bottom w:val="none" w:sz="0" w:space="0" w:color="auto"/>
            <w:right w:val="none" w:sz="0" w:space="0" w:color="auto"/>
          </w:divBdr>
        </w:div>
        <w:div w:id="1262958350">
          <w:marLeft w:val="0"/>
          <w:marRight w:val="0"/>
          <w:marTop w:val="0"/>
          <w:marBottom w:val="0"/>
          <w:divBdr>
            <w:top w:val="none" w:sz="0" w:space="0" w:color="auto"/>
            <w:left w:val="none" w:sz="0" w:space="0" w:color="auto"/>
            <w:bottom w:val="none" w:sz="0" w:space="0" w:color="auto"/>
            <w:right w:val="none" w:sz="0" w:space="0" w:color="auto"/>
          </w:divBdr>
        </w:div>
        <w:div w:id="1284768361">
          <w:marLeft w:val="0"/>
          <w:marRight w:val="0"/>
          <w:marTop w:val="0"/>
          <w:marBottom w:val="0"/>
          <w:divBdr>
            <w:top w:val="none" w:sz="0" w:space="0" w:color="auto"/>
            <w:left w:val="none" w:sz="0" w:space="0" w:color="auto"/>
            <w:bottom w:val="none" w:sz="0" w:space="0" w:color="auto"/>
            <w:right w:val="none" w:sz="0" w:space="0" w:color="auto"/>
          </w:divBdr>
        </w:div>
        <w:div w:id="1309019602">
          <w:marLeft w:val="0"/>
          <w:marRight w:val="0"/>
          <w:marTop w:val="0"/>
          <w:marBottom w:val="0"/>
          <w:divBdr>
            <w:top w:val="none" w:sz="0" w:space="0" w:color="auto"/>
            <w:left w:val="none" w:sz="0" w:space="0" w:color="auto"/>
            <w:bottom w:val="none" w:sz="0" w:space="0" w:color="auto"/>
            <w:right w:val="none" w:sz="0" w:space="0" w:color="auto"/>
          </w:divBdr>
        </w:div>
        <w:div w:id="1342977112">
          <w:marLeft w:val="0"/>
          <w:marRight w:val="0"/>
          <w:marTop w:val="0"/>
          <w:marBottom w:val="0"/>
          <w:divBdr>
            <w:top w:val="none" w:sz="0" w:space="0" w:color="auto"/>
            <w:left w:val="none" w:sz="0" w:space="0" w:color="auto"/>
            <w:bottom w:val="none" w:sz="0" w:space="0" w:color="auto"/>
            <w:right w:val="none" w:sz="0" w:space="0" w:color="auto"/>
          </w:divBdr>
        </w:div>
        <w:div w:id="1351181929">
          <w:marLeft w:val="0"/>
          <w:marRight w:val="0"/>
          <w:marTop w:val="0"/>
          <w:marBottom w:val="0"/>
          <w:divBdr>
            <w:top w:val="none" w:sz="0" w:space="0" w:color="auto"/>
            <w:left w:val="none" w:sz="0" w:space="0" w:color="auto"/>
            <w:bottom w:val="none" w:sz="0" w:space="0" w:color="auto"/>
            <w:right w:val="none" w:sz="0" w:space="0" w:color="auto"/>
          </w:divBdr>
        </w:div>
        <w:div w:id="1435977395">
          <w:marLeft w:val="0"/>
          <w:marRight w:val="0"/>
          <w:marTop w:val="0"/>
          <w:marBottom w:val="0"/>
          <w:divBdr>
            <w:top w:val="none" w:sz="0" w:space="0" w:color="auto"/>
            <w:left w:val="none" w:sz="0" w:space="0" w:color="auto"/>
            <w:bottom w:val="none" w:sz="0" w:space="0" w:color="auto"/>
            <w:right w:val="none" w:sz="0" w:space="0" w:color="auto"/>
          </w:divBdr>
        </w:div>
        <w:div w:id="1543055252">
          <w:marLeft w:val="0"/>
          <w:marRight w:val="0"/>
          <w:marTop w:val="0"/>
          <w:marBottom w:val="0"/>
          <w:divBdr>
            <w:top w:val="none" w:sz="0" w:space="0" w:color="auto"/>
            <w:left w:val="none" w:sz="0" w:space="0" w:color="auto"/>
            <w:bottom w:val="none" w:sz="0" w:space="0" w:color="auto"/>
            <w:right w:val="none" w:sz="0" w:space="0" w:color="auto"/>
          </w:divBdr>
        </w:div>
        <w:div w:id="1565292120">
          <w:marLeft w:val="0"/>
          <w:marRight w:val="0"/>
          <w:marTop w:val="0"/>
          <w:marBottom w:val="0"/>
          <w:divBdr>
            <w:top w:val="none" w:sz="0" w:space="0" w:color="auto"/>
            <w:left w:val="none" w:sz="0" w:space="0" w:color="auto"/>
            <w:bottom w:val="none" w:sz="0" w:space="0" w:color="auto"/>
            <w:right w:val="none" w:sz="0" w:space="0" w:color="auto"/>
          </w:divBdr>
        </w:div>
        <w:div w:id="1605723939">
          <w:marLeft w:val="0"/>
          <w:marRight w:val="0"/>
          <w:marTop w:val="0"/>
          <w:marBottom w:val="0"/>
          <w:divBdr>
            <w:top w:val="none" w:sz="0" w:space="0" w:color="auto"/>
            <w:left w:val="none" w:sz="0" w:space="0" w:color="auto"/>
            <w:bottom w:val="none" w:sz="0" w:space="0" w:color="auto"/>
            <w:right w:val="none" w:sz="0" w:space="0" w:color="auto"/>
          </w:divBdr>
        </w:div>
        <w:div w:id="1650086914">
          <w:marLeft w:val="0"/>
          <w:marRight w:val="0"/>
          <w:marTop w:val="0"/>
          <w:marBottom w:val="0"/>
          <w:divBdr>
            <w:top w:val="none" w:sz="0" w:space="0" w:color="auto"/>
            <w:left w:val="none" w:sz="0" w:space="0" w:color="auto"/>
            <w:bottom w:val="none" w:sz="0" w:space="0" w:color="auto"/>
            <w:right w:val="none" w:sz="0" w:space="0" w:color="auto"/>
          </w:divBdr>
        </w:div>
        <w:div w:id="1831751478">
          <w:marLeft w:val="0"/>
          <w:marRight w:val="0"/>
          <w:marTop w:val="0"/>
          <w:marBottom w:val="0"/>
          <w:divBdr>
            <w:top w:val="none" w:sz="0" w:space="0" w:color="auto"/>
            <w:left w:val="none" w:sz="0" w:space="0" w:color="auto"/>
            <w:bottom w:val="none" w:sz="0" w:space="0" w:color="auto"/>
            <w:right w:val="none" w:sz="0" w:space="0" w:color="auto"/>
          </w:divBdr>
        </w:div>
        <w:div w:id="1877623062">
          <w:marLeft w:val="0"/>
          <w:marRight w:val="0"/>
          <w:marTop w:val="0"/>
          <w:marBottom w:val="0"/>
          <w:divBdr>
            <w:top w:val="none" w:sz="0" w:space="0" w:color="auto"/>
            <w:left w:val="none" w:sz="0" w:space="0" w:color="auto"/>
            <w:bottom w:val="none" w:sz="0" w:space="0" w:color="auto"/>
            <w:right w:val="none" w:sz="0" w:space="0" w:color="auto"/>
          </w:divBdr>
        </w:div>
        <w:div w:id="1912500733">
          <w:marLeft w:val="0"/>
          <w:marRight w:val="0"/>
          <w:marTop w:val="0"/>
          <w:marBottom w:val="0"/>
          <w:divBdr>
            <w:top w:val="none" w:sz="0" w:space="0" w:color="auto"/>
            <w:left w:val="none" w:sz="0" w:space="0" w:color="auto"/>
            <w:bottom w:val="none" w:sz="0" w:space="0" w:color="auto"/>
            <w:right w:val="none" w:sz="0" w:space="0" w:color="auto"/>
          </w:divBdr>
        </w:div>
        <w:div w:id="1950619731">
          <w:marLeft w:val="0"/>
          <w:marRight w:val="0"/>
          <w:marTop w:val="0"/>
          <w:marBottom w:val="0"/>
          <w:divBdr>
            <w:top w:val="none" w:sz="0" w:space="0" w:color="auto"/>
            <w:left w:val="none" w:sz="0" w:space="0" w:color="auto"/>
            <w:bottom w:val="none" w:sz="0" w:space="0" w:color="auto"/>
            <w:right w:val="none" w:sz="0" w:space="0" w:color="auto"/>
          </w:divBdr>
        </w:div>
        <w:div w:id="1989238332">
          <w:marLeft w:val="0"/>
          <w:marRight w:val="0"/>
          <w:marTop w:val="0"/>
          <w:marBottom w:val="0"/>
          <w:divBdr>
            <w:top w:val="none" w:sz="0" w:space="0" w:color="auto"/>
            <w:left w:val="none" w:sz="0" w:space="0" w:color="auto"/>
            <w:bottom w:val="none" w:sz="0" w:space="0" w:color="auto"/>
            <w:right w:val="none" w:sz="0" w:space="0" w:color="auto"/>
          </w:divBdr>
        </w:div>
        <w:div w:id="1991250446">
          <w:marLeft w:val="0"/>
          <w:marRight w:val="0"/>
          <w:marTop w:val="0"/>
          <w:marBottom w:val="0"/>
          <w:divBdr>
            <w:top w:val="none" w:sz="0" w:space="0" w:color="auto"/>
            <w:left w:val="none" w:sz="0" w:space="0" w:color="auto"/>
            <w:bottom w:val="none" w:sz="0" w:space="0" w:color="auto"/>
            <w:right w:val="none" w:sz="0" w:space="0" w:color="auto"/>
          </w:divBdr>
        </w:div>
      </w:divsChild>
    </w:div>
    <w:div w:id="1561986705">
      <w:bodyDiv w:val="1"/>
      <w:marLeft w:val="0"/>
      <w:marRight w:val="0"/>
      <w:marTop w:val="0"/>
      <w:marBottom w:val="0"/>
      <w:divBdr>
        <w:top w:val="none" w:sz="0" w:space="0" w:color="auto"/>
        <w:left w:val="none" w:sz="0" w:space="0" w:color="auto"/>
        <w:bottom w:val="none" w:sz="0" w:space="0" w:color="auto"/>
        <w:right w:val="none" w:sz="0" w:space="0" w:color="auto"/>
      </w:divBdr>
    </w:div>
    <w:div w:id="1564876505">
      <w:bodyDiv w:val="1"/>
      <w:marLeft w:val="0"/>
      <w:marRight w:val="0"/>
      <w:marTop w:val="0"/>
      <w:marBottom w:val="0"/>
      <w:divBdr>
        <w:top w:val="none" w:sz="0" w:space="0" w:color="auto"/>
        <w:left w:val="none" w:sz="0" w:space="0" w:color="auto"/>
        <w:bottom w:val="none" w:sz="0" w:space="0" w:color="auto"/>
        <w:right w:val="none" w:sz="0" w:space="0" w:color="auto"/>
      </w:divBdr>
    </w:div>
    <w:div w:id="1611552238">
      <w:bodyDiv w:val="1"/>
      <w:marLeft w:val="0"/>
      <w:marRight w:val="0"/>
      <w:marTop w:val="0"/>
      <w:marBottom w:val="0"/>
      <w:divBdr>
        <w:top w:val="none" w:sz="0" w:space="0" w:color="auto"/>
        <w:left w:val="none" w:sz="0" w:space="0" w:color="auto"/>
        <w:bottom w:val="none" w:sz="0" w:space="0" w:color="auto"/>
        <w:right w:val="none" w:sz="0" w:space="0" w:color="auto"/>
      </w:divBdr>
      <w:divsChild>
        <w:div w:id="1565412800">
          <w:marLeft w:val="0"/>
          <w:marRight w:val="0"/>
          <w:marTop w:val="0"/>
          <w:marBottom w:val="0"/>
          <w:divBdr>
            <w:top w:val="none" w:sz="0" w:space="0" w:color="auto"/>
            <w:left w:val="none" w:sz="0" w:space="0" w:color="auto"/>
            <w:bottom w:val="none" w:sz="0" w:space="0" w:color="auto"/>
            <w:right w:val="none" w:sz="0" w:space="0" w:color="auto"/>
          </w:divBdr>
          <w:divsChild>
            <w:div w:id="96294416">
              <w:marLeft w:val="0"/>
              <w:marRight w:val="0"/>
              <w:marTop w:val="0"/>
              <w:marBottom w:val="0"/>
              <w:divBdr>
                <w:top w:val="none" w:sz="0" w:space="0" w:color="auto"/>
                <w:left w:val="none" w:sz="0" w:space="0" w:color="auto"/>
                <w:bottom w:val="none" w:sz="0" w:space="0" w:color="auto"/>
                <w:right w:val="none" w:sz="0" w:space="0" w:color="auto"/>
              </w:divBdr>
            </w:div>
            <w:div w:id="120772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827640">
      <w:bodyDiv w:val="1"/>
      <w:marLeft w:val="0"/>
      <w:marRight w:val="0"/>
      <w:marTop w:val="0"/>
      <w:marBottom w:val="0"/>
      <w:divBdr>
        <w:top w:val="none" w:sz="0" w:space="0" w:color="auto"/>
        <w:left w:val="none" w:sz="0" w:space="0" w:color="auto"/>
        <w:bottom w:val="none" w:sz="0" w:space="0" w:color="auto"/>
        <w:right w:val="none" w:sz="0" w:space="0" w:color="auto"/>
      </w:divBdr>
    </w:div>
    <w:div w:id="1621178526">
      <w:bodyDiv w:val="1"/>
      <w:marLeft w:val="0"/>
      <w:marRight w:val="0"/>
      <w:marTop w:val="0"/>
      <w:marBottom w:val="0"/>
      <w:divBdr>
        <w:top w:val="none" w:sz="0" w:space="0" w:color="auto"/>
        <w:left w:val="none" w:sz="0" w:space="0" w:color="auto"/>
        <w:bottom w:val="none" w:sz="0" w:space="0" w:color="auto"/>
        <w:right w:val="none" w:sz="0" w:space="0" w:color="auto"/>
      </w:divBdr>
    </w:div>
    <w:div w:id="1633706480">
      <w:bodyDiv w:val="1"/>
      <w:marLeft w:val="0"/>
      <w:marRight w:val="0"/>
      <w:marTop w:val="0"/>
      <w:marBottom w:val="0"/>
      <w:divBdr>
        <w:top w:val="none" w:sz="0" w:space="0" w:color="auto"/>
        <w:left w:val="none" w:sz="0" w:space="0" w:color="auto"/>
        <w:bottom w:val="none" w:sz="0" w:space="0" w:color="auto"/>
        <w:right w:val="none" w:sz="0" w:space="0" w:color="auto"/>
      </w:divBdr>
    </w:div>
    <w:div w:id="1675693228">
      <w:bodyDiv w:val="1"/>
      <w:marLeft w:val="0"/>
      <w:marRight w:val="0"/>
      <w:marTop w:val="0"/>
      <w:marBottom w:val="0"/>
      <w:divBdr>
        <w:top w:val="none" w:sz="0" w:space="0" w:color="auto"/>
        <w:left w:val="none" w:sz="0" w:space="0" w:color="auto"/>
        <w:bottom w:val="none" w:sz="0" w:space="0" w:color="auto"/>
        <w:right w:val="none" w:sz="0" w:space="0" w:color="auto"/>
      </w:divBdr>
    </w:div>
    <w:div w:id="1685932593">
      <w:bodyDiv w:val="1"/>
      <w:marLeft w:val="0"/>
      <w:marRight w:val="0"/>
      <w:marTop w:val="0"/>
      <w:marBottom w:val="0"/>
      <w:divBdr>
        <w:top w:val="none" w:sz="0" w:space="0" w:color="auto"/>
        <w:left w:val="none" w:sz="0" w:space="0" w:color="auto"/>
        <w:bottom w:val="none" w:sz="0" w:space="0" w:color="auto"/>
        <w:right w:val="none" w:sz="0" w:space="0" w:color="auto"/>
      </w:divBdr>
    </w:div>
    <w:div w:id="1722098555">
      <w:bodyDiv w:val="1"/>
      <w:marLeft w:val="0"/>
      <w:marRight w:val="0"/>
      <w:marTop w:val="0"/>
      <w:marBottom w:val="0"/>
      <w:divBdr>
        <w:top w:val="none" w:sz="0" w:space="0" w:color="auto"/>
        <w:left w:val="none" w:sz="0" w:space="0" w:color="auto"/>
        <w:bottom w:val="none" w:sz="0" w:space="0" w:color="auto"/>
        <w:right w:val="none" w:sz="0" w:space="0" w:color="auto"/>
      </w:divBdr>
      <w:divsChild>
        <w:div w:id="201864615">
          <w:marLeft w:val="0"/>
          <w:marRight w:val="0"/>
          <w:marTop w:val="0"/>
          <w:marBottom w:val="0"/>
          <w:divBdr>
            <w:top w:val="none" w:sz="0" w:space="0" w:color="auto"/>
            <w:left w:val="none" w:sz="0" w:space="0" w:color="auto"/>
            <w:bottom w:val="none" w:sz="0" w:space="0" w:color="auto"/>
            <w:right w:val="none" w:sz="0" w:space="0" w:color="auto"/>
          </w:divBdr>
        </w:div>
        <w:div w:id="1216620029">
          <w:marLeft w:val="0"/>
          <w:marRight w:val="0"/>
          <w:marTop w:val="0"/>
          <w:marBottom w:val="0"/>
          <w:divBdr>
            <w:top w:val="none" w:sz="0" w:space="0" w:color="auto"/>
            <w:left w:val="none" w:sz="0" w:space="0" w:color="auto"/>
            <w:bottom w:val="none" w:sz="0" w:space="0" w:color="auto"/>
            <w:right w:val="none" w:sz="0" w:space="0" w:color="auto"/>
          </w:divBdr>
          <w:divsChild>
            <w:div w:id="33043228">
              <w:marLeft w:val="0"/>
              <w:marRight w:val="0"/>
              <w:marTop w:val="0"/>
              <w:marBottom w:val="0"/>
              <w:divBdr>
                <w:top w:val="none" w:sz="0" w:space="0" w:color="auto"/>
                <w:left w:val="none" w:sz="0" w:space="0" w:color="auto"/>
                <w:bottom w:val="none" w:sz="0" w:space="0" w:color="auto"/>
                <w:right w:val="none" w:sz="0" w:space="0" w:color="auto"/>
              </w:divBdr>
            </w:div>
            <w:div w:id="827209496">
              <w:marLeft w:val="0"/>
              <w:marRight w:val="0"/>
              <w:marTop w:val="0"/>
              <w:marBottom w:val="0"/>
              <w:divBdr>
                <w:top w:val="none" w:sz="0" w:space="0" w:color="auto"/>
                <w:left w:val="none" w:sz="0" w:space="0" w:color="auto"/>
                <w:bottom w:val="none" w:sz="0" w:space="0" w:color="auto"/>
                <w:right w:val="none" w:sz="0" w:space="0" w:color="auto"/>
              </w:divBdr>
            </w:div>
            <w:div w:id="1147430953">
              <w:marLeft w:val="0"/>
              <w:marRight w:val="0"/>
              <w:marTop w:val="0"/>
              <w:marBottom w:val="0"/>
              <w:divBdr>
                <w:top w:val="none" w:sz="0" w:space="0" w:color="auto"/>
                <w:left w:val="none" w:sz="0" w:space="0" w:color="auto"/>
                <w:bottom w:val="none" w:sz="0" w:space="0" w:color="auto"/>
                <w:right w:val="none" w:sz="0" w:space="0" w:color="auto"/>
              </w:divBdr>
            </w:div>
            <w:div w:id="1529753091">
              <w:marLeft w:val="0"/>
              <w:marRight w:val="0"/>
              <w:marTop w:val="0"/>
              <w:marBottom w:val="0"/>
              <w:divBdr>
                <w:top w:val="none" w:sz="0" w:space="0" w:color="auto"/>
                <w:left w:val="none" w:sz="0" w:space="0" w:color="auto"/>
                <w:bottom w:val="none" w:sz="0" w:space="0" w:color="auto"/>
                <w:right w:val="none" w:sz="0" w:space="0" w:color="auto"/>
              </w:divBdr>
            </w:div>
          </w:divsChild>
        </w:div>
        <w:div w:id="2081362715">
          <w:marLeft w:val="0"/>
          <w:marRight w:val="0"/>
          <w:marTop w:val="0"/>
          <w:marBottom w:val="0"/>
          <w:divBdr>
            <w:top w:val="none" w:sz="0" w:space="0" w:color="auto"/>
            <w:left w:val="none" w:sz="0" w:space="0" w:color="auto"/>
            <w:bottom w:val="none" w:sz="0" w:space="0" w:color="auto"/>
            <w:right w:val="none" w:sz="0" w:space="0" w:color="auto"/>
          </w:divBdr>
        </w:div>
      </w:divsChild>
    </w:div>
    <w:div w:id="1777561467">
      <w:bodyDiv w:val="1"/>
      <w:marLeft w:val="0"/>
      <w:marRight w:val="0"/>
      <w:marTop w:val="0"/>
      <w:marBottom w:val="0"/>
      <w:divBdr>
        <w:top w:val="none" w:sz="0" w:space="0" w:color="auto"/>
        <w:left w:val="none" w:sz="0" w:space="0" w:color="auto"/>
        <w:bottom w:val="none" w:sz="0" w:space="0" w:color="auto"/>
        <w:right w:val="none" w:sz="0" w:space="0" w:color="auto"/>
      </w:divBdr>
      <w:divsChild>
        <w:div w:id="132724570">
          <w:marLeft w:val="0"/>
          <w:marRight w:val="0"/>
          <w:marTop w:val="0"/>
          <w:marBottom w:val="0"/>
          <w:divBdr>
            <w:top w:val="none" w:sz="0" w:space="0" w:color="auto"/>
            <w:left w:val="none" w:sz="0" w:space="0" w:color="auto"/>
            <w:bottom w:val="none" w:sz="0" w:space="0" w:color="auto"/>
            <w:right w:val="none" w:sz="0" w:space="0" w:color="auto"/>
          </w:divBdr>
        </w:div>
        <w:div w:id="133717918">
          <w:marLeft w:val="0"/>
          <w:marRight w:val="0"/>
          <w:marTop w:val="0"/>
          <w:marBottom w:val="0"/>
          <w:divBdr>
            <w:top w:val="none" w:sz="0" w:space="0" w:color="auto"/>
            <w:left w:val="none" w:sz="0" w:space="0" w:color="auto"/>
            <w:bottom w:val="none" w:sz="0" w:space="0" w:color="auto"/>
            <w:right w:val="none" w:sz="0" w:space="0" w:color="auto"/>
          </w:divBdr>
        </w:div>
        <w:div w:id="172648188">
          <w:marLeft w:val="0"/>
          <w:marRight w:val="0"/>
          <w:marTop w:val="0"/>
          <w:marBottom w:val="0"/>
          <w:divBdr>
            <w:top w:val="none" w:sz="0" w:space="0" w:color="auto"/>
            <w:left w:val="none" w:sz="0" w:space="0" w:color="auto"/>
            <w:bottom w:val="none" w:sz="0" w:space="0" w:color="auto"/>
            <w:right w:val="none" w:sz="0" w:space="0" w:color="auto"/>
          </w:divBdr>
        </w:div>
        <w:div w:id="176115702">
          <w:marLeft w:val="0"/>
          <w:marRight w:val="0"/>
          <w:marTop w:val="0"/>
          <w:marBottom w:val="0"/>
          <w:divBdr>
            <w:top w:val="none" w:sz="0" w:space="0" w:color="auto"/>
            <w:left w:val="none" w:sz="0" w:space="0" w:color="auto"/>
            <w:bottom w:val="none" w:sz="0" w:space="0" w:color="auto"/>
            <w:right w:val="none" w:sz="0" w:space="0" w:color="auto"/>
          </w:divBdr>
        </w:div>
        <w:div w:id="299387116">
          <w:marLeft w:val="0"/>
          <w:marRight w:val="0"/>
          <w:marTop w:val="0"/>
          <w:marBottom w:val="0"/>
          <w:divBdr>
            <w:top w:val="none" w:sz="0" w:space="0" w:color="auto"/>
            <w:left w:val="none" w:sz="0" w:space="0" w:color="auto"/>
            <w:bottom w:val="none" w:sz="0" w:space="0" w:color="auto"/>
            <w:right w:val="none" w:sz="0" w:space="0" w:color="auto"/>
          </w:divBdr>
        </w:div>
        <w:div w:id="375737283">
          <w:marLeft w:val="0"/>
          <w:marRight w:val="0"/>
          <w:marTop w:val="0"/>
          <w:marBottom w:val="0"/>
          <w:divBdr>
            <w:top w:val="none" w:sz="0" w:space="0" w:color="auto"/>
            <w:left w:val="none" w:sz="0" w:space="0" w:color="auto"/>
            <w:bottom w:val="none" w:sz="0" w:space="0" w:color="auto"/>
            <w:right w:val="none" w:sz="0" w:space="0" w:color="auto"/>
          </w:divBdr>
        </w:div>
        <w:div w:id="382214227">
          <w:marLeft w:val="0"/>
          <w:marRight w:val="0"/>
          <w:marTop w:val="0"/>
          <w:marBottom w:val="0"/>
          <w:divBdr>
            <w:top w:val="none" w:sz="0" w:space="0" w:color="auto"/>
            <w:left w:val="none" w:sz="0" w:space="0" w:color="auto"/>
            <w:bottom w:val="none" w:sz="0" w:space="0" w:color="auto"/>
            <w:right w:val="none" w:sz="0" w:space="0" w:color="auto"/>
          </w:divBdr>
        </w:div>
        <w:div w:id="479617529">
          <w:marLeft w:val="0"/>
          <w:marRight w:val="0"/>
          <w:marTop w:val="0"/>
          <w:marBottom w:val="0"/>
          <w:divBdr>
            <w:top w:val="none" w:sz="0" w:space="0" w:color="auto"/>
            <w:left w:val="none" w:sz="0" w:space="0" w:color="auto"/>
            <w:bottom w:val="none" w:sz="0" w:space="0" w:color="auto"/>
            <w:right w:val="none" w:sz="0" w:space="0" w:color="auto"/>
          </w:divBdr>
        </w:div>
        <w:div w:id="588779505">
          <w:marLeft w:val="0"/>
          <w:marRight w:val="0"/>
          <w:marTop w:val="0"/>
          <w:marBottom w:val="0"/>
          <w:divBdr>
            <w:top w:val="none" w:sz="0" w:space="0" w:color="auto"/>
            <w:left w:val="none" w:sz="0" w:space="0" w:color="auto"/>
            <w:bottom w:val="none" w:sz="0" w:space="0" w:color="auto"/>
            <w:right w:val="none" w:sz="0" w:space="0" w:color="auto"/>
          </w:divBdr>
        </w:div>
        <w:div w:id="708727958">
          <w:marLeft w:val="0"/>
          <w:marRight w:val="0"/>
          <w:marTop w:val="0"/>
          <w:marBottom w:val="0"/>
          <w:divBdr>
            <w:top w:val="none" w:sz="0" w:space="0" w:color="auto"/>
            <w:left w:val="none" w:sz="0" w:space="0" w:color="auto"/>
            <w:bottom w:val="none" w:sz="0" w:space="0" w:color="auto"/>
            <w:right w:val="none" w:sz="0" w:space="0" w:color="auto"/>
          </w:divBdr>
        </w:div>
        <w:div w:id="748893578">
          <w:marLeft w:val="0"/>
          <w:marRight w:val="0"/>
          <w:marTop w:val="0"/>
          <w:marBottom w:val="0"/>
          <w:divBdr>
            <w:top w:val="none" w:sz="0" w:space="0" w:color="auto"/>
            <w:left w:val="none" w:sz="0" w:space="0" w:color="auto"/>
            <w:bottom w:val="none" w:sz="0" w:space="0" w:color="auto"/>
            <w:right w:val="none" w:sz="0" w:space="0" w:color="auto"/>
          </w:divBdr>
        </w:div>
        <w:div w:id="767626681">
          <w:marLeft w:val="0"/>
          <w:marRight w:val="0"/>
          <w:marTop w:val="0"/>
          <w:marBottom w:val="0"/>
          <w:divBdr>
            <w:top w:val="none" w:sz="0" w:space="0" w:color="auto"/>
            <w:left w:val="none" w:sz="0" w:space="0" w:color="auto"/>
            <w:bottom w:val="none" w:sz="0" w:space="0" w:color="auto"/>
            <w:right w:val="none" w:sz="0" w:space="0" w:color="auto"/>
          </w:divBdr>
        </w:div>
        <w:div w:id="822503372">
          <w:marLeft w:val="0"/>
          <w:marRight w:val="0"/>
          <w:marTop w:val="0"/>
          <w:marBottom w:val="0"/>
          <w:divBdr>
            <w:top w:val="none" w:sz="0" w:space="0" w:color="auto"/>
            <w:left w:val="none" w:sz="0" w:space="0" w:color="auto"/>
            <w:bottom w:val="none" w:sz="0" w:space="0" w:color="auto"/>
            <w:right w:val="none" w:sz="0" w:space="0" w:color="auto"/>
          </w:divBdr>
        </w:div>
        <w:div w:id="838545236">
          <w:marLeft w:val="0"/>
          <w:marRight w:val="0"/>
          <w:marTop w:val="0"/>
          <w:marBottom w:val="0"/>
          <w:divBdr>
            <w:top w:val="none" w:sz="0" w:space="0" w:color="auto"/>
            <w:left w:val="none" w:sz="0" w:space="0" w:color="auto"/>
            <w:bottom w:val="none" w:sz="0" w:space="0" w:color="auto"/>
            <w:right w:val="none" w:sz="0" w:space="0" w:color="auto"/>
          </w:divBdr>
        </w:div>
        <w:div w:id="889220323">
          <w:marLeft w:val="0"/>
          <w:marRight w:val="0"/>
          <w:marTop w:val="0"/>
          <w:marBottom w:val="0"/>
          <w:divBdr>
            <w:top w:val="none" w:sz="0" w:space="0" w:color="auto"/>
            <w:left w:val="none" w:sz="0" w:space="0" w:color="auto"/>
            <w:bottom w:val="none" w:sz="0" w:space="0" w:color="auto"/>
            <w:right w:val="none" w:sz="0" w:space="0" w:color="auto"/>
          </w:divBdr>
        </w:div>
        <w:div w:id="928848195">
          <w:marLeft w:val="0"/>
          <w:marRight w:val="0"/>
          <w:marTop w:val="0"/>
          <w:marBottom w:val="0"/>
          <w:divBdr>
            <w:top w:val="none" w:sz="0" w:space="0" w:color="auto"/>
            <w:left w:val="none" w:sz="0" w:space="0" w:color="auto"/>
            <w:bottom w:val="none" w:sz="0" w:space="0" w:color="auto"/>
            <w:right w:val="none" w:sz="0" w:space="0" w:color="auto"/>
          </w:divBdr>
        </w:div>
        <w:div w:id="930090937">
          <w:marLeft w:val="0"/>
          <w:marRight w:val="0"/>
          <w:marTop w:val="0"/>
          <w:marBottom w:val="0"/>
          <w:divBdr>
            <w:top w:val="none" w:sz="0" w:space="0" w:color="auto"/>
            <w:left w:val="none" w:sz="0" w:space="0" w:color="auto"/>
            <w:bottom w:val="none" w:sz="0" w:space="0" w:color="auto"/>
            <w:right w:val="none" w:sz="0" w:space="0" w:color="auto"/>
          </w:divBdr>
        </w:div>
        <w:div w:id="944192414">
          <w:marLeft w:val="0"/>
          <w:marRight w:val="0"/>
          <w:marTop w:val="0"/>
          <w:marBottom w:val="0"/>
          <w:divBdr>
            <w:top w:val="none" w:sz="0" w:space="0" w:color="auto"/>
            <w:left w:val="none" w:sz="0" w:space="0" w:color="auto"/>
            <w:bottom w:val="none" w:sz="0" w:space="0" w:color="auto"/>
            <w:right w:val="none" w:sz="0" w:space="0" w:color="auto"/>
          </w:divBdr>
        </w:div>
        <w:div w:id="951781965">
          <w:marLeft w:val="0"/>
          <w:marRight w:val="0"/>
          <w:marTop w:val="0"/>
          <w:marBottom w:val="0"/>
          <w:divBdr>
            <w:top w:val="none" w:sz="0" w:space="0" w:color="auto"/>
            <w:left w:val="none" w:sz="0" w:space="0" w:color="auto"/>
            <w:bottom w:val="none" w:sz="0" w:space="0" w:color="auto"/>
            <w:right w:val="none" w:sz="0" w:space="0" w:color="auto"/>
          </w:divBdr>
        </w:div>
        <w:div w:id="1145703671">
          <w:marLeft w:val="0"/>
          <w:marRight w:val="0"/>
          <w:marTop w:val="0"/>
          <w:marBottom w:val="0"/>
          <w:divBdr>
            <w:top w:val="none" w:sz="0" w:space="0" w:color="auto"/>
            <w:left w:val="none" w:sz="0" w:space="0" w:color="auto"/>
            <w:bottom w:val="none" w:sz="0" w:space="0" w:color="auto"/>
            <w:right w:val="none" w:sz="0" w:space="0" w:color="auto"/>
          </w:divBdr>
        </w:div>
        <w:div w:id="1231113037">
          <w:marLeft w:val="0"/>
          <w:marRight w:val="0"/>
          <w:marTop w:val="0"/>
          <w:marBottom w:val="0"/>
          <w:divBdr>
            <w:top w:val="none" w:sz="0" w:space="0" w:color="auto"/>
            <w:left w:val="none" w:sz="0" w:space="0" w:color="auto"/>
            <w:bottom w:val="none" w:sz="0" w:space="0" w:color="auto"/>
            <w:right w:val="none" w:sz="0" w:space="0" w:color="auto"/>
          </w:divBdr>
        </w:div>
        <w:div w:id="1518152014">
          <w:marLeft w:val="0"/>
          <w:marRight w:val="0"/>
          <w:marTop w:val="0"/>
          <w:marBottom w:val="0"/>
          <w:divBdr>
            <w:top w:val="none" w:sz="0" w:space="0" w:color="auto"/>
            <w:left w:val="none" w:sz="0" w:space="0" w:color="auto"/>
            <w:bottom w:val="none" w:sz="0" w:space="0" w:color="auto"/>
            <w:right w:val="none" w:sz="0" w:space="0" w:color="auto"/>
          </w:divBdr>
        </w:div>
        <w:div w:id="1674381394">
          <w:marLeft w:val="0"/>
          <w:marRight w:val="0"/>
          <w:marTop w:val="0"/>
          <w:marBottom w:val="0"/>
          <w:divBdr>
            <w:top w:val="none" w:sz="0" w:space="0" w:color="auto"/>
            <w:left w:val="none" w:sz="0" w:space="0" w:color="auto"/>
            <w:bottom w:val="none" w:sz="0" w:space="0" w:color="auto"/>
            <w:right w:val="none" w:sz="0" w:space="0" w:color="auto"/>
          </w:divBdr>
        </w:div>
        <w:div w:id="1789154334">
          <w:marLeft w:val="0"/>
          <w:marRight w:val="0"/>
          <w:marTop w:val="0"/>
          <w:marBottom w:val="0"/>
          <w:divBdr>
            <w:top w:val="none" w:sz="0" w:space="0" w:color="auto"/>
            <w:left w:val="none" w:sz="0" w:space="0" w:color="auto"/>
            <w:bottom w:val="none" w:sz="0" w:space="0" w:color="auto"/>
            <w:right w:val="none" w:sz="0" w:space="0" w:color="auto"/>
          </w:divBdr>
        </w:div>
        <w:div w:id="1877812029">
          <w:marLeft w:val="0"/>
          <w:marRight w:val="0"/>
          <w:marTop w:val="0"/>
          <w:marBottom w:val="0"/>
          <w:divBdr>
            <w:top w:val="none" w:sz="0" w:space="0" w:color="auto"/>
            <w:left w:val="none" w:sz="0" w:space="0" w:color="auto"/>
            <w:bottom w:val="none" w:sz="0" w:space="0" w:color="auto"/>
            <w:right w:val="none" w:sz="0" w:space="0" w:color="auto"/>
          </w:divBdr>
        </w:div>
        <w:div w:id="1938319077">
          <w:marLeft w:val="0"/>
          <w:marRight w:val="0"/>
          <w:marTop w:val="0"/>
          <w:marBottom w:val="0"/>
          <w:divBdr>
            <w:top w:val="none" w:sz="0" w:space="0" w:color="auto"/>
            <w:left w:val="none" w:sz="0" w:space="0" w:color="auto"/>
            <w:bottom w:val="none" w:sz="0" w:space="0" w:color="auto"/>
            <w:right w:val="none" w:sz="0" w:space="0" w:color="auto"/>
          </w:divBdr>
        </w:div>
      </w:divsChild>
    </w:div>
    <w:div w:id="1837072140">
      <w:bodyDiv w:val="1"/>
      <w:marLeft w:val="0"/>
      <w:marRight w:val="0"/>
      <w:marTop w:val="0"/>
      <w:marBottom w:val="0"/>
      <w:divBdr>
        <w:top w:val="none" w:sz="0" w:space="0" w:color="auto"/>
        <w:left w:val="none" w:sz="0" w:space="0" w:color="auto"/>
        <w:bottom w:val="none" w:sz="0" w:space="0" w:color="auto"/>
        <w:right w:val="none" w:sz="0" w:space="0" w:color="auto"/>
      </w:divBdr>
    </w:div>
    <w:div w:id="1841234630">
      <w:bodyDiv w:val="1"/>
      <w:marLeft w:val="0"/>
      <w:marRight w:val="0"/>
      <w:marTop w:val="0"/>
      <w:marBottom w:val="0"/>
      <w:divBdr>
        <w:top w:val="none" w:sz="0" w:space="0" w:color="auto"/>
        <w:left w:val="none" w:sz="0" w:space="0" w:color="auto"/>
        <w:bottom w:val="none" w:sz="0" w:space="0" w:color="auto"/>
        <w:right w:val="none" w:sz="0" w:space="0" w:color="auto"/>
      </w:divBdr>
    </w:div>
    <w:div w:id="1920092408">
      <w:bodyDiv w:val="1"/>
      <w:marLeft w:val="0"/>
      <w:marRight w:val="0"/>
      <w:marTop w:val="0"/>
      <w:marBottom w:val="0"/>
      <w:divBdr>
        <w:top w:val="none" w:sz="0" w:space="0" w:color="auto"/>
        <w:left w:val="none" w:sz="0" w:space="0" w:color="auto"/>
        <w:bottom w:val="none" w:sz="0" w:space="0" w:color="auto"/>
        <w:right w:val="none" w:sz="0" w:space="0" w:color="auto"/>
      </w:divBdr>
      <w:divsChild>
        <w:div w:id="531192303">
          <w:marLeft w:val="0"/>
          <w:marRight w:val="0"/>
          <w:marTop w:val="0"/>
          <w:marBottom w:val="0"/>
          <w:divBdr>
            <w:top w:val="none" w:sz="0" w:space="0" w:color="auto"/>
            <w:left w:val="none" w:sz="0" w:space="0" w:color="auto"/>
            <w:bottom w:val="none" w:sz="0" w:space="0" w:color="auto"/>
            <w:right w:val="none" w:sz="0" w:space="0" w:color="auto"/>
          </w:divBdr>
          <w:divsChild>
            <w:div w:id="26302528">
              <w:marLeft w:val="0"/>
              <w:marRight w:val="0"/>
              <w:marTop w:val="0"/>
              <w:marBottom w:val="0"/>
              <w:divBdr>
                <w:top w:val="none" w:sz="0" w:space="0" w:color="auto"/>
                <w:left w:val="none" w:sz="0" w:space="0" w:color="auto"/>
                <w:bottom w:val="none" w:sz="0" w:space="0" w:color="auto"/>
                <w:right w:val="none" w:sz="0" w:space="0" w:color="auto"/>
              </w:divBdr>
            </w:div>
            <w:div w:id="565795900">
              <w:marLeft w:val="0"/>
              <w:marRight w:val="0"/>
              <w:marTop w:val="0"/>
              <w:marBottom w:val="0"/>
              <w:divBdr>
                <w:top w:val="none" w:sz="0" w:space="0" w:color="auto"/>
                <w:left w:val="none" w:sz="0" w:space="0" w:color="auto"/>
                <w:bottom w:val="none" w:sz="0" w:space="0" w:color="auto"/>
                <w:right w:val="none" w:sz="0" w:space="0" w:color="auto"/>
              </w:divBdr>
            </w:div>
            <w:div w:id="1216232346">
              <w:marLeft w:val="0"/>
              <w:marRight w:val="0"/>
              <w:marTop w:val="0"/>
              <w:marBottom w:val="0"/>
              <w:divBdr>
                <w:top w:val="none" w:sz="0" w:space="0" w:color="auto"/>
                <w:left w:val="none" w:sz="0" w:space="0" w:color="auto"/>
                <w:bottom w:val="none" w:sz="0" w:space="0" w:color="auto"/>
                <w:right w:val="none" w:sz="0" w:space="0" w:color="auto"/>
              </w:divBdr>
            </w:div>
            <w:div w:id="1922445039">
              <w:marLeft w:val="0"/>
              <w:marRight w:val="0"/>
              <w:marTop w:val="0"/>
              <w:marBottom w:val="0"/>
              <w:divBdr>
                <w:top w:val="none" w:sz="0" w:space="0" w:color="auto"/>
                <w:left w:val="none" w:sz="0" w:space="0" w:color="auto"/>
                <w:bottom w:val="none" w:sz="0" w:space="0" w:color="auto"/>
                <w:right w:val="none" w:sz="0" w:space="0" w:color="auto"/>
              </w:divBdr>
            </w:div>
          </w:divsChild>
        </w:div>
        <w:div w:id="578832482">
          <w:marLeft w:val="0"/>
          <w:marRight w:val="0"/>
          <w:marTop w:val="0"/>
          <w:marBottom w:val="0"/>
          <w:divBdr>
            <w:top w:val="none" w:sz="0" w:space="0" w:color="auto"/>
            <w:left w:val="none" w:sz="0" w:space="0" w:color="auto"/>
            <w:bottom w:val="none" w:sz="0" w:space="0" w:color="auto"/>
            <w:right w:val="none" w:sz="0" w:space="0" w:color="auto"/>
          </w:divBdr>
        </w:div>
        <w:div w:id="1376200521">
          <w:marLeft w:val="0"/>
          <w:marRight w:val="0"/>
          <w:marTop w:val="0"/>
          <w:marBottom w:val="0"/>
          <w:divBdr>
            <w:top w:val="none" w:sz="0" w:space="0" w:color="auto"/>
            <w:left w:val="none" w:sz="0" w:space="0" w:color="auto"/>
            <w:bottom w:val="none" w:sz="0" w:space="0" w:color="auto"/>
            <w:right w:val="none" w:sz="0" w:space="0" w:color="auto"/>
          </w:divBdr>
        </w:div>
      </w:divsChild>
    </w:div>
    <w:div w:id="1920941405">
      <w:bodyDiv w:val="1"/>
      <w:marLeft w:val="0"/>
      <w:marRight w:val="0"/>
      <w:marTop w:val="0"/>
      <w:marBottom w:val="0"/>
      <w:divBdr>
        <w:top w:val="none" w:sz="0" w:space="0" w:color="auto"/>
        <w:left w:val="none" w:sz="0" w:space="0" w:color="auto"/>
        <w:bottom w:val="none" w:sz="0" w:space="0" w:color="auto"/>
        <w:right w:val="none" w:sz="0" w:space="0" w:color="auto"/>
      </w:divBdr>
    </w:div>
    <w:div w:id="1931967644">
      <w:bodyDiv w:val="1"/>
      <w:marLeft w:val="0"/>
      <w:marRight w:val="0"/>
      <w:marTop w:val="0"/>
      <w:marBottom w:val="0"/>
      <w:divBdr>
        <w:top w:val="none" w:sz="0" w:space="0" w:color="auto"/>
        <w:left w:val="none" w:sz="0" w:space="0" w:color="auto"/>
        <w:bottom w:val="none" w:sz="0" w:space="0" w:color="auto"/>
        <w:right w:val="none" w:sz="0" w:space="0" w:color="auto"/>
      </w:divBdr>
    </w:div>
    <w:div w:id="1949897187">
      <w:bodyDiv w:val="1"/>
      <w:marLeft w:val="0"/>
      <w:marRight w:val="0"/>
      <w:marTop w:val="0"/>
      <w:marBottom w:val="0"/>
      <w:divBdr>
        <w:top w:val="none" w:sz="0" w:space="0" w:color="auto"/>
        <w:left w:val="none" w:sz="0" w:space="0" w:color="auto"/>
        <w:bottom w:val="none" w:sz="0" w:space="0" w:color="auto"/>
        <w:right w:val="none" w:sz="0" w:space="0" w:color="auto"/>
      </w:divBdr>
    </w:div>
    <w:div w:id="1964800487">
      <w:bodyDiv w:val="1"/>
      <w:marLeft w:val="0"/>
      <w:marRight w:val="0"/>
      <w:marTop w:val="0"/>
      <w:marBottom w:val="0"/>
      <w:divBdr>
        <w:top w:val="none" w:sz="0" w:space="0" w:color="auto"/>
        <w:left w:val="none" w:sz="0" w:space="0" w:color="auto"/>
        <w:bottom w:val="none" w:sz="0" w:space="0" w:color="auto"/>
        <w:right w:val="none" w:sz="0" w:space="0" w:color="auto"/>
      </w:divBdr>
      <w:divsChild>
        <w:div w:id="1439913039">
          <w:marLeft w:val="0"/>
          <w:marRight w:val="0"/>
          <w:marTop w:val="0"/>
          <w:marBottom w:val="0"/>
          <w:divBdr>
            <w:top w:val="none" w:sz="0" w:space="0" w:color="auto"/>
            <w:left w:val="none" w:sz="0" w:space="0" w:color="auto"/>
            <w:bottom w:val="none" w:sz="0" w:space="0" w:color="auto"/>
            <w:right w:val="none" w:sz="0" w:space="0" w:color="auto"/>
          </w:divBdr>
          <w:divsChild>
            <w:div w:id="462503349">
              <w:marLeft w:val="0"/>
              <w:marRight w:val="0"/>
              <w:marTop w:val="0"/>
              <w:marBottom w:val="0"/>
              <w:divBdr>
                <w:top w:val="none" w:sz="0" w:space="0" w:color="auto"/>
                <w:left w:val="none" w:sz="0" w:space="0" w:color="auto"/>
                <w:bottom w:val="none" w:sz="0" w:space="0" w:color="auto"/>
                <w:right w:val="none" w:sz="0" w:space="0" w:color="auto"/>
              </w:divBdr>
            </w:div>
            <w:div w:id="69746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755738">
      <w:bodyDiv w:val="1"/>
      <w:marLeft w:val="0"/>
      <w:marRight w:val="0"/>
      <w:marTop w:val="0"/>
      <w:marBottom w:val="0"/>
      <w:divBdr>
        <w:top w:val="none" w:sz="0" w:space="0" w:color="auto"/>
        <w:left w:val="none" w:sz="0" w:space="0" w:color="auto"/>
        <w:bottom w:val="none" w:sz="0" w:space="0" w:color="auto"/>
        <w:right w:val="none" w:sz="0" w:space="0" w:color="auto"/>
      </w:divBdr>
    </w:div>
    <w:div w:id="2030598011">
      <w:bodyDiv w:val="1"/>
      <w:marLeft w:val="0"/>
      <w:marRight w:val="0"/>
      <w:marTop w:val="0"/>
      <w:marBottom w:val="0"/>
      <w:divBdr>
        <w:top w:val="none" w:sz="0" w:space="0" w:color="auto"/>
        <w:left w:val="none" w:sz="0" w:space="0" w:color="auto"/>
        <w:bottom w:val="none" w:sz="0" w:space="0" w:color="auto"/>
        <w:right w:val="none" w:sz="0" w:space="0" w:color="auto"/>
      </w:divBdr>
    </w:div>
    <w:div w:id="2057006993">
      <w:bodyDiv w:val="1"/>
      <w:marLeft w:val="0"/>
      <w:marRight w:val="0"/>
      <w:marTop w:val="0"/>
      <w:marBottom w:val="0"/>
      <w:divBdr>
        <w:top w:val="none" w:sz="0" w:space="0" w:color="auto"/>
        <w:left w:val="none" w:sz="0" w:space="0" w:color="auto"/>
        <w:bottom w:val="none" w:sz="0" w:space="0" w:color="auto"/>
        <w:right w:val="none" w:sz="0" w:space="0" w:color="auto"/>
      </w:divBdr>
    </w:div>
    <w:div w:id="2093045172">
      <w:bodyDiv w:val="1"/>
      <w:marLeft w:val="0"/>
      <w:marRight w:val="0"/>
      <w:marTop w:val="0"/>
      <w:marBottom w:val="0"/>
      <w:divBdr>
        <w:top w:val="none" w:sz="0" w:space="0" w:color="auto"/>
        <w:left w:val="none" w:sz="0" w:space="0" w:color="auto"/>
        <w:bottom w:val="none" w:sz="0" w:space="0" w:color="auto"/>
        <w:right w:val="none" w:sz="0" w:space="0" w:color="auto"/>
      </w:divBdr>
    </w:div>
    <w:div w:id="2147316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s://www.closingthegap.gov.au/national-agreement" TargetMode="External"/><Relationship Id="rId26" Type="http://schemas.openxmlformats.org/officeDocument/2006/relationships/hyperlink" Target="https://www.health.gov.au/resources/publications/hta-policy-and-methods-review-draft-paper-optimised-real-world-evidence-to-support-health-technology-assessment-in-australia?language=en" TargetMode="External"/><Relationship Id="rId39" Type="http://schemas.openxmlformats.org/officeDocument/2006/relationships/hyperlink" Target="https://healthgov.sharepoint.com/sites/HTAReview-External/Shared%20Documents/Reference%20Committee%20documents/For%20Review%20-%20Draft%20Report/&#8226;%09https:/www.health.gov.au/resources/publications/inquiry-into-approval-processes-for-new-drugs-and-novel-medical-technologies-in-australia?language=en" TargetMode="External"/><Relationship Id="rId21" Type="http://schemas.openxmlformats.org/officeDocument/2006/relationships/image" Target="media/image7.png"/><Relationship Id="rId34" Type="http://schemas.openxmlformats.org/officeDocument/2006/relationships/hyperlink" Target="https://www.health.gov.au/resources/publications/national-medicines-policy?language=en" TargetMode="External"/><Relationship Id="rId42" Type="http://schemas.openxmlformats.org/officeDocument/2006/relationships/hyperlink" Target="https://www.health.gov.au/resources/publications/health-technology-assessment-policy-and-methods-review-consultation-1-report" TargetMode="External"/><Relationship Id="rId47" Type="http://schemas.openxmlformats.org/officeDocument/2006/relationships/hyperlink" Target="https://www.health.gov.au/resources/publications/hta-policy-and-methods-review-draft-paper-optimised-real-world-evidence-to-support-health-technology-assessment-in-australia?language=en" TargetMode="External"/><Relationship Id="rId50" Type="http://schemas.openxmlformats.org/officeDocument/2006/relationships/hyperlink" Target="https://www.health.gov.au/resources/publications/health-technology-assessment-policy-and-methods-review-terms-of-reference?language=en" TargetMode="External"/><Relationship Id="rId55" Type="http://schemas.openxmlformats.org/officeDocument/2006/relationships/hyperlink" Target="https://www.health.gov.au/resources/publications/hta-policy-and-methods-review-draft-paper-optimised-real-world-evidence-to-support-health-technology-assessment-in-australia?language=en"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6.png"/><Relationship Id="rId25" Type="http://schemas.openxmlformats.org/officeDocument/2006/relationships/image" Target="media/image10.png"/><Relationship Id="rId33" Type="http://schemas.openxmlformats.org/officeDocument/2006/relationships/hyperlink" Target="https://www.health.gov.au/our-work/2020-25-national-health-reform-agreement-nhra" TargetMode="External"/><Relationship Id="rId38" Type="http://schemas.openxmlformats.org/officeDocument/2006/relationships/hyperlink" Target="https://www.closingthegap.gov.au/national-agreement" TargetMode="External"/><Relationship Id="rId46" Type="http://schemas.openxmlformats.org/officeDocument/2006/relationships/hyperlink" Target="https://www.health.gov.au/resources/publications/hta-policy-and-methods-review-draft-paper-funding-and-purchasing-decisions-and-managing-uncertainty?language=en"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oter" Target="footer2.xml"/><Relationship Id="rId29" Type="http://schemas.openxmlformats.org/officeDocument/2006/relationships/hyperlink" Target="https://pbac.pbs.gov.au/information/table-of-contents.html" TargetMode="External"/><Relationship Id="rId41" Type="http://schemas.openxmlformats.org/officeDocument/2006/relationships/hyperlink" Target="https://www.pbs.gov.au/info/industry/listing/elements/pbac-meetings/psd/2022-07/Review-of-the-base-discount-rate-in-the-PBAC-Guidelines-July-2022" TargetMode="External"/><Relationship Id="rId54" Type="http://schemas.openxmlformats.org/officeDocument/2006/relationships/hyperlink" Target="https://www.health.gov.au/resources/publications/hta-policy-and-methods-review-draft-paper-funding-and-purchasing-decisions-and-managing-uncertainty?language=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9.png"/><Relationship Id="rId32" Type="http://schemas.openxmlformats.org/officeDocument/2006/relationships/hyperlink" Target="https://www.closingthegap.gov.au/national-agreement" TargetMode="External"/><Relationship Id="rId37" Type="http://schemas.openxmlformats.org/officeDocument/2006/relationships/hyperlink" Target="https://healthgov.sharepoint.com/sites/HTAReview-External/Shared%20Documents/Reference%20Committee%20documents/For%20Review%20-%20Draft%20Report/&#8226;%09https:/www.health.gov.au/resources/publications/national-medicines-policy?language=en" TargetMode="External"/><Relationship Id="rId40" Type="http://schemas.openxmlformats.org/officeDocument/2006/relationships/hyperlink" Target="https://ohta-consultations.health.gov.au/ohta/review-of-discount-rate-in-the-pbac-guidelines-pha/" TargetMode="External"/><Relationship Id="rId45" Type="http://schemas.openxmlformats.org/officeDocument/2006/relationships/hyperlink" Target="https://www.health.gov.au/resources/publications/hta-policy-and-methods-review-draft-paper-hta-methods-economic-evaluation?language=en" TargetMode="External"/><Relationship Id="rId53" Type="http://schemas.openxmlformats.org/officeDocument/2006/relationships/hyperlink" Target="https://www.health.gov.au/resources/publications/hta-policy-and-methods-review-draft-paper-hta-methods-economic-evaluation?language=en" TargetMode="Externa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8.png"/><Relationship Id="rId28" Type="http://schemas.openxmlformats.org/officeDocument/2006/relationships/image" Target="media/image11.png"/><Relationship Id="rId36" Type="http://schemas.openxmlformats.org/officeDocument/2006/relationships/hyperlink" Target="https://healthgov.sharepoint.com/sites/HTAReview-External/Shared%20Documents/Reference%20Committee%20documents/For%20Review%20-%20Draft%20Report/&#8226;%09https:/www.medicinesaustralia.com.au/policy/strategic-agreement-2022-2027" TargetMode="External"/><Relationship Id="rId49" Type="http://schemas.openxmlformats.org/officeDocument/2006/relationships/hyperlink" Target="https://www.health.gov.au/resources/publications/hta-policy-and-methods-review-draft-paper-emerging-health-technologies?language=en" TargetMode="External"/><Relationship Id="rId57"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closingthegap.gov.au/national-agreement/national-agreement-closing-the-gap" TargetMode="External"/><Relationship Id="rId31" Type="http://schemas.openxmlformats.org/officeDocument/2006/relationships/hyperlink" Target="https://www.health.gov.au/resources/publications/hta-policy-and-methods-review-draft-paper-hta-methods-economic-evaluation?language=en" TargetMode="External"/><Relationship Id="rId44" Type="http://schemas.openxmlformats.org/officeDocument/2006/relationships/hyperlink" Target="https://www.health.gov.au/resources/publications/hta-policy-and-methods-review-hta-pathways-and-processes-clinical-evaluation-methods-and-horizon-scanning?language=en" TargetMode="External"/><Relationship Id="rId52" Type="http://schemas.openxmlformats.org/officeDocument/2006/relationships/hyperlink" Target="https://www.health.gov.au/resources/publications/hta-policy-and-methods-review-hta-pathways-and-processes-clinical-evaluation-methods-and-horizon-scanning?language=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hyperlink" Target="https://www.health.gov.au/resources/publications/atagi-pre-submission-advice-for-industry-sponsors-wishing-to-make-a-pbac-submission?language=und" TargetMode="External"/><Relationship Id="rId27" Type="http://schemas.openxmlformats.org/officeDocument/2006/relationships/hyperlink" Target="https://www.health.gov.au/resources/publications/hta-policy-and-methods-review-draft-paper-optimised-real-world-evidence-to-support-health-technology-assessment-in-australia?language=en" TargetMode="External"/><Relationship Id="rId30" Type="http://schemas.openxmlformats.org/officeDocument/2006/relationships/hyperlink" Target="http://www.msac.gov.au/internet/msac/publishing.nsf/Content/MSAC-Guidelines" TargetMode="External"/><Relationship Id="rId35" Type="http://schemas.openxmlformats.org/officeDocument/2006/relationships/hyperlink" Target="https://www.health.gov.au/resources/publications/health-technology-assessment-policy-and-methods-review-terms-of-reference" TargetMode="External"/><Relationship Id="rId43" Type="http://schemas.openxmlformats.org/officeDocument/2006/relationships/hyperlink" Target="https://www.health.gov.au/resources/publications/health-technology-assessment-stakeholder-engagement-report-consultation-2" TargetMode="External"/><Relationship Id="rId48" Type="http://schemas.openxmlformats.org/officeDocument/2006/relationships/hyperlink" Target="https://www.health.gov.au/resources/publications/hta-policy-and-methods-review-draft-paper-australian-market-authorisation-funding-and-assessment-pathways-and-timelines?language=en" TargetMode="External"/><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ohta-consultations.health.gov.au/ohta/hta-review-consultation1/consultation/published_select_respondent" TargetMode="Externa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17" Type="http://schemas.openxmlformats.org/officeDocument/2006/relationships/hyperlink" Target="https://www.health.gov.au/resources/publications/hta-policy-and-methods-review-hta-pathways-and-processes-clinical-evaluation-methods-and-horizon-scanning?language=en" TargetMode="External"/><Relationship Id="rId21" Type="http://schemas.openxmlformats.org/officeDocument/2006/relationships/hyperlink" Target="https://www.health.gov.au/resources/publications/hta-policy-and-methods-review-emerging-health-technologies" TargetMode="External"/><Relationship Id="rId42" Type="http://schemas.openxmlformats.org/officeDocument/2006/relationships/hyperlink" Target="https://doi.org/10.1016/j.healthpol.2024.105064" TargetMode="External"/><Relationship Id="rId47" Type="http://schemas.openxmlformats.org/officeDocument/2006/relationships/hyperlink" Target="https://www.health.gov.au/our-work/2020-25-national-health-reform-agreement-nhra" TargetMode="External"/><Relationship Id="rId63" Type="http://schemas.openxmlformats.org/officeDocument/2006/relationships/hyperlink" Target="https://www.health.gov.au/resources/publications/hta-policy-and-methods-review-hta-pathways-and-processes-clinical-evaluation-methods-and-horizon-scanning?language=en" TargetMode="External"/><Relationship Id="rId68" Type="http://schemas.openxmlformats.org/officeDocument/2006/relationships/hyperlink" Target="https://www.pbs.gov.au/pbs/industry/listing/participants/drug-utilisation-subcommittee" TargetMode="External"/><Relationship Id="rId84" Type="http://schemas.openxmlformats.org/officeDocument/2006/relationships/hyperlink" Target="https://www.who.int/publications/i/item/9789240047655" TargetMode="External"/><Relationship Id="rId89" Type="http://schemas.openxmlformats.org/officeDocument/2006/relationships/hyperlink" Target="https://www.frontiersin.org/articles/10.3389/fmedt.2023.1010247/full" TargetMode="External"/><Relationship Id="rId112" Type="http://schemas.openxmlformats.org/officeDocument/2006/relationships/hyperlink" Target="https://www.legislation.gov.au/C1953A00095/latest/text" TargetMode="External"/><Relationship Id="rId133" Type="http://schemas.openxmlformats.org/officeDocument/2006/relationships/hyperlink" Target="https://www.health.gov.au/resources/publications/hta-policy-and-methods-review-draft-paper-optimised-real-world-evidence-to-support-health-technology-assessment-in-australia?language=en" TargetMode="External"/><Relationship Id="rId138" Type="http://schemas.openxmlformats.org/officeDocument/2006/relationships/hyperlink" Target="https://www.health.gov.au/resources/publications/hta-policy-and-methods-review-draft-paper-optimised-real-world-evidence-to-support-health-technology-assessment-in-australia?language=en" TargetMode="External"/><Relationship Id="rId154" Type="http://schemas.openxmlformats.org/officeDocument/2006/relationships/hyperlink" Target="https://pbac.pbs.gov.au/information/printable-version-of-guidelines.html" TargetMode="External"/><Relationship Id="rId159" Type="http://schemas.openxmlformats.org/officeDocument/2006/relationships/hyperlink" Target="https://www.finance.gov.au/government/federal-budget/budget-process" TargetMode="External"/><Relationship Id="rId175" Type="http://schemas.openxmlformats.org/officeDocument/2006/relationships/hyperlink" Target="https://ohta-consultations.health.gov.au/ohta/hta-review-consultation-2/" TargetMode="External"/><Relationship Id="rId170" Type="http://schemas.openxmlformats.org/officeDocument/2006/relationships/hyperlink" Target="https://doi.org/10.1016/S2542-5196(22)00258-3" TargetMode="External"/><Relationship Id="rId191" Type="http://schemas.openxmlformats.org/officeDocument/2006/relationships/hyperlink" Target="https://www.tga.gov.au/project-orbis" TargetMode="External"/><Relationship Id="rId16" Type="http://schemas.openxmlformats.org/officeDocument/2006/relationships/hyperlink" Target="https://www.health.gov.au/resources/publications/national-medicines-policy?language=en" TargetMode="External"/><Relationship Id="rId107" Type="http://schemas.openxmlformats.org/officeDocument/2006/relationships/hyperlink" Target="https://www.pbs.gov.au/pbs/industry/listing/listing-steps" TargetMode="External"/><Relationship Id="rId11" Type="http://schemas.openxmlformats.org/officeDocument/2006/relationships/hyperlink" Target="https://www.health.gov.au/our-work/2020-25-national-health-reform-agreement-nhra" TargetMode="External"/><Relationship Id="rId32" Type="http://schemas.openxmlformats.org/officeDocument/2006/relationships/hyperlink" Target="https://www.aph.gov.au/Parliamentary_Business/Committees/House/Health_Aged_Care_and_Sport/Newdrugs/Report" TargetMode="External"/><Relationship Id="rId37" Type="http://schemas.openxmlformats.org/officeDocument/2006/relationships/hyperlink" Target="https://www.health.gov.au/resources/publications/hta-policy-and-methods-review-draft-paper-australian-market-authorisation-funding-and-assessment-pathways-and-timelines?language=en" TargetMode="External"/><Relationship Id="rId53" Type="http://schemas.openxmlformats.org/officeDocument/2006/relationships/hyperlink" Target="https://www.health.gov.au/resources/publications/life-saving-drugs-program-lsdp-medicines-reviews-recommendations" TargetMode="External"/><Relationship Id="rId58" Type="http://schemas.openxmlformats.org/officeDocument/2006/relationships/hyperlink" Target="https://doi.org/10.3389%2Ffphar.2022.771966" TargetMode="External"/><Relationship Id="rId74" Type="http://schemas.openxmlformats.org/officeDocument/2006/relationships/hyperlink" Target="https://www.health.gov.au/topics/health-technologies-and-digital-health/health-technology-assessments/for-subsidy" TargetMode="External"/><Relationship Id="rId79" Type="http://schemas.openxmlformats.org/officeDocument/2006/relationships/hyperlink" Target="https://www.aph.gov.au/Parliamentary_Business/Committees/House/Health_Aged_Care_and_Sport/Newdrugs/Report" TargetMode="External"/><Relationship Id="rId102" Type="http://schemas.openxmlformats.org/officeDocument/2006/relationships/hyperlink" Target="http://www.msac.gov.au/" TargetMode="External"/><Relationship Id="rId123" Type="http://schemas.openxmlformats.org/officeDocument/2006/relationships/hyperlink" Target="https://www.health.gov.au/resources/publications/hta-policy-and-methods-review-draft-paper-optimised-real-world-evidence-to-support-health-technology-assessment-in-australia?language=en" TargetMode="External"/><Relationship Id="rId128" Type="http://schemas.openxmlformats.org/officeDocument/2006/relationships/hyperlink" Target="https://www.health.gov.au/resources/publications/hta-policy-and-methods-review-draft-paper-optimised-real-world-evidence-to-support-health-technology-assessment-in-australia?language=en" TargetMode="External"/><Relationship Id="rId144" Type="http://schemas.openxmlformats.org/officeDocument/2006/relationships/hyperlink" Target="https://pbac.pbs.gov.au/information/printable-version-of-guidelines.html" TargetMode="External"/><Relationship Id="rId149" Type="http://schemas.openxmlformats.org/officeDocument/2006/relationships/hyperlink" Target="https://www.pbs.gov.au/info/industry/listing/elements/pbac-meetings/psd/2021-11/sacituzumab-govitecan-powder-for-injection-180-mg-trodelvy" TargetMode="External"/><Relationship Id="rId5" Type="http://schemas.openxmlformats.org/officeDocument/2006/relationships/hyperlink" Target="https://www.health.gov.au/resources/publications/national-medicines-policy?language=en" TargetMode="External"/><Relationship Id="rId90" Type="http://schemas.openxmlformats.org/officeDocument/2006/relationships/hyperlink" Target="https://www.amr.gov.au/resources/australias-national-antimicrobial-resistance-strategy-2020-and-beyond" TargetMode="External"/><Relationship Id="rId95" Type="http://schemas.openxmlformats.org/officeDocument/2006/relationships/hyperlink" Target="https://www.health.gov.au/resources/publications/stakeholder-engagement-framework" TargetMode="External"/><Relationship Id="rId160" Type="http://schemas.openxmlformats.org/officeDocument/2006/relationships/hyperlink" Target="https://www.finance.gov.au/government/federal-budget/budget-process" TargetMode="External"/><Relationship Id="rId165" Type="http://schemas.openxmlformats.org/officeDocument/2006/relationships/hyperlink" Target="https://www.health.gov.au/resources/publications/hta-policy-and-methods-review-draft-paper-hta-methods-economic-evaluation?language=en" TargetMode="External"/><Relationship Id="rId181" Type="http://schemas.openxmlformats.org/officeDocument/2006/relationships/hyperlink" Target="https://www.health.gov.au/resources/publications/hta-policy-and-methods-review-hta-pathways-and-processes-clinical-evaluation-methods-and-horizon-scanning?language=en" TargetMode="External"/><Relationship Id="rId186" Type="http://schemas.openxmlformats.org/officeDocument/2006/relationships/hyperlink" Target="https://www.health.gov.au/resources/publications/national-medicines-policy?language=en" TargetMode="External"/><Relationship Id="rId22" Type="http://schemas.openxmlformats.org/officeDocument/2006/relationships/hyperlink" Target="https://www.pbs.gov.au/info/general/medicines-industry-strategic-agreement" TargetMode="External"/><Relationship Id="rId27" Type="http://schemas.openxmlformats.org/officeDocument/2006/relationships/hyperlink" Target="https://phrma.org/en/resource-center/Topics/Access-to-Medicines/Global-Access-to-New-Medicines-Report" TargetMode="External"/><Relationship Id="rId43" Type="http://schemas.openxmlformats.org/officeDocument/2006/relationships/hyperlink" Target="https://doi.org/10.3389%2Ffphar.2022.815029" TargetMode="External"/><Relationship Id="rId48" Type="http://schemas.openxmlformats.org/officeDocument/2006/relationships/hyperlink" Target="https://www.health.gov.au/our-work/2020-25-national-health-reform-agreement-nhra" TargetMode="External"/><Relationship Id="rId64" Type="http://schemas.openxmlformats.org/officeDocument/2006/relationships/hyperlink" Target="https://www.health.gov.au/resources/publications/hta-policy-and-methods-review-draft-paper-hta-methods-economic-evaluation?language=en" TargetMode="External"/><Relationship Id="rId69" Type="http://schemas.openxmlformats.org/officeDocument/2006/relationships/hyperlink" Target="https://www.pbs.gov.au/info/reviews/subsidised-medicines-reviews" TargetMode="External"/><Relationship Id="rId113" Type="http://schemas.openxmlformats.org/officeDocument/2006/relationships/hyperlink" Target="https://www.aph.gov.au/Parliamentary_Business/Committees/House/Health_Aged_Care_and_Sport/Newdrugs/Report" TargetMode="External"/><Relationship Id="rId118" Type="http://schemas.openxmlformats.org/officeDocument/2006/relationships/hyperlink" Target="https://pbac.pbs.gov.au/information/printable-version-of-guidelines.html" TargetMode="External"/><Relationship Id="rId134" Type="http://schemas.openxmlformats.org/officeDocument/2006/relationships/hyperlink" Target="https://www.health.gov.au/resources/publications/hta-policy-and-methods-review-draft-paper-optimised-real-world-evidence-to-support-health-technology-assessment-in-australia?language=en" TargetMode="External"/><Relationship Id="rId139" Type="http://schemas.openxmlformats.org/officeDocument/2006/relationships/hyperlink" Target="https://www.health.gov.au/resources/publications/hta-policy-and-methods-review-draft-paper-optimised-real-world-evidence-to-support-health-technology-assessment-in-australia?language=en" TargetMode="External"/><Relationship Id="rId80" Type="http://schemas.openxmlformats.org/officeDocument/2006/relationships/hyperlink" Target="https://www.pbs.gov.au/info/publication/factsheets/shared/framework-for-introduction-of-managed-entry-scheme-for-PBAC-submissions" TargetMode="External"/><Relationship Id="rId85" Type="http://schemas.openxmlformats.org/officeDocument/2006/relationships/hyperlink" Target="https://cdn.who.int/media/docs/default-source/antimicrobial-resistance/amr-gcp-irc/incentivising-development-of-new-antibacterial-treatments-2023---progress-report.pdf?sfvrsn=72e4f738_3" TargetMode="External"/><Relationship Id="rId150" Type="http://schemas.openxmlformats.org/officeDocument/2006/relationships/hyperlink" Target="https://pbac.pbs.gov.au/information/printable-version-of-guidelines.html" TargetMode="External"/><Relationship Id="rId155" Type="http://schemas.openxmlformats.org/officeDocument/2006/relationships/hyperlink" Target="http://www.msac.gov.au/internet/msac/publishing.nsf/Content/Documents-for-Applicants-and-Assessment-Groups" TargetMode="External"/><Relationship Id="rId171" Type="http://schemas.openxmlformats.org/officeDocument/2006/relationships/hyperlink" Target="https://static.nice.org.uk/NICE%20strategy%202021%20to%202026%20-%20Dynamic,%20Collaborative,%20Excellent.pdf" TargetMode="External"/><Relationship Id="rId176" Type="http://schemas.openxmlformats.org/officeDocument/2006/relationships/hyperlink" Target="https://www.health.gov.au/resources/publications/national-medicines-policy?language=en" TargetMode="External"/><Relationship Id="rId192" Type="http://schemas.openxmlformats.org/officeDocument/2006/relationships/hyperlink" Target="https://www.health.gov.au/resources/publications/hta-policy-and-methods-review-hta-pathways-and-processes-clinical-evaluation-methods-and-horizon-scanning?language=en" TargetMode="External"/><Relationship Id="rId12" Type="http://schemas.openxmlformats.org/officeDocument/2006/relationships/hyperlink" Target="https://www.health.gov.au/resources/publications/national-medicines-policy?language=en" TargetMode="External"/><Relationship Id="rId17" Type="http://schemas.openxmlformats.org/officeDocument/2006/relationships/hyperlink" Target="https://www.health.gov.au/resources/publications/national-medicines-policy?language=en" TargetMode="External"/><Relationship Id="rId33" Type="http://schemas.openxmlformats.org/officeDocument/2006/relationships/hyperlink" Target="https://www.aph.gov.au/Parliamentary_Business/Committees/House/Health_Aged_Care_and_Sport/Newdrugs/Report" TargetMode="External"/><Relationship Id="rId38" Type="http://schemas.openxmlformats.org/officeDocument/2006/relationships/hyperlink" Target="https://www.health.gov.au/resources/publications/hta-policy-and-methods-review-draft-paper-australian-market-authorisation-funding-and-assessment-pathways-and-timelines?language=en" TargetMode="External"/><Relationship Id="rId59" Type="http://schemas.openxmlformats.org/officeDocument/2006/relationships/hyperlink" Target="https://www.hhs.gov/sites/default/files/HCV_Affinity_Group_LA_Case_Study.pdf" TargetMode="External"/><Relationship Id="rId103" Type="http://schemas.openxmlformats.org/officeDocument/2006/relationships/hyperlink" Target="https://ohta-consultations.health.gov.au/" TargetMode="External"/><Relationship Id="rId108" Type="http://schemas.openxmlformats.org/officeDocument/2006/relationships/hyperlink" Target="http://www.pbs.gov.au/pbs/industry/listing/elements/pbac-meetings/psd" TargetMode="External"/><Relationship Id="rId124" Type="http://schemas.openxmlformats.org/officeDocument/2006/relationships/hyperlink" Target="https://www.health.gov.au/resources/publications/hta-policy-and-methods-review-draft-paper-optimised-real-world-evidence-to-support-health-technology-assessment-in-australia?language=en" TargetMode="External"/><Relationship Id="rId129" Type="http://schemas.openxmlformats.org/officeDocument/2006/relationships/hyperlink" Target="https://www.health.gov.au/resources/publications/hta-policy-and-methods-review-draft-paper-optimised-real-world-evidence-to-support-health-technology-assessment-in-australia?language=en" TargetMode="External"/><Relationship Id="rId54" Type="http://schemas.openxmlformats.org/officeDocument/2006/relationships/hyperlink" Target="https://www.health.gov.au/resources/publications/hta-policy-and-methods-review-draft-paper-australian-market-authorisation-funding-and-assessment-pathways-and-timelines?language=en" TargetMode="External"/><Relationship Id="rId70" Type="http://schemas.openxmlformats.org/officeDocument/2006/relationships/hyperlink" Target="https://www.pbs.gov.au/info/reviews/subsidised-medicines-reviews" TargetMode="External"/><Relationship Id="rId75" Type="http://schemas.openxmlformats.org/officeDocument/2006/relationships/hyperlink" Target="https://www.health.gov.au/resources/publications/hta-policy-and-methods-review-draft-paper-funding-and-purchasing-decisions-and-managing-uncertainty?language=en" TargetMode="External"/><Relationship Id="rId91" Type="http://schemas.openxmlformats.org/officeDocument/2006/relationships/hyperlink" Target="https://www.aph.gov.au/Parliamentary_Business/Committees/House/Health_Aged_Care_and_Sport/Newdrugs/Government_Response" TargetMode="External"/><Relationship Id="rId96" Type="http://schemas.openxmlformats.org/officeDocument/2006/relationships/hyperlink" Target="https://www.health.gov.au/resources/publications/national-medicines-policy?language=en" TargetMode="External"/><Relationship Id="rId140" Type="http://schemas.openxmlformats.org/officeDocument/2006/relationships/hyperlink" Target="https://www.health.gov.au/resources/publications/health-technology-assessment-policy-and-methods-review-consultation-1-report" TargetMode="External"/><Relationship Id="rId145" Type="http://schemas.openxmlformats.org/officeDocument/2006/relationships/hyperlink" Target="http://www.msac.gov.au/internet/msac/publishing.nsf/Content/Documents-for-Applicants-and-Assessment-Groups" TargetMode="External"/><Relationship Id="rId161" Type="http://schemas.openxmlformats.org/officeDocument/2006/relationships/hyperlink" Target="https://www.health.gov.au/resources/publications/hta-policy-and-methods-review-draft-paper-hta-methods-economic-evaluation?language=en" TargetMode="External"/><Relationship Id="rId166" Type="http://schemas.openxmlformats.org/officeDocument/2006/relationships/hyperlink" Target="https://www.health.gov.au/resources/publications/hta-policy-and-methods-review-draft-paper-australian-market-authorisation-funding-and-assessment-pathways-and-timelines?language=en" TargetMode="External"/><Relationship Id="rId182" Type="http://schemas.openxmlformats.org/officeDocument/2006/relationships/hyperlink" Target="https://www.nihr.ac.uk/reports/nihr-annual-report-202223/34501" TargetMode="External"/><Relationship Id="rId187" Type="http://schemas.openxmlformats.org/officeDocument/2006/relationships/hyperlink" Target="https://www.aph.gov.au/Parliamentary_Business/Committees/House/Health_Aged_Care_and_Sport/Newdrugs/Report" TargetMode="External"/><Relationship Id="rId1" Type="http://schemas.openxmlformats.org/officeDocument/2006/relationships/hyperlink" Target="https://www.aph.gov.au/Parliamentary_Business/Committees/House/Health_Aged_Care_and_Sport/Newdrugs/Report" TargetMode="External"/><Relationship Id="rId6" Type="http://schemas.openxmlformats.org/officeDocument/2006/relationships/hyperlink" Target="https://www.health.gov.au/our-work/hta-review/review-analysis-papers" TargetMode="External"/><Relationship Id="rId23" Type="http://schemas.openxmlformats.org/officeDocument/2006/relationships/hyperlink" Target="https://consultations.health.gov.au/technology-assessment-access-division/national-medicines-policy-review/" TargetMode="External"/><Relationship Id="rId28" Type="http://schemas.openxmlformats.org/officeDocument/2006/relationships/hyperlink" Target="https://www.health.gov.au/resources/publications/hta-policy-and-methods-review-draft-paper-australian-market-authorisation-funding-and-assessment-pathways-and-timelines?language=en" TargetMode="External"/><Relationship Id="rId49" Type="http://schemas.openxmlformats.org/officeDocument/2006/relationships/hyperlink" Target="https://www.health.gov.au/our-work/2020-25-national-health-reform-agreement-nhra" TargetMode="External"/><Relationship Id="rId114" Type="http://schemas.openxmlformats.org/officeDocument/2006/relationships/hyperlink" Target="https://pbac.pbs.gov.au/information/printable-version-of-guidelines.html" TargetMode="External"/><Relationship Id="rId119" Type="http://schemas.openxmlformats.org/officeDocument/2006/relationships/hyperlink" Target="https://www.health.gov.au/resources/publications/hta-policy-and-methods-review-draft-paper-optimised-real-world-evidence-to-support-health-technology-assessment-in-australia?language=en" TargetMode="External"/><Relationship Id="rId44" Type="http://schemas.openxmlformats.org/officeDocument/2006/relationships/hyperlink" Target="https://www.health.gov.au/our-work/2020-25-national-health-reform-agreement-nhra" TargetMode="External"/><Relationship Id="rId60" Type="http://schemas.openxmlformats.org/officeDocument/2006/relationships/hyperlink" Target="http://www.pbs.gov.au/info/industry/listing/procedure-guidance/8-procedures-positive-recommendation-list/8-procedures-for-a-positive-recommendation-to-list" TargetMode="External"/><Relationship Id="rId65" Type="http://schemas.openxmlformats.org/officeDocument/2006/relationships/hyperlink" Target="https://www.pbs.gov.au/pbs/industry/listing/participants/drug-utilisation-subcommittee" TargetMode="External"/><Relationship Id="rId81" Type="http://schemas.openxmlformats.org/officeDocument/2006/relationships/hyperlink" Target="https://ohta-consultations.health.gov.au/ohta/hta-review-consultation1/consultation/view_respondent?show_all_questions=0&amp;sort=submitted&amp;order=ascending&amp;_q__text=janssen&amp;uuId=108869358" TargetMode="External"/><Relationship Id="rId86" Type="http://schemas.openxmlformats.org/officeDocument/2006/relationships/hyperlink" Target="https://www.health.gov.au/resources/publications/hta-policy-and-methods-review-hta-pathways-and-processes-clinical-evaluation-methods-and-horizon-scanning?language=en" TargetMode="External"/><Relationship Id="rId130" Type="http://schemas.openxmlformats.org/officeDocument/2006/relationships/hyperlink" Target="https://www.health.gov.au/resources/publications/hta-policy-and-methods-review-draft-paper-optimised-real-world-evidence-to-support-health-technology-assessment-in-australia?language=en" TargetMode="External"/><Relationship Id="rId135" Type="http://schemas.openxmlformats.org/officeDocument/2006/relationships/hyperlink" Target="https://www.health.gov.au/resources/publications/hta-policy-and-methods-review-draft-paper-optimised-real-world-evidence-to-support-health-technology-assessment-in-australia?language=en" TargetMode="External"/><Relationship Id="rId151" Type="http://schemas.openxmlformats.org/officeDocument/2006/relationships/hyperlink" Target="http://www.msac.gov.au/internet/msac/publishing.nsf/Content/Documents-for-Applicants-and-Assessment-Groups" TargetMode="External"/><Relationship Id="rId156" Type="http://schemas.openxmlformats.org/officeDocument/2006/relationships/hyperlink" Target="https://www.health.gov.au/resources/publications/hta-policy-and-methods-review-emerging-health-technologies" TargetMode="External"/><Relationship Id="rId177" Type="http://schemas.openxmlformats.org/officeDocument/2006/relationships/hyperlink" Target="https://www.amr.gov.au/resources/australias-national-antimicrobial-resistance-strategy-2020-and-beyond" TargetMode="External"/><Relationship Id="rId172" Type="http://schemas.openxmlformats.org/officeDocument/2006/relationships/hyperlink" Target="https://www.cadth.ca/2022-2025-strategic-plan" TargetMode="External"/><Relationship Id="rId193" Type="http://schemas.openxmlformats.org/officeDocument/2006/relationships/hyperlink" Target="https://www.health.gov.au/resources/publications/national-medicines-policy?language=en" TargetMode="External"/><Relationship Id="rId13" Type="http://schemas.openxmlformats.org/officeDocument/2006/relationships/hyperlink" Target="https://www.pbs.gov.au/info/general/medicines-industry-strategic-agreement" TargetMode="External"/><Relationship Id="rId18" Type="http://schemas.openxmlformats.org/officeDocument/2006/relationships/hyperlink" Target="https://www.health.gov.au/resources/publications/national-medicines-policy?language=en" TargetMode="External"/><Relationship Id="rId39" Type="http://schemas.openxmlformats.org/officeDocument/2006/relationships/hyperlink" Target="https://www.cirsci.org/publications/cirs-rd-briefing-89-review-of-hta-outcomes-and-timelines-in-australia-canada-europe-and-the-uk-2018-2022/" TargetMode="External"/><Relationship Id="rId109" Type="http://schemas.openxmlformats.org/officeDocument/2006/relationships/hyperlink" Target="http://www.msac.gov.au/internet/msac/publishing.nsf/Content/factsheet-10" TargetMode="External"/><Relationship Id="rId34" Type="http://schemas.openxmlformats.org/officeDocument/2006/relationships/hyperlink" Target="https://www.health.gov.au/our-work/2020-25-national-health-reform-agreement-nhra" TargetMode="External"/><Relationship Id="rId50" Type="http://schemas.openxmlformats.org/officeDocument/2006/relationships/hyperlink" Target="https://www.health.gov.au/our-work/2020-25-national-health-reform-agreement-nhra" TargetMode="External"/><Relationship Id="rId55" Type="http://schemas.openxmlformats.org/officeDocument/2006/relationships/hyperlink" Target="https://www.health.gov.au/resources/publications/national-medicines-policy?language=en" TargetMode="External"/><Relationship Id="rId76" Type="http://schemas.openxmlformats.org/officeDocument/2006/relationships/hyperlink" Target="https://www.aph.gov.au/Parliamentary_Business/Committees/House/Health_Aged_Care_and_Sport/Newdrugs/Report" TargetMode="External"/><Relationship Id="rId97" Type="http://schemas.openxmlformats.org/officeDocument/2006/relationships/hyperlink" Target="https://www.health.gov.au/our-work/co-design-of-an-enhanced-consumer-engagement-process" TargetMode="External"/><Relationship Id="rId104" Type="http://schemas.openxmlformats.org/officeDocument/2006/relationships/hyperlink" Target="https://pbac.pbs.gov.au/information/printable-version-of-guidelines.html" TargetMode="External"/><Relationship Id="rId120" Type="http://schemas.openxmlformats.org/officeDocument/2006/relationships/hyperlink" Target="https://www.health.gov.au/resources/publications/hta-policy-and-methods-review-draft-paper-optimised-real-world-evidence-to-support-health-technology-assessment-in-australia?language=en" TargetMode="External"/><Relationship Id="rId125" Type="http://schemas.openxmlformats.org/officeDocument/2006/relationships/hyperlink" Target="https://www.health.gov.au/resources/publications/hta-policy-and-methods-review-draft-paper-optimised-real-world-evidence-to-support-health-technology-assessment-in-australia?language=en" TargetMode="External"/><Relationship Id="rId141" Type="http://schemas.openxmlformats.org/officeDocument/2006/relationships/hyperlink" Target="https://www.aph.gov.au/Parliamentary_Business/Committees/House/Health_Aged_Care_and_Sport/Newdrugs/Report" TargetMode="External"/><Relationship Id="rId146" Type="http://schemas.openxmlformats.org/officeDocument/2006/relationships/hyperlink" Target="https://www.health.gov.au/resources/publications/hta-policy-and-methods-review-hta-pathways-and-processes-clinical-evaluation-methods-and-horizon-scanning?language=en" TargetMode="External"/><Relationship Id="rId167" Type="http://schemas.openxmlformats.org/officeDocument/2006/relationships/hyperlink" Target="https://www.health.gov.au/our-work/national-health-and-climate-strategy" TargetMode="External"/><Relationship Id="rId188" Type="http://schemas.openxmlformats.org/officeDocument/2006/relationships/hyperlink" Target="https://ohta-consultations.health.gov.au/ohta/hta-review-consultation1/consultation/view_respondent?show_all_questions=0&amp;sort=submitted&amp;order=ascending&amp;_q__text=research&amp;uuId=240014378" TargetMode="External"/><Relationship Id="rId7" Type="http://schemas.openxmlformats.org/officeDocument/2006/relationships/hyperlink" Target="https://www.indigenoushpf.gov.au/measures/3-15-access-prescription-medicines" TargetMode="External"/><Relationship Id="rId71" Type="http://schemas.openxmlformats.org/officeDocument/2006/relationships/hyperlink" Target="https://www.health.gov.au/resources/publications/hta-policy-and-methods-review-draft-paper-funding-and-purchasing-decisions-and-managing-uncertainty?language=en" TargetMode="External"/><Relationship Id="rId92" Type="http://schemas.openxmlformats.org/officeDocument/2006/relationships/hyperlink" Target="https://www.oecd.org/en/publications/antimicrobial-resistance-in-g7-countries-and-beyond_5ea8ed24-en.html" TargetMode="External"/><Relationship Id="rId162" Type="http://schemas.openxmlformats.org/officeDocument/2006/relationships/hyperlink" Target="https://www.pbs.gov.au/info/industry/listing/elements/pbac-meetings/psd/2019-11/multicomponent-meningococcal-group-b-vaccine-injection-0-5-bexsero" TargetMode="External"/><Relationship Id="rId183" Type="http://schemas.openxmlformats.org/officeDocument/2006/relationships/hyperlink" Target="https://www.pcori.org/about/about-pcori/financial-statements-and-reports" TargetMode="External"/><Relationship Id="rId2" Type="http://schemas.openxmlformats.org/officeDocument/2006/relationships/hyperlink" Target="https://www.health.gov.au/resources/publications/national-medicines-policy?language=en" TargetMode="External"/><Relationship Id="rId29" Type="http://schemas.openxmlformats.org/officeDocument/2006/relationships/hyperlink" Target="https://www.closingthegap.gov.au/national-agreement" TargetMode="External"/><Relationship Id="rId24" Type="http://schemas.openxmlformats.org/officeDocument/2006/relationships/hyperlink" Target="https://www.aph.gov.au/Parliamentary_Business/Committees/House/Health_Aged_Care_and_Sport/Newdrugs/Report" TargetMode="External"/><Relationship Id="rId40" Type="http://schemas.openxmlformats.org/officeDocument/2006/relationships/hyperlink" Target="https://phrma.org/en/resource-center/Topics/Access-to-Medicines/Global-Access-to-New-Medicines-Report" TargetMode="External"/><Relationship Id="rId45" Type="http://schemas.openxmlformats.org/officeDocument/2006/relationships/hyperlink" Target="https://www.health.gov.au/our-work/2020-25-national-health-reform-agreement-nhra" TargetMode="External"/><Relationship Id="rId66" Type="http://schemas.openxmlformats.org/officeDocument/2006/relationships/hyperlink" Target="https://www.pbs.gov.au/info/reviews/subsidised-medicines-reviews" TargetMode="External"/><Relationship Id="rId87" Type="http://schemas.openxmlformats.org/officeDocument/2006/relationships/hyperlink" Target="https://www.tg.org.au" TargetMode="External"/><Relationship Id="rId110" Type="http://schemas.openxmlformats.org/officeDocument/2006/relationships/hyperlink" Target="https://www.health.gov.au/resources/publications/hta-policy-and-methods-review-hta-pathways-and-processes-clinical-evaluation-methods-and-horizon-scanning?language=en" TargetMode="External"/><Relationship Id="rId115" Type="http://schemas.openxmlformats.org/officeDocument/2006/relationships/hyperlink" Target="http://www.msac.gov.au/internet/msac/publishing.nsf/Content/Documents-for-Applicants-and-Assessment-Groups" TargetMode="External"/><Relationship Id="rId131" Type="http://schemas.openxmlformats.org/officeDocument/2006/relationships/hyperlink" Target="https://www.abs.gov.au/statistics/microdata-tablebuilder/datalab" TargetMode="External"/><Relationship Id="rId136" Type="http://schemas.openxmlformats.org/officeDocument/2006/relationships/hyperlink" Target="https://www.health.gov.au/resources/publications/hta-policy-and-methods-review-draft-paper-optimised-real-world-evidence-to-support-health-technology-assessment-in-australia?language=en" TargetMode="External"/><Relationship Id="rId157" Type="http://schemas.openxmlformats.org/officeDocument/2006/relationships/hyperlink" Target="https://www.health.gov.au/resources/publications/hta-policy-and-methods-review-hta-pathways-and-processes-clinical-evaluation-methods-and-horizon-scanning?language=en" TargetMode="External"/><Relationship Id="rId178" Type="http://schemas.openxmlformats.org/officeDocument/2006/relationships/hyperlink" Target="https://www.health.gov.au/resources/publications/national-strategic-action-plan-for-rare-diseases" TargetMode="External"/><Relationship Id="rId61" Type="http://schemas.openxmlformats.org/officeDocument/2006/relationships/hyperlink" Target="https://www.health.gov.au/resources/publications/hta-policy-and-methods-review-draft-paper-australian-market-authorisation-funding-and-assessment-pathways-and-timelines?language=en" TargetMode="External"/><Relationship Id="rId82" Type="http://schemas.openxmlformats.org/officeDocument/2006/relationships/hyperlink" Target="https://www.health.gov.au/resources/publications/hta-policy-and-methods-review-draft-paper-funding-and-purchasing-decisions-and-managing-uncertainty?language=en" TargetMode="External"/><Relationship Id="rId152" Type="http://schemas.openxmlformats.org/officeDocument/2006/relationships/hyperlink" Target="https://www.health.gov.au/resources/publications/hta-policy-and-methods-review-hta-pathways-and-processes-clinical-evaluation-methods-and-horizon-scanning?language=en" TargetMode="External"/><Relationship Id="rId173" Type="http://schemas.openxmlformats.org/officeDocument/2006/relationships/hyperlink" Target="https://www.health.gov.au/our-work/national-health-and-climate-strategy" TargetMode="External"/><Relationship Id="rId19" Type="http://schemas.openxmlformats.org/officeDocument/2006/relationships/hyperlink" Target="https://www.oecd-ilibrary.org/social-issues-migration-health/health-at-a-glance-2023_7a7afb35-en" TargetMode="External"/><Relationship Id="rId14" Type="http://schemas.openxmlformats.org/officeDocument/2006/relationships/hyperlink" Target="https://www.oecd-ilibrary.org/social-issues-migration-health/health-at-a-glance-2023_7a7afb35-en" TargetMode="External"/><Relationship Id="rId30" Type="http://schemas.openxmlformats.org/officeDocument/2006/relationships/hyperlink" Target="https://www.indigenoushpf.gov.au/measures/3-15-access-prescription-medicines" TargetMode="External"/><Relationship Id="rId35" Type="http://schemas.openxmlformats.org/officeDocument/2006/relationships/hyperlink" Target="https://www.health.gov.au/resources/publications/hta-policy-and-methods-review-draft-paper-australian-market-authorisation-funding-and-assessment-pathways-and-timelines?language=en" TargetMode="External"/><Relationship Id="rId56" Type="http://schemas.openxmlformats.org/officeDocument/2006/relationships/hyperlink" Target="https://www.health.gov.au/resources/publications/national-medicines-policy?language=en" TargetMode="External"/><Relationship Id="rId77" Type="http://schemas.openxmlformats.org/officeDocument/2006/relationships/hyperlink" Target="https://www.aph.gov.au/Parliamentary_Business/Committees/House/Health_Aged_Care_and_Sport/Newdrugs/Report" TargetMode="External"/><Relationship Id="rId100" Type="http://schemas.openxmlformats.org/officeDocument/2006/relationships/hyperlink" Target="https://www.mbsonline.gov.au/" TargetMode="External"/><Relationship Id="rId105" Type="http://schemas.openxmlformats.org/officeDocument/2006/relationships/hyperlink" Target="http://www.msac.gov.au/internet/msac/publishing.nsf/Content/Documents-for-Applicants-and-Assessment-Groups" TargetMode="External"/><Relationship Id="rId126" Type="http://schemas.openxmlformats.org/officeDocument/2006/relationships/hyperlink" Target="https://www.pbs.gov.au/info/industry/listing/elements/pbac-meetings/psd/2019-03/national-hepatitis-c-psd-march-2019" TargetMode="External"/><Relationship Id="rId147" Type="http://schemas.openxmlformats.org/officeDocument/2006/relationships/hyperlink" Target="https://doi.org/10.1007/978-981-10-4068-9_4" TargetMode="External"/><Relationship Id="rId168" Type="http://schemas.openxmlformats.org/officeDocument/2006/relationships/hyperlink" Target="https://consultations.health.gov.au/ohp-2013-environmental-health-and-health-protection-policy-branch/national-health-and-climate-strategy-consultation/" TargetMode="External"/><Relationship Id="rId8" Type="http://schemas.openxmlformats.org/officeDocument/2006/relationships/hyperlink" Target="https://www.health.gov.au/our-work/2020-25-national-health-reform-agreement-nhra" TargetMode="External"/><Relationship Id="rId51" Type="http://schemas.openxmlformats.org/officeDocument/2006/relationships/hyperlink" Target="http://www.msac.gov.au/internet/msac/publishing.nsf/Content/1748-public" TargetMode="External"/><Relationship Id="rId72" Type="http://schemas.openxmlformats.org/officeDocument/2006/relationships/hyperlink" Target="https://htaglossary.net/disinvestment?highlight=disinvestment" TargetMode="External"/><Relationship Id="rId93" Type="http://schemas.openxmlformats.org/officeDocument/2006/relationships/hyperlink" Target="https://www.health.gov.au/resources/publications/stakeholder-engagement-framework" TargetMode="External"/><Relationship Id="rId98" Type="http://schemas.openxmlformats.org/officeDocument/2006/relationships/hyperlink" Target="https://www.pbs.gov.au/pbs/home" TargetMode="External"/><Relationship Id="rId121" Type="http://schemas.openxmlformats.org/officeDocument/2006/relationships/hyperlink" Target="https://www.health.gov.au/resources/publications/hta-policy-and-methods-review-draft-paper-optimised-real-world-evidence-to-support-health-technology-assessment-in-australia?language=en" TargetMode="External"/><Relationship Id="rId142" Type="http://schemas.openxmlformats.org/officeDocument/2006/relationships/hyperlink" Target="https://www.health.gov.au/resources/publications/hta-policy-and-methods-review-draft-paper-optimised-real-world-evidence-to-support-health-technology-assessment-in-australia?language=en" TargetMode="External"/><Relationship Id="rId163" Type="http://schemas.openxmlformats.org/officeDocument/2006/relationships/hyperlink" Target="https://pbac.pbs.gov.au/information/printable-version-of-guidelines.html" TargetMode="External"/><Relationship Id="rId184" Type="http://schemas.openxmlformats.org/officeDocument/2006/relationships/hyperlink" Target="https://www.health.gov.au/resources/publications/hta-policy-and-methods-review-hta-pathways-and-processes-clinical-evaluation-methods-and-horizon-scanning?language=en" TargetMode="External"/><Relationship Id="rId189" Type="http://schemas.openxmlformats.org/officeDocument/2006/relationships/hyperlink" Target="https://www.tga.gov.au/resources/resource/guidance/comparable-overseas-regulators-cors-prescription-medicines" TargetMode="External"/><Relationship Id="rId3" Type="http://schemas.openxmlformats.org/officeDocument/2006/relationships/hyperlink" Target="https://www.health.gov.au/resources/publications/national-medicines-policy?language=en" TargetMode="External"/><Relationship Id="rId25" Type="http://schemas.openxmlformats.org/officeDocument/2006/relationships/hyperlink" Target="https://www.cirsci.org/publications/cirs-rd-briefing-89-review-of-hta-outcomes-and-timelines-in-australia-canada-europe-and-the-uk-2018-2022/" TargetMode="External"/><Relationship Id="rId46" Type="http://schemas.openxmlformats.org/officeDocument/2006/relationships/hyperlink" Target="https://www.health.gov.au/our-work/2020-25-national-health-reform-agreement-nhra" TargetMode="External"/><Relationship Id="rId67" Type="http://schemas.openxmlformats.org/officeDocument/2006/relationships/hyperlink" Target="https://www.health.gov.au/resources/publications/national-medicines-policy?language=en" TargetMode="External"/><Relationship Id="rId116" Type="http://schemas.openxmlformats.org/officeDocument/2006/relationships/hyperlink" Target="https://www.health.gov.au/resources/publications/hta-policy-and-methods-review-hta-pathways-and-processes-clinical-evaluation-methods-and-horizon-scanning?language=en" TargetMode="External"/><Relationship Id="rId137" Type="http://schemas.openxmlformats.org/officeDocument/2006/relationships/hyperlink" Target="https://www.health.gov.au/resources/publications/hta-policy-and-methods-review-draft-paper-optimised-real-world-evidence-to-support-health-technology-assessment-in-australia?language=en" TargetMode="External"/><Relationship Id="rId158" Type="http://schemas.openxmlformats.org/officeDocument/2006/relationships/hyperlink" Target="https://archive.budget.gov.au/2023-24/" TargetMode="External"/><Relationship Id="rId20" Type="http://schemas.openxmlformats.org/officeDocument/2006/relationships/hyperlink" Target="https://www.pc.gov.au/research/completed/measuring-healthcare-productivity" TargetMode="External"/><Relationship Id="rId41" Type="http://schemas.openxmlformats.org/officeDocument/2006/relationships/hyperlink" Target="https://aspe.hhs.gov/sites/default/files/documents/430a3e61c234f06270b04414e797ad3a/new-drug-availability-launch-timing.pdf" TargetMode="External"/><Relationship Id="rId62" Type="http://schemas.openxmlformats.org/officeDocument/2006/relationships/hyperlink" Target="https://www.aph.gov.au/Parliamentary_Business/Committees/House/Health_Aged_Care_and_Sport/Newdrugs/Report" TargetMode="External"/><Relationship Id="rId83" Type="http://schemas.openxmlformats.org/officeDocument/2006/relationships/hyperlink" Target="https://www.who.int/news-room/spotlight/ten-threats-to-global-health-in-2019" TargetMode="External"/><Relationship Id="rId88" Type="http://schemas.openxmlformats.org/officeDocument/2006/relationships/hyperlink" Target="https://pbac.pbs.gov.au/information/printable-version-of-guidelines.html" TargetMode="External"/><Relationship Id="rId111" Type="http://schemas.openxmlformats.org/officeDocument/2006/relationships/hyperlink" Target="https://www.health.gov.au/resources/publications/conversations-for-change-report-2023?language=en" TargetMode="External"/><Relationship Id="rId132" Type="http://schemas.openxmlformats.org/officeDocument/2006/relationships/hyperlink" Target="https://www.health.gov.au/resources/publications/hta-policy-and-methods-review-draft-paper-optimised-real-world-evidence-to-support-health-technology-assessment-in-australia?language=en" TargetMode="External"/><Relationship Id="rId153" Type="http://schemas.openxmlformats.org/officeDocument/2006/relationships/hyperlink" Target="https://www.pbs.gov.au/info/industry/listing/elements/pbac-meetings/psd/2022-03/cemiplimab-solution-for-iv-infusion-350-mg-in-7-ml-libtayo" TargetMode="External"/><Relationship Id="rId174" Type="http://schemas.openxmlformats.org/officeDocument/2006/relationships/hyperlink" Target="https://www.health.gov.au/resources/publications/national-medicines-policy?language=en" TargetMode="External"/><Relationship Id="rId179" Type="http://schemas.openxmlformats.org/officeDocument/2006/relationships/hyperlink" Target="https://www.aph.gov.au/Parliamentary_Business/Committees/House/Health_Aged_Care_and_Sport/Newdrugs/Report" TargetMode="External"/><Relationship Id="rId190" Type="http://schemas.openxmlformats.org/officeDocument/2006/relationships/hyperlink" Target="https://www.tga.gov.au/international-activities/australia-canada-singapore-switzerland-united-kingdom-access-consortium" TargetMode="External"/><Relationship Id="rId15" Type="http://schemas.openxmlformats.org/officeDocument/2006/relationships/hyperlink" Target="https://www.who.int/data/gho/data/indicators/indicator-details/GHO/life-expectancy-at-birth-(years)" TargetMode="External"/><Relationship Id="rId36" Type="http://schemas.openxmlformats.org/officeDocument/2006/relationships/hyperlink" Target="https://pbac.pbs.gov.au/information/printable-version-of-guidelines.html" TargetMode="External"/><Relationship Id="rId57" Type="http://schemas.openxmlformats.org/officeDocument/2006/relationships/hyperlink" Target="https://hcp.cablivi.com/support-for-you-and-your-hospital/sanofi-promise" TargetMode="External"/><Relationship Id="rId106" Type="http://schemas.openxmlformats.org/officeDocument/2006/relationships/hyperlink" Target="http://www.msac.gov.au/internet/msac/publishing.nsf/Content/MSAC-Guidelines" TargetMode="External"/><Relationship Id="rId127" Type="http://schemas.openxmlformats.org/officeDocument/2006/relationships/hyperlink" Target="https://www.pbs.gov.au/info/industry/listing/elements/pbac-meetings/pbac-outcomes/recommendations-made-by-the-pbac-december-2020-intracycle" TargetMode="External"/><Relationship Id="rId10" Type="http://schemas.openxmlformats.org/officeDocument/2006/relationships/hyperlink" Target="https://www.pbs.gov.au/info/general/medicines-industry-strategic-agreement" TargetMode="External"/><Relationship Id="rId31" Type="http://schemas.openxmlformats.org/officeDocument/2006/relationships/hyperlink" Target="https://www.closingthegap.gov.au/national-agreement" TargetMode="External"/><Relationship Id="rId52" Type="http://schemas.openxmlformats.org/officeDocument/2006/relationships/hyperlink" Target="https://www.aph.gov.au/Parliamentary_Business/Committees/House/Health_Aged_Care_and_Sport/Newdrugs/Report" TargetMode="External"/><Relationship Id="rId73" Type="http://schemas.openxmlformats.org/officeDocument/2006/relationships/hyperlink" Target="https://www.health.gov.au/resources/publications/national-medicines-policy?language=en" TargetMode="External"/><Relationship Id="rId78" Type="http://schemas.openxmlformats.org/officeDocument/2006/relationships/hyperlink" Target="https://www.aph.gov.au/Parliamentary_Business/Committees/House/Health_Aged_Care_and_Sport/Newdrugs/Report" TargetMode="External"/><Relationship Id="rId94" Type="http://schemas.openxmlformats.org/officeDocument/2006/relationships/hyperlink" Target="https://www.oaic.gov.au/freedom-of-information/freedom-of-information-guidance-for-government-agencies/more-guidance/statement-of-principles-to-support-proactive-disclosure-of-government-held-information" TargetMode="External"/><Relationship Id="rId99" Type="http://schemas.openxmlformats.org/officeDocument/2006/relationships/hyperlink" Target="https://www.pbs.gov.au/medicinestatus/home.html" TargetMode="External"/><Relationship Id="rId101" Type="http://schemas.openxmlformats.org/officeDocument/2006/relationships/hyperlink" Target="https://www.pbs.gov.au/info/industry/listing/elements/pbac-meetings" TargetMode="External"/><Relationship Id="rId122" Type="http://schemas.openxmlformats.org/officeDocument/2006/relationships/hyperlink" Target="https://www.health.gov.au/resources/publications/hta-policy-and-methods-review-draft-paper-optimised-real-world-evidence-to-support-health-technology-assessment-in-australia?language=en" TargetMode="External"/><Relationship Id="rId143" Type="http://schemas.openxmlformats.org/officeDocument/2006/relationships/hyperlink" Target="https://www.health.gov.au/resources/publications/hta-policy-and-methods-review-draft-paper-optimised-real-world-evidence-to-support-health-technology-assessment-in-australia?language=en" TargetMode="External"/><Relationship Id="rId148" Type="http://schemas.openxmlformats.org/officeDocument/2006/relationships/hyperlink" Target="https://www.pbs.gov.au/info/industry/listing/elements/pbac-meetings/psd/2022-03/zanubrutinib-capsule-80-mg-brukinsa" TargetMode="External"/><Relationship Id="rId164" Type="http://schemas.openxmlformats.org/officeDocument/2006/relationships/hyperlink" Target="http://www.msac.gov.au/internet/msac/publishing.nsf/Content/Documents-for-Applicants-and-Assessment-Groups" TargetMode="External"/><Relationship Id="rId169" Type="http://schemas.openxmlformats.org/officeDocument/2006/relationships/hyperlink" Target="https://www.nejm.org/doi/10.1056/NEJMc2312345" TargetMode="External"/><Relationship Id="rId185" Type="http://schemas.openxmlformats.org/officeDocument/2006/relationships/hyperlink" Target="https://www.pbs.gov.au/info/general/medicines-industry-strategic-agreement" TargetMode="External"/><Relationship Id="rId4" Type="http://schemas.openxmlformats.org/officeDocument/2006/relationships/hyperlink" Target="https://www.pbs.gov.au/info/general/medicines-industry-strategic-agreement" TargetMode="External"/><Relationship Id="rId9" Type="http://schemas.openxmlformats.org/officeDocument/2006/relationships/hyperlink" Target="https://www.aph.gov.au/Parliamentary_Business/Committees/House/Health_Aged_Care_and_Sport/Newdrugs/Report" TargetMode="External"/><Relationship Id="rId180" Type="http://schemas.openxmlformats.org/officeDocument/2006/relationships/hyperlink" Target="https://ohta-consultations.health.gov.au/ohta/hta-review-consultation1/consultation/view_respondent?show_all_questions=0&amp;sort=submitted&amp;order=ascending&amp;_q__text=cancer&amp;uuId=321695590" TargetMode="External"/><Relationship Id="rId26" Type="http://schemas.openxmlformats.org/officeDocument/2006/relationships/hyperlink" Target="https://www.medicinesaustralia.com.au/publications/medicines-matter/"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53A6E"/>
      </a:dk2>
      <a:lt2>
        <a:srgbClr val="E7E6E6"/>
      </a:lt2>
      <a:accent1>
        <a:srgbClr val="1D437F"/>
      </a:accent1>
      <a:accent2>
        <a:srgbClr val="AA176D"/>
      </a:accent2>
      <a:accent3>
        <a:srgbClr val="00808A"/>
      </a:accent3>
      <a:accent4>
        <a:srgbClr val="1390CF"/>
      </a:accent4>
      <a:accent5>
        <a:srgbClr val="ACC02A"/>
      </a:accent5>
      <a:accent6>
        <a:srgbClr val="00B4D0"/>
      </a:accent6>
      <a:hlink>
        <a:srgbClr val="0E6C9B"/>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4876c76-5897-4d5d-ac80-954d0599e137" xsi:nil="true"/>
    <lcf76f155ced4ddcb4097134ff3c332f xmlns="01920aa1-7832-453e-a147-98c77996387c">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EE71144B0A72D48BAD5085EFC329F68" ma:contentTypeVersion="16" ma:contentTypeDescription="Create a new document." ma:contentTypeScope="" ma:versionID="3b368dc8a2b8b31f5f834a0327a44a56">
  <xsd:schema xmlns:xsd="http://www.w3.org/2001/XMLSchema" xmlns:xs="http://www.w3.org/2001/XMLSchema" xmlns:p="http://schemas.microsoft.com/office/2006/metadata/properties" xmlns:ns2="c4876c76-5897-4d5d-ac80-954d0599e137" xmlns:ns3="01920aa1-7832-453e-a147-98c77996387c" targetNamespace="http://schemas.microsoft.com/office/2006/metadata/properties" ma:root="true" ma:fieldsID="e67780a3b9c0d6ec2d453ca394bc367e" ns2:_="" ns3:_="">
    <xsd:import namespace="c4876c76-5897-4d5d-ac80-954d0599e137"/>
    <xsd:import namespace="01920aa1-7832-453e-a147-98c77996387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ObjectDetectorVersions" minOccurs="0"/>
                <xsd:element ref="ns3:MediaServiceDateTake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876c76-5897-4d5d-ac80-954d0599e13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074fb71-3d31-424b-8837-24a0ba3e9c61}" ma:internalName="TaxCatchAll" ma:showField="CatchAllData" ma:web="c4876c76-5897-4d5d-ac80-954d0599e13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1920aa1-7832-453e-a147-98c77996387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B74354-C9C9-4088-8D11-CBD79022C568}">
  <ds:schemaRefs>
    <ds:schemaRef ds:uri="http://schemas.microsoft.com/office/infopath/2007/PartnerControls"/>
    <ds:schemaRef ds:uri="http://purl.org/dc/elements/1.1/"/>
    <ds:schemaRef ds:uri="http://schemas.microsoft.com/office/2006/metadata/properties"/>
    <ds:schemaRef ds:uri="c4876c76-5897-4d5d-ac80-954d0599e137"/>
    <ds:schemaRef ds:uri="http://purl.org/dc/terms/"/>
    <ds:schemaRef ds:uri="http://schemas.openxmlformats.org/package/2006/metadata/core-properties"/>
    <ds:schemaRef ds:uri="http://schemas.microsoft.com/office/2006/documentManagement/types"/>
    <ds:schemaRef ds:uri="01920aa1-7832-453e-a147-98c77996387c"/>
    <ds:schemaRef ds:uri="http://www.w3.org/XML/1998/namespace"/>
    <ds:schemaRef ds:uri="http://purl.org/dc/dcmitype/"/>
  </ds:schemaRefs>
</ds:datastoreItem>
</file>

<file path=customXml/itemProps2.xml><?xml version="1.0" encoding="utf-8"?>
<ds:datastoreItem xmlns:ds="http://schemas.openxmlformats.org/officeDocument/2006/customXml" ds:itemID="{10EF3B94-F7B4-456C-8B62-392D647E2EAE}">
  <ds:schemaRefs>
    <ds:schemaRef ds:uri="http://schemas.openxmlformats.org/officeDocument/2006/bibliography"/>
  </ds:schemaRefs>
</ds:datastoreItem>
</file>

<file path=customXml/itemProps3.xml><?xml version="1.0" encoding="utf-8"?>
<ds:datastoreItem xmlns:ds="http://schemas.openxmlformats.org/officeDocument/2006/customXml" ds:itemID="{858EA4C7-1825-4954-9B83-4EDA1F5AE9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876c76-5897-4d5d-ac80-954d0599e137"/>
    <ds:schemaRef ds:uri="01920aa1-7832-453e-a147-98c7799638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EACDE8-D940-4EB7-B430-B0FBF9F04C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236</Pages>
  <Words>67094</Words>
  <Characters>402772</Characters>
  <Application>Microsoft Office Word</Application>
  <DocSecurity>0</DocSecurity>
  <Lines>7454</Lines>
  <Paragraphs>2624</Paragraphs>
  <ScaleCrop>false</ScaleCrop>
  <HeadingPairs>
    <vt:vector size="2" baseType="variant">
      <vt:variant>
        <vt:lpstr>Title</vt:lpstr>
      </vt:variant>
      <vt:variant>
        <vt:i4>1</vt:i4>
      </vt:variant>
    </vt:vector>
  </HeadingPairs>
  <TitlesOfParts>
    <vt:vector size="1" baseType="lpstr">
      <vt:lpstr>Health Technology Assessment Policy and Methods Review – Final report</vt:lpstr>
    </vt:vector>
  </TitlesOfParts>
  <Company/>
  <LinksUpToDate>false</LinksUpToDate>
  <CharactersWithSpaces>468563</CharactersWithSpaces>
  <SharedDoc>false</SharedDoc>
  <HLinks>
    <vt:vector size="1836" baseType="variant">
      <vt:variant>
        <vt:i4>1376307</vt:i4>
      </vt:variant>
      <vt:variant>
        <vt:i4>695</vt:i4>
      </vt:variant>
      <vt:variant>
        <vt:i4>0</vt:i4>
      </vt:variant>
      <vt:variant>
        <vt:i4>5</vt:i4>
      </vt:variant>
      <vt:variant>
        <vt:lpwstr/>
      </vt:variant>
      <vt:variant>
        <vt:lpwstr>_Toc171935093</vt:lpwstr>
      </vt:variant>
      <vt:variant>
        <vt:i4>1376307</vt:i4>
      </vt:variant>
      <vt:variant>
        <vt:i4>689</vt:i4>
      </vt:variant>
      <vt:variant>
        <vt:i4>0</vt:i4>
      </vt:variant>
      <vt:variant>
        <vt:i4>5</vt:i4>
      </vt:variant>
      <vt:variant>
        <vt:lpwstr/>
      </vt:variant>
      <vt:variant>
        <vt:lpwstr>_Toc171935092</vt:lpwstr>
      </vt:variant>
      <vt:variant>
        <vt:i4>1376307</vt:i4>
      </vt:variant>
      <vt:variant>
        <vt:i4>683</vt:i4>
      </vt:variant>
      <vt:variant>
        <vt:i4>0</vt:i4>
      </vt:variant>
      <vt:variant>
        <vt:i4>5</vt:i4>
      </vt:variant>
      <vt:variant>
        <vt:lpwstr/>
      </vt:variant>
      <vt:variant>
        <vt:lpwstr>_Toc171935091</vt:lpwstr>
      </vt:variant>
      <vt:variant>
        <vt:i4>1376307</vt:i4>
      </vt:variant>
      <vt:variant>
        <vt:i4>677</vt:i4>
      </vt:variant>
      <vt:variant>
        <vt:i4>0</vt:i4>
      </vt:variant>
      <vt:variant>
        <vt:i4>5</vt:i4>
      </vt:variant>
      <vt:variant>
        <vt:lpwstr/>
      </vt:variant>
      <vt:variant>
        <vt:lpwstr>_Toc171935090</vt:lpwstr>
      </vt:variant>
      <vt:variant>
        <vt:i4>1310771</vt:i4>
      </vt:variant>
      <vt:variant>
        <vt:i4>671</vt:i4>
      </vt:variant>
      <vt:variant>
        <vt:i4>0</vt:i4>
      </vt:variant>
      <vt:variant>
        <vt:i4>5</vt:i4>
      </vt:variant>
      <vt:variant>
        <vt:lpwstr/>
      </vt:variant>
      <vt:variant>
        <vt:lpwstr>_Toc171935089</vt:lpwstr>
      </vt:variant>
      <vt:variant>
        <vt:i4>1048629</vt:i4>
      </vt:variant>
      <vt:variant>
        <vt:i4>662</vt:i4>
      </vt:variant>
      <vt:variant>
        <vt:i4>0</vt:i4>
      </vt:variant>
      <vt:variant>
        <vt:i4>5</vt:i4>
      </vt:variant>
      <vt:variant>
        <vt:lpwstr/>
      </vt:variant>
      <vt:variant>
        <vt:lpwstr>_Toc171948110</vt:lpwstr>
      </vt:variant>
      <vt:variant>
        <vt:i4>1114165</vt:i4>
      </vt:variant>
      <vt:variant>
        <vt:i4>656</vt:i4>
      </vt:variant>
      <vt:variant>
        <vt:i4>0</vt:i4>
      </vt:variant>
      <vt:variant>
        <vt:i4>5</vt:i4>
      </vt:variant>
      <vt:variant>
        <vt:lpwstr/>
      </vt:variant>
      <vt:variant>
        <vt:lpwstr>_Toc171948109</vt:lpwstr>
      </vt:variant>
      <vt:variant>
        <vt:i4>1114165</vt:i4>
      </vt:variant>
      <vt:variant>
        <vt:i4>650</vt:i4>
      </vt:variant>
      <vt:variant>
        <vt:i4>0</vt:i4>
      </vt:variant>
      <vt:variant>
        <vt:i4>5</vt:i4>
      </vt:variant>
      <vt:variant>
        <vt:lpwstr/>
      </vt:variant>
      <vt:variant>
        <vt:lpwstr>_Toc171948108</vt:lpwstr>
      </vt:variant>
      <vt:variant>
        <vt:i4>1114165</vt:i4>
      </vt:variant>
      <vt:variant>
        <vt:i4>644</vt:i4>
      </vt:variant>
      <vt:variant>
        <vt:i4>0</vt:i4>
      </vt:variant>
      <vt:variant>
        <vt:i4>5</vt:i4>
      </vt:variant>
      <vt:variant>
        <vt:lpwstr/>
      </vt:variant>
      <vt:variant>
        <vt:lpwstr>_Toc171948107</vt:lpwstr>
      </vt:variant>
      <vt:variant>
        <vt:i4>4587598</vt:i4>
      </vt:variant>
      <vt:variant>
        <vt:i4>639</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1114131</vt:i4>
      </vt:variant>
      <vt:variant>
        <vt:i4>636</vt:i4>
      </vt:variant>
      <vt:variant>
        <vt:i4>0</vt:i4>
      </vt:variant>
      <vt:variant>
        <vt:i4>5</vt:i4>
      </vt:variant>
      <vt:variant>
        <vt:lpwstr>https://www.health.gov.au/resources/publications/hta-policy-and-methods-review-draft-paper-funding-and-purchasing-decisions-and-managing-uncertainty?language=en</vt:lpwstr>
      </vt:variant>
      <vt:variant>
        <vt:lpwstr/>
      </vt:variant>
      <vt:variant>
        <vt:i4>6291495</vt:i4>
      </vt:variant>
      <vt:variant>
        <vt:i4>633</vt:i4>
      </vt:variant>
      <vt:variant>
        <vt:i4>0</vt:i4>
      </vt:variant>
      <vt:variant>
        <vt:i4>5</vt:i4>
      </vt:variant>
      <vt:variant>
        <vt:lpwstr>https://www.health.gov.au/resources/publications/hta-policy-and-methods-review-draft-paper-hta-methods-economic-evaluation?language=en</vt:lpwstr>
      </vt:variant>
      <vt:variant>
        <vt:lpwstr/>
      </vt:variant>
      <vt:variant>
        <vt:i4>8323121</vt:i4>
      </vt:variant>
      <vt:variant>
        <vt:i4>630</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5439577</vt:i4>
      </vt:variant>
      <vt:variant>
        <vt:i4>627</vt:i4>
      </vt:variant>
      <vt:variant>
        <vt:i4>0</vt:i4>
      </vt:variant>
      <vt:variant>
        <vt:i4>5</vt:i4>
      </vt:variant>
      <vt:variant>
        <vt:lpwstr>https://ohta-consultations.health.gov.au/ohta/hta-review-consultation1/consultation/published_select_respondent</vt:lpwstr>
      </vt:variant>
      <vt:variant>
        <vt:lpwstr/>
      </vt:variant>
      <vt:variant>
        <vt:i4>6488188</vt:i4>
      </vt:variant>
      <vt:variant>
        <vt:i4>624</vt:i4>
      </vt:variant>
      <vt:variant>
        <vt:i4>0</vt:i4>
      </vt:variant>
      <vt:variant>
        <vt:i4>5</vt:i4>
      </vt:variant>
      <vt:variant>
        <vt:lpwstr>https://www.health.gov.au/resources/publications/health-technology-assessment-policy-and-methods-review-terms-of-reference?language=en</vt:lpwstr>
      </vt:variant>
      <vt:variant>
        <vt:lpwstr/>
      </vt:variant>
      <vt:variant>
        <vt:i4>7864432</vt:i4>
      </vt:variant>
      <vt:variant>
        <vt:i4>621</vt:i4>
      </vt:variant>
      <vt:variant>
        <vt:i4>0</vt:i4>
      </vt:variant>
      <vt:variant>
        <vt:i4>5</vt:i4>
      </vt:variant>
      <vt:variant>
        <vt:lpwstr>https://www.health.gov.au/resources/publications/hta-policy-and-methods-review-draft-paper-emerging-health-technologies?language=en</vt:lpwstr>
      </vt:variant>
      <vt:variant>
        <vt:lpwstr/>
      </vt:variant>
      <vt:variant>
        <vt:i4>4194376</vt:i4>
      </vt:variant>
      <vt:variant>
        <vt:i4>618</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4587598</vt:i4>
      </vt:variant>
      <vt:variant>
        <vt:i4>615</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1114131</vt:i4>
      </vt:variant>
      <vt:variant>
        <vt:i4>612</vt:i4>
      </vt:variant>
      <vt:variant>
        <vt:i4>0</vt:i4>
      </vt:variant>
      <vt:variant>
        <vt:i4>5</vt:i4>
      </vt:variant>
      <vt:variant>
        <vt:lpwstr>https://www.health.gov.au/resources/publications/hta-policy-and-methods-review-draft-paper-funding-and-purchasing-decisions-and-managing-uncertainty?language=en</vt:lpwstr>
      </vt:variant>
      <vt:variant>
        <vt:lpwstr/>
      </vt:variant>
      <vt:variant>
        <vt:i4>6291495</vt:i4>
      </vt:variant>
      <vt:variant>
        <vt:i4>609</vt:i4>
      </vt:variant>
      <vt:variant>
        <vt:i4>0</vt:i4>
      </vt:variant>
      <vt:variant>
        <vt:i4>5</vt:i4>
      </vt:variant>
      <vt:variant>
        <vt:lpwstr>https://www.health.gov.au/resources/publications/hta-policy-and-methods-review-draft-paper-hta-methods-economic-evaluation?language=en</vt:lpwstr>
      </vt:variant>
      <vt:variant>
        <vt:lpwstr/>
      </vt:variant>
      <vt:variant>
        <vt:i4>8323121</vt:i4>
      </vt:variant>
      <vt:variant>
        <vt:i4>606</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5832712</vt:i4>
      </vt:variant>
      <vt:variant>
        <vt:i4>603</vt:i4>
      </vt:variant>
      <vt:variant>
        <vt:i4>0</vt:i4>
      </vt:variant>
      <vt:variant>
        <vt:i4>5</vt:i4>
      </vt:variant>
      <vt:variant>
        <vt:lpwstr>https://www.health.gov.au/resources/publications/health-technology-assessment-policy-and-methods-review-consultation-1-report</vt:lpwstr>
      </vt:variant>
      <vt:variant>
        <vt:lpwstr/>
      </vt:variant>
      <vt:variant>
        <vt:i4>4259935</vt:i4>
      </vt:variant>
      <vt:variant>
        <vt:i4>600</vt:i4>
      </vt:variant>
      <vt:variant>
        <vt:i4>0</vt:i4>
      </vt:variant>
      <vt:variant>
        <vt:i4>5</vt:i4>
      </vt:variant>
      <vt:variant>
        <vt:lpwstr>https://www.pbs.gov.au/info/industry/listing/elements/pbac-meetings/psd/2022-07/Review-of-the-base-discount-rate-in-the-PBAC-Guidelines-July-2022</vt:lpwstr>
      </vt:variant>
      <vt:variant>
        <vt:lpwstr/>
      </vt:variant>
      <vt:variant>
        <vt:i4>262222</vt:i4>
      </vt:variant>
      <vt:variant>
        <vt:i4>597</vt:i4>
      </vt:variant>
      <vt:variant>
        <vt:i4>0</vt:i4>
      </vt:variant>
      <vt:variant>
        <vt:i4>5</vt:i4>
      </vt:variant>
      <vt:variant>
        <vt:lpwstr>https://ohta-consultations.health.gov.au/ohta/review-of-discount-rate-in-the-pbac-guidelines-pha/</vt:lpwstr>
      </vt:variant>
      <vt:variant>
        <vt:lpwstr/>
      </vt:variant>
      <vt:variant>
        <vt:i4>544931967</vt:i4>
      </vt:variant>
      <vt:variant>
        <vt:i4>594</vt:i4>
      </vt:variant>
      <vt:variant>
        <vt:i4>0</vt:i4>
      </vt:variant>
      <vt:variant>
        <vt:i4>5</vt:i4>
      </vt:variant>
      <vt:variant>
        <vt:lpwstr>https://healthgov.sharepoint.com/sites/HTAReview-External/Shared Documents/Reference Committee documents/For Review - Draft Report/•%09https:/www.health.gov.au/resources/publications/inquiry-into-approval-processes-for-new-drugs-and-novel-medical-technologies-in-australia?language=en</vt:lpwstr>
      </vt:variant>
      <vt:variant>
        <vt:lpwstr/>
      </vt:variant>
      <vt:variant>
        <vt:i4>7012475</vt:i4>
      </vt:variant>
      <vt:variant>
        <vt:i4>591</vt:i4>
      </vt:variant>
      <vt:variant>
        <vt:i4>0</vt:i4>
      </vt:variant>
      <vt:variant>
        <vt:i4>5</vt:i4>
      </vt:variant>
      <vt:variant>
        <vt:lpwstr>https://www.closingthegap.gov.au/national-agreement</vt:lpwstr>
      </vt:variant>
      <vt:variant>
        <vt:lpwstr/>
      </vt:variant>
      <vt:variant>
        <vt:i4>537133068</vt:i4>
      </vt:variant>
      <vt:variant>
        <vt:i4>588</vt:i4>
      </vt:variant>
      <vt:variant>
        <vt:i4>0</vt:i4>
      </vt:variant>
      <vt:variant>
        <vt:i4>5</vt:i4>
      </vt:variant>
      <vt:variant>
        <vt:lpwstr>https://healthgov.sharepoint.com/sites/HTAReview-External/Shared Documents/Reference Committee documents/For Review - Draft Report/•%09https:/www.health.gov.au/resources/publications/national-medicines-policy?language=en</vt:lpwstr>
      </vt:variant>
      <vt:variant>
        <vt:lpwstr/>
      </vt:variant>
      <vt:variant>
        <vt:i4>542900297</vt:i4>
      </vt:variant>
      <vt:variant>
        <vt:i4>585</vt:i4>
      </vt:variant>
      <vt:variant>
        <vt:i4>0</vt:i4>
      </vt:variant>
      <vt:variant>
        <vt:i4>5</vt:i4>
      </vt:variant>
      <vt:variant>
        <vt:lpwstr>https://healthgov.sharepoint.com/sites/HTAReview-External/Shared Documents/Reference Committee documents/For Review - Draft Report/•%09https:/www.medicinesaustralia.com.au/policy/strategic-agreement-2022-2027</vt:lpwstr>
      </vt:variant>
      <vt:variant>
        <vt:lpwstr/>
      </vt:variant>
      <vt:variant>
        <vt:i4>2097188</vt:i4>
      </vt:variant>
      <vt:variant>
        <vt:i4>582</vt:i4>
      </vt:variant>
      <vt:variant>
        <vt:i4>0</vt:i4>
      </vt:variant>
      <vt:variant>
        <vt:i4>5</vt:i4>
      </vt:variant>
      <vt:variant>
        <vt:lpwstr>https://www.health.gov.au/resources/publications/health-technology-assessment-policy-and-methods-review-terms-of-reference</vt:lpwstr>
      </vt:variant>
      <vt:variant>
        <vt:lpwstr/>
      </vt:variant>
      <vt:variant>
        <vt:i4>8257579</vt:i4>
      </vt:variant>
      <vt:variant>
        <vt:i4>579</vt:i4>
      </vt:variant>
      <vt:variant>
        <vt:i4>0</vt:i4>
      </vt:variant>
      <vt:variant>
        <vt:i4>5</vt:i4>
      </vt:variant>
      <vt:variant>
        <vt:lpwstr>https://www.health.gov.au/resources/publications/national-medicines-policy?language=en</vt:lpwstr>
      </vt:variant>
      <vt:variant>
        <vt:lpwstr/>
      </vt:variant>
      <vt:variant>
        <vt:i4>262217</vt:i4>
      </vt:variant>
      <vt:variant>
        <vt:i4>576</vt:i4>
      </vt:variant>
      <vt:variant>
        <vt:i4>0</vt:i4>
      </vt:variant>
      <vt:variant>
        <vt:i4>5</vt:i4>
      </vt:variant>
      <vt:variant>
        <vt:lpwstr>https://www.health.gov.au/our-work/2020-25-national-health-reform-agreement-nhra</vt:lpwstr>
      </vt:variant>
      <vt:variant>
        <vt:lpwstr/>
      </vt:variant>
      <vt:variant>
        <vt:i4>7012475</vt:i4>
      </vt:variant>
      <vt:variant>
        <vt:i4>570</vt:i4>
      </vt:variant>
      <vt:variant>
        <vt:i4>0</vt:i4>
      </vt:variant>
      <vt:variant>
        <vt:i4>5</vt:i4>
      </vt:variant>
      <vt:variant>
        <vt:lpwstr>https://www.closingthegap.gov.au/national-agreement</vt:lpwstr>
      </vt:variant>
      <vt:variant>
        <vt:lpwstr/>
      </vt:variant>
      <vt:variant>
        <vt:i4>6291495</vt:i4>
      </vt:variant>
      <vt:variant>
        <vt:i4>564</vt:i4>
      </vt:variant>
      <vt:variant>
        <vt:i4>0</vt:i4>
      </vt:variant>
      <vt:variant>
        <vt:i4>5</vt:i4>
      </vt:variant>
      <vt:variant>
        <vt:lpwstr>https://www.health.gov.au/resources/publications/hta-policy-and-methods-review-draft-paper-hta-methods-economic-evaluation?language=en</vt:lpwstr>
      </vt:variant>
      <vt:variant>
        <vt:lpwstr/>
      </vt:variant>
      <vt:variant>
        <vt:i4>2752623</vt:i4>
      </vt:variant>
      <vt:variant>
        <vt:i4>555</vt:i4>
      </vt:variant>
      <vt:variant>
        <vt:i4>0</vt:i4>
      </vt:variant>
      <vt:variant>
        <vt:i4>5</vt:i4>
      </vt:variant>
      <vt:variant>
        <vt:lpwstr>http://www.msac.gov.au/internet/msac/publishing.nsf/Content/MSAC-Guidelines</vt:lpwstr>
      </vt:variant>
      <vt:variant>
        <vt:lpwstr/>
      </vt:variant>
      <vt:variant>
        <vt:i4>7864366</vt:i4>
      </vt:variant>
      <vt:variant>
        <vt:i4>552</vt:i4>
      </vt:variant>
      <vt:variant>
        <vt:i4>0</vt:i4>
      </vt:variant>
      <vt:variant>
        <vt:i4>5</vt:i4>
      </vt:variant>
      <vt:variant>
        <vt:lpwstr>https://pbac.pbs.gov.au/information/table-of-contents.html</vt:lpwstr>
      </vt:variant>
      <vt:variant>
        <vt:lpwstr/>
      </vt:variant>
      <vt:variant>
        <vt:i4>1638471</vt:i4>
      </vt:variant>
      <vt:variant>
        <vt:i4>480</vt:i4>
      </vt:variant>
      <vt:variant>
        <vt:i4>0</vt:i4>
      </vt:variant>
      <vt:variant>
        <vt:i4>5</vt:i4>
      </vt:variant>
      <vt:variant>
        <vt:lpwstr>https://www.health.gov.au/resources/publications/atagi-pre-submission-advice-for-industry-sponsors-wishing-to-make-a-pbac-submission?language=und</vt:lpwstr>
      </vt:variant>
      <vt:variant>
        <vt:lpwstr/>
      </vt:variant>
      <vt:variant>
        <vt:i4>2949218</vt:i4>
      </vt:variant>
      <vt:variant>
        <vt:i4>459</vt:i4>
      </vt:variant>
      <vt:variant>
        <vt:i4>0</vt:i4>
      </vt:variant>
      <vt:variant>
        <vt:i4>5</vt:i4>
      </vt:variant>
      <vt:variant>
        <vt:lpwstr>https://www.closingthegap.gov.au/national-agreement/national-agreement-closing-the-gap</vt:lpwstr>
      </vt:variant>
      <vt:variant>
        <vt:lpwstr/>
      </vt:variant>
      <vt:variant>
        <vt:i4>7012475</vt:i4>
      </vt:variant>
      <vt:variant>
        <vt:i4>456</vt:i4>
      </vt:variant>
      <vt:variant>
        <vt:i4>0</vt:i4>
      </vt:variant>
      <vt:variant>
        <vt:i4>5</vt:i4>
      </vt:variant>
      <vt:variant>
        <vt:lpwstr>https://www.closingthegap.gov.au/national-agreement</vt:lpwstr>
      </vt:variant>
      <vt:variant>
        <vt:lpwstr/>
      </vt:variant>
      <vt:variant>
        <vt:i4>1900602</vt:i4>
      </vt:variant>
      <vt:variant>
        <vt:i4>428</vt:i4>
      </vt:variant>
      <vt:variant>
        <vt:i4>0</vt:i4>
      </vt:variant>
      <vt:variant>
        <vt:i4>5</vt:i4>
      </vt:variant>
      <vt:variant>
        <vt:lpwstr/>
      </vt:variant>
      <vt:variant>
        <vt:lpwstr>_Toc171935911</vt:lpwstr>
      </vt:variant>
      <vt:variant>
        <vt:i4>1900602</vt:i4>
      </vt:variant>
      <vt:variant>
        <vt:i4>422</vt:i4>
      </vt:variant>
      <vt:variant>
        <vt:i4>0</vt:i4>
      </vt:variant>
      <vt:variant>
        <vt:i4>5</vt:i4>
      </vt:variant>
      <vt:variant>
        <vt:lpwstr/>
      </vt:variant>
      <vt:variant>
        <vt:lpwstr>_Toc171935910</vt:lpwstr>
      </vt:variant>
      <vt:variant>
        <vt:i4>1835066</vt:i4>
      </vt:variant>
      <vt:variant>
        <vt:i4>416</vt:i4>
      </vt:variant>
      <vt:variant>
        <vt:i4>0</vt:i4>
      </vt:variant>
      <vt:variant>
        <vt:i4>5</vt:i4>
      </vt:variant>
      <vt:variant>
        <vt:lpwstr/>
      </vt:variant>
      <vt:variant>
        <vt:lpwstr>_Toc171935909</vt:lpwstr>
      </vt:variant>
      <vt:variant>
        <vt:i4>1835066</vt:i4>
      </vt:variant>
      <vt:variant>
        <vt:i4>410</vt:i4>
      </vt:variant>
      <vt:variant>
        <vt:i4>0</vt:i4>
      </vt:variant>
      <vt:variant>
        <vt:i4>5</vt:i4>
      </vt:variant>
      <vt:variant>
        <vt:lpwstr/>
      </vt:variant>
      <vt:variant>
        <vt:lpwstr>_Toc171935908</vt:lpwstr>
      </vt:variant>
      <vt:variant>
        <vt:i4>1835066</vt:i4>
      </vt:variant>
      <vt:variant>
        <vt:i4>404</vt:i4>
      </vt:variant>
      <vt:variant>
        <vt:i4>0</vt:i4>
      </vt:variant>
      <vt:variant>
        <vt:i4>5</vt:i4>
      </vt:variant>
      <vt:variant>
        <vt:lpwstr/>
      </vt:variant>
      <vt:variant>
        <vt:lpwstr>_Toc171935907</vt:lpwstr>
      </vt:variant>
      <vt:variant>
        <vt:i4>1835066</vt:i4>
      </vt:variant>
      <vt:variant>
        <vt:i4>398</vt:i4>
      </vt:variant>
      <vt:variant>
        <vt:i4>0</vt:i4>
      </vt:variant>
      <vt:variant>
        <vt:i4>5</vt:i4>
      </vt:variant>
      <vt:variant>
        <vt:lpwstr/>
      </vt:variant>
      <vt:variant>
        <vt:lpwstr>_Toc171935906</vt:lpwstr>
      </vt:variant>
      <vt:variant>
        <vt:i4>1835066</vt:i4>
      </vt:variant>
      <vt:variant>
        <vt:i4>392</vt:i4>
      </vt:variant>
      <vt:variant>
        <vt:i4>0</vt:i4>
      </vt:variant>
      <vt:variant>
        <vt:i4>5</vt:i4>
      </vt:variant>
      <vt:variant>
        <vt:lpwstr/>
      </vt:variant>
      <vt:variant>
        <vt:lpwstr>_Toc171935905</vt:lpwstr>
      </vt:variant>
      <vt:variant>
        <vt:i4>1835066</vt:i4>
      </vt:variant>
      <vt:variant>
        <vt:i4>386</vt:i4>
      </vt:variant>
      <vt:variant>
        <vt:i4>0</vt:i4>
      </vt:variant>
      <vt:variant>
        <vt:i4>5</vt:i4>
      </vt:variant>
      <vt:variant>
        <vt:lpwstr/>
      </vt:variant>
      <vt:variant>
        <vt:lpwstr>_Toc171935904</vt:lpwstr>
      </vt:variant>
      <vt:variant>
        <vt:i4>1835066</vt:i4>
      </vt:variant>
      <vt:variant>
        <vt:i4>380</vt:i4>
      </vt:variant>
      <vt:variant>
        <vt:i4>0</vt:i4>
      </vt:variant>
      <vt:variant>
        <vt:i4>5</vt:i4>
      </vt:variant>
      <vt:variant>
        <vt:lpwstr/>
      </vt:variant>
      <vt:variant>
        <vt:lpwstr>_Toc171935903</vt:lpwstr>
      </vt:variant>
      <vt:variant>
        <vt:i4>1835066</vt:i4>
      </vt:variant>
      <vt:variant>
        <vt:i4>374</vt:i4>
      </vt:variant>
      <vt:variant>
        <vt:i4>0</vt:i4>
      </vt:variant>
      <vt:variant>
        <vt:i4>5</vt:i4>
      </vt:variant>
      <vt:variant>
        <vt:lpwstr/>
      </vt:variant>
      <vt:variant>
        <vt:lpwstr>_Toc171935902</vt:lpwstr>
      </vt:variant>
      <vt:variant>
        <vt:i4>1835066</vt:i4>
      </vt:variant>
      <vt:variant>
        <vt:i4>368</vt:i4>
      </vt:variant>
      <vt:variant>
        <vt:i4>0</vt:i4>
      </vt:variant>
      <vt:variant>
        <vt:i4>5</vt:i4>
      </vt:variant>
      <vt:variant>
        <vt:lpwstr/>
      </vt:variant>
      <vt:variant>
        <vt:lpwstr>_Toc171935901</vt:lpwstr>
      </vt:variant>
      <vt:variant>
        <vt:i4>1835066</vt:i4>
      </vt:variant>
      <vt:variant>
        <vt:i4>362</vt:i4>
      </vt:variant>
      <vt:variant>
        <vt:i4>0</vt:i4>
      </vt:variant>
      <vt:variant>
        <vt:i4>5</vt:i4>
      </vt:variant>
      <vt:variant>
        <vt:lpwstr/>
      </vt:variant>
      <vt:variant>
        <vt:lpwstr>_Toc171935900</vt:lpwstr>
      </vt:variant>
      <vt:variant>
        <vt:i4>1376315</vt:i4>
      </vt:variant>
      <vt:variant>
        <vt:i4>356</vt:i4>
      </vt:variant>
      <vt:variant>
        <vt:i4>0</vt:i4>
      </vt:variant>
      <vt:variant>
        <vt:i4>5</vt:i4>
      </vt:variant>
      <vt:variant>
        <vt:lpwstr/>
      </vt:variant>
      <vt:variant>
        <vt:lpwstr>_Toc171935899</vt:lpwstr>
      </vt:variant>
      <vt:variant>
        <vt:i4>1376315</vt:i4>
      </vt:variant>
      <vt:variant>
        <vt:i4>350</vt:i4>
      </vt:variant>
      <vt:variant>
        <vt:i4>0</vt:i4>
      </vt:variant>
      <vt:variant>
        <vt:i4>5</vt:i4>
      </vt:variant>
      <vt:variant>
        <vt:lpwstr/>
      </vt:variant>
      <vt:variant>
        <vt:lpwstr>_Toc171935898</vt:lpwstr>
      </vt:variant>
      <vt:variant>
        <vt:i4>1376315</vt:i4>
      </vt:variant>
      <vt:variant>
        <vt:i4>344</vt:i4>
      </vt:variant>
      <vt:variant>
        <vt:i4>0</vt:i4>
      </vt:variant>
      <vt:variant>
        <vt:i4>5</vt:i4>
      </vt:variant>
      <vt:variant>
        <vt:lpwstr/>
      </vt:variant>
      <vt:variant>
        <vt:lpwstr>_Toc171935897</vt:lpwstr>
      </vt:variant>
      <vt:variant>
        <vt:i4>1376315</vt:i4>
      </vt:variant>
      <vt:variant>
        <vt:i4>338</vt:i4>
      </vt:variant>
      <vt:variant>
        <vt:i4>0</vt:i4>
      </vt:variant>
      <vt:variant>
        <vt:i4>5</vt:i4>
      </vt:variant>
      <vt:variant>
        <vt:lpwstr/>
      </vt:variant>
      <vt:variant>
        <vt:lpwstr>_Toc171935896</vt:lpwstr>
      </vt:variant>
      <vt:variant>
        <vt:i4>1376315</vt:i4>
      </vt:variant>
      <vt:variant>
        <vt:i4>332</vt:i4>
      </vt:variant>
      <vt:variant>
        <vt:i4>0</vt:i4>
      </vt:variant>
      <vt:variant>
        <vt:i4>5</vt:i4>
      </vt:variant>
      <vt:variant>
        <vt:lpwstr/>
      </vt:variant>
      <vt:variant>
        <vt:lpwstr>_Toc171935895</vt:lpwstr>
      </vt:variant>
      <vt:variant>
        <vt:i4>1376315</vt:i4>
      </vt:variant>
      <vt:variant>
        <vt:i4>326</vt:i4>
      </vt:variant>
      <vt:variant>
        <vt:i4>0</vt:i4>
      </vt:variant>
      <vt:variant>
        <vt:i4>5</vt:i4>
      </vt:variant>
      <vt:variant>
        <vt:lpwstr/>
      </vt:variant>
      <vt:variant>
        <vt:lpwstr>_Toc171935894</vt:lpwstr>
      </vt:variant>
      <vt:variant>
        <vt:i4>1376315</vt:i4>
      </vt:variant>
      <vt:variant>
        <vt:i4>320</vt:i4>
      </vt:variant>
      <vt:variant>
        <vt:i4>0</vt:i4>
      </vt:variant>
      <vt:variant>
        <vt:i4>5</vt:i4>
      </vt:variant>
      <vt:variant>
        <vt:lpwstr/>
      </vt:variant>
      <vt:variant>
        <vt:lpwstr>_Toc171935893</vt:lpwstr>
      </vt:variant>
      <vt:variant>
        <vt:i4>1376315</vt:i4>
      </vt:variant>
      <vt:variant>
        <vt:i4>314</vt:i4>
      </vt:variant>
      <vt:variant>
        <vt:i4>0</vt:i4>
      </vt:variant>
      <vt:variant>
        <vt:i4>5</vt:i4>
      </vt:variant>
      <vt:variant>
        <vt:lpwstr/>
      </vt:variant>
      <vt:variant>
        <vt:lpwstr>_Toc171935892</vt:lpwstr>
      </vt:variant>
      <vt:variant>
        <vt:i4>1376315</vt:i4>
      </vt:variant>
      <vt:variant>
        <vt:i4>308</vt:i4>
      </vt:variant>
      <vt:variant>
        <vt:i4>0</vt:i4>
      </vt:variant>
      <vt:variant>
        <vt:i4>5</vt:i4>
      </vt:variant>
      <vt:variant>
        <vt:lpwstr/>
      </vt:variant>
      <vt:variant>
        <vt:lpwstr>_Toc171935891</vt:lpwstr>
      </vt:variant>
      <vt:variant>
        <vt:i4>1376315</vt:i4>
      </vt:variant>
      <vt:variant>
        <vt:i4>302</vt:i4>
      </vt:variant>
      <vt:variant>
        <vt:i4>0</vt:i4>
      </vt:variant>
      <vt:variant>
        <vt:i4>5</vt:i4>
      </vt:variant>
      <vt:variant>
        <vt:lpwstr/>
      </vt:variant>
      <vt:variant>
        <vt:lpwstr>_Toc171935890</vt:lpwstr>
      </vt:variant>
      <vt:variant>
        <vt:i4>1310779</vt:i4>
      </vt:variant>
      <vt:variant>
        <vt:i4>296</vt:i4>
      </vt:variant>
      <vt:variant>
        <vt:i4>0</vt:i4>
      </vt:variant>
      <vt:variant>
        <vt:i4>5</vt:i4>
      </vt:variant>
      <vt:variant>
        <vt:lpwstr/>
      </vt:variant>
      <vt:variant>
        <vt:lpwstr>_Toc171935889</vt:lpwstr>
      </vt:variant>
      <vt:variant>
        <vt:i4>1310779</vt:i4>
      </vt:variant>
      <vt:variant>
        <vt:i4>290</vt:i4>
      </vt:variant>
      <vt:variant>
        <vt:i4>0</vt:i4>
      </vt:variant>
      <vt:variant>
        <vt:i4>5</vt:i4>
      </vt:variant>
      <vt:variant>
        <vt:lpwstr/>
      </vt:variant>
      <vt:variant>
        <vt:lpwstr>_Toc171935888</vt:lpwstr>
      </vt:variant>
      <vt:variant>
        <vt:i4>1310779</vt:i4>
      </vt:variant>
      <vt:variant>
        <vt:i4>284</vt:i4>
      </vt:variant>
      <vt:variant>
        <vt:i4>0</vt:i4>
      </vt:variant>
      <vt:variant>
        <vt:i4>5</vt:i4>
      </vt:variant>
      <vt:variant>
        <vt:lpwstr/>
      </vt:variant>
      <vt:variant>
        <vt:lpwstr>_Toc171935887</vt:lpwstr>
      </vt:variant>
      <vt:variant>
        <vt:i4>1310779</vt:i4>
      </vt:variant>
      <vt:variant>
        <vt:i4>278</vt:i4>
      </vt:variant>
      <vt:variant>
        <vt:i4>0</vt:i4>
      </vt:variant>
      <vt:variant>
        <vt:i4>5</vt:i4>
      </vt:variant>
      <vt:variant>
        <vt:lpwstr/>
      </vt:variant>
      <vt:variant>
        <vt:lpwstr>_Toc171935886</vt:lpwstr>
      </vt:variant>
      <vt:variant>
        <vt:i4>1310779</vt:i4>
      </vt:variant>
      <vt:variant>
        <vt:i4>272</vt:i4>
      </vt:variant>
      <vt:variant>
        <vt:i4>0</vt:i4>
      </vt:variant>
      <vt:variant>
        <vt:i4>5</vt:i4>
      </vt:variant>
      <vt:variant>
        <vt:lpwstr/>
      </vt:variant>
      <vt:variant>
        <vt:lpwstr>_Toc171935885</vt:lpwstr>
      </vt:variant>
      <vt:variant>
        <vt:i4>1310779</vt:i4>
      </vt:variant>
      <vt:variant>
        <vt:i4>266</vt:i4>
      </vt:variant>
      <vt:variant>
        <vt:i4>0</vt:i4>
      </vt:variant>
      <vt:variant>
        <vt:i4>5</vt:i4>
      </vt:variant>
      <vt:variant>
        <vt:lpwstr/>
      </vt:variant>
      <vt:variant>
        <vt:lpwstr>_Toc171935884</vt:lpwstr>
      </vt:variant>
      <vt:variant>
        <vt:i4>1310779</vt:i4>
      </vt:variant>
      <vt:variant>
        <vt:i4>260</vt:i4>
      </vt:variant>
      <vt:variant>
        <vt:i4>0</vt:i4>
      </vt:variant>
      <vt:variant>
        <vt:i4>5</vt:i4>
      </vt:variant>
      <vt:variant>
        <vt:lpwstr/>
      </vt:variant>
      <vt:variant>
        <vt:lpwstr>_Toc171935883</vt:lpwstr>
      </vt:variant>
      <vt:variant>
        <vt:i4>1310779</vt:i4>
      </vt:variant>
      <vt:variant>
        <vt:i4>254</vt:i4>
      </vt:variant>
      <vt:variant>
        <vt:i4>0</vt:i4>
      </vt:variant>
      <vt:variant>
        <vt:i4>5</vt:i4>
      </vt:variant>
      <vt:variant>
        <vt:lpwstr/>
      </vt:variant>
      <vt:variant>
        <vt:lpwstr>_Toc171935882</vt:lpwstr>
      </vt:variant>
      <vt:variant>
        <vt:i4>1310779</vt:i4>
      </vt:variant>
      <vt:variant>
        <vt:i4>248</vt:i4>
      </vt:variant>
      <vt:variant>
        <vt:i4>0</vt:i4>
      </vt:variant>
      <vt:variant>
        <vt:i4>5</vt:i4>
      </vt:variant>
      <vt:variant>
        <vt:lpwstr/>
      </vt:variant>
      <vt:variant>
        <vt:lpwstr>_Toc171935881</vt:lpwstr>
      </vt:variant>
      <vt:variant>
        <vt:i4>1310779</vt:i4>
      </vt:variant>
      <vt:variant>
        <vt:i4>242</vt:i4>
      </vt:variant>
      <vt:variant>
        <vt:i4>0</vt:i4>
      </vt:variant>
      <vt:variant>
        <vt:i4>5</vt:i4>
      </vt:variant>
      <vt:variant>
        <vt:lpwstr/>
      </vt:variant>
      <vt:variant>
        <vt:lpwstr>_Toc171935880</vt:lpwstr>
      </vt:variant>
      <vt:variant>
        <vt:i4>1769531</vt:i4>
      </vt:variant>
      <vt:variant>
        <vt:i4>236</vt:i4>
      </vt:variant>
      <vt:variant>
        <vt:i4>0</vt:i4>
      </vt:variant>
      <vt:variant>
        <vt:i4>5</vt:i4>
      </vt:variant>
      <vt:variant>
        <vt:lpwstr/>
      </vt:variant>
      <vt:variant>
        <vt:lpwstr>_Toc171935879</vt:lpwstr>
      </vt:variant>
      <vt:variant>
        <vt:i4>1769531</vt:i4>
      </vt:variant>
      <vt:variant>
        <vt:i4>230</vt:i4>
      </vt:variant>
      <vt:variant>
        <vt:i4>0</vt:i4>
      </vt:variant>
      <vt:variant>
        <vt:i4>5</vt:i4>
      </vt:variant>
      <vt:variant>
        <vt:lpwstr/>
      </vt:variant>
      <vt:variant>
        <vt:lpwstr>_Toc171935878</vt:lpwstr>
      </vt:variant>
      <vt:variant>
        <vt:i4>1769531</vt:i4>
      </vt:variant>
      <vt:variant>
        <vt:i4>224</vt:i4>
      </vt:variant>
      <vt:variant>
        <vt:i4>0</vt:i4>
      </vt:variant>
      <vt:variant>
        <vt:i4>5</vt:i4>
      </vt:variant>
      <vt:variant>
        <vt:lpwstr/>
      </vt:variant>
      <vt:variant>
        <vt:lpwstr>_Toc171935877</vt:lpwstr>
      </vt:variant>
      <vt:variant>
        <vt:i4>1769531</vt:i4>
      </vt:variant>
      <vt:variant>
        <vt:i4>218</vt:i4>
      </vt:variant>
      <vt:variant>
        <vt:i4>0</vt:i4>
      </vt:variant>
      <vt:variant>
        <vt:i4>5</vt:i4>
      </vt:variant>
      <vt:variant>
        <vt:lpwstr/>
      </vt:variant>
      <vt:variant>
        <vt:lpwstr>_Toc171935876</vt:lpwstr>
      </vt:variant>
      <vt:variant>
        <vt:i4>1769531</vt:i4>
      </vt:variant>
      <vt:variant>
        <vt:i4>212</vt:i4>
      </vt:variant>
      <vt:variant>
        <vt:i4>0</vt:i4>
      </vt:variant>
      <vt:variant>
        <vt:i4>5</vt:i4>
      </vt:variant>
      <vt:variant>
        <vt:lpwstr/>
      </vt:variant>
      <vt:variant>
        <vt:lpwstr>_Toc171935875</vt:lpwstr>
      </vt:variant>
      <vt:variant>
        <vt:i4>1769531</vt:i4>
      </vt:variant>
      <vt:variant>
        <vt:i4>206</vt:i4>
      </vt:variant>
      <vt:variant>
        <vt:i4>0</vt:i4>
      </vt:variant>
      <vt:variant>
        <vt:i4>5</vt:i4>
      </vt:variant>
      <vt:variant>
        <vt:lpwstr/>
      </vt:variant>
      <vt:variant>
        <vt:lpwstr>_Toc171935874</vt:lpwstr>
      </vt:variant>
      <vt:variant>
        <vt:i4>1769531</vt:i4>
      </vt:variant>
      <vt:variant>
        <vt:i4>200</vt:i4>
      </vt:variant>
      <vt:variant>
        <vt:i4>0</vt:i4>
      </vt:variant>
      <vt:variant>
        <vt:i4>5</vt:i4>
      </vt:variant>
      <vt:variant>
        <vt:lpwstr/>
      </vt:variant>
      <vt:variant>
        <vt:lpwstr>_Toc171935873</vt:lpwstr>
      </vt:variant>
      <vt:variant>
        <vt:i4>1769531</vt:i4>
      </vt:variant>
      <vt:variant>
        <vt:i4>194</vt:i4>
      </vt:variant>
      <vt:variant>
        <vt:i4>0</vt:i4>
      </vt:variant>
      <vt:variant>
        <vt:i4>5</vt:i4>
      </vt:variant>
      <vt:variant>
        <vt:lpwstr/>
      </vt:variant>
      <vt:variant>
        <vt:lpwstr>_Toc171935872</vt:lpwstr>
      </vt:variant>
      <vt:variant>
        <vt:i4>1769531</vt:i4>
      </vt:variant>
      <vt:variant>
        <vt:i4>188</vt:i4>
      </vt:variant>
      <vt:variant>
        <vt:i4>0</vt:i4>
      </vt:variant>
      <vt:variant>
        <vt:i4>5</vt:i4>
      </vt:variant>
      <vt:variant>
        <vt:lpwstr/>
      </vt:variant>
      <vt:variant>
        <vt:lpwstr>_Toc171935871</vt:lpwstr>
      </vt:variant>
      <vt:variant>
        <vt:i4>1769531</vt:i4>
      </vt:variant>
      <vt:variant>
        <vt:i4>182</vt:i4>
      </vt:variant>
      <vt:variant>
        <vt:i4>0</vt:i4>
      </vt:variant>
      <vt:variant>
        <vt:i4>5</vt:i4>
      </vt:variant>
      <vt:variant>
        <vt:lpwstr/>
      </vt:variant>
      <vt:variant>
        <vt:lpwstr>_Toc171935870</vt:lpwstr>
      </vt:variant>
      <vt:variant>
        <vt:i4>1703995</vt:i4>
      </vt:variant>
      <vt:variant>
        <vt:i4>176</vt:i4>
      </vt:variant>
      <vt:variant>
        <vt:i4>0</vt:i4>
      </vt:variant>
      <vt:variant>
        <vt:i4>5</vt:i4>
      </vt:variant>
      <vt:variant>
        <vt:lpwstr/>
      </vt:variant>
      <vt:variant>
        <vt:lpwstr>_Toc171935869</vt:lpwstr>
      </vt:variant>
      <vt:variant>
        <vt:i4>1703995</vt:i4>
      </vt:variant>
      <vt:variant>
        <vt:i4>170</vt:i4>
      </vt:variant>
      <vt:variant>
        <vt:i4>0</vt:i4>
      </vt:variant>
      <vt:variant>
        <vt:i4>5</vt:i4>
      </vt:variant>
      <vt:variant>
        <vt:lpwstr/>
      </vt:variant>
      <vt:variant>
        <vt:lpwstr>_Toc171935868</vt:lpwstr>
      </vt:variant>
      <vt:variant>
        <vt:i4>1703995</vt:i4>
      </vt:variant>
      <vt:variant>
        <vt:i4>164</vt:i4>
      </vt:variant>
      <vt:variant>
        <vt:i4>0</vt:i4>
      </vt:variant>
      <vt:variant>
        <vt:i4>5</vt:i4>
      </vt:variant>
      <vt:variant>
        <vt:lpwstr/>
      </vt:variant>
      <vt:variant>
        <vt:lpwstr>_Toc171935867</vt:lpwstr>
      </vt:variant>
      <vt:variant>
        <vt:i4>1703995</vt:i4>
      </vt:variant>
      <vt:variant>
        <vt:i4>158</vt:i4>
      </vt:variant>
      <vt:variant>
        <vt:i4>0</vt:i4>
      </vt:variant>
      <vt:variant>
        <vt:i4>5</vt:i4>
      </vt:variant>
      <vt:variant>
        <vt:lpwstr/>
      </vt:variant>
      <vt:variant>
        <vt:lpwstr>_Toc171935866</vt:lpwstr>
      </vt:variant>
      <vt:variant>
        <vt:i4>1703995</vt:i4>
      </vt:variant>
      <vt:variant>
        <vt:i4>152</vt:i4>
      </vt:variant>
      <vt:variant>
        <vt:i4>0</vt:i4>
      </vt:variant>
      <vt:variant>
        <vt:i4>5</vt:i4>
      </vt:variant>
      <vt:variant>
        <vt:lpwstr/>
      </vt:variant>
      <vt:variant>
        <vt:lpwstr>_Toc171935865</vt:lpwstr>
      </vt:variant>
      <vt:variant>
        <vt:i4>1703995</vt:i4>
      </vt:variant>
      <vt:variant>
        <vt:i4>146</vt:i4>
      </vt:variant>
      <vt:variant>
        <vt:i4>0</vt:i4>
      </vt:variant>
      <vt:variant>
        <vt:i4>5</vt:i4>
      </vt:variant>
      <vt:variant>
        <vt:lpwstr/>
      </vt:variant>
      <vt:variant>
        <vt:lpwstr>_Toc171935864</vt:lpwstr>
      </vt:variant>
      <vt:variant>
        <vt:i4>1703995</vt:i4>
      </vt:variant>
      <vt:variant>
        <vt:i4>140</vt:i4>
      </vt:variant>
      <vt:variant>
        <vt:i4>0</vt:i4>
      </vt:variant>
      <vt:variant>
        <vt:i4>5</vt:i4>
      </vt:variant>
      <vt:variant>
        <vt:lpwstr/>
      </vt:variant>
      <vt:variant>
        <vt:lpwstr>_Toc171935863</vt:lpwstr>
      </vt:variant>
      <vt:variant>
        <vt:i4>1703995</vt:i4>
      </vt:variant>
      <vt:variant>
        <vt:i4>134</vt:i4>
      </vt:variant>
      <vt:variant>
        <vt:i4>0</vt:i4>
      </vt:variant>
      <vt:variant>
        <vt:i4>5</vt:i4>
      </vt:variant>
      <vt:variant>
        <vt:lpwstr/>
      </vt:variant>
      <vt:variant>
        <vt:lpwstr>_Toc171935862</vt:lpwstr>
      </vt:variant>
      <vt:variant>
        <vt:i4>1703995</vt:i4>
      </vt:variant>
      <vt:variant>
        <vt:i4>128</vt:i4>
      </vt:variant>
      <vt:variant>
        <vt:i4>0</vt:i4>
      </vt:variant>
      <vt:variant>
        <vt:i4>5</vt:i4>
      </vt:variant>
      <vt:variant>
        <vt:lpwstr/>
      </vt:variant>
      <vt:variant>
        <vt:lpwstr>_Toc171935861</vt:lpwstr>
      </vt:variant>
      <vt:variant>
        <vt:i4>1703995</vt:i4>
      </vt:variant>
      <vt:variant>
        <vt:i4>122</vt:i4>
      </vt:variant>
      <vt:variant>
        <vt:i4>0</vt:i4>
      </vt:variant>
      <vt:variant>
        <vt:i4>5</vt:i4>
      </vt:variant>
      <vt:variant>
        <vt:lpwstr/>
      </vt:variant>
      <vt:variant>
        <vt:lpwstr>_Toc171935860</vt:lpwstr>
      </vt:variant>
      <vt:variant>
        <vt:i4>1638459</vt:i4>
      </vt:variant>
      <vt:variant>
        <vt:i4>116</vt:i4>
      </vt:variant>
      <vt:variant>
        <vt:i4>0</vt:i4>
      </vt:variant>
      <vt:variant>
        <vt:i4>5</vt:i4>
      </vt:variant>
      <vt:variant>
        <vt:lpwstr/>
      </vt:variant>
      <vt:variant>
        <vt:lpwstr>_Toc171935859</vt:lpwstr>
      </vt:variant>
      <vt:variant>
        <vt:i4>1638459</vt:i4>
      </vt:variant>
      <vt:variant>
        <vt:i4>110</vt:i4>
      </vt:variant>
      <vt:variant>
        <vt:i4>0</vt:i4>
      </vt:variant>
      <vt:variant>
        <vt:i4>5</vt:i4>
      </vt:variant>
      <vt:variant>
        <vt:lpwstr/>
      </vt:variant>
      <vt:variant>
        <vt:lpwstr>_Toc171935858</vt:lpwstr>
      </vt:variant>
      <vt:variant>
        <vt:i4>1638459</vt:i4>
      </vt:variant>
      <vt:variant>
        <vt:i4>104</vt:i4>
      </vt:variant>
      <vt:variant>
        <vt:i4>0</vt:i4>
      </vt:variant>
      <vt:variant>
        <vt:i4>5</vt:i4>
      </vt:variant>
      <vt:variant>
        <vt:lpwstr/>
      </vt:variant>
      <vt:variant>
        <vt:lpwstr>_Toc171935857</vt:lpwstr>
      </vt:variant>
      <vt:variant>
        <vt:i4>1638459</vt:i4>
      </vt:variant>
      <vt:variant>
        <vt:i4>98</vt:i4>
      </vt:variant>
      <vt:variant>
        <vt:i4>0</vt:i4>
      </vt:variant>
      <vt:variant>
        <vt:i4>5</vt:i4>
      </vt:variant>
      <vt:variant>
        <vt:lpwstr/>
      </vt:variant>
      <vt:variant>
        <vt:lpwstr>_Toc171935856</vt:lpwstr>
      </vt:variant>
      <vt:variant>
        <vt:i4>1638459</vt:i4>
      </vt:variant>
      <vt:variant>
        <vt:i4>92</vt:i4>
      </vt:variant>
      <vt:variant>
        <vt:i4>0</vt:i4>
      </vt:variant>
      <vt:variant>
        <vt:i4>5</vt:i4>
      </vt:variant>
      <vt:variant>
        <vt:lpwstr/>
      </vt:variant>
      <vt:variant>
        <vt:lpwstr>_Toc171935855</vt:lpwstr>
      </vt:variant>
      <vt:variant>
        <vt:i4>1638459</vt:i4>
      </vt:variant>
      <vt:variant>
        <vt:i4>86</vt:i4>
      </vt:variant>
      <vt:variant>
        <vt:i4>0</vt:i4>
      </vt:variant>
      <vt:variant>
        <vt:i4>5</vt:i4>
      </vt:variant>
      <vt:variant>
        <vt:lpwstr/>
      </vt:variant>
      <vt:variant>
        <vt:lpwstr>_Toc171935854</vt:lpwstr>
      </vt:variant>
      <vt:variant>
        <vt:i4>1638459</vt:i4>
      </vt:variant>
      <vt:variant>
        <vt:i4>80</vt:i4>
      </vt:variant>
      <vt:variant>
        <vt:i4>0</vt:i4>
      </vt:variant>
      <vt:variant>
        <vt:i4>5</vt:i4>
      </vt:variant>
      <vt:variant>
        <vt:lpwstr/>
      </vt:variant>
      <vt:variant>
        <vt:lpwstr>_Toc171935853</vt:lpwstr>
      </vt:variant>
      <vt:variant>
        <vt:i4>1638459</vt:i4>
      </vt:variant>
      <vt:variant>
        <vt:i4>74</vt:i4>
      </vt:variant>
      <vt:variant>
        <vt:i4>0</vt:i4>
      </vt:variant>
      <vt:variant>
        <vt:i4>5</vt:i4>
      </vt:variant>
      <vt:variant>
        <vt:lpwstr/>
      </vt:variant>
      <vt:variant>
        <vt:lpwstr>_Toc171935852</vt:lpwstr>
      </vt:variant>
      <vt:variant>
        <vt:i4>1638459</vt:i4>
      </vt:variant>
      <vt:variant>
        <vt:i4>68</vt:i4>
      </vt:variant>
      <vt:variant>
        <vt:i4>0</vt:i4>
      </vt:variant>
      <vt:variant>
        <vt:i4>5</vt:i4>
      </vt:variant>
      <vt:variant>
        <vt:lpwstr/>
      </vt:variant>
      <vt:variant>
        <vt:lpwstr>_Toc171935851</vt:lpwstr>
      </vt:variant>
      <vt:variant>
        <vt:i4>1638459</vt:i4>
      </vt:variant>
      <vt:variant>
        <vt:i4>62</vt:i4>
      </vt:variant>
      <vt:variant>
        <vt:i4>0</vt:i4>
      </vt:variant>
      <vt:variant>
        <vt:i4>5</vt:i4>
      </vt:variant>
      <vt:variant>
        <vt:lpwstr/>
      </vt:variant>
      <vt:variant>
        <vt:lpwstr>_Toc171935850</vt:lpwstr>
      </vt:variant>
      <vt:variant>
        <vt:i4>1572923</vt:i4>
      </vt:variant>
      <vt:variant>
        <vt:i4>56</vt:i4>
      </vt:variant>
      <vt:variant>
        <vt:i4>0</vt:i4>
      </vt:variant>
      <vt:variant>
        <vt:i4>5</vt:i4>
      </vt:variant>
      <vt:variant>
        <vt:lpwstr/>
      </vt:variant>
      <vt:variant>
        <vt:lpwstr>_Toc171935849</vt:lpwstr>
      </vt:variant>
      <vt:variant>
        <vt:i4>1572923</vt:i4>
      </vt:variant>
      <vt:variant>
        <vt:i4>50</vt:i4>
      </vt:variant>
      <vt:variant>
        <vt:i4>0</vt:i4>
      </vt:variant>
      <vt:variant>
        <vt:i4>5</vt:i4>
      </vt:variant>
      <vt:variant>
        <vt:lpwstr/>
      </vt:variant>
      <vt:variant>
        <vt:lpwstr>_Toc171935848</vt:lpwstr>
      </vt:variant>
      <vt:variant>
        <vt:i4>1572923</vt:i4>
      </vt:variant>
      <vt:variant>
        <vt:i4>44</vt:i4>
      </vt:variant>
      <vt:variant>
        <vt:i4>0</vt:i4>
      </vt:variant>
      <vt:variant>
        <vt:i4>5</vt:i4>
      </vt:variant>
      <vt:variant>
        <vt:lpwstr/>
      </vt:variant>
      <vt:variant>
        <vt:lpwstr>_Toc171935847</vt:lpwstr>
      </vt:variant>
      <vt:variant>
        <vt:i4>1572923</vt:i4>
      </vt:variant>
      <vt:variant>
        <vt:i4>38</vt:i4>
      </vt:variant>
      <vt:variant>
        <vt:i4>0</vt:i4>
      </vt:variant>
      <vt:variant>
        <vt:i4>5</vt:i4>
      </vt:variant>
      <vt:variant>
        <vt:lpwstr/>
      </vt:variant>
      <vt:variant>
        <vt:lpwstr>_Toc171935846</vt:lpwstr>
      </vt:variant>
      <vt:variant>
        <vt:i4>1572923</vt:i4>
      </vt:variant>
      <vt:variant>
        <vt:i4>32</vt:i4>
      </vt:variant>
      <vt:variant>
        <vt:i4>0</vt:i4>
      </vt:variant>
      <vt:variant>
        <vt:i4>5</vt:i4>
      </vt:variant>
      <vt:variant>
        <vt:lpwstr/>
      </vt:variant>
      <vt:variant>
        <vt:lpwstr>_Toc171935845</vt:lpwstr>
      </vt:variant>
      <vt:variant>
        <vt:i4>1572923</vt:i4>
      </vt:variant>
      <vt:variant>
        <vt:i4>26</vt:i4>
      </vt:variant>
      <vt:variant>
        <vt:i4>0</vt:i4>
      </vt:variant>
      <vt:variant>
        <vt:i4>5</vt:i4>
      </vt:variant>
      <vt:variant>
        <vt:lpwstr/>
      </vt:variant>
      <vt:variant>
        <vt:lpwstr>_Toc171935844</vt:lpwstr>
      </vt:variant>
      <vt:variant>
        <vt:i4>1572923</vt:i4>
      </vt:variant>
      <vt:variant>
        <vt:i4>20</vt:i4>
      </vt:variant>
      <vt:variant>
        <vt:i4>0</vt:i4>
      </vt:variant>
      <vt:variant>
        <vt:i4>5</vt:i4>
      </vt:variant>
      <vt:variant>
        <vt:lpwstr/>
      </vt:variant>
      <vt:variant>
        <vt:lpwstr>_Toc171935843</vt:lpwstr>
      </vt:variant>
      <vt:variant>
        <vt:i4>1572923</vt:i4>
      </vt:variant>
      <vt:variant>
        <vt:i4>14</vt:i4>
      </vt:variant>
      <vt:variant>
        <vt:i4>0</vt:i4>
      </vt:variant>
      <vt:variant>
        <vt:i4>5</vt:i4>
      </vt:variant>
      <vt:variant>
        <vt:lpwstr/>
      </vt:variant>
      <vt:variant>
        <vt:lpwstr>_Toc171935842</vt:lpwstr>
      </vt:variant>
      <vt:variant>
        <vt:i4>1572923</vt:i4>
      </vt:variant>
      <vt:variant>
        <vt:i4>8</vt:i4>
      </vt:variant>
      <vt:variant>
        <vt:i4>0</vt:i4>
      </vt:variant>
      <vt:variant>
        <vt:i4>5</vt:i4>
      </vt:variant>
      <vt:variant>
        <vt:lpwstr/>
      </vt:variant>
      <vt:variant>
        <vt:lpwstr>_Toc171935841</vt:lpwstr>
      </vt:variant>
      <vt:variant>
        <vt:i4>1572923</vt:i4>
      </vt:variant>
      <vt:variant>
        <vt:i4>2</vt:i4>
      </vt:variant>
      <vt:variant>
        <vt:i4>0</vt:i4>
      </vt:variant>
      <vt:variant>
        <vt:i4>5</vt:i4>
      </vt:variant>
      <vt:variant>
        <vt:lpwstr/>
      </vt:variant>
      <vt:variant>
        <vt:lpwstr>_Toc171935840</vt:lpwstr>
      </vt:variant>
      <vt:variant>
        <vt:i4>8257579</vt:i4>
      </vt:variant>
      <vt:variant>
        <vt:i4>585</vt:i4>
      </vt:variant>
      <vt:variant>
        <vt:i4>0</vt:i4>
      </vt:variant>
      <vt:variant>
        <vt:i4>5</vt:i4>
      </vt:variant>
      <vt:variant>
        <vt:lpwstr>https://www.health.gov.au/resources/publications/national-medicines-policy?language=en</vt:lpwstr>
      </vt:variant>
      <vt:variant>
        <vt:lpwstr/>
      </vt:variant>
      <vt:variant>
        <vt:i4>8323121</vt:i4>
      </vt:variant>
      <vt:variant>
        <vt:i4>582</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4522055</vt:i4>
      </vt:variant>
      <vt:variant>
        <vt:i4>579</vt:i4>
      </vt:variant>
      <vt:variant>
        <vt:i4>0</vt:i4>
      </vt:variant>
      <vt:variant>
        <vt:i4>5</vt:i4>
      </vt:variant>
      <vt:variant>
        <vt:lpwstr>https://www.tga.gov.au/project-orbis</vt:lpwstr>
      </vt:variant>
      <vt:variant>
        <vt:lpwstr/>
      </vt:variant>
      <vt:variant>
        <vt:i4>2555945</vt:i4>
      </vt:variant>
      <vt:variant>
        <vt:i4>573</vt:i4>
      </vt:variant>
      <vt:variant>
        <vt:i4>0</vt:i4>
      </vt:variant>
      <vt:variant>
        <vt:i4>5</vt:i4>
      </vt:variant>
      <vt:variant>
        <vt:lpwstr>https://www.tga.gov.au/international-activities/australia-canada-singapore-switzerland-united-kingdom-access-consortium</vt:lpwstr>
      </vt:variant>
      <vt:variant>
        <vt:lpwstr/>
      </vt:variant>
      <vt:variant>
        <vt:i4>4784136</vt:i4>
      </vt:variant>
      <vt:variant>
        <vt:i4>570</vt:i4>
      </vt:variant>
      <vt:variant>
        <vt:i4>0</vt:i4>
      </vt:variant>
      <vt:variant>
        <vt:i4>5</vt:i4>
      </vt:variant>
      <vt:variant>
        <vt:lpwstr>https://www.tga.gov.au/resources/resource/guidance/comparable-overseas-regulators-cors-prescription-medicines</vt:lpwstr>
      </vt:variant>
      <vt:variant>
        <vt:lpwstr/>
      </vt:variant>
      <vt:variant>
        <vt:i4>3670074</vt:i4>
      </vt:variant>
      <vt:variant>
        <vt:i4>567</vt:i4>
      </vt:variant>
      <vt:variant>
        <vt:i4>0</vt:i4>
      </vt:variant>
      <vt:variant>
        <vt:i4>5</vt:i4>
      </vt:variant>
      <vt:variant>
        <vt:lpwstr>https://ohta-consultations.health.gov.au/ohta/hta-review-consultation1/consultation/view_respondent?show_all_questions=0&amp;sort=submitted&amp;order=ascending&amp;_q__text=research&amp;uuId=240014378</vt:lpwstr>
      </vt:variant>
      <vt:variant>
        <vt:lpwstr/>
      </vt:variant>
      <vt:variant>
        <vt:i4>7143516</vt:i4>
      </vt:variant>
      <vt:variant>
        <vt:i4>564</vt:i4>
      </vt:variant>
      <vt:variant>
        <vt:i4>0</vt:i4>
      </vt:variant>
      <vt:variant>
        <vt:i4>5</vt:i4>
      </vt:variant>
      <vt:variant>
        <vt:lpwstr>https://www.aph.gov.au/Parliamentary_Business/Committees/House/Health_Aged_Care_and_Sport/Newdrugs/Report</vt:lpwstr>
      </vt:variant>
      <vt:variant>
        <vt:lpwstr/>
      </vt:variant>
      <vt:variant>
        <vt:i4>8257579</vt:i4>
      </vt:variant>
      <vt:variant>
        <vt:i4>561</vt:i4>
      </vt:variant>
      <vt:variant>
        <vt:i4>0</vt:i4>
      </vt:variant>
      <vt:variant>
        <vt:i4>5</vt:i4>
      </vt:variant>
      <vt:variant>
        <vt:lpwstr>https://www.health.gov.au/resources/publications/national-medicines-policy?language=en</vt:lpwstr>
      </vt:variant>
      <vt:variant>
        <vt:lpwstr/>
      </vt:variant>
      <vt:variant>
        <vt:i4>7536745</vt:i4>
      </vt:variant>
      <vt:variant>
        <vt:i4>558</vt:i4>
      </vt:variant>
      <vt:variant>
        <vt:i4>0</vt:i4>
      </vt:variant>
      <vt:variant>
        <vt:i4>5</vt:i4>
      </vt:variant>
      <vt:variant>
        <vt:lpwstr>https://www.pbs.gov.au/info/general/medicines-industry-strategic-agreement</vt:lpwstr>
      </vt:variant>
      <vt:variant>
        <vt:lpwstr/>
      </vt:variant>
      <vt:variant>
        <vt:i4>8323121</vt:i4>
      </vt:variant>
      <vt:variant>
        <vt:i4>555</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4653149</vt:i4>
      </vt:variant>
      <vt:variant>
        <vt:i4>552</vt:i4>
      </vt:variant>
      <vt:variant>
        <vt:i4>0</vt:i4>
      </vt:variant>
      <vt:variant>
        <vt:i4>5</vt:i4>
      </vt:variant>
      <vt:variant>
        <vt:lpwstr>https://www.pcori.org/about/about-pcori/financial-statements-and-reports</vt:lpwstr>
      </vt:variant>
      <vt:variant>
        <vt:lpwstr/>
      </vt:variant>
      <vt:variant>
        <vt:i4>3735662</vt:i4>
      </vt:variant>
      <vt:variant>
        <vt:i4>549</vt:i4>
      </vt:variant>
      <vt:variant>
        <vt:i4>0</vt:i4>
      </vt:variant>
      <vt:variant>
        <vt:i4>5</vt:i4>
      </vt:variant>
      <vt:variant>
        <vt:lpwstr>https://www.nihr.ac.uk/reports/nihr-annual-report-202223/34501</vt:lpwstr>
      </vt:variant>
      <vt:variant>
        <vt:lpwstr>nihrfinancial-summary-202223</vt:lpwstr>
      </vt:variant>
      <vt:variant>
        <vt:i4>8323121</vt:i4>
      </vt:variant>
      <vt:variant>
        <vt:i4>546</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5570655</vt:i4>
      </vt:variant>
      <vt:variant>
        <vt:i4>543</vt:i4>
      </vt:variant>
      <vt:variant>
        <vt:i4>0</vt:i4>
      </vt:variant>
      <vt:variant>
        <vt:i4>5</vt:i4>
      </vt:variant>
      <vt:variant>
        <vt:lpwstr>https://ohta-consultations.health.gov.au/ohta/hta-review-consultation1/consultation/view_respondent?show_all_questions=0&amp;sort=submitted&amp;order=ascending&amp;_q__text=cancer&amp;uuId=321695590</vt:lpwstr>
      </vt:variant>
      <vt:variant>
        <vt:lpwstr/>
      </vt:variant>
      <vt:variant>
        <vt:i4>7143516</vt:i4>
      </vt:variant>
      <vt:variant>
        <vt:i4>540</vt:i4>
      </vt:variant>
      <vt:variant>
        <vt:i4>0</vt:i4>
      </vt:variant>
      <vt:variant>
        <vt:i4>5</vt:i4>
      </vt:variant>
      <vt:variant>
        <vt:lpwstr>https://www.aph.gov.au/Parliamentary_Business/Committees/House/Health_Aged_Care_and_Sport/Newdrugs/Report</vt:lpwstr>
      </vt:variant>
      <vt:variant>
        <vt:lpwstr/>
      </vt:variant>
      <vt:variant>
        <vt:i4>5636121</vt:i4>
      </vt:variant>
      <vt:variant>
        <vt:i4>537</vt:i4>
      </vt:variant>
      <vt:variant>
        <vt:i4>0</vt:i4>
      </vt:variant>
      <vt:variant>
        <vt:i4>5</vt:i4>
      </vt:variant>
      <vt:variant>
        <vt:lpwstr>https://www.health.gov.au/resources/publications/national-strategic-action-plan-for-rare-diseases</vt:lpwstr>
      </vt:variant>
      <vt:variant>
        <vt:lpwstr/>
      </vt:variant>
      <vt:variant>
        <vt:i4>3407987</vt:i4>
      </vt:variant>
      <vt:variant>
        <vt:i4>534</vt:i4>
      </vt:variant>
      <vt:variant>
        <vt:i4>0</vt:i4>
      </vt:variant>
      <vt:variant>
        <vt:i4>5</vt:i4>
      </vt:variant>
      <vt:variant>
        <vt:lpwstr>https://www.amr.gov.au/resources/australias-national-antimicrobial-resistance-strategy-2020-and-beyond</vt:lpwstr>
      </vt:variant>
      <vt:variant>
        <vt:lpwstr/>
      </vt:variant>
      <vt:variant>
        <vt:i4>8257579</vt:i4>
      </vt:variant>
      <vt:variant>
        <vt:i4>531</vt:i4>
      </vt:variant>
      <vt:variant>
        <vt:i4>0</vt:i4>
      </vt:variant>
      <vt:variant>
        <vt:i4>5</vt:i4>
      </vt:variant>
      <vt:variant>
        <vt:lpwstr>https://www.health.gov.au/resources/publications/national-medicines-policy?language=en</vt:lpwstr>
      </vt:variant>
      <vt:variant>
        <vt:lpwstr/>
      </vt:variant>
      <vt:variant>
        <vt:i4>6488182</vt:i4>
      </vt:variant>
      <vt:variant>
        <vt:i4>528</vt:i4>
      </vt:variant>
      <vt:variant>
        <vt:i4>0</vt:i4>
      </vt:variant>
      <vt:variant>
        <vt:i4>5</vt:i4>
      </vt:variant>
      <vt:variant>
        <vt:lpwstr>https://ohta-consultations.health.gov.au/ohta/hta-review-consultation-2/</vt:lpwstr>
      </vt:variant>
      <vt:variant>
        <vt:lpwstr>:~:text=HTA%20Review%20%2D%20Consultation%202%20%2D%20options%20paper.DOCX</vt:lpwstr>
      </vt:variant>
      <vt:variant>
        <vt:i4>8257579</vt:i4>
      </vt:variant>
      <vt:variant>
        <vt:i4>525</vt:i4>
      </vt:variant>
      <vt:variant>
        <vt:i4>0</vt:i4>
      </vt:variant>
      <vt:variant>
        <vt:i4>5</vt:i4>
      </vt:variant>
      <vt:variant>
        <vt:lpwstr>https://www.health.gov.au/resources/publications/national-medicines-policy?language=en</vt:lpwstr>
      </vt:variant>
      <vt:variant>
        <vt:lpwstr/>
      </vt:variant>
      <vt:variant>
        <vt:i4>7012385</vt:i4>
      </vt:variant>
      <vt:variant>
        <vt:i4>522</vt:i4>
      </vt:variant>
      <vt:variant>
        <vt:i4>0</vt:i4>
      </vt:variant>
      <vt:variant>
        <vt:i4>5</vt:i4>
      </vt:variant>
      <vt:variant>
        <vt:lpwstr>https://www.health.gov.au/our-work/national-health-and-climate-strategy</vt:lpwstr>
      </vt:variant>
      <vt:variant>
        <vt:lpwstr/>
      </vt:variant>
      <vt:variant>
        <vt:i4>5898260</vt:i4>
      </vt:variant>
      <vt:variant>
        <vt:i4>519</vt:i4>
      </vt:variant>
      <vt:variant>
        <vt:i4>0</vt:i4>
      </vt:variant>
      <vt:variant>
        <vt:i4>5</vt:i4>
      </vt:variant>
      <vt:variant>
        <vt:lpwstr>https://www.cadth.ca/2022-2025-strategic-plan</vt:lpwstr>
      </vt:variant>
      <vt:variant>
        <vt:lpwstr/>
      </vt:variant>
      <vt:variant>
        <vt:i4>4784153</vt:i4>
      </vt:variant>
      <vt:variant>
        <vt:i4>516</vt:i4>
      </vt:variant>
      <vt:variant>
        <vt:i4>0</vt:i4>
      </vt:variant>
      <vt:variant>
        <vt:i4>5</vt:i4>
      </vt:variant>
      <vt:variant>
        <vt:lpwstr>https://static.nice.org.uk/NICE strategy 2021 to 2026 - Dynamic, Collaborative, Excellent.pdf</vt:lpwstr>
      </vt:variant>
      <vt:variant>
        <vt:lpwstr/>
      </vt:variant>
      <vt:variant>
        <vt:i4>851972</vt:i4>
      </vt:variant>
      <vt:variant>
        <vt:i4>513</vt:i4>
      </vt:variant>
      <vt:variant>
        <vt:i4>0</vt:i4>
      </vt:variant>
      <vt:variant>
        <vt:i4>5</vt:i4>
      </vt:variant>
      <vt:variant>
        <vt:lpwstr>https://doi.org/10.1016/S2542-5196(22)00258-3</vt:lpwstr>
      </vt:variant>
      <vt:variant>
        <vt:lpwstr/>
      </vt:variant>
      <vt:variant>
        <vt:i4>917588</vt:i4>
      </vt:variant>
      <vt:variant>
        <vt:i4>510</vt:i4>
      </vt:variant>
      <vt:variant>
        <vt:i4>0</vt:i4>
      </vt:variant>
      <vt:variant>
        <vt:i4>5</vt:i4>
      </vt:variant>
      <vt:variant>
        <vt:lpwstr>https://www.nejm.org/doi/10.1056/NEJMc2312345</vt:lpwstr>
      </vt:variant>
      <vt:variant>
        <vt:lpwstr/>
      </vt:variant>
      <vt:variant>
        <vt:i4>6094943</vt:i4>
      </vt:variant>
      <vt:variant>
        <vt:i4>507</vt:i4>
      </vt:variant>
      <vt:variant>
        <vt:i4>0</vt:i4>
      </vt:variant>
      <vt:variant>
        <vt:i4>5</vt:i4>
      </vt:variant>
      <vt:variant>
        <vt:lpwstr>https://consultations.health.gov.au/ohp-2013-environmental-health-and-health-protection-policy-branch/national-health-and-climate-strategy-consultation/</vt:lpwstr>
      </vt:variant>
      <vt:variant>
        <vt:lpwstr/>
      </vt:variant>
      <vt:variant>
        <vt:i4>7012385</vt:i4>
      </vt:variant>
      <vt:variant>
        <vt:i4>504</vt:i4>
      </vt:variant>
      <vt:variant>
        <vt:i4>0</vt:i4>
      </vt:variant>
      <vt:variant>
        <vt:i4>5</vt:i4>
      </vt:variant>
      <vt:variant>
        <vt:lpwstr>https://www.health.gov.au/our-work/national-health-and-climate-strategy</vt:lpwstr>
      </vt:variant>
      <vt:variant>
        <vt:lpwstr/>
      </vt:variant>
      <vt:variant>
        <vt:i4>4194376</vt:i4>
      </vt:variant>
      <vt:variant>
        <vt:i4>501</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6291495</vt:i4>
      </vt:variant>
      <vt:variant>
        <vt:i4>498</vt:i4>
      </vt:variant>
      <vt:variant>
        <vt:i4>0</vt:i4>
      </vt:variant>
      <vt:variant>
        <vt:i4>5</vt:i4>
      </vt:variant>
      <vt:variant>
        <vt:lpwstr>https://www.health.gov.au/resources/publications/hta-policy-and-methods-review-draft-paper-hta-methods-economic-evaluation?language=en</vt:lpwstr>
      </vt:variant>
      <vt:variant>
        <vt:lpwstr/>
      </vt:variant>
      <vt:variant>
        <vt:i4>6619185</vt:i4>
      </vt:variant>
      <vt:variant>
        <vt:i4>495</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492</vt:i4>
      </vt:variant>
      <vt:variant>
        <vt:i4>0</vt:i4>
      </vt:variant>
      <vt:variant>
        <vt:i4>5</vt:i4>
      </vt:variant>
      <vt:variant>
        <vt:lpwstr>https://pbac.pbs.gov.au/information/printable-version-of-guidelines.html</vt:lpwstr>
      </vt:variant>
      <vt:variant>
        <vt:lpwstr/>
      </vt:variant>
      <vt:variant>
        <vt:i4>2621479</vt:i4>
      </vt:variant>
      <vt:variant>
        <vt:i4>489</vt:i4>
      </vt:variant>
      <vt:variant>
        <vt:i4>0</vt:i4>
      </vt:variant>
      <vt:variant>
        <vt:i4>5</vt:i4>
      </vt:variant>
      <vt:variant>
        <vt:lpwstr>https://www.pbs.gov.au/info/industry/listing/elements/pbac-meetings/psd/2019-11/multicomponent-meningococcal-group-b-vaccine-injection-0-5-bexsero</vt:lpwstr>
      </vt:variant>
      <vt:variant>
        <vt:lpwstr/>
      </vt:variant>
      <vt:variant>
        <vt:i4>6291495</vt:i4>
      </vt:variant>
      <vt:variant>
        <vt:i4>486</vt:i4>
      </vt:variant>
      <vt:variant>
        <vt:i4>0</vt:i4>
      </vt:variant>
      <vt:variant>
        <vt:i4>5</vt:i4>
      </vt:variant>
      <vt:variant>
        <vt:lpwstr>https://www.health.gov.au/resources/publications/hta-policy-and-methods-review-draft-paper-hta-methods-economic-evaluation?language=en</vt:lpwstr>
      </vt:variant>
      <vt:variant>
        <vt:lpwstr/>
      </vt:variant>
      <vt:variant>
        <vt:i4>7340069</vt:i4>
      </vt:variant>
      <vt:variant>
        <vt:i4>483</vt:i4>
      </vt:variant>
      <vt:variant>
        <vt:i4>0</vt:i4>
      </vt:variant>
      <vt:variant>
        <vt:i4>5</vt:i4>
      </vt:variant>
      <vt:variant>
        <vt:lpwstr>https://www.finance.gov.au/government/federal-budget/budget-process</vt:lpwstr>
      </vt:variant>
      <vt:variant>
        <vt:lpwstr/>
      </vt:variant>
      <vt:variant>
        <vt:i4>7340069</vt:i4>
      </vt:variant>
      <vt:variant>
        <vt:i4>480</vt:i4>
      </vt:variant>
      <vt:variant>
        <vt:i4>0</vt:i4>
      </vt:variant>
      <vt:variant>
        <vt:i4>5</vt:i4>
      </vt:variant>
      <vt:variant>
        <vt:lpwstr>https://www.finance.gov.au/government/federal-budget/budget-process</vt:lpwstr>
      </vt:variant>
      <vt:variant>
        <vt:lpwstr/>
      </vt:variant>
      <vt:variant>
        <vt:i4>7602222</vt:i4>
      </vt:variant>
      <vt:variant>
        <vt:i4>477</vt:i4>
      </vt:variant>
      <vt:variant>
        <vt:i4>0</vt:i4>
      </vt:variant>
      <vt:variant>
        <vt:i4>5</vt:i4>
      </vt:variant>
      <vt:variant>
        <vt:lpwstr>https://archive.budget.gov.au/2023-24/</vt:lpwstr>
      </vt:variant>
      <vt:variant>
        <vt:lpwstr/>
      </vt:variant>
      <vt:variant>
        <vt:i4>8323121</vt:i4>
      </vt:variant>
      <vt:variant>
        <vt:i4>474</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2293822</vt:i4>
      </vt:variant>
      <vt:variant>
        <vt:i4>471</vt:i4>
      </vt:variant>
      <vt:variant>
        <vt:i4>0</vt:i4>
      </vt:variant>
      <vt:variant>
        <vt:i4>5</vt:i4>
      </vt:variant>
      <vt:variant>
        <vt:lpwstr>https://www.health.gov.au/resources/publications/hta-policy-and-methods-review-emerging-health-technologies</vt:lpwstr>
      </vt:variant>
      <vt:variant>
        <vt:lpwstr/>
      </vt:variant>
      <vt:variant>
        <vt:i4>6619185</vt:i4>
      </vt:variant>
      <vt:variant>
        <vt:i4>468</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465</vt:i4>
      </vt:variant>
      <vt:variant>
        <vt:i4>0</vt:i4>
      </vt:variant>
      <vt:variant>
        <vt:i4>5</vt:i4>
      </vt:variant>
      <vt:variant>
        <vt:lpwstr>https://pbac.pbs.gov.au/information/printable-version-of-guidelines.html</vt:lpwstr>
      </vt:variant>
      <vt:variant>
        <vt:lpwstr/>
      </vt:variant>
      <vt:variant>
        <vt:i4>7733360</vt:i4>
      </vt:variant>
      <vt:variant>
        <vt:i4>462</vt:i4>
      </vt:variant>
      <vt:variant>
        <vt:i4>0</vt:i4>
      </vt:variant>
      <vt:variant>
        <vt:i4>5</vt:i4>
      </vt:variant>
      <vt:variant>
        <vt:lpwstr>https://www.pbs.gov.au/info/industry/listing/elements/pbac-meetings/psd/2022-03/cemiplimab-solution-for-iv-infusion-350-mg-in-7-ml-libtayo</vt:lpwstr>
      </vt:variant>
      <vt:variant>
        <vt:lpwstr/>
      </vt:variant>
      <vt:variant>
        <vt:i4>8323121</vt:i4>
      </vt:variant>
      <vt:variant>
        <vt:i4>459</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6619185</vt:i4>
      </vt:variant>
      <vt:variant>
        <vt:i4>456</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453</vt:i4>
      </vt:variant>
      <vt:variant>
        <vt:i4>0</vt:i4>
      </vt:variant>
      <vt:variant>
        <vt:i4>5</vt:i4>
      </vt:variant>
      <vt:variant>
        <vt:lpwstr>https://pbac.pbs.gov.au/information/printable-version-of-guidelines.html</vt:lpwstr>
      </vt:variant>
      <vt:variant>
        <vt:lpwstr/>
      </vt:variant>
      <vt:variant>
        <vt:i4>6357109</vt:i4>
      </vt:variant>
      <vt:variant>
        <vt:i4>450</vt:i4>
      </vt:variant>
      <vt:variant>
        <vt:i4>0</vt:i4>
      </vt:variant>
      <vt:variant>
        <vt:i4>5</vt:i4>
      </vt:variant>
      <vt:variant>
        <vt:lpwstr>https://www.pbs.gov.au/info/industry/listing/elements/pbac-meetings/psd/2021-11/sacituzumab-govitecan-powder-for-injection-180-mg-trodelvy</vt:lpwstr>
      </vt:variant>
      <vt:variant>
        <vt:lpwstr/>
      </vt:variant>
      <vt:variant>
        <vt:i4>2228286</vt:i4>
      </vt:variant>
      <vt:variant>
        <vt:i4>447</vt:i4>
      </vt:variant>
      <vt:variant>
        <vt:i4>0</vt:i4>
      </vt:variant>
      <vt:variant>
        <vt:i4>5</vt:i4>
      </vt:variant>
      <vt:variant>
        <vt:lpwstr>https://www.pbs.gov.au/info/industry/listing/elements/pbac-meetings/psd/2022-03/zanubrutinib-capsule-80-mg-brukinsa</vt:lpwstr>
      </vt:variant>
      <vt:variant>
        <vt:lpwstr/>
      </vt:variant>
      <vt:variant>
        <vt:i4>6029433</vt:i4>
      </vt:variant>
      <vt:variant>
        <vt:i4>444</vt:i4>
      </vt:variant>
      <vt:variant>
        <vt:i4>0</vt:i4>
      </vt:variant>
      <vt:variant>
        <vt:i4>5</vt:i4>
      </vt:variant>
      <vt:variant>
        <vt:lpwstr>https://doi.org/10.1007/978-981-10-4068-9_4</vt:lpwstr>
      </vt:variant>
      <vt:variant>
        <vt:lpwstr/>
      </vt:variant>
      <vt:variant>
        <vt:i4>8323121</vt:i4>
      </vt:variant>
      <vt:variant>
        <vt:i4>441</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6619185</vt:i4>
      </vt:variant>
      <vt:variant>
        <vt:i4>438</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435</vt:i4>
      </vt:variant>
      <vt:variant>
        <vt:i4>0</vt:i4>
      </vt:variant>
      <vt:variant>
        <vt:i4>5</vt:i4>
      </vt:variant>
      <vt:variant>
        <vt:lpwstr>https://pbac.pbs.gov.au/information/printable-version-of-guidelines.html</vt:lpwstr>
      </vt:variant>
      <vt:variant>
        <vt:lpwstr/>
      </vt:variant>
      <vt:variant>
        <vt:i4>4587598</vt:i4>
      </vt:variant>
      <vt:variant>
        <vt:i4>432</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429</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7143516</vt:i4>
      </vt:variant>
      <vt:variant>
        <vt:i4>426</vt:i4>
      </vt:variant>
      <vt:variant>
        <vt:i4>0</vt:i4>
      </vt:variant>
      <vt:variant>
        <vt:i4>5</vt:i4>
      </vt:variant>
      <vt:variant>
        <vt:lpwstr>https://www.aph.gov.au/Parliamentary_Business/Committees/House/Health_Aged_Care_and_Sport/Newdrugs/Report</vt:lpwstr>
      </vt:variant>
      <vt:variant>
        <vt:lpwstr/>
      </vt:variant>
      <vt:variant>
        <vt:i4>5832712</vt:i4>
      </vt:variant>
      <vt:variant>
        <vt:i4>423</vt:i4>
      </vt:variant>
      <vt:variant>
        <vt:i4>0</vt:i4>
      </vt:variant>
      <vt:variant>
        <vt:i4>5</vt:i4>
      </vt:variant>
      <vt:variant>
        <vt:lpwstr>https://www.health.gov.au/resources/publications/health-technology-assessment-policy-and-methods-review-consultation-1-report</vt:lpwstr>
      </vt:variant>
      <vt:variant>
        <vt:lpwstr/>
      </vt:variant>
      <vt:variant>
        <vt:i4>4587598</vt:i4>
      </vt:variant>
      <vt:variant>
        <vt:i4>420</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417</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414</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411</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408</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405</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402</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399</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5963844</vt:i4>
      </vt:variant>
      <vt:variant>
        <vt:i4>396</vt:i4>
      </vt:variant>
      <vt:variant>
        <vt:i4>0</vt:i4>
      </vt:variant>
      <vt:variant>
        <vt:i4>5</vt:i4>
      </vt:variant>
      <vt:variant>
        <vt:lpwstr>https://www.abs.gov.au/statistics/microdata-tablebuilder/datalab</vt:lpwstr>
      </vt:variant>
      <vt:variant>
        <vt:lpwstr/>
      </vt:variant>
      <vt:variant>
        <vt:i4>4587598</vt:i4>
      </vt:variant>
      <vt:variant>
        <vt:i4>393</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390</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387</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3670078</vt:i4>
      </vt:variant>
      <vt:variant>
        <vt:i4>384</vt:i4>
      </vt:variant>
      <vt:variant>
        <vt:i4>0</vt:i4>
      </vt:variant>
      <vt:variant>
        <vt:i4>5</vt:i4>
      </vt:variant>
      <vt:variant>
        <vt:lpwstr>https://www.pbs.gov.au/info/industry/listing/elements/pbac-meetings/pbac-outcomes/recommendations-made-by-the-pbac-december-2020-intracycle</vt:lpwstr>
      </vt:variant>
      <vt:variant>
        <vt:lpwstr/>
      </vt:variant>
      <vt:variant>
        <vt:i4>2687035</vt:i4>
      </vt:variant>
      <vt:variant>
        <vt:i4>381</vt:i4>
      </vt:variant>
      <vt:variant>
        <vt:i4>0</vt:i4>
      </vt:variant>
      <vt:variant>
        <vt:i4>5</vt:i4>
      </vt:variant>
      <vt:variant>
        <vt:lpwstr>https://www.pbs.gov.au/info/industry/listing/elements/pbac-meetings/psd/2019-03/national-hepatitis-c-psd-march-2019</vt:lpwstr>
      </vt:variant>
      <vt:variant>
        <vt:lpwstr/>
      </vt:variant>
      <vt:variant>
        <vt:i4>4587598</vt:i4>
      </vt:variant>
      <vt:variant>
        <vt:i4>378</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375</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372</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369</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366</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363</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4587598</vt:i4>
      </vt:variant>
      <vt:variant>
        <vt:i4>360</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ariant>
        <vt:i4>4915282</vt:i4>
      </vt:variant>
      <vt:variant>
        <vt:i4>357</vt:i4>
      </vt:variant>
      <vt:variant>
        <vt:i4>0</vt:i4>
      </vt:variant>
      <vt:variant>
        <vt:i4>5</vt:i4>
      </vt:variant>
      <vt:variant>
        <vt:lpwstr>https://pbac.pbs.gov.au/information/printable-version-of-guidelines.html</vt:lpwstr>
      </vt:variant>
      <vt:variant>
        <vt:lpwstr/>
      </vt:variant>
      <vt:variant>
        <vt:i4>8323121</vt:i4>
      </vt:variant>
      <vt:variant>
        <vt:i4>354</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8323121</vt:i4>
      </vt:variant>
      <vt:variant>
        <vt:i4>351</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6619185</vt:i4>
      </vt:variant>
      <vt:variant>
        <vt:i4>348</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345</vt:i4>
      </vt:variant>
      <vt:variant>
        <vt:i4>0</vt:i4>
      </vt:variant>
      <vt:variant>
        <vt:i4>5</vt:i4>
      </vt:variant>
      <vt:variant>
        <vt:lpwstr>https://pbac.pbs.gov.au/information/printable-version-of-guidelines.html</vt:lpwstr>
      </vt:variant>
      <vt:variant>
        <vt:lpwstr/>
      </vt:variant>
      <vt:variant>
        <vt:i4>7143516</vt:i4>
      </vt:variant>
      <vt:variant>
        <vt:i4>342</vt:i4>
      </vt:variant>
      <vt:variant>
        <vt:i4>0</vt:i4>
      </vt:variant>
      <vt:variant>
        <vt:i4>5</vt:i4>
      </vt:variant>
      <vt:variant>
        <vt:lpwstr>https://www.aph.gov.au/Parliamentary_Business/Committees/House/Health_Aged_Care_and_Sport/Newdrugs/Report</vt:lpwstr>
      </vt:variant>
      <vt:variant>
        <vt:lpwstr/>
      </vt:variant>
      <vt:variant>
        <vt:i4>2097214</vt:i4>
      </vt:variant>
      <vt:variant>
        <vt:i4>339</vt:i4>
      </vt:variant>
      <vt:variant>
        <vt:i4>0</vt:i4>
      </vt:variant>
      <vt:variant>
        <vt:i4>5</vt:i4>
      </vt:variant>
      <vt:variant>
        <vt:lpwstr>https://www.legislation.gov.au/C1953A00095/latest/text</vt:lpwstr>
      </vt:variant>
      <vt:variant>
        <vt:lpwstr/>
      </vt:variant>
      <vt:variant>
        <vt:i4>6225923</vt:i4>
      </vt:variant>
      <vt:variant>
        <vt:i4>336</vt:i4>
      </vt:variant>
      <vt:variant>
        <vt:i4>0</vt:i4>
      </vt:variant>
      <vt:variant>
        <vt:i4>5</vt:i4>
      </vt:variant>
      <vt:variant>
        <vt:lpwstr>https://www.health.gov.au/resources/publications/conversations-for-change-report-2023?language=en</vt:lpwstr>
      </vt:variant>
      <vt:variant>
        <vt:lpwstr/>
      </vt:variant>
      <vt:variant>
        <vt:i4>8323121</vt:i4>
      </vt:variant>
      <vt:variant>
        <vt:i4>333</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5767179</vt:i4>
      </vt:variant>
      <vt:variant>
        <vt:i4>330</vt:i4>
      </vt:variant>
      <vt:variant>
        <vt:i4>0</vt:i4>
      </vt:variant>
      <vt:variant>
        <vt:i4>5</vt:i4>
      </vt:variant>
      <vt:variant>
        <vt:lpwstr>http://www.msac.gov.au/internet/msac/publishing.nsf/Content/factsheet-10</vt:lpwstr>
      </vt:variant>
      <vt:variant>
        <vt:lpwstr/>
      </vt:variant>
      <vt:variant>
        <vt:i4>5767176</vt:i4>
      </vt:variant>
      <vt:variant>
        <vt:i4>327</vt:i4>
      </vt:variant>
      <vt:variant>
        <vt:i4>0</vt:i4>
      </vt:variant>
      <vt:variant>
        <vt:i4>5</vt:i4>
      </vt:variant>
      <vt:variant>
        <vt:lpwstr>http://www.pbs.gov.au/pbs/industry/listing/elements/pbac-meetings/psd</vt:lpwstr>
      </vt:variant>
      <vt:variant>
        <vt:lpwstr/>
      </vt:variant>
      <vt:variant>
        <vt:i4>1441873</vt:i4>
      </vt:variant>
      <vt:variant>
        <vt:i4>324</vt:i4>
      </vt:variant>
      <vt:variant>
        <vt:i4>0</vt:i4>
      </vt:variant>
      <vt:variant>
        <vt:i4>5</vt:i4>
      </vt:variant>
      <vt:variant>
        <vt:lpwstr>https://www.pbs.gov.au/pbs/industry/listing/listing-steps</vt:lpwstr>
      </vt:variant>
      <vt:variant>
        <vt:lpwstr/>
      </vt:variant>
      <vt:variant>
        <vt:i4>2752623</vt:i4>
      </vt:variant>
      <vt:variant>
        <vt:i4>321</vt:i4>
      </vt:variant>
      <vt:variant>
        <vt:i4>0</vt:i4>
      </vt:variant>
      <vt:variant>
        <vt:i4>5</vt:i4>
      </vt:variant>
      <vt:variant>
        <vt:lpwstr>http://www.msac.gov.au/internet/msac/publishing.nsf/Content/MSAC-Guidelines</vt:lpwstr>
      </vt:variant>
      <vt:variant>
        <vt:lpwstr/>
      </vt:variant>
      <vt:variant>
        <vt:i4>6619185</vt:i4>
      </vt:variant>
      <vt:variant>
        <vt:i4>318</vt:i4>
      </vt:variant>
      <vt:variant>
        <vt:i4>0</vt:i4>
      </vt:variant>
      <vt:variant>
        <vt:i4>5</vt:i4>
      </vt:variant>
      <vt:variant>
        <vt:lpwstr>http://www.msac.gov.au/internet/msac/publishing.nsf/Content/Documents-for-Applicants-and-Assessment-Groups</vt:lpwstr>
      </vt:variant>
      <vt:variant>
        <vt:lpwstr/>
      </vt:variant>
      <vt:variant>
        <vt:i4>4915282</vt:i4>
      </vt:variant>
      <vt:variant>
        <vt:i4>315</vt:i4>
      </vt:variant>
      <vt:variant>
        <vt:i4>0</vt:i4>
      </vt:variant>
      <vt:variant>
        <vt:i4>5</vt:i4>
      </vt:variant>
      <vt:variant>
        <vt:lpwstr>https://pbac.pbs.gov.au/information/printable-version-of-guidelines.html</vt:lpwstr>
      </vt:variant>
      <vt:variant>
        <vt:lpwstr/>
      </vt:variant>
      <vt:variant>
        <vt:i4>1769567</vt:i4>
      </vt:variant>
      <vt:variant>
        <vt:i4>312</vt:i4>
      </vt:variant>
      <vt:variant>
        <vt:i4>0</vt:i4>
      </vt:variant>
      <vt:variant>
        <vt:i4>5</vt:i4>
      </vt:variant>
      <vt:variant>
        <vt:lpwstr>https://ohta-consultations.health.gov.au/</vt:lpwstr>
      </vt:variant>
      <vt:variant>
        <vt:lpwstr/>
      </vt:variant>
      <vt:variant>
        <vt:i4>3997744</vt:i4>
      </vt:variant>
      <vt:variant>
        <vt:i4>309</vt:i4>
      </vt:variant>
      <vt:variant>
        <vt:i4>0</vt:i4>
      </vt:variant>
      <vt:variant>
        <vt:i4>5</vt:i4>
      </vt:variant>
      <vt:variant>
        <vt:lpwstr>http://www.msac.gov.au/</vt:lpwstr>
      </vt:variant>
      <vt:variant>
        <vt:lpwstr/>
      </vt:variant>
      <vt:variant>
        <vt:i4>3014717</vt:i4>
      </vt:variant>
      <vt:variant>
        <vt:i4>306</vt:i4>
      </vt:variant>
      <vt:variant>
        <vt:i4>0</vt:i4>
      </vt:variant>
      <vt:variant>
        <vt:i4>5</vt:i4>
      </vt:variant>
      <vt:variant>
        <vt:lpwstr>https://www.pbs.gov.au/info/industry/listing/elements/pbac-meetings</vt:lpwstr>
      </vt:variant>
      <vt:variant>
        <vt:lpwstr/>
      </vt:variant>
      <vt:variant>
        <vt:i4>6094924</vt:i4>
      </vt:variant>
      <vt:variant>
        <vt:i4>303</vt:i4>
      </vt:variant>
      <vt:variant>
        <vt:i4>0</vt:i4>
      </vt:variant>
      <vt:variant>
        <vt:i4>5</vt:i4>
      </vt:variant>
      <vt:variant>
        <vt:lpwstr>https://www.mbsonline.gov.au/</vt:lpwstr>
      </vt:variant>
      <vt:variant>
        <vt:lpwstr/>
      </vt:variant>
      <vt:variant>
        <vt:i4>1900631</vt:i4>
      </vt:variant>
      <vt:variant>
        <vt:i4>300</vt:i4>
      </vt:variant>
      <vt:variant>
        <vt:i4>0</vt:i4>
      </vt:variant>
      <vt:variant>
        <vt:i4>5</vt:i4>
      </vt:variant>
      <vt:variant>
        <vt:lpwstr>https://www.pbs.gov.au/medicinestatus/home.html</vt:lpwstr>
      </vt:variant>
      <vt:variant>
        <vt:lpwstr>:~:text=The%20Medicine%20Status%20Website%20(MSW,Scheme%20(PBS)%20listing%20process</vt:lpwstr>
      </vt:variant>
      <vt:variant>
        <vt:i4>3539006</vt:i4>
      </vt:variant>
      <vt:variant>
        <vt:i4>297</vt:i4>
      </vt:variant>
      <vt:variant>
        <vt:i4>0</vt:i4>
      </vt:variant>
      <vt:variant>
        <vt:i4>5</vt:i4>
      </vt:variant>
      <vt:variant>
        <vt:lpwstr>https://www.pbs.gov.au/pbs/home</vt:lpwstr>
      </vt:variant>
      <vt:variant>
        <vt:lpwstr/>
      </vt:variant>
      <vt:variant>
        <vt:i4>2818097</vt:i4>
      </vt:variant>
      <vt:variant>
        <vt:i4>294</vt:i4>
      </vt:variant>
      <vt:variant>
        <vt:i4>0</vt:i4>
      </vt:variant>
      <vt:variant>
        <vt:i4>5</vt:i4>
      </vt:variant>
      <vt:variant>
        <vt:lpwstr>https://www.health.gov.au/our-work/co-design-of-an-enhanced-consumer-engagement-process</vt:lpwstr>
      </vt:variant>
      <vt:variant>
        <vt:lpwstr/>
      </vt:variant>
      <vt:variant>
        <vt:i4>8257579</vt:i4>
      </vt:variant>
      <vt:variant>
        <vt:i4>291</vt:i4>
      </vt:variant>
      <vt:variant>
        <vt:i4>0</vt:i4>
      </vt:variant>
      <vt:variant>
        <vt:i4>5</vt:i4>
      </vt:variant>
      <vt:variant>
        <vt:lpwstr>https://www.health.gov.au/resources/publications/national-medicines-policy?language=en</vt:lpwstr>
      </vt:variant>
      <vt:variant>
        <vt:lpwstr/>
      </vt:variant>
      <vt:variant>
        <vt:i4>589908</vt:i4>
      </vt:variant>
      <vt:variant>
        <vt:i4>288</vt:i4>
      </vt:variant>
      <vt:variant>
        <vt:i4>0</vt:i4>
      </vt:variant>
      <vt:variant>
        <vt:i4>5</vt:i4>
      </vt:variant>
      <vt:variant>
        <vt:lpwstr>https://www.health.gov.au/resources/publications/stakeholder-engagement-framework</vt:lpwstr>
      </vt:variant>
      <vt:variant>
        <vt:lpwstr/>
      </vt:variant>
      <vt:variant>
        <vt:i4>1376260</vt:i4>
      </vt:variant>
      <vt:variant>
        <vt:i4>285</vt:i4>
      </vt:variant>
      <vt:variant>
        <vt:i4>0</vt:i4>
      </vt:variant>
      <vt:variant>
        <vt:i4>5</vt:i4>
      </vt:variant>
      <vt:variant>
        <vt:lpwstr>https://www.oaic.gov.au/freedom-of-information/freedom-of-information-guidance-for-government-agencies/more-guidance/statement-of-principles-to-support-proactive-disclosure-of-government-held-information</vt:lpwstr>
      </vt:variant>
      <vt:variant>
        <vt:lpwstr>:~:text=These%20Principles%20recognise%20that%3A,a%20formal%20access%20request%2C%20and</vt:lpwstr>
      </vt:variant>
      <vt:variant>
        <vt:i4>589908</vt:i4>
      </vt:variant>
      <vt:variant>
        <vt:i4>282</vt:i4>
      </vt:variant>
      <vt:variant>
        <vt:i4>0</vt:i4>
      </vt:variant>
      <vt:variant>
        <vt:i4>5</vt:i4>
      </vt:variant>
      <vt:variant>
        <vt:lpwstr>https://www.health.gov.au/resources/publications/stakeholder-engagement-framework</vt:lpwstr>
      </vt:variant>
      <vt:variant>
        <vt:lpwstr/>
      </vt:variant>
      <vt:variant>
        <vt:i4>4325428</vt:i4>
      </vt:variant>
      <vt:variant>
        <vt:i4>279</vt:i4>
      </vt:variant>
      <vt:variant>
        <vt:i4>0</vt:i4>
      </vt:variant>
      <vt:variant>
        <vt:i4>5</vt:i4>
      </vt:variant>
      <vt:variant>
        <vt:lpwstr>https://www.oecd.org/en/publications/antimicrobial-resistance-in-g7-countries-and-beyond_5ea8ed24-en.html</vt:lpwstr>
      </vt:variant>
      <vt:variant>
        <vt:lpwstr/>
      </vt:variant>
      <vt:variant>
        <vt:i4>3932222</vt:i4>
      </vt:variant>
      <vt:variant>
        <vt:i4>276</vt:i4>
      </vt:variant>
      <vt:variant>
        <vt:i4>0</vt:i4>
      </vt:variant>
      <vt:variant>
        <vt:i4>5</vt:i4>
      </vt:variant>
      <vt:variant>
        <vt:lpwstr>https://www.aph.gov.au/Parliamentary_Business/Committees/House/Health_Aged_Care_and_Sport/Newdrugs/Government_Response</vt:lpwstr>
      </vt:variant>
      <vt:variant>
        <vt:lpwstr/>
      </vt:variant>
      <vt:variant>
        <vt:i4>3407987</vt:i4>
      </vt:variant>
      <vt:variant>
        <vt:i4>273</vt:i4>
      </vt:variant>
      <vt:variant>
        <vt:i4>0</vt:i4>
      </vt:variant>
      <vt:variant>
        <vt:i4>5</vt:i4>
      </vt:variant>
      <vt:variant>
        <vt:lpwstr>https://www.amr.gov.au/resources/australias-national-antimicrobial-resistance-strategy-2020-and-beyond</vt:lpwstr>
      </vt:variant>
      <vt:variant>
        <vt:lpwstr/>
      </vt:variant>
      <vt:variant>
        <vt:i4>2031694</vt:i4>
      </vt:variant>
      <vt:variant>
        <vt:i4>270</vt:i4>
      </vt:variant>
      <vt:variant>
        <vt:i4>0</vt:i4>
      </vt:variant>
      <vt:variant>
        <vt:i4>5</vt:i4>
      </vt:variant>
      <vt:variant>
        <vt:lpwstr>https://www.frontiersin.org/articles/10.3389/fmedt.2023.1010247/full</vt:lpwstr>
      </vt:variant>
      <vt:variant>
        <vt:lpwstr/>
      </vt:variant>
      <vt:variant>
        <vt:i4>4915282</vt:i4>
      </vt:variant>
      <vt:variant>
        <vt:i4>267</vt:i4>
      </vt:variant>
      <vt:variant>
        <vt:i4>0</vt:i4>
      </vt:variant>
      <vt:variant>
        <vt:i4>5</vt:i4>
      </vt:variant>
      <vt:variant>
        <vt:lpwstr>https://pbac.pbs.gov.au/information/printable-version-of-guidelines.html</vt:lpwstr>
      </vt:variant>
      <vt:variant>
        <vt:lpwstr/>
      </vt:variant>
      <vt:variant>
        <vt:i4>6881331</vt:i4>
      </vt:variant>
      <vt:variant>
        <vt:i4>264</vt:i4>
      </vt:variant>
      <vt:variant>
        <vt:i4>0</vt:i4>
      </vt:variant>
      <vt:variant>
        <vt:i4>5</vt:i4>
      </vt:variant>
      <vt:variant>
        <vt:lpwstr>https://www.tg.org.au/</vt:lpwstr>
      </vt:variant>
      <vt:variant>
        <vt:lpwstr/>
      </vt:variant>
      <vt:variant>
        <vt:i4>8323121</vt:i4>
      </vt:variant>
      <vt:variant>
        <vt:i4>261</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7405653</vt:i4>
      </vt:variant>
      <vt:variant>
        <vt:i4>258</vt:i4>
      </vt:variant>
      <vt:variant>
        <vt:i4>0</vt:i4>
      </vt:variant>
      <vt:variant>
        <vt:i4>5</vt:i4>
      </vt:variant>
      <vt:variant>
        <vt:lpwstr>https://cdn.who.int/media/docs/default-source/antimicrobial-resistance/amr-gcp-irc/incentivising-development-of-new-antibacterial-treatments-2023---progress-report.pdf?sfvrsn=72e4f738_3</vt:lpwstr>
      </vt:variant>
      <vt:variant>
        <vt:lpwstr/>
      </vt:variant>
      <vt:variant>
        <vt:i4>2031680</vt:i4>
      </vt:variant>
      <vt:variant>
        <vt:i4>255</vt:i4>
      </vt:variant>
      <vt:variant>
        <vt:i4>0</vt:i4>
      </vt:variant>
      <vt:variant>
        <vt:i4>5</vt:i4>
      </vt:variant>
      <vt:variant>
        <vt:lpwstr>https://www.who.int/publications/i/item/9789240047655</vt:lpwstr>
      </vt:variant>
      <vt:variant>
        <vt:lpwstr/>
      </vt:variant>
      <vt:variant>
        <vt:i4>5898264</vt:i4>
      </vt:variant>
      <vt:variant>
        <vt:i4>252</vt:i4>
      </vt:variant>
      <vt:variant>
        <vt:i4>0</vt:i4>
      </vt:variant>
      <vt:variant>
        <vt:i4>5</vt:i4>
      </vt:variant>
      <vt:variant>
        <vt:lpwstr>https://www.who.int/news-room/spotlight/ten-threats-to-global-health-in-2019</vt:lpwstr>
      </vt:variant>
      <vt:variant>
        <vt:lpwstr/>
      </vt:variant>
      <vt:variant>
        <vt:i4>1114131</vt:i4>
      </vt:variant>
      <vt:variant>
        <vt:i4>249</vt:i4>
      </vt:variant>
      <vt:variant>
        <vt:i4>0</vt:i4>
      </vt:variant>
      <vt:variant>
        <vt:i4>5</vt:i4>
      </vt:variant>
      <vt:variant>
        <vt:lpwstr>https://www.health.gov.au/resources/publications/hta-policy-and-methods-review-draft-paper-funding-and-purchasing-decisions-and-managing-uncertainty?language=en</vt:lpwstr>
      </vt:variant>
      <vt:variant>
        <vt:lpwstr/>
      </vt:variant>
      <vt:variant>
        <vt:i4>524362</vt:i4>
      </vt:variant>
      <vt:variant>
        <vt:i4>246</vt:i4>
      </vt:variant>
      <vt:variant>
        <vt:i4>0</vt:i4>
      </vt:variant>
      <vt:variant>
        <vt:i4>5</vt:i4>
      </vt:variant>
      <vt:variant>
        <vt:lpwstr>https://ohta-consultations.health.gov.au/ohta/hta-review-consultation1/consultation/view_respondent?show_all_questions=0&amp;sort=submitted&amp;order=ascending&amp;_q__text=janssen&amp;uuId=108869358</vt:lpwstr>
      </vt:variant>
      <vt:variant>
        <vt:lpwstr/>
      </vt:variant>
      <vt:variant>
        <vt:i4>1572871</vt:i4>
      </vt:variant>
      <vt:variant>
        <vt:i4>243</vt:i4>
      </vt:variant>
      <vt:variant>
        <vt:i4>0</vt:i4>
      </vt:variant>
      <vt:variant>
        <vt:i4>5</vt:i4>
      </vt:variant>
      <vt:variant>
        <vt:lpwstr>https://www.pbs.gov.au/info/publication/factsheets/shared/framework-for-introduction-of-managed-entry-scheme-for-PBAC-submissions</vt:lpwstr>
      </vt:variant>
      <vt:variant>
        <vt:lpwstr/>
      </vt:variant>
      <vt:variant>
        <vt:i4>7143516</vt:i4>
      </vt:variant>
      <vt:variant>
        <vt:i4>240</vt:i4>
      </vt:variant>
      <vt:variant>
        <vt:i4>0</vt:i4>
      </vt:variant>
      <vt:variant>
        <vt:i4>5</vt:i4>
      </vt:variant>
      <vt:variant>
        <vt:lpwstr>https://www.aph.gov.au/Parliamentary_Business/Committees/House/Health_Aged_Care_and_Sport/Newdrugs/Report</vt:lpwstr>
      </vt:variant>
      <vt:variant>
        <vt:lpwstr/>
      </vt:variant>
      <vt:variant>
        <vt:i4>7143516</vt:i4>
      </vt:variant>
      <vt:variant>
        <vt:i4>237</vt:i4>
      </vt:variant>
      <vt:variant>
        <vt:i4>0</vt:i4>
      </vt:variant>
      <vt:variant>
        <vt:i4>5</vt:i4>
      </vt:variant>
      <vt:variant>
        <vt:lpwstr>https://www.aph.gov.au/Parliamentary_Business/Committees/House/Health_Aged_Care_and_Sport/Newdrugs/Report</vt:lpwstr>
      </vt:variant>
      <vt:variant>
        <vt:lpwstr/>
      </vt:variant>
      <vt:variant>
        <vt:i4>7143516</vt:i4>
      </vt:variant>
      <vt:variant>
        <vt:i4>234</vt:i4>
      </vt:variant>
      <vt:variant>
        <vt:i4>0</vt:i4>
      </vt:variant>
      <vt:variant>
        <vt:i4>5</vt:i4>
      </vt:variant>
      <vt:variant>
        <vt:lpwstr>https://www.aph.gov.au/Parliamentary_Business/Committees/House/Health_Aged_Care_and_Sport/Newdrugs/Report</vt:lpwstr>
      </vt:variant>
      <vt:variant>
        <vt:lpwstr/>
      </vt:variant>
      <vt:variant>
        <vt:i4>7143516</vt:i4>
      </vt:variant>
      <vt:variant>
        <vt:i4>231</vt:i4>
      </vt:variant>
      <vt:variant>
        <vt:i4>0</vt:i4>
      </vt:variant>
      <vt:variant>
        <vt:i4>5</vt:i4>
      </vt:variant>
      <vt:variant>
        <vt:lpwstr>https://www.aph.gov.au/Parliamentary_Business/Committees/House/Health_Aged_Care_and_Sport/Newdrugs/Report</vt:lpwstr>
      </vt:variant>
      <vt:variant>
        <vt:lpwstr/>
      </vt:variant>
      <vt:variant>
        <vt:i4>1114131</vt:i4>
      </vt:variant>
      <vt:variant>
        <vt:i4>228</vt:i4>
      </vt:variant>
      <vt:variant>
        <vt:i4>0</vt:i4>
      </vt:variant>
      <vt:variant>
        <vt:i4>5</vt:i4>
      </vt:variant>
      <vt:variant>
        <vt:lpwstr>https://www.health.gov.au/resources/publications/hta-policy-and-methods-review-draft-paper-funding-and-purchasing-decisions-and-managing-uncertainty?language=en</vt:lpwstr>
      </vt:variant>
      <vt:variant>
        <vt:lpwstr/>
      </vt:variant>
      <vt:variant>
        <vt:i4>5046275</vt:i4>
      </vt:variant>
      <vt:variant>
        <vt:i4>225</vt:i4>
      </vt:variant>
      <vt:variant>
        <vt:i4>0</vt:i4>
      </vt:variant>
      <vt:variant>
        <vt:i4>5</vt:i4>
      </vt:variant>
      <vt:variant>
        <vt:lpwstr>https://www.health.gov.au/topics/health-technologies-and-digital-health/health-technology-assessments/for-subsidy</vt:lpwstr>
      </vt:variant>
      <vt:variant>
        <vt:lpwstr/>
      </vt:variant>
      <vt:variant>
        <vt:i4>8257579</vt:i4>
      </vt:variant>
      <vt:variant>
        <vt:i4>222</vt:i4>
      </vt:variant>
      <vt:variant>
        <vt:i4>0</vt:i4>
      </vt:variant>
      <vt:variant>
        <vt:i4>5</vt:i4>
      </vt:variant>
      <vt:variant>
        <vt:lpwstr>https://www.health.gov.au/resources/publications/national-medicines-policy?language=en</vt:lpwstr>
      </vt:variant>
      <vt:variant>
        <vt:lpwstr/>
      </vt:variant>
      <vt:variant>
        <vt:i4>655440</vt:i4>
      </vt:variant>
      <vt:variant>
        <vt:i4>219</vt:i4>
      </vt:variant>
      <vt:variant>
        <vt:i4>0</vt:i4>
      </vt:variant>
      <vt:variant>
        <vt:i4>5</vt:i4>
      </vt:variant>
      <vt:variant>
        <vt:lpwstr>https://htaglossary.net/disinvestment?highlight=disinvestment</vt:lpwstr>
      </vt:variant>
      <vt:variant>
        <vt:lpwstr/>
      </vt:variant>
      <vt:variant>
        <vt:i4>1114131</vt:i4>
      </vt:variant>
      <vt:variant>
        <vt:i4>216</vt:i4>
      </vt:variant>
      <vt:variant>
        <vt:i4>0</vt:i4>
      </vt:variant>
      <vt:variant>
        <vt:i4>5</vt:i4>
      </vt:variant>
      <vt:variant>
        <vt:lpwstr>https://www.health.gov.au/resources/publications/hta-policy-and-methods-review-draft-paper-funding-and-purchasing-decisions-and-managing-uncertainty?language=en</vt:lpwstr>
      </vt:variant>
      <vt:variant>
        <vt:lpwstr/>
      </vt:variant>
      <vt:variant>
        <vt:i4>5505024</vt:i4>
      </vt:variant>
      <vt:variant>
        <vt:i4>213</vt:i4>
      </vt:variant>
      <vt:variant>
        <vt:i4>0</vt:i4>
      </vt:variant>
      <vt:variant>
        <vt:i4>5</vt:i4>
      </vt:variant>
      <vt:variant>
        <vt:lpwstr>https://www.pbs.gov.au/info/reviews/subsidised-medicines-reviews</vt:lpwstr>
      </vt:variant>
      <vt:variant>
        <vt:lpwstr/>
      </vt:variant>
      <vt:variant>
        <vt:i4>5505024</vt:i4>
      </vt:variant>
      <vt:variant>
        <vt:i4>210</vt:i4>
      </vt:variant>
      <vt:variant>
        <vt:i4>0</vt:i4>
      </vt:variant>
      <vt:variant>
        <vt:i4>5</vt:i4>
      </vt:variant>
      <vt:variant>
        <vt:lpwstr>https://www.pbs.gov.au/info/reviews/subsidised-medicines-reviews</vt:lpwstr>
      </vt:variant>
      <vt:variant>
        <vt:lpwstr/>
      </vt:variant>
      <vt:variant>
        <vt:i4>3473514</vt:i4>
      </vt:variant>
      <vt:variant>
        <vt:i4>207</vt:i4>
      </vt:variant>
      <vt:variant>
        <vt:i4>0</vt:i4>
      </vt:variant>
      <vt:variant>
        <vt:i4>5</vt:i4>
      </vt:variant>
      <vt:variant>
        <vt:lpwstr>https://www.pbs.gov.au/pbs/industry/listing/participants/drug-utilisation-subcommittee</vt:lpwstr>
      </vt:variant>
      <vt:variant>
        <vt:lpwstr/>
      </vt:variant>
      <vt:variant>
        <vt:i4>8257579</vt:i4>
      </vt:variant>
      <vt:variant>
        <vt:i4>204</vt:i4>
      </vt:variant>
      <vt:variant>
        <vt:i4>0</vt:i4>
      </vt:variant>
      <vt:variant>
        <vt:i4>5</vt:i4>
      </vt:variant>
      <vt:variant>
        <vt:lpwstr>https://www.health.gov.au/resources/publications/national-medicines-policy?language=en</vt:lpwstr>
      </vt:variant>
      <vt:variant>
        <vt:lpwstr/>
      </vt:variant>
      <vt:variant>
        <vt:i4>5505024</vt:i4>
      </vt:variant>
      <vt:variant>
        <vt:i4>201</vt:i4>
      </vt:variant>
      <vt:variant>
        <vt:i4>0</vt:i4>
      </vt:variant>
      <vt:variant>
        <vt:i4>5</vt:i4>
      </vt:variant>
      <vt:variant>
        <vt:lpwstr>https://www.pbs.gov.au/info/reviews/subsidised-medicines-reviews</vt:lpwstr>
      </vt:variant>
      <vt:variant>
        <vt:lpwstr/>
      </vt:variant>
      <vt:variant>
        <vt:i4>3473514</vt:i4>
      </vt:variant>
      <vt:variant>
        <vt:i4>198</vt:i4>
      </vt:variant>
      <vt:variant>
        <vt:i4>0</vt:i4>
      </vt:variant>
      <vt:variant>
        <vt:i4>5</vt:i4>
      </vt:variant>
      <vt:variant>
        <vt:lpwstr>https://www.pbs.gov.au/pbs/industry/listing/participants/drug-utilisation-subcommittee</vt:lpwstr>
      </vt:variant>
      <vt:variant>
        <vt:lpwstr/>
      </vt:variant>
      <vt:variant>
        <vt:i4>6291495</vt:i4>
      </vt:variant>
      <vt:variant>
        <vt:i4>195</vt:i4>
      </vt:variant>
      <vt:variant>
        <vt:i4>0</vt:i4>
      </vt:variant>
      <vt:variant>
        <vt:i4>5</vt:i4>
      </vt:variant>
      <vt:variant>
        <vt:lpwstr>https://www.health.gov.au/resources/publications/hta-policy-and-methods-review-draft-paper-hta-methods-economic-evaluation?language=en</vt:lpwstr>
      </vt:variant>
      <vt:variant>
        <vt:lpwstr/>
      </vt:variant>
      <vt:variant>
        <vt:i4>8323121</vt:i4>
      </vt:variant>
      <vt:variant>
        <vt:i4>192</vt:i4>
      </vt:variant>
      <vt:variant>
        <vt:i4>0</vt:i4>
      </vt:variant>
      <vt:variant>
        <vt:i4>5</vt:i4>
      </vt:variant>
      <vt:variant>
        <vt:lpwstr>https://www.health.gov.au/resources/publications/hta-policy-and-methods-review-hta-pathways-and-processes-clinical-evaluation-methods-and-horizon-scanning?language=en</vt:lpwstr>
      </vt:variant>
      <vt:variant>
        <vt:lpwstr/>
      </vt:variant>
      <vt:variant>
        <vt:i4>7143516</vt:i4>
      </vt:variant>
      <vt:variant>
        <vt:i4>189</vt:i4>
      </vt:variant>
      <vt:variant>
        <vt:i4>0</vt:i4>
      </vt:variant>
      <vt:variant>
        <vt:i4>5</vt:i4>
      </vt:variant>
      <vt:variant>
        <vt:lpwstr>https://www.aph.gov.au/Parliamentary_Business/Committees/House/Health_Aged_Care_and_Sport/Newdrugs/Report</vt:lpwstr>
      </vt:variant>
      <vt:variant>
        <vt:lpwstr/>
      </vt:variant>
      <vt:variant>
        <vt:i4>4194376</vt:i4>
      </vt:variant>
      <vt:variant>
        <vt:i4>186</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3866675</vt:i4>
      </vt:variant>
      <vt:variant>
        <vt:i4>183</vt:i4>
      </vt:variant>
      <vt:variant>
        <vt:i4>0</vt:i4>
      </vt:variant>
      <vt:variant>
        <vt:i4>5</vt:i4>
      </vt:variant>
      <vt:variant>
        <vt:lpwstr>http://www.pbs.gov.au/info/industry/listing/procedure-guidance/8-procedures-positive-recommendation-list/8-procedures-for-a-positive-recommendation-to-list</vt:lpwstr>
      </vt:variant>
      <vt:variant>
        <vt:lpwstr/>
      </vt:variant>
      <vt:variant>
        <vt:i4>786484</vt:i4>
      </vt:variant>
      <vt:variant>
        <vt:i4>180</vt:i4>
      </vt:variant>
      <vt:variant>
        <vt:i4>0</vt:i4>
      </vt:variant>
      <vt:variant>
        <vt:i4>5</vt:i4>
      </vt:variant>
      <vt:variant>
        <vt:lpwstr>https://www.hhs.gov/sites/default/files/HCV_Affinity_Group_LA_Case_Study.pdf</vt:lpwstr>
      </vt:variant>
      <vt:variant>
        <vt:lpwstr/>
      </vt:variant>
      <vt:variant>
        <vt:i4>7864382</vt:i4>
      </vt:variant>
      <vt:variant>
        <vt:i4>177</vt:i4>
      </vt:variant>
      <vt:variant>
        <vt:i4>0</vt:i4>
      </vt:variant>
      <vt:variant>
        <vt:i4>5</vt:i4>
      </vt:variant>
      <vt:variant>
        <vt:lpwstr>https://doi.org/10.3389%2Ffphar.2022.771966</vt:lpwstr>
      </vt:variant>
      <vt:variant>
        <vt:lpwstr/>
      </vt:variant>
      <vt:variant>
        <vt:i4>327758</vt:i4>
      </vt:variant>
      <vt:variant>
        <vt:i4>174</vt:i4>
      </vt:variant>
      <vt:variant>
        <vt:i4>0</vt:i4>
      </vt:variant>
      <vt:variant>
        <vt:i4>5</vt:i4>
      </vt:variant>
      <vt:variant>
        <vt:lpwstr>https://hcp.cablivi.com/support-for-you-and-your-hospital/sanofi-promise</vt:lpwstr>
      </vt:variant>
      <vt:variant>
        <vt:lpwstr/>
      </vt:variant>
      <vt:variant>
        <vt:i4>8257579</vt:i4>
      </vt:variant>
      <vt:variant>
        <vt:i4>171</vt:i4>
      </vt:variant>
      <vt:variant>
        <vt:i4>0</vt:i4>
      </vt:variant>
      <vt:variant>
        <vt:i4>5</vt:i4>
      </vt:variant>
      <vt:variant>
        <vt:lpwstr>https://www.health.gov.au/resources/publications/national-medicines-policy?language=en</vt:lpwstr>
      </vt:variant>
      <vt:variant>
        <vt:lpwstr/>
      </vt:variant>
      <vt:variant>
        <vt:i4>8257579</vt:i4>
      </vt:variant>
      <vt:variant>
        <vt:i4>168</vt:i4>
      </vt:variant>
      <vt:variant>
        <vt:i4>0</vt:i4>
      </vt:variant>
      <vt:variant>
        <vt:i4>5</vt:i4>
      </vt:variant>
      <vt:variant>
        <vt:lpwstr>https://www.health.gov.au/resources/publications/national-medicines-policy?language=en</vt:lpwstr>
      </vt:variant>
      <vt:variant>
        <vt:lpwstr/>
      </vt:variant>
      <vt:variant>
        <vt:i4>4194376</vt:i4>
      </vt:variant>
      <vt:variant>
        <vt:i4>165</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5046362</vt:i4>
      </vt:variant>
      <vt:variant>
        <vt:i4>162</vt:i4>
      </vt:variant>
      <vt:variant>
        <vt:i4>0</vt:i4>
      </vt:variant>
      <vt:variant>
        <vt:i4>5</vt:i4>
      </vt:variant>
      <vt:variant>
        <vt:lpwstr>https://www.health.gov.au/resources/publications/life-saving-drugs-program-lsdp-medicines-reviews-recommendations</vt:lpwstr>
      </vt:variant>
      <vt:variant>
        <vt:lpwstr/>
      </vt:variant>
      <vt:variant>
        <vt:i4>7143516</vt:i4>
      </vt:variant>
      <vt:variant>
        <vt:i4>159</vt:i4>
      </vt:variant>
      <vt:variant>
        <vt:i4>0</vt:i4>
      </vt:variant>
      <vt:variant>
        <vt:i4>5</vt:i4>
      </vt:variant>
      <vt:variant>
        <vt:lpwstr>https://www.aph.gov.au/Parliamentary_Business/Committees/House/Health_Aged_Care_and_Sport/Newdrugs/Report</vt:lpwstr>
      </vt:variant>
      <vt:variant>
        <vt:lpwstr/>
      </vt:variant>
      <vt:variant>
        <vt:i4>2687084</vt:i4>
      </vt:variant>
      <vt:variant>
        <vt:i4>156</vt:i4>
      </vt:variant>
      <vt:variant>
        <vt:i4>0</vt:i4>
      </vt:variant>
      <vt:variant>
        <vt:i4>5</vt:i4>
      </vt:variant>
      <vt:variant>
        <vt:lpwstr>http://www.msac.gov.au/internet/msac/publishing.nsf/Content/1748-public</vt:lpwstr>
      </vt:variant>
      <vt:variant>
        <vt:lpwstr/>
      </vt:variant>
      <vt:variant>
        <vt:i4>7143516</vt:i4>
      </vt:variant>
      <vt:variant>
        <vt:i4>153</vt:i4>
      </vt:variant>
      <vt:variant>
        <vt:i4>0</vt:i4>
      </vt:variant>
      <vt:variant>
        <vt:i4>5</vt:i4>
      </vt:variant>
      <vt:variant>
        <vt:lpwstr>https://www.aph.gov.au/Parliamentary_Business/Committees/House/Health_Aged_Care_and_Sport/Newdrugs/Report</vt:lpwstr>
      </vt:variant>
      <vt:variant>
        <vt:lpwstr/>
      </vt:variant>
      <vt:variant>
        <vt:i4>262217</vt:i4>
      </vt:variant>
      <vt:variant>
        <vt:i4>150</vt:i4>
      </vt:variant>
      <vt:variant>
        <vt:i4>0</vt:i4>
      </vt:variant>
      <vt:variant>
        <vt:i4>5</vt:i4>
      </vt:variant>
      <vt:variant>
        <vt:lpwstr>https://www.health.gov.au/our-work/2020-25-national-health-reform-agreement-nhra</vt:lpwstr>
      </vt:variant>
      <vt:variant>
        <vt:lpwstr/>
      </vt:variant>
      <vt:variant>
        <vt:i4>262217</vt:i4>
      </vt:variant>
      <vt:variant>
        <vt:i4>147</vt:i4>
      </vt:variant>
      <vt:variant>
        <vt:i4>0</vt:i4>
      </vt:variant>
      <vt:variant>
        <vt:i4>5</vt:i4>
      </vt:variant>
      <vt:variant>
        <vt:lpwstr>https://www.health.gov.au/our-work/2020-25-national-health-reform-agreement-nhra</vt:lpwstr>
      </vt:variant>
      <vt:variant>
        <vt:lpwstr/>
      </vt:variant>
      <vt:variant>
        <vt:i4>262217</vt:i4>
      </vt:variant>
      <vt:variant>
        <vt:i4>144</vt:i4>
      </vt:variant>
      <vt:variant>
        <vt:i4>0</vt:i4>
      </vt:variant>
      <vt:variant>
        <vt:i4>5</vt:i4>
      </vt:variant>
      <vt:variant>
        <vt:lpwstr>https://www.health.gov.au/our-work/2020-25-national-health-reform-agreement-nhra</vt:lpwstr>
      </vt:variant>
      <vt:variant>
        <vt:lpwstr/>
      </vt:variant>
      <vt:variant>
        <vt:i4>262217</vt:i4>
      </vt:variant>
      <vt:variant>
        <vt:i4>141</vt:i4>
      </vt:variant>
      <vt:variant>
        <vt:i4>0</vt:i4>
      </vt:variant>
      <vt:variant>
        <vt:i4>5</vt:i4>
      </vt:variant>
      <vt:variant>
        <vt:lpwstr>https://www.health.gov.au/our-work/2020-25-national-health-reform-agreement-nhra</vt:lpwstr>
      </vt:variant>
      <vt:variant>
        <vt:lpwstr/>
      </vt:variant>
      <vt:variant>
        <vt:i4>262217</vt:i4>
      </vt:variant>
      <vt:variant>
        <vt:i4>138</vt:i4>
      </vt:variant>
      <vt:variant>
        <vt:i4>0</vt:i4>
      </vt:variant>
      <vt:variant>
        <vt:i4>5</vt:i4>
      </vt:variant>
      <vt:variant>
        <vt:lpwstr>https://www.health.gov.au/our-work/2020-25-national-health-reform-agreement-nhra</vt:lpwstr>
      </vt:variant>
      <vt:variant>
        <vt:lpwstr/>
      </vt:variant>
      <vt:variant>
        <vt:i4>262217</vt:i4>
      </vt:variant>
      <vt:variant>
        <vt:i4>135</vt:i4>
      </vt:variant>
      <vt:variant>
        <vt:i4>0</vt:i4>
      </vt:variant>
      <vt:variant>
        <vt:i4>5</vt:i4>
      </vt:variant>
      <vt:variant>
        <vt:lpwstr>https://www.health.gov.au/our-work/2020-25-national-health-reform-agreement-nhra</vt:lpwstr>
      </vt:variant>
      <vt:variant>
        <vt:lpwstr/>
      </vt:variant>
      <vt:variant>
        <vt:i4>262217</vt:i4>
      </vt:variant>
      <vt:variant>
        <vt:i4>132</vt:i4>
      </vt:variant>
      <vt:variant>
        <vt:i4>0</vt:i4>
      </vt:variant>
      <vt:variant>
        <vt:i4>5</vt:i4>
      </vt:variant>
      <vt:variant>
        <vt:lpwstr>https://www.health.gov.au/our-work/2020-25-national-health-reform-agreement-nhra</vt:lpwstr>
      </vt:variant>
      <vt:variant>
        <vt:lpwstr/>
      </vt:variant>
      <vt:variant>
        <vt:i4>7798833</vt:i4>
      </vt:variant>
      <vt:variant>
        <vt:i4>129</vt:i4>
      </vt:variant>
      <vt:variant>
        <vt:i4>0</vt:i4>
      </vt:variant>
      <vt:variant>
        <vt:i4>5</vt:i4>
      </vt:variant>
      <vt:variant>
        <vt:lpwstr>https://doi.org/10.3389%2Ffphar.2022.815029</vt:lpwstr>
      </vt:variant>
      <vt:variant>
        <vt:lpwstr/>
      </vt:variant>
      <vt:variant>
        <vt:i4>2752633</vt:i4>
      </vt:variant>
      <vt:variant>
        <vt:i4>126</vt:i4>
      </vt:variant>
      <vt:variant>
        <vt:i4>0</vt:i4>
      </vt:variant>
      <vt:variant>
        <vt:i4>5</vt:i4>
      </vt:variant>
      <vt:variant>
        <vt:lpwstr>https://doi.org/10.1016/j.healthpol.2024.105064</vt:lpwstr>
      </vt:variant>
      <vt:variant>
        <vt:lpwstr/>
      </vt:variant>
      <vt:variant>
        <vt:i4>3670143</vt:i4>
      </vt:variant>
      <vt:variant>
        <vt:i4>123</vt:i4>
      </vt:variant>
      <vt:variant>
        <vt:i4>0</vt:i4>
      </vt:variant>
      <vt:variant>
        <vt:i4>5</vt:i4>
      </vt:variant>
      <vt:variant>
        <vt:lpwstr>https://aspe.hhs.gov/sites/default/files/documents/430a3e61c234f06270b04414e797ad3a/new-drug-availability-launch-timing.pdf</vt:lpwstr>
      </vt:variant>
      <vt:variant>
        <vt:lpwstr/>
      </vt:variant>
      <vt:variant>
        <vt:i4>5505037</vt:i4>
      </vt:variant>
      <vt:variant>
        <vt:i4>120</vt:i4>
      </vt:variant>
      <vt:variant>
        <vt:i4>0</vt:i4>
      </vt:variant>
      <vt:variant>
        <vt:i4>5</vt:i4>
      </vt:variant>
      <vt:variant>
        <vt:lpwstr>https://phrma.org/en/resource-center/Topics/Access-to-Medicines/Global-Access-to-New-Medicines-Report</vt:lpwstr>
      </vt:variant>
      <vt:variant>
        <vt:lpwstr/>
      </vt:variant>
      <vt:variant>
        <vt:i4>4653073</vt:i4>
      </vt:variant>
      <vt:variant>
        <vt:i4>117</vt:i4>
      </vt:variant>
      <vt:variant>
        <vt:i4>0</vt:i4>
      </vt:variant>
      <vt:variant>
        <vt:i4>5</vt:i4>
      </vt:variant>
      <vt:variant>
        <vt:lpwstr>https://www.cirsci.org/publications/cirs-rd-briefing-89-review-of-hta-outcomes-and-timelines-in-australia-canada-europe-and-the-uk-2018-2022/</vt:lpwstr>
      </vt:variant>
      <vt:variant>
        <vt:lpwstr/>
      </vt:variant>
      <vt:variant>
        <vt:i4>4194376</vt:i4>
      </vt:variant>
      <vt:variant>
        <vt:i4>114</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4194376</vt:i4>
      </vt:variant>
      <vt:variant>
        <vt:i4>111</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4915282</vt:i4>
      </vt:variant>
      <vt:variant>
        <vt:i4>108</vt:i4>
      </vt:variant>
      <vt:variant>
        <vt:i4>0</vt:i4>
      </vt:variant>
      <vt:variant>
        <vt:i4>5</vt:i4>
      </vt:variant>
      <vt:variant>
        <vt:lpwstr>https://pbac.pbs.gov.au/information/printable-version-of-guidelines.html</vt:lpwstr>
      </vt:variant>
      <vt:variant>
        <vt:lpwstr/>
      </vt:variant>
      <vt:variant>
        <vt:i4>4194376</vt:i4>
      </vt:variant>
      <vt:variant>
        <vt:i4>105</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262217</vt:i4>
      </vt:variant>
      <vt:variant>
        <vt:i4>102</vt:i4>
      </vt:variant>
      <vt:variant>
        <vt:i4>0</vt:i4>
      </vt:variant>
      <vt:variant>
        <vt:i4>5</vt:i4>
      </vt:variant>
      <vt:variant>
        <vt:lpwstr>https://www.health.gov.au/our-work/2020-25-national-health-reform-agreement-nhra</vt:lpwstr>
      </vt:variant>
      <vt:variant>
        <vt:lpwstr/>
      </vt:variant>
      <vt:variant>
        <vt:i4>7143516</vt:i4>
      </vt:variant>
      <vt:variant>
        <vt:i4>99</vt:i4>
      </vt:variant>
      <vt:variant>
        <vt:i4>0</vt:i4>
      </vt:variant>
      <vt:variant>
        <vt:i4>5</vt:i4>
      </vt:variant>
      <vt:variant>
        <vt:lpwstr>https://www.aph.gov.au/Parliamentary_Business/Committees/House/Health_Aged_Care_and_Sport/Newdrugs/Report</vt:lpwstr>
      </vt:variant>
      <vt:variant>
        <vt:lpwstr/>
      </vt:variant>
      <vt:variant>
        <vt:i4>7143516</vt:i4>
      </vt:variant>
      <vt:variant>
        <vt:i4>96</vt:i4>
      </vt:variant>
      <vt:variant>
        <vt:i4>0</vt:i4>
      </vt:variant>
      <vt:variant>
        <vt:i4>5</vt:i4>
      </vt:variant>
      <vt:variant>
        <vt:lpwstr>https://www.aph.gov.au/Parliamentary_Business/Committees/House/Health_Aged_Care_and_Sport/Newdrugs/Report</vt:lpwstr>
      </vt:variant>
      <vt:variant>
        <vt:lpwstr/>
      </vt:variant>
      <vt:variant>
        <vt:i4>7012475</vt:i4>
      </vt:variant>
      <vt:variant>
        <vt:i4>93</vt:i4>
      </vt:variant>
      <vt:variant>
        <vt:i4>0</vt:i4>
      </vt:variant>
      <vt:variant>
        <vt:i4>5</vt:i4>
      </vt:variant>
      <vt:variant>
        <vt:lpwstr>https://www.closingthegap.gov.au/national-agreement</vt:lpwstr>
      </vt:variant>
      <vt:variant>
        <vt:lpwstr/>
      </vt:variant>
      <vt:variant>
        <vt:i4>5767172</vt:i4>
      </vt:variant>
      <vt:variant>
        <vt:i4>90</vt:i4>
      </vt:variant>
      <vt:variant>
        <vt:i4>0</vt:i4>
      </vt:variant>
      <vt:variant>
        <vt:i4>5</vt:i4>
      </vt:variant>
      <vt:variant>
        <vt:lpwstr>https://www.indigenoushpf.gov.au/measures/3-15-access-prescription-medicines</vt:lpwstr>
      </vt:variant>
      <vt:variant>
        <vt:lpwstr/>
      </vt:variant>
      <vt:variant>
        <vt:i4>5898263</vt:i4>
      </vt:variant>
      <vt:variant>
        <vt:i4>87</vt:i4>
      </vt:variant>
      <vt:variant>
        <vt:i4>0</vt:i4>
      </vt:variant>
      <vt:variant>
        <vt:i4>5</vt:i4>
      </vt:variant>
      <vt:variant>
        <vt:lpwstr>https://www.closingthegap.gov.au/national-agreement/national-agreement-closing-the-gap/6-priority-reform-areas/three</vt:lpwstr>
      </vt:variant>
      <vt:variant>
        <vt:lpwstr/>
      </vt:variant>
      <vt:variant>
        <vt:i4>7012475</vt:i4>
      </vt:variant>
      <vt:variant>
        <vt:i4>84</vt:i4>
      </vt:variant>
      <vt:variant>
        <vt:i4>0</vt:i4>
      </vt:variant>
      <vt:variant>
        <vt:i4>5</vt:i4>
      </vt:variant>
      <vt:variant>
        <vt:lpwstr>https://www.closingthegap.gov.au/national-agreement</vt:lpwstr>
      </vt:variant>
      <vt:variant>
        <vt:lpwstr/>
      </vt:variant>
      <vt:variant>
        <vt:i4>4194376</vt:i4>
      </vt:variant>
      <vt:variant>
        <vt:i4>81</vt:i4>
      </vt:variant>
      <vt:variant>
        <vt:i4>0</vt:i4>
      </vt:variant>
      <vt:variant>
        <vt:i4>5</vt:i4>
      </vt:variant>
      <vt:variant>
        <vt:lpwstr>https://www.health.gov.au/resources/publications/hta-policy-and-methods-review-draft-paper-australian-market-authorisation-funding-and-assessment-pathways-and-timelines?language=en</vt:lpwstr>
      </vt:variant>
      <vt:variant>
        <vt:lpwstr/>
      </vt:variant>
      <vt:variant>
        <vt:i4>5505037</vt:i4>
      </vt:variant>
      <vt:variant>
        <vt:i4>78</vt:i4>
      </vt:variant>
      <vt:variant>
        <vt:i4>0</vt:i4>
      </vt:variant>
      <vt:variant>
        <vt:i4>5</vt:i4>
      </vt:variant>
      <vt:variant>
        <vt:lpwstr>https://phrma.org/en/resource-center/Topics/Access-to-Medicines/Global-Access-to-New-Medicines-Report</vt:lpwstr>
      </vt:variant>
      <vt:variant>
        <vt:lpwstr/>
      </vt:variant>
      <vt:variant>
        <vt:i4>5439580</vt:i4>
      </vt:variant>
      <vt:variant>
        <vt:i4>75</vt:i4>
      </vt:variant>
      <vt:variant>
        <vt:i4>0</vt:i4>
      </vt:variant>
      <vt:variant>
        <vt:i4>5</vt:i4>
      </vt:variant>
      <vt:variant>
        <vt:lpwstr>https://www.medicinesaustralia.com.au/publications/medicines-matter/</vt:lpwstr>
      </vt:variant>
      <vt:variant>
        <vt:lpwstr/>
      </vt:variant>
      <vt:variant>
        <vt:i4>4653073</vt:i4>
      </vt:variant>
      <vt:variant>
        <vt:i4>72</vt:i4>
      </vt:variant>
      <vt:variant>
        <vt:i4>0</vt:i4>
      </vt:variant>
      <vt:variant>
        <vt:i4>5</vt:i4>
      </vt:variant>
      <vt:variant>
        <vt:lpwstr>https://www.cirsci.org/publications/cirs-rd-briefing-89-review-of-hta-outcomes-and-timelines-in-australia-canada-europe-and-the-uk-2018-2022/</vt:lpwstr>
      </vt:variant>
      <vt:variant>
        <vt:lpwstr/>
      </vt:variant>
      <vt:variant>
        <vt:i4>7143516</vt:i4>
      </vt:variant>
      <vt:variant>
        <vt:i4>69</vt:i4>
      </vt:variant>
      <vt:variant>
        <vt:i4>0</vt:i4>
      </vt:variant>
      <vt:variant>
        <vt:i4>5</vt:i4>
      </vt:variant>
      <vt:variant>
        <vt:lpwstr>https://www.aph.gov.au/Parliamentary_Business/Committees/House/Health_Aged_Care_and_Sport/Newdrugs/Report</vt:lpwstr>
      </vt:variant>
      <vt:variant>
        <vt:lpwstr/>
      </vt:variant>
      <vt:variant>
        <vt:i4>2883641</vt:i4>
      </vt:variant>
      <vt:variant>
        <vt:i4>66</vt:i4>
      </vt:variant>
      <vt:variant>
        <vt:i4>0</vt:i4>
      </vt:variant>
      <vt:variant>
        <vt:i4>5</vt:i4>
      </vt:variant>
      <vt:variant>
        <vt:lpwstr>https://consultations.health.gov.au/technology-assessment-access-division/national-medicines-policy-review/</vt:lpwstr>
      </vt:variant>
      <vt:variant>
        <vt:lpwstr/>
      </vt:variant>
      <vt:variant>
        <vt:i4>7536745</vt:i4>
      </vt:variant>
      <vt:variant>
        <vt:i4>63</vt:i4>
      </vt:variant>
      <vt:variant>
        <vt:i4>0</vt:i4>
      </vt:variant>
      <vt:variant>
        <vt:i4>5</vt:i4>
      </vt:variant>
      <vt:variant>
        <vt:lpwstr>https://www.pbs.gov.au/info/general/medicines-industry-strategic-agreement</vt:lpwstr>
      </vt:variant>
      <vt:variant>
        <vt:lpwstr/>
      </vt:variant>
      <vt:variant>
        <vt:i4>2293822</vt:i4>
      </vt:variant>
      <vt:variant>
        <vt:i4>60</vt:i4>
      </vt:variant>
      <vt:variant>
        <vt:i4>0</vt:i4>
      </vt:variant>
      <vt:variant>
        <vt:i4>5</vt:i4>
      </vt:variant>
      <vt:variant>
        <vt:lpwstr>https://www.health.gov.au/resources/publications/hta-policy-and-methods-review-emerging-health-technologies</vt:lpwstr>
      </vt:variant>
      <vt:variant>
        <vt:lpwstr/>
      </vt:variant>
      <vt:variant>
        <vt:i4>2490472</vt:i4>
      </vt:variant>
      <vt:variant>
        <vt:i4>57</vt:i4>
      </vt:variant>
      <vt:variant>
        <vt:i4>0</vt:i4>
      </vt:variant>
      <vt:variant>
        <vt:i4>5</vt:i4>
      </vt:variant>
      <vt:variant>
        <vt:lpwstr>https://www.pc.gov.au/research/completed/measuring-healthcare-productivity</vt:lpwstr>
      </vt:variant>
      <vt:variant>
        <vt:lpwstr/>
      </vt:variant>
      <vt:variant>
        <vt:i4>5636194</vt:i4>
      </vt:variant>
      <vt:variant>
        <vt:i4>54</vt:i4>
      </vt:variant>
      <vt:variant>
        <vt:i4>0</vt:i4>
      </vt:variant>
      <vt:variant>
        <vt:i4>5</vt:i4>
      </vt:variant>
      <vt:variant>
        <vt:lpwstr>https://www.oecd-ilibrary.org/social-issues-migration-health/health-at-a-glance-2023_7a7afb35-en</vt:lpwstr>
      </vt:variant>
      <vt:variant>
        <vt:lpwstr/>
      </vt:variant>
      <vt:variant>
        <vt:i4>8257579</vt:i4>
      </vt:variant>
      <vt:variant>
        <vt:i4>51</vt:i4>
      </vt:variant>
      <vt:variant>
        <vt:i4>0</vt:i4>
      </vt:variant>
      <vt:variant>
        <vt:i4>5</vt:i4>
      </vt:variant>
      <vt:variant>
        <vt:lpwstr>https://www.health.gov.au/resources/publications/national-medicines-policy?language=en</vt:lpwstr>
      </vt:variant>
      <vt:variant>
        <vt:lpwstr/>
      </vt:variant>
      <vt:variant>
        <vt:i4>8257579</vt:i4>
      </vt:variant>
      <vt:variant>
        <vt:i4>48</vt:i4>
      </vt:variant>
      <vt:variant>
        <vt:i4>0</vt:i4>
      </vt:variant>
      <vt:variant>
        <vt:i4>5</vt:i4>
      </vt:variant>
      <vt:variant>
        <vt:lpwstr>https://www.health.gov.au/resources/publications/national-medicines-policy?language=en</vt:lpwstr>
      </vt:variant>
      <vt:variant>
        <vt:lpwstr/>
      </vt:variant>
      <vt:variant>
        <vt:i4>8257579</vt:i4>
      </vt:variant>
      <vt:variant>
        <vt:i4>45</vt:i4>
      </vt:variant>
      <vt:variant>
        <vt:i4>0</vt:i4>
      </vt:variant>
      <vt:variant>
        <vt:i4>5</vt:i4>
      </vt:variant>
      <vt:variant>
        <vt:lpwstr>https://www.health.gov.au/resources/publications/national-medicines-policy?language=en</vt:lpwstr>
      </vt:variant>
      <vt:variant>
        <vt:lpwstr/>
      </vt:variant>
      <vt:variant>
        <vt:i4>2490424</vt:i4>
      </vt:variant>
      <vt:variant>
        <vt:i4>42</vt:i4>
      </vt:variant>
      <vt:variant>
        <vt:i4>0</vt:i4>
      </vt:variant>
      <vt:variant>
        <vt:i4>5</vt:i4>
      </vt:variant>
      <vt:variant>
        <vt:lpwstr>https://www.who.int/data/gho/data/indicators/indicator-details/GHO/life-expectancy-at-birth-(years)</vt:lpwstr>
      </vt:variant>
      <vt:variant>
        <vt:lpwstr/>
      </vt:variant>
      <vt:variant>
        <vt:i4>5636194</vt:i4>
      </vt:variant>
      <vt:variant>
        <vt:i4>39</vt:i4>
      </vt:variant>
      <vt:variant>
        <vt:i4>0</vt:i4>
      </vt:variant>
      <vt:variant>
        <vt:i4>5</vt:i4>
      </vt:variant>
      <vt:variant>
        <vt:lpwstr>https://www.oecd-ilibrary.org/social-issues-migration-health/health-at-a-glance-2023_7a7afb35-en</vt:lpwstr>
      </vt:variant>
      <vt:variant>
        <vt:lpwstr/>
      </vt:variant>
      <vt:variant>
        <vt:i4>7536745</vt:i4>
      </vt:variant>
      <vt:variant>
        <vt:i4>36</vt:i4>
      </vt:variant>
      <vt:variant>
        <vt:i4>0</vt:i4>
      </vt:variant>
      <vt:variant>
        <vt:i4>5</vt:i4>
      </vt:variant>
      <vt:variant>
        <vt:lpwstr>https://www.pbs.gov.au/info/general/medicines-industry-strategic-agreement</vt:lpwstr>
      </vt:variant>
      <vt:variant>
        <vt:lpwstr/>
      </vt:variant>
      <vt:variant>
        <vt:i4>8257579</vt:i4>
      </vt:variant>
      <vt:variant>
        <vt:i4>33</vt:i4>
      </vt:variant>
      <vt:variant>
        <vt:i4>0</vt:i4>
      </vt:variant>
      <vt:variant>
        <vt:i4>5</vt:i4>
      </vt:variant>
      <vt:variant>
        <vt:lpwstr>https://www.health.gov.au/resources/publications/national-medicines-policy?language=en</vt:lpwstr>
      </vt:variant>
      <vt:variant>
        <vt:lpwstr/>
      </vt:variant>
      <vt:variant>
        <vt:i4>262217</vt:i4>
      </vt:variant>
      <vt:variant>
        <vt:i4>30</vt:i4>
      </vt:variant>
      <vt:variant>
        <vt:i4>0</vt:i4>
      </vt:variant>
      <vt:variant>
        <vt:i4>5</vt:i4>
      </vt:variant>
      <vt:variant>
        <vt:lpwstr>https://www.health.gov.au/our-work/2020-25-national-health-reform-agreement-nhra</vt:lpwstr>
      </vt:variant>
      <vt:variant>
        <vt:lpwstr/>
      </vt:variant>
      <vt:variant>
        <vt:i4>7536745</vt:i4>
      </vt:variant>
      <vt:variant>
        <vt:i4>27</vt:i4>
      </vt:variant>
      <vt:variant>
        <vt:i4>0</vt:i4>
      </vt:variant>
      <vt:variant>
        <vt:i4>5</vt:i4>
      </vt:variant>
      <vt:variant>
        <vt:lpwstr>https://www.pbs.gov.au/info/general/medicines-industry-strategic-agreement</vt:lpwstr>
      </vt:variant>
      <vt:variant>
        <vt:lpwstr/>
      </vt:variant>
      <vt:variant>
        <vt:i4>7143516</vt:i4>
      </vt:variant>
      <vt:variant>
        <vt:i4>24</vt:i4>
      </vt:variant>
      <vt:variant>
        <vt:i4>0</vt:i4>
      </vt:variant>
      <vt:variant>
        <vt:i4>5</vt:i4>
      </vt:variant>
      <vt:variant>
        <vt:lpwstr>https://www.aph.gov.au/Parliamentary_Business/Committees/House/Health_Aged_Care_and_Sport/Newdrugs/Report</vt:lpwstr>
      </vt:variant>
      <vt:variant>
        <vt:lpwstr/>
      </vt:variant>
      <vt:variant>
        <vt:i4>262217</vt:i4>
      </vt:variant>
      <vt:variant>
        <vt:i4>21</vt:i4>
      </vt:variant>
      <vt:variant>
        <vt:i4>0</vt:i4>
      </vt:variant>
      <vt:variant>
        <vt:i4>5</vt:i4>
      </vt:variant>
      <vt:variant>
        <vt:lpwstr>https://www.health.gov.au/our-work/2020-25-national-health-reform-agreement-nhra</vt:lpwstr>
      </vt:variant>
      <vt:variant>
        <vt:lpwstr/>
      </vt:variant>
      <vt:variant>
        <vt:i4>5767172</vt:i4>
      </vt:variant>
      <vt:variant>
        <vt:i4>18</vt:i4>
      </vt:variant>
      <vt:variant>
        <vt:i4>0</vt:i4>
      </vt:variant>
      <vt:variant>
        <vt:i4>5</vt:i4>
      </vt:variant>
      <vt:variant>
        <vt:lpwstr>https://www.indigenoushpf.gov.au/measures/3-15-access-prescription-medicines</vt:lpwstr>
      </vt:variant>
      <vt:variant>
        <vt:lpwstr/>
      </vt:variant>
      <vt:variant>
        <vt:i4>6029326</vt:i4>
      </vt:variant>
      <vt:variant>
        <vt:i4>15</vt:i4>
      </vt:variant>
      <vt:variant>
        <vt:i4>0</vt:i4>
      </vt:variant>
      <vt:variant>
        <vt:i4>5</vt:i4>
      </vt:variant>
      <vt:variant>
        <vt:lpwstr>https://www.health.gov.au/our-work/hta-review/review-analysis-papers</vt:lpwstr>
      </vt:variant>
      <vt:variant>
        <vt:lpwstr/>
      </vt:variant>
      <vt:variant>
        <vt:i4>8257579</vt:i4>
      </vt:variant>
      <vt:variant>
        <vt:i4>12</vt:i4>
      </vt:variant>
      <vt:variant>
        <vt:i4>0</vt:i4>
      </vt:variant>
      <vt:variant>
        <vt:i4>5</vt:i4>
      </vt:variant>
      <vt:variant>
        <vt:lpwstr>https://www.health.gov.au/resources/publications/national-medicines-policy?language=en</vt:lpwstr>
      </vt:variant>
      <vt:variant>
        <vt:lpwstr/>
      </vt:variant>
      <vt:variant>
        <vt:i4>7536745</vt:i4>
      </vt:variant>
      <vt:variant>
        <vt:i4>9</vt:i4>
      </vt:variant>
      <vt:variant>
        <vt:i4>0</vt:i4>
      </vt:variant>
      <vt:variant>
        <vt:i4>5</vt:i4>
      </vt:variant>
      <vt:variant>
        <vt:lpwstr>https://www.pbs.gov.au/info/general/medicines-industry-strategic-agreement</vt:lpwstr>
      </vt:variant>
      <vt:variant>
        <vt:lpwstr/>
      </vt:variant>
      <vt:variant>
        <vt:i4>8257579</vt:i4>
      </vt:variant>
      <vt:variant>
        <vt:i4>6</vt:i4>
      </vt:variant>
      <vt:variant>
        <vt:i4>0</vt:i4>
      </vt:variant>
      <vt:variant>
        <vt:i4>5</vt:i4>
      </vt:variant>
      <vt:variant>
        <vt:lpwstr>https://www.health.gov.au/resources/publications/national-medicines-policy?language=en</vt:lpwstr>
      </vt:variant>
      <vt:variant>
        <vt:lpwstr/>
      </vt:variant>
      <vt:variant>
        <vt:i4>8257579</vt:i4>
      </vt:variant>
      <vt:variant>
        <vt:i4>3</vt:i4>
      </vt:variant>
      <vt:variant>
        <vt:i4>0</vt:i4>
      </vt:variant>
      <vt:variant>
        <vt:i4>5</vt:i4>
      </vt:variant>
      <vt:variant>
        <vt:lpwstr>https://www.health.gov.au/resources/publications/national-medicines-policy?language=en</vt:lpwstr>
      </vt:variant>
      <vt:variant>
        <vt:lpwstr/>
      </vt:variant>
      <vt:variant>
        <vt:i4>7143516</vt:i4>
      </vt:variant>
      <vt:variant>
        <vt:i4>0</vt:i4>
      </vt:variant>
      <vt:variant>
        <vt:i4>0</vt:i4>
      </vt:variant>
      <vt:variant>
        <vt:i4>5</vt:i4>
      </vt:variant>
      <vt:variant>
        <vt:lpwstr>https://www.aph.gov.au/Parliamentary_Business/Committees/House/Health_Aged_Care_and_Sport/Newdrugs/Report</vt:lpwstr>
      </vt:variant>
      <vt:variant>
        <vt:lpwstr/>
      </vt:variant>
      <vt:variant>
        <vt:i4>4587598</vt:i4>
      </vt:variant>
      <vt:variant>
        <vt:i4>3</vt:i4>
      </vt:variant>
      <vt:variant>
        <vt:i4>0</vt:i4>
      </vt:variant>
      <vt:variant>
        <vt:i4>5</vt:i4>
      </vt:variant>
      <vt:variant>
        <vt:lpwstr>https://www.health.gov.au/resources/publications/hta-policy-and-methods-review-draft-paper-optimised-real-world-evidence-to-support-health-technology-assessment-in-australia?language=en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Technology Assessment Policy and Methods Review – Final report</dc:title>
  <dc:subject>Health Technology Assessment Policy and Methods Review</dc:subject>
  <dc:creator>Australian Government Department of Health and Aged Care</dc:creator>
  <cp:keywords>Health technologies and digital health; Medicines; HTA Review Reference Committee; Health Technology Assessment</cp:keywords>
  <dc:description/>
  <cp:lastModifiedBy/>
  <cp:revision>1</cp:revision>
  <dcterms:created xsi:type="dcterms:W3CDTF">2024-09-08T02:38:00Z</dcterms:created>
  <dcterms:modified xsi:type="dcterms:W3CDTF">2024-09-10T03:56:00Z</dcterms:modified>
  <cp:contentStatus/>
</cp:coreProperties>
</file>