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4D0D8" w14:textId="2EE83BF7" w:rsidR="002E11D7" w:rsidRPr="00E65126" w:rsidRDefault="002E11D7" w:rsidP="00E65126">
      <w:pPr>
        <w:pStyle w:val="Heading1"/>
      </w:pPr>
      <w:bookmarkStart w:id="0" w:name="_Hlk176873464"/>
      <w:bookmarkStart w:id="1" w:name="_Toc176875418"/>
      <w:r w:rsidRPr="00E65126">
        <w:t xml:space="preserve">Disability Support for Older Australians (DSOA) Service Coordinator Forums </w:t>
      </w:r>
      <w:r w:rsidR="00D867AC" w:rsidRPr="00E65126">
        <w:t xml:space="preserve">August </w:t>
      </w:r>
      <w:r w:rsidRPr="00E65126">
        <w:t>2024 – Frequently Asked Questions</w:t>
      </w:r>
      <w:bookmarkEnd w:id="1"/>
    </w:p>
    <w:bookmarkEnd w:id="0"/>
    <w:p w14:paraId="18AFFE6A" w14:textId="15C7883E" w:rsidR="002E11D7" w:rsidRPr="00300755" w:rsidRDefault="002E11D7" w:rsidP="00845DB7">
      <w:pPr>
        <w:pStyle w:val="Introduction"/>
        <w:rPr>
          <w:rFonts w:cs="Arial"/>
        </w:rPr>
      </w:pPr>
      <w:r w:rsidRPr="00300755">
        <w:rPr>
          <w:rFonts w:cs="Arial"/>
        </w:rPr>
        <w:t xml:space="preserve">In August 2024, the Department of </w:t>
      </w:r>
      <w:proofErr w:type="gramStart"/>
      <w:r w:rsidRPr="00300755">
        <w:rPr>
          <w:rFonts w:cs="Arial"/>
        </w:rPr>
        <w:t>Health</w:t>
      </w:r>
      <w:proofErr w:type="gramEnd"/>
      <w:r w:rsidRPr="00300755">
        <w:rPr>
          <w:rFonts w:cs="Arial"/>
        </w:rPr>
        <w:t xml:space="preserve"> and Aged Care (the department) and the Community Grants Hub held DSOA service coordinator forums.</w:t>
      </w:r>
    </w:p>
    <w:p w14:paraId="32BFF0BD" w14:textId="77777777" w:rsidR="002E11D7" w:rsidRPr="00300755" w:rsidRDefault="002E11D7" w:rsidP="00845DB7">
      <w:pPr>
        <w:pStyle w:val="Introduction"/>
        <w:rPr>
          <w:rFonts w:cs="Arial"/>
        </w:rPr>
      </w:pPr>
      <w:r w:rsidRPr="00300755">
        <w:rPr>
          <w:rFonts w:cs="Arial"/>
        </w:rPr>
        <w:t>The forums were an opportunity to discuss and address questions about the debt recovery process, performance reporting obligations and the transition of identified clients to the in-home aged care system before 31 December 2024.</w:t>
      </w:r>
    </w:p>
    <w:p w14:paraId="10A2975C" w14:textId="52F1FCEC" w:rsidR="00A1265F" w:rsidRDefault="00A1265F" w:rsidP="00E65126">
      <w:pPr>
        <w:pStyle w:val="TOCHeading"/>
      </w:pPr>
      <w:r>
        <w:t>Contents</w:t>
      </w:r>
    </w:p>
    <w:tbl>
      <w:tblPr>
        <w:tblStyle w:val="TableGrid1"/>
        <w:tblW w:w="9923" w:type="dxa"/>
        <w:tblLayout w:type="fixed"/>
        <w:tblLook w:val="04A0" w:firstRow="1" w:lastRow="0" w:firstColumn="1" w:lastColumn="0" w:noHBand="0" w:noVBand="1"/>
      </w:tblPr>
      <w:tblGrid>
        <w:gridCol w:w="567"/>
        <w:gridCol w:w="8686"/>
        <w:gridCol w:w="670"/>
      </w:tblGrid>
      <w:tr w:rsidR="00A1265F" w:rsidRPr="00A1265F" w14:paraId="6D8680FC" w14:textId="77777777" w:rsidTr="00C40545">
        <w:trPr>
          <w:trHeight w:val="327"/>
        </w:trPr>
        <w:tc>
          <w:tcPr>
            <w:tcW w:w="567" w:type="dxa"/>
          </w:tcPr>
          <w:p w14:paraId="65BAFDCF" w14:textId="77777777" w:rsidR="00A1265F" w:rsidRPr="00A1265F" w:rsidRDefault="00A1265F" w:rsidP="00A1265F">
            <w:pPr>
              <w:spacing w:before="120" w:after="120" w:line="276" w:lineRule="auto"/>
              <w:rPr>
                <w:rFonts w:ascii="Arial" w:eastAsia="Calibri" w:hAnsi="Arial" w:cs="Times New Roman"/>
              </w:rPr>
            </w:pPr>
            <w:r w:rsidRPr="00A1265F">
              <w:rPr>
                <w:rFonts w:ascii="Arial" w:eastAsia="Calibri" w:hAnsi="Arial" w:cs="Times New Roman"/>
              </w:rPr>
              <w:t>1.</w:t>
            </w:r>
          </w:p>
        </w:tc>
        <w:tc>
          <w:tcPr>
            <w:tcW w:w="8686" w:type="dxa"/>
          </w:tcPr>
          <w:p w14:paraId="51A7DC6B" w14:textId="66AFFD42" w:rsidR="00A1265F" w:rsidRPr="00A1265F" w:rsidRDefault="00000000" w:rsidP="00A1265F">
            <w:pPr>
              <w:spacing w:before="120" w:after="120" w:line="276" w:lineRule="auto"/>
              <w:rPr>
                <w:rFonts w:ascii="Arial" w:eastAsia="Calibri" w:hAnsi="Arial" w:cs="Times New Roman"/>
              </w:rPr>
            </w:pPr>
            <w:hyperlink w:anchor="_Program_requirements" w:history="1">
              <w:r w:rsidR="002F4731" w:rsidRPr="00B879EA">
                <w:rPr>
                  <w:rStyle w:val="Hyperlink"/>
                  <w:rFonts w:eastAsia="Calibri" w:cs="Times New Roman"/>
                  <w:kern w:val="2"/>
                  <w:sz w:val="22"/>
                  <w:szCs w:val="22"/>
                  <w14:ligatures w14:val="standardContextual"/>
                </w:rPr>
                <w:t>Program requirements</w:t>
              </w:r>
            </w:hyperlink>
          </w:p>
        </w:tc>
        <w:tc>
          <w:tcPr>
            <w:tcW w:w="670" w:type="dxa"/>
          </w:tcPr>
          <w:p w14:paraId="2FBFD621" w14:textId="77777777" w:rsidR="00A1265F" w:rsidRPr="00A1265F" w:rsidRDefault="00A1265F" w:rsidP="00A1265F">
            <w:pPr>
              <w:spacing w:before="120" w:after="120" w:line="276" w:lineRule="auto"/>
              <w:rPr>
                <w:rFonts w:ascii="Arial" w:eastAsia="Calibri" w:hAnsi="Arial" w:cs="Times New Roman"/>
              </w:rPr>
            </w:pPr>
            <w:r w:rsidRPr="00A1265F">
              <w:rPr>
                <w:rFonts w:ascii="Arial" w:eastAsia="Calibri" w:hAnsi="Arial" w:cs="Times New Roman"/>
              </w:rPr>
              <w:t>2</w:t>
            </w:r>
          </w:p>
        </w:tc>
      </w:tr>
      <w:tr w:rsidR="00A1265F" w:rsidRPr="00A1265F" w14:paraId="22FBDB3D" w14:textId="77777777" w:rsidTr="00C40545">
        <w:tc>
          <w:tcPr>
            <w:tcW w:w="567" w:type="dxa"/>
          </w:tcPr>
          <w:p w14:paraId="5C0F2AF2" w14:textId="77777777" w:rsidR="00A1265F" w:rsidRPr="00A1265F" w:rsidRDefault="00A1265F" w:rsidP="00A1265F">
            <w:pPr>
              <w:spacing w:before="120" w:after="120" w:line="276" w:lineRule="auto"/>
              <w:rPr>
                <w:rFonts w:ascii="Arial" w:eastAsia="Calibri" w:hAnsi="Arial" w:cs="Times New Roman"/>
              </w:rPr>
            </w:pPr>
            <w:r w:rsidRPr="00A1265F">
              <w:rPr>
                <w:rFonts w:ascii="Arial" w:eastAsia="Calibri" w:hAnsi="Arial" w:cs="Times New Roman"/>
              </w:rPr>
              <w:t>2.</w:t>
            </w:r>
          </w:p>
        </w:tc>
        <w:tc>
          <w:tcPr>
            <w:tcW w:w="8686" w:type="dxa"/>
          </w:tcPr>
          <w:p w14:paraId="4CEF793A" w14:textId="224E7737" w:rsidR="00A1265F" w:rsidRPr="00A1265F" w:rsidRDefault="00000000" w:rsidP="00A1265F">
            <w:pPr>
              <w:spacing w:before="120" w:after="120" w:line="276" w:lineRule="auto"/>
              <w:rPr>
                <w:rFonts w:ascii="Arial" w:eastAsia="Calibri" w:hAnsi="Arial" w:cs="Times New Roman"/>
              </w:rPr>
            </w:pPr>
            <w:hyperlink w:anchor="_Change_of_Need" w:history="1">
              <w:r w:rsidR="002F4731" w:rsidRPr="00B879EA">
                <w:rPr>
                  <w:rStyle w:val="Hyperlink"/>
                  <w:rFonts w:eastAsia="Calibri" w:cs="Times New Roman"/>
                  <w:kern w:val="2"/>
                  <w:sz w:val="22"/>
                  <w:szCs w:val="22"/>
                  <w14:ligatures w14:val="standardContextual"/>
                </w:rPr>
                <w:t xml:space="preserve">Change </w:t>
              </w:r>
              <w:r w:rsidR="002F4731" w:rsidRPr="00B879EA">
                <w:rPr>
                  <w:rStyle w:val="Hyperlink"/>
                  <w:rFonts w:eastAsia="Calibri" w:cs="Times New Roman"/>
                </w:rPr>
                <w:t>of Needs application</w:t>
              </w:r>
            </w:hyperlink>
          </w:p>
        </w:tc>
        <w:tc>
          <w:tcPr>
            <w:tcW w:w="670" w:type="dxa"/>
          </w:tcPr>
          <w:p w14:paraId="1A0A94D1" w14:textId="241CBF4A" w:rsidR="00A1265F" w:rsidRPr="00A1265F" w:rsidRDefault="00B059C0" w:rsidP="00A1265F">
            <w:pPr>
              <w:spacing w:before="120" w:after="120" w:line="276" w:lineRule="auto"/>
              <w:rPr>
                <w:rFonts w:ascii="Arial" w:eastAsia="Calibri" w:hAnsi="Arial" w:cs="Times New Roman"/>
              </w:rPr>
            </w:pPr>
            <w:r>
              <w:rPr>
                <w:rFonts w:ascii="Arial" w:eastAsia="Calibri" w:hAnsi="Arial" w:cs="Times New Roman"/>
              </w:rPr>
              <w:t>5</w:t>
            </w:r>
          </w:p>
        </w:tc>
      </w:tr>
      <w:tr w:rsidR="00A1265F" w:rsidRPr="00A1265F" w14:paraId="2FD466C3" w14:textId="77777777" w:rsidTr="00C40545">
        <w:tc>
          <w:tcPr>
            <w:tcW w:w="567" w:type="dxa"/>
          </w:tcPr>
          <w:p w14:paraId="33166750" w14:textId="77777777" w:rsidR="00A1265F" w:rsidRPr="00A1265F" w:rsidRDefault="00A1265F" w:rsidP="00A1265F">
            <w:pPr>
              <w:spacing w:before="120" w:after="120" w:line="276" w:lineRule="auto"/>
              <w:rPr>
                <w:rFonts w:ascii="Arial" w:eastAsia="Calibri" w:hAnsi="Arial" w:cs="Times New Roman"/>
              </w:rPr>
            </w:pPr>
            <w:r w:rsidRPr="00A1265F">
              <w:rPr>
                <w:rFonts w:ascii="Arial" w:eastAsia="Calibri" w:hAnsi="Arial" w:cs="Times New Roman"/>
              </w:rPr>
              <w:t>3.</w:t>
            </w:r>
          </w:p>
        </w:tc>
        <w:tc>
          <w:tcPr>
            <w:tcW w:w="8686" w:type="dxa"/>
          </w:tcPr>
          <w:p w14:paraId="7D862BB8" w14:textId="52092FCE" w:rsidR="00A1265F" w:rsidRPr="00A1265F" w:rsidRDefault="00B879EA" w:rsidP="00A1265F">
            <w:pPr>
              <w:spacing w:before="120" w:after="120" w:line="276" w:lineRule="auto"/>
              <w:rPr>
                <w:rFonts w:ascii="Arial" w:eastAsia="Calibri" w:hAnsi="Arial" w:cs="Times New Roman"/>
              </w:rPr>
            </w:pPr>
            <w:r w:rsidRPr="000251B5">
              <w:rPr>
                <w:rFonts w:ascii="Arial" w:eastAsia="Calibri" w:hAnsi="Arial" w:cs="Times New Roman"/>
                <w:color w:val="0070C0"/>
                <w:u w:val="single"/>
              </w:rPr>
              <w:t xml:space="preserve">Transition of DSOA clients to in-home aged care </w:t>
            </w:r>
          </w:p>
        </w:tc>
        <w:tc>
          <w:tcPr>
            <w:tcW w:w="670" w:type="dxa"/>
          </w:tcPr>
          <w:p w14:paraId="1F4832DF" w14:textId="4CE32DAD" w:rsidR="00A1265F" w:rsidRPr="00A1265F" w:rsidRDefault="00B059C0" w:rsidP="00A1265F">
            <w:pPr>
              <w:spacing w:before="120" w:after="120" w:line="276" w:lineRule="auto"/>
              <w:rPr>
                <w:rFonts w:ascii="Arial" w:eastAsia="Calibri" w:hAnsi="Arial" w:cs="Times New Roman"/>
              </w:rPr>
            </w:pPr>
            <w:r>
              <w:rPr>
                <w:rFonts w:ascii="Arial" w:eastAsia="Calibri" w:hAnsi="Arial" w:cs="Times New Roman"/>
              </w:rPr>
              <w:t>6</w:t>
            </w:r>
          </w:p>
        </w:tc>
      </w:tr>
      <w:tr w:rsidR="00A1265F" w:rsidRPr="00A1265F" w14:paraId="11C1BFD4" w14:textId="77777777" w:rsidTr="00C40545">
        <w:tc>
          <w:tcPr>
            <w:tcW w:w="567" w:type="dxa"/>
          </w:tcPr>
          <w:p w14:paraId="027700D7" w14:textId="66DEDD39" w:rsidR="00A1265F" w:rsidRPr="00A1265F" w:rsidRDefault="00300755" w:rsidP="00A1265F">
            <w:pPr>
              <w:spacing w:before="120" w:after="120" w:line="276" w:lineRule="auto"/>
              <w:rPr>
                <w:rFonts w:ascii="Arial" w:eastAsia="Calibri" w:hAnsi="Arial" w:cs="Times New Roman"/>
              </w:rPr>
            </w:pPr>
            <w:r>
              <w:rPr>
                <w:rFonts w:ascii="Arial" w:eastAsia="Calibri" w:hAnsi="Arial" w:cs="Times New Roman"/>
              </w:rPr>
              <w:t>4.</w:t>
            </w:r>
          </w:p>
        </w:tc>
        <w:tc>
          <w:tcPr>
            <w:tcW w:w="8686" w:type="dxa"/>
          </w:tcPr>
          <w:p w14:paraId="2A67DBD9" w14:textId="348430EB" w:rsidR="00A1265F" w:rsidRPr="00A1265F" w:rsidRDefault="00000000" w:rsidP="00A1265F">
            <w:pPr>
              <w:spacing w:before="120" w:after="120" w:line="276" w:lineRule="auto"/>
              <w:rPr>
                <w:rFonts w:ascii="Arial" w:eastAsia="Calibri" w:hAnsi="Arial" w:cs="Times New Roman"/>
                <w:b/>
                <w:bCs/>
              </w:rPr>
            </w:pPr>
            <w:hyperlink w:anchor="_Contacts_and_more" w:history="1">
              <w:r w:rsidR="00300755" w:rsidRPr="00300755">
                <w:rPr>
                  <w:rStyle w:val="Hyperlink"/>
                  <w:rFonts w:eastAsia="Calibri" w:cs="Times New Roman"/>
                </w:rPr>
                <w:t>Contacts and more information</w:t>
              </w:r>
            </w:hyperlink>
            <w:r w:rsidR="00A1265F" w:rsidRPr="00A1265F">
              <w:rPr>
                <w:rFonts w:ascii="Arial" w:eastAsia="Calibri" w:hAnsi="Arial" w:cs="Times New Roman"/>
              </w:rPr>
              <w:t xml:space="preserve"> </w:t>
            </w:r>
          </w:p>
        </w:tc>
        <w:tc>
          <w:tcPr>
            <w:tcW w:w="670" w:type="dxa"/>
          </w:tcPr>
          <w:p w14:paraId="6D69DFF6" w14:textId="4B81EA0D" w:rsidR="00A1265F" w:rsidRPr="00A1265F" w:rsidRDefault="006600C3" w:rsidP="00A1265F">
            <w:pPr>
              <w:spacing w:before="120" w:after="120" w:line="276" w:lineRule="auto"/>
              <w:rPr>
                <w:rFonts w:ascii="Arial" w:eastAsia="Calibri" w:hAnsi="Arial" w:cs="Times New Roman"/>
              </w:rPr>
            </w:pPr>
            <w:r>
              <w:rPr>
                <w:rFonts w:ascii="Arial" w:eastAsia="Calibri" w:hAnsi="Arial" w:cs="Times New Roman"/>
              </w:rPr>
              <w:t>7</w:t>
            </w:r>
          </w:p>
        </w:tc>
      </w:tr>
    </w:tbl>
    <w:p w14:paraId="6B87D492" w14:textId="4904210B" w:rsidR="00200A7E" w:rsidRPr="002E1AAA" w:rsidRDefault="00200A7E" w:rsidP="002E1AAA"/>
    <w:p w14:paraId="5AD54C40" w14:textId="550EE96E" w:rsidR="00FA37BE" w:rsidRPr="002E1AAA" w:rsidRDefault="00FA37BE" w:rsidP="002E1AAA">
      <w:pPr>
        <w:pStyle w:val="Heading2"/>
      </w:pPr>
      <w:bookmarkStart w:id="2" w:name="_Program_requirements"/>
      <w:bookmarkStart w:id="3" w:name="_Toc176875419"/>
      <w:bookmarkEnd w:id="2"/>
      <w:r w:rsidRPr="00730539">
        <w:lastRenderedPageBreak/>
        <w:t xml:space="preserve">Program </w:t>
      </w:r>
      <w:proofErr w:type="gramStart"/>
      <w:r w:rsidRPr="002E1AAA">
        <w:t>requirements</w:t>
      </w:r>
      <w:bookmarkEnd w:id="3"/>
      <w:proofErr w:type="gramEnd"/>
    </w:p>
    <w:p w14:paraId="77FC382B" w14:textId="78CD5185" w:rsidR="00C36672" w:rsidRPr="00730539" w:rsidRDefault="001949B5" w:rsidP="00E915A8">
      <w:pPr>
        <w:pStyle w:val="Heading3"/>
      </w:pPr>
      <w:r w:rsidRPr="00730539">
        <w:t xml:space="preserve">Why </w:t>
      </w:r>
      <w:r w:rsidRPr="002E1AAA">
        <w:t>is</w:t>
      </w:r>
      <w:r w:rsidRPr="00730539">
        <w:t xml:space="preserve"> there so much reporting </w:t>
      </w:r>
      <w:r w:rsidR="00B1272E" w:rsidRPr="00730539">
        <w:t xml:space="preserve">needed </w:t>
      </w:r>
      <w:r w:rsidRPr="00730539">
        <w:t>for a small program like DSOA</w:t>
      </w:r>
      <w:r w:rsidR="00C36672" w:rsidRPr="00730539">
        <w:t xml:space="preserve">? </w:t>
      </w:r>
    </w:p>
    <w:p w14:paraId="19DC91D5" w14:textId="6FE432DB" w:rsidR="00C36672" w:rsidRPr="00730539" w:rsidRDefault="006A3690" w:rsidP="002E1AAA">
      <w:pPr>
        <w:pStyle w:val="ListBullet"/>
        <w:rPr>
          <w:i/>
          <w:iCs/>
          <w:color w:val="000000" w:themeColor="text1"/>
        </w:rPr>
      </w:pPr>
      <w:r w:rsidRPr="00730539">
        <w:rPr>
          <w:color w:val="000000" w:themeColor="text1"/>
        </w:rPr>
        <w:t xml:space="preserve">The DSOA Program is a grant program and </w:t>
      </w:r>
      <w:r w:rsidR="009C47E3" w:rsidRPr="00730539">
        <w:rPr>
          <w:color w:val="000000" w:themeColor="text1"/>
        </w:rPr>
        <w:t xml:space="preserve">its administration must meet </w:t>
      </w:r>
      <w:r w:rsidR="009A7793" w:rsidRPr="00730539">
        <w:rPr>
          <w:color w:val="000000" w:themeColor="text1"/>
        </w:rPr>
        <w:t xml:space="preserve">the </w:t>
      </w:r>
      <w:hyperlink r:id="rId8" w:history="1">
        <w:r w:rsidR="009A7793" w:rsidRPr="00730539">
          <w:rPr>
            <w:rStyle w:val="Hyperlink"/>
            <w:rFonts w:cs="Arial"/>
          </w:rPr>
          <w:t>C</w:t>
        </w:r>
        <w:r w:rsidR="00F102E4" w:rsidRPr="00730539">
          <w:rPr>
            <w:rStyle w:val="Hyperlink"/>
            <w:rFonts w:cs="Arial"/>
          </w:rPr>
          <w:t>o</w:t>
        </w:r>
        <w:r w:rsidR="009A7793" w:rsidRPr="00730539">
          <w:rPr>
            <w:rStyle w:val="Hyperlink"/>
            <w:rFonts w:cs="Arial"/>
          </w:rPr>
          <w:t>mmonwealth</w:t>
        </w:r>
        <w:r w:rsidR="00F102E4" w:rsidRPr="00730539">
          <w:rPr>
            <w:rStyle w:val="Hyperlink"/>
            <w:rFonts w:cs="Arial"/>
          </w:rPr>
          <w:t xml:space="preserve"> Grant Rules and Guidelines</w:t>
        </w:r>
      </w:hyperlink>
      <w:r w:rsidR="00F102E4" w:rsidRPr="00730539">
        <w:rPr>
          <w:color w:val="000000" w:themeColor="text1"/>
        </w:rPr>
        <w:t>.</w:t>
      </w:r>
    </w:p>
    <w:p w14:paraId="38506002" w14:textId="1D3B8D9E" w:rsidR="00E576B8" w:rsidRPr="00730539" w:rsidRDefault="005329B8" w:rsidP="002E1AAA">
      <w:pPr>
        <w:pStyle w:val="ListBullet"/>
        <w:rPr>
          <w:rFonts w:cs="Arial"/>
        </w:rPr>
      </w:pPr>
      <w:r w:rsidRPr="00730539">
        <w:rPr>
          <w:rFonts w:cs="Arial"/>
        </w:rPr>
        <w:t xml:space="preserve">The information you provide through </w:t>
      </w:r>
      <w:r w:rsidR="009B7517" w:rsidRPr="00730539">
        <w:rPr>
          <w:rFonts w:cs="Arial"/>
        </w:rPr>
        <w:t xml:space="preserve">documentation including </w:t>
      </w:r>
      <w:r w:rsidR="00235C94" w:rsidRPr="00730539">
        <w:rPr>
          <w:rFonts w:cs="Arial"/>
        </w:rPr>
        <w:t xml:space="preserve">your client’s </w:t>
      </w:r>
      <w:hyperlink r:id="rId9" w:history="1">
        <w:r w:rsidR="00235C94" w:rsidRPr="00916817">
          <w:rPr>
            <w:rStyle w:val="Hyperlink"/>
            <w:rFonts w:cs="Arial"/>
          </w:rPr>
          <w:t>I</w:t>
        </w:r>
        <w:r w:rsidR="00317FA5" w:rsidRPr="00916817">
          <w:rPr>
            <w:rStyle w:val="Hyperlink"/>
            <w:rFonts w:cs="Arial"/>
          </w:rPr>
          <w:t xml:space="preserve">ndividual Support </w:t>
        </w:r>
        <w:r w:rsidR="00314C26" w:rsidRPr="00916817">
          <w:rPr>
            <w:rStyle w:val="Hyperlink"/>
            <w:rFonts w:cs="Arial"/>
          </w:rPr>
          <w:t xml:space="preserve">Package </w:t>
        </w:r>
        <w:r w:rsidR="00235C94" w:rsidRPr="00916817">
          <w:rPr>
            <w:rStyle w:val="Hyperlink"/>
            <w:rFonts w:cs="Arial"/>
          </w:rPr>
          <w:t>(ISP)</w:t>
        </w:r>
      </w:hyperlink>
      <w:r w:rsidR="009B7517" w:rsidRPr="00730539">
        <w:rPr>
          <w:rFonts w:cs="Arial"/>
        </w:rPr>
        <w:t xml:space="preserve">, </w:t>
      </w:r>
      <w:hyperlink r:id="rId10" w:history="1">
        <w:r w:rsidR="009B7517" w:rsidRPr="003F4273">
          <w:rPr>
            <w:rStyle w:val="Hyperlink"/>
            <w:rFonts w:cs="Arial"/>
          </w:rPr>
          <w:t>Change of Need</w:t>
        </w:r>
        <w:r w:rsidR="003F4273" w:rsidRPr="003F4273">
          <w:rPr>
            <w:rStyle w:val="Hyperlink"/>
            <w:rFonts w:cs="Arial"/>
          </w:rPr>
          <w:t>s</w:t>
        </w:r>
        <w:r w:rsidR="009B7517" w:rsidRPr="003F4273">
          <w:rPr>
            <w:rStyle w:val="Hyperlink"/>
            <w:rFonts w:cs="Arial"/>
          </w:rPr>
          <w:t xml:space="preserve"> application</w:t>
        </w:r>
      </w:hyperlink>
      <w:r w:rsidR="009B7517" w:rsidRPr="00730539">
        <w:rPr>
          <w:rFonts w:cs="Arial"/>
        </w:rPr>
        <w:t xml:space="preserve"> and </w:t>
      </w:r>
      <w:r w:rsidR="00492702">
        <w:rPr>
          <w:rFonts w:cs="Arial"/>
        </w:rPr>
        <w:t>a</w:t>
      </w:r>
      <w:r w:rsidR="00492702" w:rsidRPr="00730539">
        <w:rPr>
          <w:rFonts w:cs="Arial"/>
        </w:rPr>
        <w:t xml:space="preserve">nnual </w:t>
      </w:r>
      <w:r w:rsidR="00492702">
        <w:rPr>
          <w:rFonts w:cs="Arial"/>
        </w:rPr>
        <w:t>r</w:t>
      </w:r>
      <w:r w:rsidR="00492702" w:rsidRPr="00730539">
        <w:rPr>
          <w:rFonts w:cs="Arial"/>
        </w:rPr>
        <w:t xml:space="preserve">eview </w:t>
      </w:r>
      <w:r w:rsidR="00E7659B" w:rsidRPr="00730539">
        <w:rPr>
          <w:rFonts w:cs="Arial"/>
        </w:rPr>
        <w:t>help with evaluation of DSOA.</w:t>
      </w:r>
    </w:p>
    <w:p w14:paraId="082EB006" w14:textId="3A662037" w:rsidR="002E11D7" w:rsidRPr="00845DB7" w:rsidRDefault="002E11D7" w:rsidP="00E915A8">
      <w:pPr>
        <w:pStyle w:val="Heading3"/>
      </w:pPr>
      <w:r w:rsidRPr="00730539">
        <w:t xml:space="preserve">What is the difference between an ISP and </w:t>
      </w:r>
      <w:r w:rsidR="0068635C">
        <w:t>a</w:t>
      </w:r>
      <w:r w:rsidR="0068635C" w:rsidRPr="00730539">
        <w:t xml:space="preserve">nnual </w:t>
      </w:r>
      <w:r w:rsidR="0068635C">
        <w:t>r</w:t>
      </w:r>
      <w:r w:rsidR="0068635C" w:rsidRPr="00730539">
        <w:t>eview</w:t>
      </w:r>
      <w:r w:rsidRPr="00730539">
        <w:t xml:space="preserve">? Why do we need to complete both? </w:t>
      </w:r>
    </w:p>
    <w:p w14:paraId="02239BA4" w14:textId="6BFF2D57" w:rsidR="002E11D7" w:rsidRPr="00730539" w:rsidRDefault="002E11D7" w:rsidP="002E1AAA">
      <w:pPr>
        <w:pStyle w:val="ListBullet"/>
      </w:pPr>
      <w:r w:rsidRPr="00730539">
        <w:t xml:space="preserve">The purpose of an ISP and </w:t>
      </w:r>
      <w:r w:rsidR="00492702">
        <w:t>a</w:t>
      </w:r>
      <w:r w:rsidR="00492702" w:rsidRPr="00730539">
        <w:t xml:space="preserve">nnual </w:t>
      </w:r>
      <w:r w:rsidR="00492702">
        <w:t>r</w:t>
      </w:r>
      <w:r w:rsidR="00492702" w:rsidRPr="00730539">
        <w:t xml:space="preserve">eview </w:t>
      </w:r>
      <w:r w:rsidRPr="00730539">
        <w:t>are different</w:t>
      </w:r>
      <w:r w:rsidR="00F23DA7" w:rsidRPr="00730539">
        <w:t xml:space="preserve"> and must be recorded </w:t>
      </w:r>
      <w:r w:rsidR="00B1272E" w:rsidRPr="00730539">
        <w:t>separately</w:t>
      </w:r>
      <w:r w:rsidRPr="00730539">
        <w:t>.</w:t>
      </w:r>
    </w:p>
    <w:p w14:paraId="140C06E2" w14:textId="77777777" w:rsidR="00492702" w:rsidRDefault="002E11D7" w:rsidP="002E1AAA">
      <w:pPr>
        <w:pStyle w:val="ListBullet"/>
      </w:pPr>
      <w:r w:rsidRPr="00730539">
        <w:t xml:space="preserve">An ISP is a record that you have spoken to your client about the services they are funded for under the DSOA Program. </w:t>
      </w:r>
    </w:p>
    <w:p w14:paraId="72999BBC" w14:textId="77777777" w:rsidR="00492702" w:rsidRDefault="002E11D7" w:rsidP="002E1AAA">
      <w:pPr>
        <w:pStyle w:val="ListBullet2"/>
      </w:pPr>
      <w:r w:rsidRPr="00730539">
        <w:t xml:space="preserve">Knowing the services and the funding available helps your client to make an informed decision should they wish to make a temporary or permanent change to their DSOA package to suit their needs. </w:t>
      </w:r>
    </w:p>
    <w:p w14:paraId="65A93629" w14:textId="6C433090" w:rsidR="00492702" w:rsidRPr="00730539" w:rsidRDefault="002E11D7" w:rsidP="002E1AAA">
      <w:pPr>
        <w:pStyle w:val="ListBullet2"/>
      </w:pPr>
      <w:r w:rsidRPr="00730539">
        <w:t xml:space="preserve">You can watch a </w:t>
      </w:r>
      <w:hyperlink r:id="rId11" w:history="1">
        <w:r w:rsidR="00916817" w:rsidRPr="00916817">
          <w:rPr>
            <w:rStyle w:val="Hyperlink"/>
          </w:rPr>
          <w:t>video on how to complete an ISP</w:t>
        </w:r>
      </w:hyperlink>
      <w:r w:rsidRPr="00730539">
        <w:t>.</w:t>
      </w:r>
    </w:p>
    <w:p w14:paraId="7B05AB2D" w14:textId="26F3F5D3" w:rsidR="00492702" w:rsidRDefault="002E11D7" w:rsidP="002E1AAA">
      <w:pPr>
        <w:pStyle w:val="ListBullet2"/>
      </w:pPr>
      <w:r w:rsidRPr="00492702">
        <w:t>You are required to submit a copy of your client’s ISP every 12 months to the department</w:t>
      </w:r>
      <w:r w:rsidR="00963869">
        <w:t xml:space="preserve"> at </w:t>
      </w:r>
      <w:hyperlink r:id="rId12" w:history="1">
        <w:r w:rsidR="00F0459F" w:rsidRPr="00985C19">
          <w:rPr>
            <w:rStyle w:val="Hyperlink"/>
          </w:rPr>
          <w:t>DSOAcompliance@health.gov.au</w:t>
        </w:r>
      </w:hyperlink>
      <w:r w:rsidR="00DD7AD8">
        <w:t xml:space="preserve">. Submit the ISP </w:t>
      </w:r>
      <w:r w:rsidR="00F23DA7" w:rsidRPr="00492702">
        <w:t>sooner if the client has had a change to their supports or funding levels</w:t>
      </w:r>
      <w:r w:rsidRPr="00492702">
        <w:t xml:space="preserve">. </w:t>
      </w:r>
    </w:p>
    <w:p w14:paraId="1EB7EF8B" w14:textId="0088DB9F" w:rsidR="002E11D7" w:rsidRPr="00492702" w:rsidRDefault="002E11D7" w:rsidP="002E1AAA">
      <w:pPr>
        <w:pStyle w:val="ListBullet2"/>
      </w:pPr>
      <w:r w:rsidRPr="00492702">
        <w:t xml:space="preserve">The ISP will be reviewed to ensure </w:t>
      </w:r>
      <w:r w:rsidR="00711CF8" w:rsidRPr="00492702">
        <w:t>your</w:t>
      </w:r>
      <w:r w:rsidRPr="00492702">
        <w:t xml:space="preserve"> client is </w:t>
      </w:r>
      <w:r w:rsidR="00711CF8" w:rsidRPr="00492702">
        <w:t>receiving the supports they are funded</w:t>
      </w:r>
      <w:r w:rsidR="00B1272E" w:rsidRPr="00492702">
        <w:t xml:space="preserve"> for and to verify all supports provided are in scope of the DSOA </w:t>
      </w:r>
      <w:r w:rsidR="00492702" w:rsidRPr="00492702">
        <w:t>Program</w:t>
      </w:r>
      <w:r w:rsidR="00711CF8" w:rsidRPr="00492702">
        <w:t>.</w:t>
      </w:r>
    </w:p>
    <w:p w14:paraId="6D8C05DF" w14:textId="4864C87E" w:rsidR="00492702" w:rsidRDefault="002E11D7" w:rsidP="002E1AAA">
      <w:pPr>
        <w:pStyle w:val="ListBullet"/>
      </w:pPr>
      <w:r w:rsidRPr="00730539">
        <w:t xml:space="preserve">An </w:t>
      </w:r>
      <w:r w:rsidR="00492702">
        <w:t>a</w:t>
      </w:r>
      <w:r w:rsidR="00492702" w:rsidRPr="00730539">
        <w:t xml:space="preserve">nnual </w:t>
      </w:r>
      <w:r w:rsidR="00492702">
        <w:t>r</w:t>
      </w:r>
      <w:r w:rsidR="00492702" w:rsidRPr="00730539">
        <w:t xml:space="preserve">eview </w:t>
      </w:r>
      <w:r w:rsidRPr="00730539">
        <w:t xml:space="preserve">is an assessment </w:t>
      </w:r>
      <w:r w:rsidR="006C7311" w:rsidRPr="00730539">
        <w:t xml:space="preserve">of </w:t>
      </w:r>
      <w:r w:rsidR="00B1272E" w:rsidRPr="00730539">
        <w:t xml:space="preserve">any changes to </w:t>
      </w:r>
      <w:r w:rsidR="00490762" w:rsidRPr="00730539">
        <w:t>your</w:t>
      </w:r>
      <w:r w:rsidR="006C7311" w:rsidRPr="00730539">
        <w:t xml:space="preserve"> client’s</w:t>
      </w:r>
      <w:r w:rsidR="00B1272E" w:rsidRPr="00730539">
        <w:t xml:space="preserve"> disability support needs, </w:t>
      </w:r>
      <w:r w:rsidRPr="00730539">
        <w:t xml:space="preserve">which can include interviews or reports from support workers and allied health professionals. </w:t>
      </w:r>
    </w:p>
    <w:p w14:paraId="116D738D" w14:textId="776D8FC0" w:rsidR="002E11D7" w:rsidRPr="00730539" w:rsidRDefault="002E11D7" w:rsidP="002E1AAA">
      <w:pPr>
        <w:pStyle w:val="ListBullet2"/>
      </w:pPr>
      <w:r w:rsidRPr="00730539">
        <w:t xml:space="preserve">Completing an </w:t>
      </w:r>
      <w:r w:rsidR="00492702">
        <w:t>a</w:t>
      </w:r>
      <w:r w:rsidR="00492702" w:rsidRPr="00730539">
        <w:t xml:space="preserve">nnual </w:t>
      </w:r>
      <w:r w:rsidR="00492702">
        <w:t>r</w:t>
      </w:r>
      <w:r w:rsidR="00492702" w:rsidRPr="00730539">
        <w:t xml:space="preserve">eview </w:t>
      </w:r>
      <w:r w:rsidRPr="00730539">
        <w:t xml:space="preserve">of your client’s </w:t>
      </w:r>
      <w:r w:rsidR="00B1272E" w:rsidRPr="00730539">
        <w:t xml:space="preserve">current </w:t>
      </w:r>
      <w:r w:rsidRPr="00730539">
        <w:t>needs can help reduce the risk of an incident occurring and will support a Change of Need</w:t>
      </w:r>
      <w:r w:rsidR="00492702">
        <w:t>s</w:t>
      </w:r>
      <w:r w:rsidRPr="00730539">
        <w:t xml:space="preserve"> application. </w:t>
      </w:r>
    </w:p>
    <w:p w14:paraId="71F6AD54" w14:textId="43E9FC18" w:rsidR="00FA0752" w:rsidRPr="00730539" w:rsidRDefault="007A206B" w:rsidP="002E1AAA">
      <w:pPr>
        <w:pStyle w:val="ListBullet2"/>
      </w:pPr>
      <w:r w:rsidRPr="00730539">
        <w:t xml:space="preserve">The requirement to complete an </w:t>
      </w:r>
      <w:r w:rsidR="0068635C">
        <w:t>a</w:t>
      </w:r>
      <w:r w:rsidR="0068635C" w:rsidRPr="00730539">
        <w:t xml:space="preserve">nnual </w:t>
      </w:r>
      <w:r w:rsidR="0068635C">
        <w:t>r</w:t>
      </w:r>
      <w:r w:rsidR="0068635C" w:rsidRPr="00730539">
        <w:t xml:space="preserve">eview </w:t>
      </w:r>
      <w:r w:rsidRPr="00730539">
        <w:t xml:space="preserve">for your client has been </w:t>
      </w:r>
      <w:r w:rsidR="006D4BD3" w:rsidRPr="00730539">
        <w:t>a</w:t>
      </w:r>
      <w:r w:rsidR="005E044A" w:rsidRPr="00730539">
        <w:t xml:space="preserve"> condition of your grant agreement since the DSOA Program commenced</w:t>
      </w:r>
      <w:r w:rsidR="00490762" w:rsidRPr="00730539">
        <w:t xml:space="preserve"> on</w:t>
      </w:r>
      <w:r w:rsidR="005E044A" w:rsidRPr="00730539">
        <w:t xml:space="preserve"> </w:t>
      </w:r>
      <w:r w:rsidR="0068635C">
        <w:br/>
      </w:r>
      <w:r w:rsidR="000F655F" w:rsidRPr="00730539">
        <w:t>1 July 2021.</w:t>
      </w:r>
    </w:p>
    <w:p w14:paraId="4627307C" w14:textId="4D5D97DE" w:rsidR="00F23DA7" w:rsidRPr="00730539" w:rsidRDefault="00F23DA7" w:rsidP="002E1AAA">
      <w:pPr>
        <w:pStyle w:val="ListBullet2"/>
      </w:pPr>
      <w:r w:rsidRPr="00730539">
        <w:t xml:space="preserve">You are required to submit a copy of your client’s </w:t>
      </w:r>
      <w:r w:rsidR="0068635C">
        <w:t>a</w:t>
      </w:r>
      <w:r w:rsidRPr="00730539">
        <w:t xml:space="preserve">nnual </w:t>
      </w:r>
      <w:r w:rsidR="0068635C">
        <w:t>r</w:t>
      </w:r>
      <w:r w:rsidRPr="00730539">
        <w:t>eview outcome every 12 months to the department</w:t>
      </w:r>
      <w:r w:rsidR="00963869">
        <w:t xml:space="preserve"> </w:t>
      </w:r>
      <w:r w:rsidR="00963869" w:rsidRPr="00090C1B">
        <w:t xml:space="preserve">at </w:t>
      </w:r>
      <w:hyperlink r:id="rId13" w:history="1">
        <w:r w:rsidR="00090C1B" w:rsidRPr="00090C1B">
          <w:rPr>
            <w:rStyle w:val="Hyperlink"/>
          </w:rPr>
          <w:t>DSOAcompliance@health.gov.au</w:t>
        </w:r>
      </w:hyperlink>
      <w:r w:rsidRPr="00090C1B">
        <w:t>.</w:t>
      </w:r>
    </w:p>
    <w:p w14:paraId="1103AD7F" w14:textId="2891D686" w:rsidR="009D544C" w:rsidRPr="00730539" w:rsidRDefault="00677284" w:rsidP="00E915A8">
      <w:pPr>
        <w:pStyle w:val="Heading3"/>
      </w:pPr>
      <w:r w:rsidRPr="00730539">
        <w:t xml:space="preserve">If </w:t>
      </w:r>
      <w:r w:rsidR="00BB7199" w:rsidRPr="00730539">
        <w:t>we have used fun</w:t>
      </w:r>
      <w:r w:rsidR="00644752" w:rsidRPr="00730539">
        <w:t>ding from one service to provide addition</w:t>
      </w:r>
      <w:r w:rsidR="0028769E" w:rsidRPr="00730539">
        <w:t xml:space="preserve">al </w:t>
      </w:r>
      <w:r w:rsidR="00D90519" w:rsidRPr="00730539">
        <w:t>outputs in another service,</w:t>
      </w:r>
      <w:r w:rsidR="0028769E" w:rsidRPr="00730539">
        <w:t xml:space="preserve"> why </w:t>
      </w:r>
      <w:r w:rsidR="00C91260" w:rsidRPr="00730539">
        <w:t xml:space="preserve">can’t we report </w:t>
      </w:r>
      <w:r w:rsidR="00910EF4" w:rsidRPr="00730539">
        <w:t>delivery of s</w:t>
      </w:r>
      <w:r w:rsidR="008A4147" w:rsidRPr="00730539">
        <w:t>ervices</w:t>
      </w:r>
      <w:r w:rsidR="00910EF4" w:rsidRPr="00730539">
        <w:t xml:space="preserve"> a</w:t>
      </w:r>
      <w:r w:rsidR="008A4147" w:rsidRPr="00730539">
        <w:t>s</w:t>
      </w:r>
      <w:r w:rsidR="004B17D7" w:rsidRPr="00730539">
        <w:t xml:space="preserve"> a</w:t>
      </w:r>
      <w:r w:rsidR="00910EF4" w:rsidRPr="00730539">
        <w:t xml:space="preserve"> package, rather than </w:t>
      </w:r>
      <w:r w:rsidR="00151411" w:rsidRPr="00730539">
        <w:t>in</w:t>
      </w:r>
      <w:r w:rsidR="00666E6B" w:rsidRPr="00730539">
        <w:t xml:space="preserve">dividual </w:t>
      </w:r>
      <w:r w:rsidR="008A4147" w:rsidRPr="00730539">
        <w:t>line</w:t>
      </w:r>
      <w:r w:rsidR="00E60F94" w:rsidRPr="00730539">
        <w:t xml:space="preserve"> items in the performance r</w:t>
      </w:r>
      <w:r w:rsidR="00932463" w:rsidRPr="00730539">
        <w:t>eport?</w:t>
      </w:r>
      <w:r w:rsidR="00570930" w:rsidRPr="00730539">
        <w:t xml:space="preserve"> </w:t>
      </w:r>
    </w:p>
    <w:p w14:paraId="428E60AD" w14:textId="1A6834F5" w:rsidR="009D544C" w:rsidRPr="00730539" w:rsidRDefault="008B5224" w:rsidP="002E1AAA">
      <w:pPr>
        <w:pStyle w:val="ListBullet"/>
      </w:pPr>
      <w:r w:rsidRPr="00730539">
        <w:t>Clients are funded</w:t>
      </w:r>
      <w:r w:rsidR="001D79E2" w:rsidRPr="00730539">
        <w:t xml:space="preserve"> based on their support needs.</w:t>
      </w:r>
      <w:r w:rsidR="00C51286" w:rsidRPr="00730539">
        <w:t xml:space="preserve"> </w:t>
      </w:r>
      <w:r w:rsidR="00600F37" w:rsidRPr="00730539">
        <w:t>If you</w:t>
      </w:r>
      <w:r w:rsidR="00BD0581" w:rsidRPr="00730539">
        <w:t xml:space="preserve"> need to change the </w:t>
      </w:r>
      <w:r w:rsidR="0020723F" w:rsidRPr="00730539">
        <w:t>mix of supports</w:t>
      </w:r>
      <w:r w:rsidR="00DB32E7" w:rsidRPr="00730539">
        <w:t xml:space="preserve"> for your client, you can submit a temporary or permanent change request </w:t>
      </w:r>
      <w:r w:rsidR="00B40CD7" w:rsidRPr="00730539">
        <w:lastRenderedPageBreak/>
        <w:t xml:space="preserve">with your Funding Arrangement Manager. </w:t>
      </w:r>
      <w:r w:rsidR="00346E00" w:rsidRPr="00730539">
        <w:t xml:space="preserve">This </w:t>
      </w:r>
      <w:r w:rsidR="00DF31A0" w:rsidRPr="00730539">
        <w:t>can then be reflected in your performance report.</w:t>
      </w:r>
    </w:p>
    <w:p w14:paraId="76F5BCD0" w14:textId="7948E6DA" w:rsidR="00B1272E" w:rsidRPr="00730539" w:rsidRDefault="00D24F8F" w:rsidP="002E1AAA">
      <w:pPr>
        <w:pStyle w:val="ListBullet"/>
      </w:pPr>
      <w:r w:rsidRPr="00730539">
        <w:t xml:space="preserve">Performance reports are assessed against each line item of funding that appears in your </w:t>
      </w:r>
      <w:r w:rsidR="00DD7AD8">
        <w:t>client funding breakdown (</w:t>
      </w:r>
      <w:r w:rsidRPr="00730539">
        <w:t>CFB</w:t>
      </w:r>
      <w:r w:rsidR="00DD7AD8">
        <w:t>)</w:t>
      </w:r>
      <w:r w:rsidRPr="00730539">
        <w:t xml:space="preserve">, DSOA service coordinators must report against each line item individually as per the template provided to your organisation.  </w:t>
      </w:r>
    </w:p>
    <w:p w14:paraId="7A54E80C" w14:textId="77777777" w:rsidR="00F057EE" w:rsidRPr="00730539" w:rsidRDefault="00877889" w:rsidP="00E915A8">
      <w:pPr>
        <w:pStyle w:val="Heading3"/>
      </w:pPr>
      <w:r w:rsidRPr="00730539">
        <w:t>Do I need to seek approval to use fu</w:t>
      </w:r>
      <w:r w:rsidR="00F057EE" w:rsidRPr="00730539">
        <w:t>nding flexibly within the same service type?</w:t>
      </w:r>
    </w:p>
    <w:p w14:paraId="2351D8ED" w14:textId="77777777" w:rsidR="00730539" w:rsidRDefault="00F057EE" w:rsidP="002E1AAA">
      <w:pPr>
        <w:pStyle w:val="ListBullet"/>
      </w:pPr>
      <w:r w:rsidRPr="00730539">
        <w:t>Clients are funded for outputs for each service type</w:t>
      </w:r>
      <w:r w:rsidR="00F82765" w:rsidRPr="00730539">
        <w:t>, across different rates</w:t>
      </w:r>
      <w:r w:rsidRPr="00730539">
        <w:t xml:space="preserve">. </w:t>
      </w:r>
    </w:p>
    <w:p w14:paraId="037EC0E7" w14:textId="77777777" w:rsidR="00DD7AD8" w:rsidRDefault="00F23DA7" w:rsidP="002E1AAA">
      <w:pPr>
        <w:pStyle w:val="ListBullet"/>
      </w:pPr>
      <w:r w:rsidRPr="00730539">
        <w:t xml:space="preserve">DSOA </w:t>
      </w:r>
      <w:r w:rsidR="004E6C49" w:rsidRPr="00730539">
        <w:t>s</w:t>
      </w:r>
      <w:r w:rsidRPr="00730539">
        <w:t xml:space="preserve">ervice coordinators must </w:t>
      </w:r>
      <w:r w:rsidR="00F057EE" w:rsidRPr="00730539">
        <w:t>seek approval to use funding flexib</w:t>
      </w:r>
      <w:r w:rsidR="00F82765" w:rsidRPr="00730539">
        <w:t xml:space="preserve">ly, including within the same </w:t>
      </w:r>
      <w:r w:rsidR="007E49C7" w:rsidRPr="00730539">
        <w:t>service types</w:t>
      </w:r>
      <w:r w:rsidRPr="00730539">
        <w:t xml:space="preserve"> but different time or day of week</w:t>
      </w:r>
      <w:r w:rsidR="007E49C7" w:rsidRPr="00730539">
        <w:t xml:space="preserve">. </w:t>
      </w:r>
    </w:p>
    <w:p w14:paraId="3D55C763" w14:textId="59CED9DF" w:rsidR="00877889" w:rsidRPr="00730539" w:rsidRDefault="007E49C7" w:rsidP="002E1AAA">
      <w:pPr>
        <w:pStyle w:val="ListBullet"/>
      </w:pPr>
      <w:r w:rsidRPr="00730539">
        <w:t xml:space="preserve">This will </w:t>
      </w:r>
      <w:r w:rsidR="00DC08A2" w:rsidRPr="00730539">
        <w:t xml:space="preserve">assist with the </w:t>
      </w:r>
      <w:r w:rsidRPr="00730539">
        <w:t>assessment</w:t>
      </w:r>
      <w:r w:rsidR="00EE4654" w:rsidRPr="00730539">
        <w:t xml:space="preserve"> and reconci</w:t>
      </w:r>
      <w:r w:rsidR="00C01F50" w:rsidRPr="00730539">
        <w:t>li</w:t>
      </w:r>
      <w:r w:rsidR="00EE4654" w:rsidRPr="00730539">
        <w:t>ation</w:t>
      </w:r>
      <w:r w:rsidRPr="00730539">
        <w:t xml:space="preserve"> of your </w:t>
      </w:r>
      <w:r w:rsidR="00DD7AD8">
        <w:t>a</w:t>
      </w:r>
      <w:r w:rsidR="00DD7AD8" w:rsidRPr="00730539">
        <w:t xml:space="preserve">cquittal </w:t>
      </w:r>
      <w:r w:rsidR="001F2316">
        <w:t>r</w:t>
      </w:r>
      <w:r w:rsidR="00DD7AD8" w:rsidRPr="00730539">
        <w:t xml:space="preserve">eport </w:t>
      </w:r>
      <w:r w:rsidRPr="00730539">
        <w:t xml:space="preserve">and </w:t>
      </w:r>
      <w:r w:rsidR="00DD7AD8">
        <w:t>p</w:t>
      </w:r>
      <w:r w:rsidR="00DD7AD8" w:rsidRPr="00730539">
        <w:t xml:space="preserve">erformance </w:t>
      </w:r>
      <w:r w:rsidR="00DD7AD8">
        <w:t>r</w:t>
      </w:r>
      <w:r w:rsidR="00DD7AD8" w:rsidRPr="00730539">
        <w:t>eport</w:t>
      </w:r>
      <w:r w:rsidR="00EE4654" w:rsidRPr="00730539">
        <w:t>.</w:t>
      </w:r>
    </w:p>
    <w:p w14:paraId="7B19235E" w14:textId="36FE3990" w:rsidR="00B94C0F" w:rsidRPr="00730539" w:rsidRDefault="00B94C0F" w:rsidP="00E915A8">
      <w:pPr>
        <w:pStyle w:val="Heading3"/>
      </w:pPr>
      <w:r w:rsidRPr="00730539">
        <w:t xml:space="preserve">Why can’t </w:t>
      </w:r>
      <w:r w:rsidR="000B6194" w:rsidRPr="00730539">
        <w:t>the reporting process be streamlined</w:t>
      </w:r>
      <w:r w:rsidR="00482092" w:rsidRPr="00730539">
        <w:t xml:space="preserve"> instead </w:t>
      </w:r>
      <w:r w:rsidR="0086033F" w:rsidRPr="00730539">
        <w:t xml:space="preserve">of </w:t>
      </w:r>
      <w:r w:rsidR="00757B85" w:rsidRPr="00730539">
        <w:t>having different touchpoints and duplicating information</w:t>
      </w:r>
      <w:r w:rsidRPr="00730539">
        <w:t>?</w:t>
      </w:r>
    </w:p>
    <w:p w14:paraId="56880F7A" w14:textId="396B78EA" w:rsidR="00B94C0F" w:rsidRPr="00730539" w:rsidRDefault="00FF6610" w:rsidP="002E1AAA">
      <w:pPr>
        <w:pStyle w:val="ListBullet"/>
      </w:pPr>
      <w:r w:rsidRPr="00730539">
        <w:t xml:space="preserve">The Community Grants Hub manages your grant agreement </w:t>
      </w:r>
      <w:r w:rsidR="0052771E" w:rsidRPr="00730539">
        <w:t>on behalf of the department. The</w:t>
      </w:r>
      <w:r w:rsidR="00B65F94" w:rsidRPr="00730539">
        <w:t xml:space="preserve">y </w:t>
      </w:r>
      <w:r w:rsidRPr="00730539">
        <w:t>asses</w:t>
      </w:r>
      <w:r w:rsidR="00B65F94" w:rsidRPr="00730539">
        <w:t>s</w:t>
      </w:r>
      <w:r w:rsidRPr="00730539">
        <w:t xml:space="preserve"> </w:t>
      </w:r>
      <w:r w:rsidR="00DD7AD8">
        <w:t>p</w:t>
      </w:r>
      <w:r w:rsidR="00DD7AD8" w:rsidRPr="00730539">
        <w:t xml:space="preserve">erformance </w:t>
      </w:r>
      <w:r w:rsidR="00DD7AD8">
        <w:t>r</w:t>
      </w:r>
      <w:r w:rsidR="00DD7AD8" w:rsidRPr="00730539">
        <w:t xml:space="preserve">eports </w:t>
      </w:r>
      <w:r w:rsidR="00B95A9C" w:rsidRPr="00730539">
        <w:t xml:space="preserve">and </w:t>
      </w:r>
      <w:r w:rsidR="00DD7AD8">
        <w:t>a</w:t>
      </w:r>
      <w:r w:rsidR="00DD7AD8" w:rsidRPr="00730539">
        <w:t xml:space="preserve">cquittal </w:t>
      </w:r>
      <w:r w:rsidR="00DD7AD8">
        <w:t>r</w:t>
      </w:r>
      <w:r w:rsidR="00DD7AD8" w:rsidRPr="00730539">
        <w:t>eports</w:t>
      </w:r>
      <w:r w:rsidR="00B95A9C" w:rsidRPr="00730539">
        <w:t xml:space="preserve">. </w:t>
      </w:r>
      <w:r w:rsidR="00DE09EC" w:rsidRPr="00730539">
        <w:t>These report</w:t>
      </w:r>
      <w:r w:rsidR="009F5E0B" w:rsidRPr="00730539">
        <w:t xml:space="preserve">s </w:t>
      </w:r>
      <w:r w:rsidR="008F333D" w:rsidRPr="00730539">
        <w:t xml:space="preserve">are about how your organisation has spent </w:t>
      </w:r>
      <w:r w:rsidR="003953CC" w:rsidRPr="00730539">
        <w:t xml:space="preserve">DSOA </w:t>
      </w:r>
      <w:r w:rsidR="008F333D" w:rsidRPr="00730539">
        <w:t>funding and delivered services.</w:t>
      </w:r>
    </w:p>
    <w:p w14:paraId="36868409" w14:textId="43496E4F" w:rsidR="008F333D" w:rsidRPr="00730539" w:rsidRDefault="007A70D0" w:rsidP="002E1AAA">
      <w:pPr>
        <w:pStyle w:val="ListBullet"/>
      </w:pPr>
      <w:r w:rsidRPr="00730539">
        <w:t xml:space="preserve">The reports you submit to the department such as the ISP, </w:t>
      </w:r>
      <w:r w:rsidR="00DD7AD8">
        <w:t>a</w:t>
      </w:r>
      <w:r w:rsidR="00DD7AD8" w:rsidRPr="00730539">
        <w:t xml:space="preserve">nnual </w:t>
      </w:r>
      <w:r w:rsidR="00DD7AD8">
        <w:t>r</w:t>
      </w:r>
      <w:r w:rsidR="00DD7AD8" w:rsidRPr="00730539">
        <w:t xml:space="preserve">eview </w:t>
      </w:r>
      <w:r w:rsidRPr="00730539">
        <w:t xml:space="preserve">and Quarterly Provider Verification Statement are </w:t>
      </w:r>
      <w:r w:rsidR="00FD7291" w:rsidRPr="00730539">
        <w:t>client focussed</w:t>
      </w:r>
      <w:r w:rsidR="00A962DC" w:rsidRPr="00730539">
        <w:t xml:space="preserve"> and </w:t>
      </w:r>
      <w:r w:rsidR="00144AEB" w:rsidRPr="00730539">
        <w:t xml:space="preserve">report on </w:t>
      </w:r>
      <w:r w:rsidR="00A962DC" w:rsidRPr="00730539">
        <w:t>how your clients are accessing their DSOA funding.</w:t>
      </w:r>
    </w:p>
    <w:p w14:paraId="5D8D7BCD" w14:textId="28ECD2AE" w:rsidR="00EE6E1E" w:rsidRPr="00730539" w:rsidRDefault="000D1BA4" w:rsidP="00E915A8">
      <w:pPr>
        <w:pStyle w:val="Heading3"/>
      </w:pPr>
      <w:r w:rsidRPr="00730539">
        <w:t>Is there an</w:t>
      </w:r>
      <w:r w:rsidR="00040737" w:rsidRPr="00730539">
        <w:t xml:space="preserve"> overview of all reports, deadlines and requested reporting data required?</w:t>
      </w:r>
    </w:p>
    <w:tbl>
      <w:tblPr>
        <w:tblStyle w:val="TableGrid"/>
        <w:tblW w:w="9214" w:type="dxa"/>
        <w:tblInd w:w="562" w:type="dxa"/>
        <w:tblLook w:val="04A0" w:firstRow="1" w:lastRow="0" w:firstColumn="1" w:lastColumn="0" w:noHBand="0" w:noVBand="1"/>
      </w:tblPr>
      <w:tblGrid>
        <w:gridCol w:w="1574"/>
        <w:gridCol w:w="1403"/>
        <w:gridCol w:w="6237"/>
      </w:tblGrid>
      <w:tr w:rsidR="00C11021" w:rsidRPr="00730539" w14:paraId="569EF603" w14:textId="77777777" w:rsidTr="00090C1B">
        <w:trPr>
          <w:tblHeader/>
        </w:trPr>
        <w:tc>
          <w:tcPr>
            <w:tcW w:w="1574" w:type="dxa"/>
            <w:shd w:val="clear" w:color="auto" w:fill="002060"/>
          </w:tcPr>
          <w:p w14:paraId="129CCD27" w14:textId="776D39F7" w:rsidR="00C11021" w:rsidRPr="00730539" w:rsidRDefault="00C11021" w:rsidP="00090C1B">
            <w:pPr>
              <w:spacing w:before="120" w:after="120"/>
              <w:rPr>
                <w:rFonts w:ascii="Arial" w:hAnsi="Arial" w:cs="Arial"/>
                <w:b/>
                <w:bCs/>
              </w:rPr>
            </w:pPr>
            <w:r w:rsidRPr="00730539">
              <w:rPr>
                <w:rFonts w:ascii="Arial" w:hAnsi="Arial" w:cs="Arial"/>
                <w:b/>
                <w:bCs/>
              </w:rPr>
              <w:t xml:space="preserve">Report </w:t>
            </w:r>
          </w:p>
        </w:tc>
        <w:tc>
          <w:tcPr>
            <w:tcW w:w="1403" w:type="dxa"/>
            <w:shd w:val="clear" w:color="auto" w:fill="002060"/>
          </w:tcPr>
          <w:p w14:paraId="2477149B" w14:textId="2ADC0A3F" w:rsidR="00C11021" w:rsidRPr="00730539" w:rsidRDefault="00C11021" w:rsidP="00090C1B">
            <w:pPr>
              <w:spacing w:before="120" w:after="120"/>
              <w:rPr>
                <w:rFonts w:ascii="Arial" w:hAnsi="Arial" w:cs="Arial"/>
                <w:b/>
                <w:bCs/>
              </w:rPr>
            </w:pPr>
            <w:r w:rsidRPr="00730539">
              <w:rPr>
                <w:rFonts w:ascii="Arial" w:hAnsi="Arial" w:cs="Arial"/>
                <w:b/>
                <w:bCs/>
              </w:rPr>
              <w:t>Due date</w:t>
            </w:r>
          </w:p>
        </w:tc>
        <w:tc>
          <w:tcPr>
            <w:tcW w:w="6237" w:type="dxa"/>
            <w:shd w:val="clear" w:color="auto" w:fill="002060"/>
          </w:tcPr>
          <w:p w14:paraId="075E4412" w14:textId="7CA21266" w:rsidR="00C11021" w:rsidRPr="00730539" w:rsidRDefault="00845DB7" w:rsidP="00090C1B">
            <w:pPr>
              <w:spacing w:before="120" w:after="120"/>
              <w:rPr>
                <w:rFonts w:ascii="Arial" w:hAnsi="Arial" w:cs="Arial"/>
                <w:b/>
                <w:bCs/>
              </w:rPr>
            </w:pPr>
            <w:r>
              <w:rPr>
                <w:rFonts w:ascii="Arial" w:hAnsi="Arial" w:cs="Arial"/>
                <w:b/>
                <w:bCs/>
              </w:rPr>
              <w:t>Requirements</w:t>
            </w:r>
          </w:p>
        </w:tc>
      </w:tr>
      <w:tr w:rsidR="00C11021" w:rsidRPr="00730539" w14:paraId="26781B22" w14:textId="77777777" w:rsidTr="00090C1B">
        <w:tc>
          <w:tcPr>
            <w:tcW w:w="1574" w:type="dxa"/>
          </w:tcPr>
          <w:p w14:paraId="2B50AE01" w14:textId="1CB970AA" w:rsidR="00C11021" w:rsidRPr="00730539" w:rsidRDefault="00C11363" w:rsidP="00090C1B">
            <w:pPr>
              <w:spacing w:before="120" w:after="120"/>
              <w:rPr>
                <w:rFonts w:ascii="Arial" w:hAnsi="Arial" w:cs="Arial"/>
              </w:rPr>
            </w:pPr>
            <w:r w:rsidRPr="00730539">
              <w:rPr>
                <w:rFonts w:ascii="Arial" w:hAnsi="Arial" w:cs="Arial"/>
              </w:rPr>
              <w:t xml:space="preserve">Quarterly </w:t>
            </w:r>
            <w:r w:rsidR="00F41AC6" w:rsidRPr="00730539">
              <w:rPr>
                <w:rFonts w:ascii="Arial" w:hAnsi="Arial" w:cs="Arial"/>
              </w:rPr>
              <w:t>Provider Verifi</w:t>
            </w:r>
            <w:r w:rsidR="006211F2" w:rsidRPr="00730539">
              <w:rPr>
                <w:rFonts w:ascii="Arial" w:hAnsi="Arial" w:cs="Arial"/>
              </w:rPr>
              <w:t>cation Statement</w:t>
            </w:r>
            <w:r w:rsidR="00646540" w:rsidRPr="00730539">
              <w:rPr>
                <w:rFonts w:ascii="Arial" w:hAnsi="Arial" w:cs="Arial"/>
              </w:rPr>
              <w:t xml:space="preserve"> (Q</w:t>
            </w:r>
            <w:r w:rsidR="00B84F0D" w:rsidRPr="00730539">
              <w:rPr>
                <w:rFonts w:ascii="Arial" w:hAnsi="Arial" w:cs="Arial"/>
              </w:rPr>
              <w:t>PVS)</w:t>
            </w:r>
          </w:p>
        </w:tc>
        <w:tc>
          <w:tcPr>
            <w:tcW w:w="1403" w:type="dxa"/>
          </w:tcPr>
          <w:p w14:paraId="773F17AA" w14:textId="77777777" w:rsidR="000B5EF9" w:rsidRPr="00730539" w:rsidRDefault="002B02BC" w:rsidP="00090C1B">
            <w:pPr>
              <w:spacing w:before="120" w:after="120"/>
              <w:rPr>
                <w:rFonts w:ascii="Arial" w:hAnsi="Arial" w:cs="Arial"/>
              </w:rPr>
            </w:pPr>
            <w:r w:rsidRPr="00730539">
              <w:rPr>
                <w:rFonts w:ascii="Arial" w:hAnsi="Arial" w:cs="Arial"/>
              </w:rPr>
              <w:t xml:space="preserve">31 </w:t>
            </w:r>
            <w:r w:rsidR="006211F2" w:rsidRPr="00730539">
              <w:rPr>
                <w:rFonts w:ascii="Arial" w:hAnsi="Arial" w:cs="Arial"/>
              </w:rPr>
              <w:t xml:space="preserve">July, </w:t>
            </w:r>
          </w:p>
          <w:p w14:paraId="5BFEB476" w14:textId="77777777" w:rsidR="000B5EF9" w:rsidRPr="00730539" w:rsidRDefault="002B02BC" w:rsidP="00090C1B">
            <w:pPr>
              <w:spacing w:before="120" w:after="120"/>
              <w:rPr>
                <w:rFonts w:ascii="Arial" w:hAnsi="Arial" w:cs="Arial"/>
              </w:rPr>
            </w:pPr>
            <w:r w:rsidRPr="00730539">
              <w:rPr>
                <w:rFonts w:ascii="Arial" w:hAnsi="Arial" w:cs="Arial"/>
              </w:rPr>
              <w:t xml:space="preserve">31 </w:t>
            </w:r>
            <w:r w:rsidR="006211F2" w:rsidRPr="00730539">
              <w:rPr>
                <w:rFonts w:ascii="Arial" w:hAnsi="Arial" w:cs="Arial"/>
              </w:rPr>
              <w:t xml:space="preserve">October, </w:t>
            </w:r>
          </w:p>
          <w:p w14:paraId="513018D4" w14:textId="318A5927" w:rsidR="00C11021" w:rsidRPr="00730539" w:rsidRDefault="002B02BC" w:rsidP="00090C1B">
            <w:pPr>
              <w:spacing w:before="120" w:after="120"/>
              <w:rPr>
                <w:rFonts w:ascii="Arial" w:hAnsi="Arial" w:cs="Arial"/>
              </w:rPr>
            </w:pPr>
            <w:r w:rsidRPr="00730539">
              <w:rPr>
                <w:rFonts w:ascii="Arial" w:hAnsi="Arial" w:cs="Arial"/>
              </w:rPr>
              <w:t xml:space="preserve">31 </w:t>
            </w:r>
            <w:r w:rsidR="006211F2" w:rsidRPr="00730539">
              <w:rPr>
                <w:rFonts w:ascii="Arial" w:hAnsi="Arial" w:cs="Arial"/>
              </w:rPr>
              <w:t xml:space="preserve">January and </w:t>
            </w:r>
            <w:r w:rsidRPr="00730539">
              <w:rPr>
                <w:rFonts w:ascii="Arial" w:hAnsi="Arial" w:cs="Arial"/>
              </w:rPr>
              <w:t xml:space="preserve">30 </w:t>
            </w:r>
            <w:r w:rsidR="006211F2" w:rsidRPr="00730539">
              <w:rPr>
                <w:rFonts w:ascii="Arial" w:hAnsi="Arial" w:cs="Arial"/>
              </w:rPr>
              <w:t>April</w:t>
            </w:r>
            <w:r w:rsidR="004C1B16" w:rsidRPr="00730539">
              <w:rPr>
                <w:rFonts w:ascii="Arial" w:hAnsi="Arial" w:cs="Arial"/>
              </w:rPr>
              <w:t xml:space="preserve"> </w:t>
            </w:r>
            <w:r w:rsidR="000B5EF9" w:rsidRPr="00730539">
              <w:rPr>
                <w:rFonts w:ascii="Arial" w:hAnsi="Arial" w:cs="Arial"/>
              </w:rPr>
              <w:t>every year</w:t>
            </w:r>
          </w:p>
        </w:tc>
        <w:tc>
          <w:tcPr>
            <w:tcW w:w="6237" w:type="dxa"/>
          </w:tcPr>
          <w:p w14:paraId="06D3E288" w14:textId="7BC9F64E" w:rsidR="00D361F7" w:rsidRPr="00730539" w:rsidRDefault="00DD7AD8" w:rsidP="00090C1B">
            <w:pPr>
              <w:spacing w:before="120" w:after="120"/>
              <w:rPr>
                <w:rFonts w:ascii="Arial" w:hAnsi="Arial" w:cs="Arial"/>
              </w:rPr>
            </w:pPr>
            <w:r>
              <w:rPr>
                <w:rFonts w:ascii="Arial" w:hAnsi="Arial" w:cs="Arial"/>
              </w:rPr>
              <w:t>We send the</w:t>
            </w:r>
            <w:r w:rsidRPr="00730539">
              <w:rPr>
                <w:rFonts w:ascii="Arial" w:hAnsi="Arial" w:cs="Arial"/>
              </w:rPr>
              <w:t xml:space="preserve"> </w:t>
            </w:r>
            <w:r w:rsidR="00646540" w:rsidRPr="00730539">
              <w:rPr>
                <w:rFonts w:ascii="Arial" w:hAnsi="Arial" w:cs="Arial"/>
              </w:rPr>
              <w:t xml:space="preserve">link to complete the </w:t>
            </w:r>
            <w:r w:rsidR="00B84F0D" w:rsidRPr="00730539">
              <w:rPr>
                <w:rFonts w:ascii="Arial" w:hAnsi="Arial" w:cs="Arial"/>
              </w:rPr>
              <w:t>QPVS</w:t>
            </w:r>
            <w:r>
              <w:rPr>
                <w:rFonts w:ascii="Arial" w:hAnsi="Arial" w:cs="Arial"/>
              </w:rPr>
              <w:t xml:space="preserve"> </w:t>
            </w:r>
            <w:r w:rsidR="005736C5" w:rsidRPr="00730539">
              <w:rPr>
                <w:rFonts w:ascii="Arial" w:hAnsi="Arial" w:cs="Arial"/>
              </w:rPr>
              <w:t>to</w:t>
            </w:r>
            <w:r w:rsidR="00D361F7" w:rsidRPr="00730539">
              <w:rPr>
                <w:rFonts w:ascii="Arial" w:hAnsi="Arial" w:cs="Arial"/>
              </w:rPr>
              <w:t xml:space="preserve"> the </w:t>
            </w:r>
            <w:r w:rsidR="002561C1" w:rsidRPr="00730539">
              <w:rPr>
                <w:rFonts w:ascii="Arial" w:hAnsi="Arial" w:cs="Arial"/>
              </w:rPr>
              <w:t>primary contact person</w:t>
            </w:r>
            <w:r w:rsidR="00D361F7" w:rsidRPr="00730539">
              <w:rPr>
                <w:rFonts w:ascii="Arial" w:hAnsi="Arial" w:cs="Arial"/>
              </w:rPr>
              <w:t xml:space="preserve"> in your organisation to complete each quarter.</w:t>
            </w:r>
          </w:p>
          <w:p w14:paraId="2008ECC5" w14:textId="5F7C8287" w:rsidR="00362C34" w:rsidRPr="00730539" w:rsidRDefault="00840FA9" w:rsidP="00090C1B">
            <w:pPr>
              <w:spacing w:before="120" w:after="120"/>
              <w:rPr>
                <w:rFonts w:ascii="Arial" w:hAnsi="Arial" w:cs="Arial"/>
              </w:rPr>
            </w:pPr>
            <w:r w:rsidRPr="00730539">
              <w:rPr>
                <w:rFonts w:ascii="Arial" w:hAnsi="Arial" w:cs="Arial"/>
              </w:rPr>
              <w:t>Your</w:t>
            </w:r>
            <w:r w:rsidR="001A223D" w:rsidRPr="00730539">
              <w:rPr>
                <w:rFonts w:ascii="Arial" w:hAnsi="Arial" w:cs="Arial"/>
              </w:rPr>
              <w:t xml:space="preserve"> next quarterly payment will be held if </w:t>
            </w:r>
            <w:r w:rsidR="00362C34" w:rsidRPr="00730539">
              <w:rPr>
                <w:rFonts w:ascii="Arial" w:hAnsi="Arial" w:cs="Arial"/>
              </w:rPr>
              <w:t>you do not complete the QPVS.</w:t>
            </w:r>
          </w:p>
          <w:p w14:paraId="3D356D42" w14:textId="155F6D26" w:rsidR="00D361F7" w:rsidRPr="00730539" w:rsidRDefault="00FD7E94" w:rsidP="00090C1B">
            <w:pPr>
              <w:spacing w:before="120" w:after="120"/>
              <w:rPr>
                <w:rFonts w:ascii="Arial" w:hAnsi="Arial" w:cs="Arial"/>
              </w:rPr>
            </w:pPr>
            <w:r w:rsidRPr="00730539">
              <w:rPr>
                <w:rFonts w:ascii="Arial" w:hAnsi="Arial" w:cs="Arial"/>
              </w:rPr>
              <w:t xml:space="preserve">The QVPS </w:t>
            </w:r>
            <w:r w:rsidR="00BD0D16" w:rsidRPr="00730539">
              <w:rPr>
                <w:rFonts w:ascii="Arial" w:hAnsi="Arial" w:cs="Arial"/>
              </w:rPr>
              <w:t>helps with timely reporting of underspend</w:t>
            </w:r>
            <w:r w:rsidR="003C375D" w:rsidRPr="00730539">
              <w:rPr>
                <w:rFonts w:ascii="Arial" w:hAnsi="Arial" w:cs="Arial"/>
              </w:rPr>
              <w:t>s</w:t>
            </w:r>
            <w:r w:rsidR="00BD0D16" w:rsidRPr="00730539">
              <w:rPr>
                <w:rFonts w:ascii="Arial" w:hAnsi="Arial" w:cs="Arial"/>
              </w:rPr>
              <w:t xml:space="preserve"> and </w:t>
            </w:r>
            <w:r w:rsidR="00A709F4" w:rsidRPr="00730539">
              <w:rPr>
                <w:rFonts w:ascii="Arial" w:hAnsi="Arial" w:cs="Arial"/>
              </w:rPr>
              <w:t>clients exits</w:t>
            </w:r>
            <w:r w:rsidR="00DD7AD8">
              <w:rPr>
                <w:rFonts w:ascii="Arial" w:hAnsi="Arial" w:cs="Arial"/>
              </w:rPr>
              <w:t>,</w:t>
            </w:r>
            <w:r w:rsidR="00A709F4" w:rsidRPr="00730539">
              <w:rPr>
                <w:rFonts w:ascii="Arial" w:hAnsi="Arial" w:cs="Arial"/>
              </w:rPr>
              <w:t xml:space="preserve"> which </w:t>
            </w:r>
            <w:r w:rsidR="003C375D" w:rsidRPr="00730539">
              <w:rPr>
                <w:rFonts w:ascii="Arial" w:hAnsi="Arial" w:cs="Arial"/>
              </w:rPr>
              <w:t>can reduce the underspent funds you will need to repay at the end of the financial year.</w:t>
            </w:r>
          </w:p>
        </w:tc>
      </w:tr>
      <w:tr w:rsidR="003C375D" w:rsidRPr="00730539" w14:paraId="5B00F1C1" w14:textId="77777777" w:rsidTr="00090C1B">
        <w:tc>
          <w:tcPr>
            <w:tcW w:w="1574" w:type="dxa"/>
          </w:tcPr>
          <w:p w14:paraId="50D9BB37" w14:textId="124FB4BD" w:rsidR="003C375D" w:rsidRPr="00730539" w:rsidRDefault="00893E41" w:rsidP="00090C1B">
            <w:pPr>
              <w:spacing w:before="120" w:after="120"/>
              <w:rPr>
                <w:rFonts w:ascii="Arial" w:hAnsi="Arial" w:cs="Arial"/>
              </w:rPr>
            </w:pPr>
            <w:r w:rsidRPr="00730539">
              <w:rPr>
                <w:rFonts w:ascii="Arial" w:hAnsi="Arial" w:cs="Arial"/>
              </w:rPr>
              <w:t>Individual Support Plan (ISP)</w:t>
            </w:r>
          </w:p>
        </w:tc>
        <w:tc>
          <w:tcPr>
            <w:tcW w:w="1403" w:type="dxa"/>
          </w:tcPr>
          <w:p w14:paraId="4BF006D2" w14:textId="385FE466" w:rsidR="003C375D" w:rsidRPr="00730539" w:rsidRDefault="005566D0" w:rsidP="00090C1B">
            <w:pPr>
              <w:spacing w:before="120" w:after="120"/>
              <w:rPr>
                <w:rFonts w:ascii="Arial" w:hAnsi="Arial" w:cs="Arial"/>
              </w:rPr>
            </w:pPr>
            <w:r w:rsidRPr="00730539">
              <w:rPr>
                <w:rFonts w:ascii="Arial" w:hAnsi="Arial" w:cs="Arial"/>
              </w:rPr>
              <w:t>Annually</w:t>
            </w:r>
          </w:p>
        </w:tc>
        <w:tc>
          <w:tcPr>
            <w:tcW w:w="6237" w:type="dxa"/>
          </w:tcPr>
          <w:p w14:paraId="40BA88AB" w14:textId="59D42AA1" w:rsidR="0028526A" w:rsidRPr="00730539" w:rsidRDefault="005566D0" w:rsidP="00090C1B">
            <w:pPr>
              <w:spacing w:before="120" w:after="120"/>
              <w:rPr>
                <w:rFonts w:ascii="Arial" w:hAnsi="Arial" w:cs="Arial"/>
              </w:rPr>
            </w:pPr>
            <w:r w:rsidRPr="00730539">
              <w:rPr>
                <w:rFonts w:ascii="Arial" w:hAnsi="Arial" w:cs="Arial"/>
              </w:rPr>
              <w:t>You must complete an ISP annually with your client</w:t>
            </w:r>
            <w:r w:rsidR="00B65D58" w:rsidRPr="00730539">
              <w:rPr>
                <w:rFonts w:ascii="Arial" w:hAnsi="Arial" w:cs="Arial"/>
              </w:rPr>
              <w:t xml:space="preserve"> and submit a copy to the department </w:t>
            </w:r>
            <w:r w:rsidR="00344DD4" w:rsidRPr="00730539">
              <w:rPr>
                <w:rFonts w:ascii="Arial" w:hAnsi="Arial" w:cs="Arial"/>
              </w:rPr>
              <w:t xml:space="preserve">by email to </w:t>
            </w:r>
            <w:hyperlink r:id="rId14" w:history="1">
              <w:r w:rsidR="00344DD4" w:rsidRPr="00730539">
                <w:rPr>
                  <w:rStyle w:val="Hyperlink"/>
                  <w:rFonts w:cs="Arial"/>
                </w:rPr>
                <w:t>dsoacompliance@health.gov.au</w:t>
              </w:r>
            </w:hyperlink>
            <w:r w:rsidR="00344DD4" w:rsidRPr="00730539">
              <w:rPr>
                <w:rFonts w:ascii="Arial" w:hAnsi="Arial" w:cs="Arial"/>
              </w:rPr>
              <w:t xml:space="preserve"> within </w:t>
            </w:r>
            <w:r w:rsidR="002B02BC" w:rsidRPr="00730539">
              <w:rPr>
                <w:rFonts w:ascii="Arial" w:hAnsi="Arial" w:cs="Arial"/>
              </w:rPr>
              <w:t>10</w:t>
            </w:r>
            <w:r w:rsidR="00344DD4" w:rsidRPr="00730539">
              <w:rPr>
                <w:rFonts w:ascii="Arial" w:hAnsi="Arial" w:cs="Arial"/>
              </w:rPr>
              <w:t xml:space="preserve"> days of the client</w:t>
            </w:r>
            <w:r w:rsidR="0028526A" w:rsidRPr="00730539">
              <w:rPr>
                <w:rFonts w:ascii="Arial" w:hAnsi="Arial" w:cs="Arial"/>
              </w:rPr>
              <w:t xml:space="preserve"> signing.</w:t>
            </w:r>
          </w:p>
          <w:p w14:paraId="7EE5E9D9" w14:textId="07FDFA08" w:rsidR="00AD3392" w:rsidRPr="00730539" w:rsidRDefault="00524AA3" w:rsidP="00090C1B">
            <w:pPr>
              <w:spacing w:before="120" w:after="120"/>
              <w:rPr>
                <w:rFonts w:ascii="Arial" w:hAnsi="Arial" w:cs="Arial"/>
              </w:rPr>
            </w:pPr>
            <w:r w:rsidRPr="00730539">
              <w:rPr>
                <w:rFonts w:ascii="Arial" w:hAnsi="Arial" w:cs="Arial"/>
              </w:rPr>
              <w:t xml:space="preserve">The ISP </w:t>
            </w:r>
            <w:r w:rsidR="002B02BC" w:rsidRPr="00730539">
              <w:rPr>
                <w:rFonts w:ascii="Arial" w:hAnsi="Arial" w:cs="Arial"/>
              </w:rPr>
              <w:t>must</w:t>
            </w:r>
            <w:r w:rsidRPr="00730539">
              <w:rPr>
                <w:rFonts w:ascii="Arial" w:hAnsi="Arial" w:cs="Arial"/>
              </w:rPr>
              <w:t xml:space="preserve"> be updated </w:t>
            </w:r>
            <w:r w:rsidR="00F23DA7" w:rsidRPr="00730539">
              <w:rPr>
                <w:rFonts w:ascii="Arial" w:hAnsi="Arial" w:cs="Arial"/>
              </w:rPr>
              <w:t xml:space="preserve">if the client has a change to their support needs or a change to their funding levels. </w:t>
            </w:r>
          </w:p>
          <w:p w14:paraId="158D18A8" w14:textId="3222FBC1" w:rsidR="00B039A6" w:rsidRPr="00730539" w:rsidRDefault="00AD3392" w:rsidP="00090C1B">
            <w:pPr>
              <w:spacing w:before="120" w:after="120"/>
              <w:rPr>
                <w:rFonts w:ascii="Arial" w:hAnsi="Arial" w:cs="Arial"/>
              </w:rPr>
            </w:pPr>
            <w:r w:rsidRPr="00730539">
              <w:rPr>
                <w:rFonts w:ascii="Arial" w:hAnsi="Arial" w:cs="Arial"/>
              </w:rPr>
              <w:t xml:space="preserve">An ISP is </w:t>
            </w:r>
            <w:r w:rsidR="0089640E" w:rsidRPr="00730539">
              <w:rPr>
                <w:rFonts w:ascii="Arial" w:hAnsi="Arial" w:cs="Arial"/>
              </w:rPr>
              <w:t xml:space="preserve">record you have spoken to your client about </w:t>
            </w:r>
            <w:r w:rsidR="004C7E05" w:rsidRPr="00730539">
              <w:rPr>
                <w:rFonts w:ascii="Arial" w:hAnsi="Arial" w:cs="Arial"/>
              </w:rPr>
              <w:t>t</w:t>
            </w:r>
            <w:r w:rsidR="0089640E" w:rsidRPr="00730539">
              <w:rPr>
                <w:rFonts w:ascii="Arial" w:hAnsi="Arial" w:cs="Arial"/>
              </w:rPr>
              <w:t xml:space="preserve">he </w:t>
            </w:r>
            <w:r w:rsidR="004C7E05" w:rsidRPr="00730539">
              <w:rPr>
                <w:rFonts w:ascii="Arial" w:hAnsi="Arial" w:cs="Arial"/>
              </w:rPr>
              <w:t>s</w:t>
            </w:r>
            <w:r w:rsidR="00703C5C" w:rsidRPr="00730539">
              <w:rPr>
                <w:rFonts w:ascii="Arial" w:hAnsi="Arial" w:cs="Arial"/>
              </w:rPr>
              <w:t>ervices</w:t>
            </w:r>
            <w:r w:rsidR="004C7E05" w:rsidRPr="00730539">
              <w:rPr>
                <w:rFonts w:ascii="Arial" w:hAnsi="Arial" w:cs="Arial"/>
              </w:rPr>
              <w:t xml:space="preserve"> they are funded</w:t>
            </w:r>
            <w:r w:rsidR="00F23DA7" w:rsidRPr="00730539">
              <w:rPr>
                <w:rFonts w:ascii="Arial" w:hAnsi="Arial" w:cs="Arial"/>
              </w:rPr>
              <w:t xml:space="preserve"> for</w:t>
            </w:r>
            <w:r w:rsidR="004C7E05" w:rsidRPr="00730539">
              <w:rPr>
                <w:rFonts w:ascii="Arial" w:hAnsi="Arial" w:cs="Arial"/>
              </w:rPr>
              <w:t xml:space="preserve"> under the DSOA Program. </w:t>
            </w:r>
            <w:r w:rsidR="00587691" w:rsidRPr="00730539">
              <w:rPr>
                <w:rFonts w:ascii="Arial" w:hAnsi="Arial" w:cs="Arial"/>
              </w:rPr>
              <w:t xml:space="preserve">It will help the client to make an informed decision </w:t>
            </w:r>
            <w:r w:rsidR="00F63BEB" w:rsidRPr="00730539">
              <w:rPr>
                <w:rFonts w:ascii="Arial" w:hAnsi="Arial" w:cs="Arial"/>
              </w:rPr>
              <w:t xml:space="preserve">should </w:t>
            </w:r>
            <w:r w:rsidR="00F23DA7" w:rsidRPr="00730539">
              <w:rPr>
                <w:rFonts w:ascii="Arial" w:hAnsi="Arial" w:cs="Arial"/>
              </w:rPr>
              <w:t xml:space="preserve">they </w:t>
            </w:r>
            <w:r w:rsidR="00851E4D" w:rsidRPr="00730539">
              <w:rPr>
                <w:rFonts w:ascii="Arial" w:hAnsi="Arial" w:cs="Arial"/>
              </w:rPr>
              <w:t>want to change their mix of services</w:t>
            </w:r>
            <w:r w:rsidR="00D95224" w:rsidRPr="00730539">
              <w:rPr>
                <w:rFonts w:ascii="Arial" w:hAnsi="Arial" w:cs="Arial"/>
              </w:rPr>
              <w:t xml:space="preserve"> temp</w:t>
            </w:r>
            <w:r w:rsidR="00FD77AB" w:rsidRPr="00730539">
              <w:rPr>
                <w:rFonts w:ascii="Arial" w:hAnsi="Arial" w:cs="Arial"/>
              </w:rPr>
              <w:t>orarily or permanent</w:t>
            </w:r>
            <w:r w:rsidR="00B039A6" w:rsidRPr="00730539">
              <w:rPr>
                <w:rFonts w:ascii="Arial" w:hAnsi="Arial" w:cs="Arial"/>
              </w:rPr>
              <w:t>ly.</w:t>
            </w:r>
          </w:p>
          <w:p w14:paraId="38A22262" w14:textId="1B7DA144" w:rsidR="00164D43" w:rsidRPr="00730539" w:rsidRDefault="008F3878" w:rsidP="00090C1B">
            <w:pPr>
              <w:spacing w:before="120" w:after="120"/>
              <w:rPr>
                <w:rFonts w:ascii="Arial" w:hAnsi="Arial" w:cs="Arial"/>
              </w:rPr>
            </w:pPr>
            <w:r w:rsidRPr="00730539">
              <w:rPr>
                <w:rFonts w:ascii="Arial" w:hAnsi="Arial" w:cs="Arial"/>
              </w:rPr>
              <w:t xml:space="preserve">If the department does not have a current copy of your client’s ISP, </w:t>
            </w:r>
            <w:r w:rsidR="00C51B9C" w:rsidRPr="00730539">
              <w:rPr>
                <w:rFonts w:ascii="Arial" w:hAnsi="Arial" w:cs="Arial"/>
              </w:rPr>
              <w:t xml:space="preserve">it may result in </w:t>
            </w:r>
            <w:r w:rsidR="00AE2D69" w:rsidRPr="00730539">
              <w:rPr>
                <w:rFonts w:ascii="Arial" w:hAnsi="Arial" w:cs="Arial"/>
              </w:rPr>
              <w:t xml:space="preserve">your </w:t>
            </w:r>
            <w:r w:rsidR="00EF0AE3" w:rsidRPr="00730539">
              <w:rPr>
                <w:rFonts w:ascii="Arial" w:hAnsi="Arial" w:cs="Arial"/>
              </w:rPr>
              <w:t xml:space="preserve">quarterly payment being held or </w:t>
            </w:r>
            <w:r w:rsidR="00E72364" w:rsidRPr="00730539">
              <w:rPr>
                <w:rFonts w:ascii="Arial" w:hAnsi="Arial" w:cs="Arial"/>
              </w:rPr>
              <w:t>a delay in considering a Change of Need</w:t>
            </w:r>
            <w:r w:rsidR="001F2316">
              <w:rPr>
                <w:rFonts w:ascii="Arial" w:hAnsi="Arial" w:cs="Arial"/>
              </w:rPr>
              <w:t>s</w:t>
            </w:r>
            <w:r w:rsidR="00E72364" w:rsidRPr="00730539">
              <w:rPr>
                <w:rFonts w:ascii="Arial" w:hAnsi="Arial" w:cs="Arial"/>
              </w:rPr>
              <w:t xml:space="preserve"> application.</w:t>
            </w:r>
          </w:p>
          <w:p w14:paraId="4294DDF9" w14:textId="0E05D20F" w:rsidR="00A95716" w:rsidRPr="00730539" w:rsidRDefault="00164D43" w:rsidP="00090C1B">
            <w:pPr>
              <w:spacing w:before="120" w:after="120"/>
              <w:rPr>
                <w:rFonts w:ascii="Arial" w:hAnsi="Arial" w:cs="Arial"/>
              </w:rPr>
            </w:pPr>
            <w:r w:rsidRPr="00730539">
              <w:rPr>
                <w:rFonts w:ascii="Arial" w:hAnsi="Arial" w:cs="Arial"/>
              </w:rPr>
              <w:lastRenderedPageBreak/>
              <w:t xml:space="preserve">The department will review your client’s </w:t>
            </w:r>
            <w:proofErr w:type="gramStart"/>
            <w:r w:rsidRPr="00730539">
              <w:rPr>
                <w:rFonts w:ascii="Arial" w:hAnsi="Arial" w:cs="Arial"/>
              </w:rPr>
              <w:t>ISP</w:t>
            </w:r>
            <w:proofErr w:type="gramEnd"/>
          </w:p>
          <w:p w14:paraId="524277F6" w14:textId="5E371B7F" w:rsidR="00A95716" w:rsidRPr="00730539" w:rsidRDefault="001F383E" w:rsidP="00090C1B">
            <w:pPr>
              <w:spacing w:before="120" w:after="120"/>
              <w:rPr>
                <w:rFonts w:ascii="Arial" w:hAnsi="Arial" w:cs="Arial"/>
              </w:rPr>
            </w:pPr>
            <w:r>
              <w:rPr>
                <w:rFonts w:ascii="Arial" w:hAnsi="Arial" w:cs="Arial"/>
              </w:rPr>
              <w:t xml:space="preserve">For </w:t>
            </w:r>
            <w:r w:rsidR="001F2316">
              <w:rPr>
                <w:rFonts w:ascii="Arial" w:hAnsi="Arial" w:cs="Arial"/>
              </w:rPr>
              <w:t>further instructions,</w:t>
            </w:r>
            <w:r>
              <w:rPr>
                <w:rFonts w:ascii="Arial" w:hAnsi="Arial" w:cs="Arial"/>
              </w:rPr>
              <w:t xml:space="preserve"> </w:t>
            </w:r>
            <w:r w:rsidR="001F2316">
              <w:rPr>
                <w:rFonts w:ascii="Arial" w:hAnsi="Arial" w:cs="Arial"/>
              </w:rPr>
              <w:t xml:space="preserve">refer </w:t>
            </w:r>
            <w:r>
              <w:rPr>
                <w:rFonts w:ascii="Arial" w:hAnsi="Arial" w:cs="Arial"/>
              </w:rPr>
              <w:t>to</w:t>
            </w:r>
            <w:r w:rsidR="00F0459F">
              <w:rPr>
                <w:rFonts w:ascii="Arial" w:hAnsi="Arial" w:cs="Arial"/>
              </w:rPr>
              <w:t xml:space="preserve"> the </w:t>
            </w:r>
            <w:hyperlink r:id="rId15" w:history="1">
              <w:r w:rsidR="005F2AF2" w:rsidRPr="00730539">
                <w:rPr>
                  <w:rStyle w:val="Hyperlink"/>
                  <w:rFonts w:cs="Arial"/>
                </w:rPr>
                <w:t>Individual Support Package form</w:t>
              </w:r>
              <w:r w:rsidR="00E72753" w:rsidRPr="00730539">
                <w:rPr>
                  <w:rStyle w:val="Hyperlink"/>
                  <w:rFonts w:cs="Arial"/>
                </w:rPr>
                <w:t xml:space="preserve"> instructional video</w:t>
              </w:r>
            </w:hyperlink>
            <w:r w:rsidR="00E72753" w:rsidRPr="00730539">
              <w:rPr>
                <w:rFonts w:ascii="Arial" w:hAnsi="Arial" w:cs="Arial"/>
              </w:rPr>
              <w:t xml:space="preserve"> </w:t>
            </w:r>
            <w:r>
              <w:rPr>
                <w:rFonts w:ascii="Arial" w:hAnsi="Arial" w:cs="Arial"/>
              </w:rPr>
              <w:t xml:space="preserve">and </w:t>
            </w:r>
            <w:hyperlink r:id="rId16" w:history="1">
              <w:r w:rsidR="001F2316">
                <w:rPr>
                  <w:rStyle w:val="Hyperlink"/>
                </w:rPr>
                <w:t>Appendix C - How to fill out the ISP template</w:t>
              </w:r>
            </w:hyperlink>
            <w:r>
              <w:rPr>
                <w:rFonts w:ascii="Arial" w:hAnsi="Arial" w:cs="Arial"/>
              </w:rPr>
              <w:t>.</w:t>
            </w:r>
          </w:p>
        </w:tc>
      </w:tr>
      <w:tr w:rsidR="005C58E4" w:rsidRPr="00730539" w14:paraId="0C726200" w14:textId="77777777" w:rsidTr="00090C1B">
        <w:tc>
          <w:tcPr>
            <w:tcW w:w="1574" w:type="dxa"/>
          </w:tcPr>
          <w:p w14:paraId="3EC4F117" w14:textId="10C2AF22" w:rsidR="005C58E4" w:rsidRPr="00730539" w:rsidRDefault="005C58E4" w:rsidP="00090C1B">
            <w:pPr>
              <w:spacing w:before="120" w:after="120"/>
              <w:rPr>
                <w:rFonts w:ascii="Arial" w:hAnsi="Arial" w:cs="Arial"/>
              </w:rPr>
            </w:pPr>
            <w:r w:rsidRPr="00730539">
              <w:rPr>
                <w:rFonts w:ascii="Arial" w:hAnsi="Arial" w:cs="Arial"/>
              </w:rPr>
              <w:lastRenderedPageBreak/>
              <w:t xml:space="preserve">Annual </w:t>
            </w:r>
            <w:r w:rsidR="00DD7AD8">
              <w:rPr>
                <w:rFonts w:ascii="Arial" w:hAnsi="Arial" w:cs="Arial"/>
              </w:rPr>
              <w:t>r</w:t>
            </w:r>
            <w:r w:rsidR="00DD7AD8" w:rsidRPr="00730539">
              <w:rPr>
                <w:rFonts w:ascii="Arial" w:hAnsi="Arial" w:cs="Arial"/>
              </w:rPr>
              <w:t>eview</w:t>
            </w:r>
          </w:p>
        </w:tc>
        <w:tc>
          <w:tcPr>
            <w:tcW w:w="1403" w:type="dxa"/>
          </w:tcPr>
          <w:p w14:paraId="2461E64F" w14:textId="2D10AC23" w:rsidR="005C58E4" w:rsidRPr="00730539" w:rsidRDefault="005C58E4" w:rsidP="00090C1B">
            <w:pPr>
              <w:spacing w:before="120" w:after="120"/>
              <w:rPr>
                <w:rFonts w:ascii="Arial" w:hAnsi="Arial" w:cs="Arial"/>
              </w:rPr>
            </w:pPr>
            <w:r w:rsidRPr="00730539">
              <w:rPr>
                <w:rFonts w:ascii="Arial" w:hAnsi="Arial" w:cs="Arial"/>
              </w:rPr>
              <w:t>Annually</w:t>
            </w:r>
          </w:p>
        </w:tc>
        <w:tc>
          <w:tcPr>
            <w:tcW w:w="6237" w:type="dxa"/>
          </w:tcPr>
          <w:p w14:paraId="05568DA2" w14:textId="004C66AE" w:rsidR="00355E4A" w:rsidRPr="00730539" w:rsidRDefault="00525282" w:rsidP="00090C1B">
            <w:pPr>
              <w:spacing w:before="120" w:after="120"/>
              <w:rPr>
                <w:rFonts w:ascii="Arial" w:hAnsi="Arial" w:cs="Arial"/>
              </w:rPr>
            </w:pPr>
            <w:r w:rsidRPr="00730539">
              <w:rPr>
                <w:rFonts w:ascii="Arial" w:hAnsi="Arial" w:cs="Arial"/>
              </w:rPr>
              <w:t xml:space="preserve">An </w:t>
            </w:r>
            <w:r w:rsidR="001F2316">
              <w:rPr>
                <w:rFonts w:ascii="Arial" w:hAnsi="Arial" w:cs="Arial"/>
              </w:rPr>
              <w:t>a</w:t>
            </w:r>
            <w:r w:rsidR="001F2316" w:rsidRPr="00730539">
              <w:rPr>
                <w:rFonts w:ascii="Arial" w:hAnsi="Arial" w:cs="Arial"/>
              </w:rPr>
              <w:t xml:space="preserve">nnual </w:t>
            </w:r>
            <w:r w:rsidR="001F2316">
              <w:rPr>
                <w:rFonts w:ascii="Arial" w:hAnsi="Arial" w:cs="Arial"/>
              </w:rPr>
              <w:t>r</w:t>
            </w:r>
            <w:r w:rsidR="001F2316" w:rsidRPr="00730539">
              <w:rPr>
                <w:rFonts w:ascii="Arial" w:hAnsi="Arial" w:cs="Arial"/>
              </w:rPr>
              <w:t xml:space="preserve">eview </w:t>
            </w:r>
            <w:r w:rsidRPr="00730539">
              <w:rPr>
                <w:rFonts w:ascii="Arial" w:hAnsi="Arial" w:cs="Arial"/>
              </w:rPr>
              <w:t xml:space="preserve">is an assessment which can include interviews or reports from support workers and allied health professionals on your client’s needs. </w:t>
            </w:r>
          </w:p>
          <w:p w14:paraId="392DB5C1" w14:textId="0B420D0A" w:rsidR="00164D43" w:rsidRPr="00730539" w:rsidRDefault="00355E4A" w:rsidP="00090C1B">
            <w:pPr>
              <w:spacing w:before="120" w:after="120"/>
              <w:rPr>
                <w:rFonts w:ascii="Arial" w:hAnsi="Arial" w:cs="Arial"/>
              </w:rPr>
            </w:pPr>
            <w:r w:rsidRPr="00730539">
              <w:rPr>
                <w:rFonts w:ascii="Arial" w:hAnsi="Arial" w:cs="Arial"/>
              </w:rPr>
              <w:t xml:space="preserve">You must submit a copy of your client’s Annual Review to </w:t>
            </w:r>
            <w:hyperlink r:id="rId17" w:history="1">
              <w:r w:rsidR="00F23DA7" w:rsidRPr="00730539">
                <w:rPr>
                  <w:rStyle w:val="Hyperlink"/>
                  <w:rFonts w:cs="Arial"/>
                </w:rPr>
                <w:t>dsoacompliance@health.gov.au</w:t>
              </w:r>
            </w:hyperlink>
            <w:r w:rsidRPr="00730539">
              <w:rPr>
                <w:rFonts w:ascii="Arial" w:hAnsi="Arial" w:cs="Arial"/>
              </w:rPr>
              <w:t xml:space="preserve"> </w:t>
            </w:r>
            <w:r w:rsidR="00D24F8F" w:rsidRPr="00730539">
              <w:rPr>
                <w:rFonts w:ascii="Arial" w:hAnsi="Arial" w:cs="Arial"/>
              </w:rPr>
              <w:t>within 10 days of being completed.</w:t>
            </w:r>
          </w:p>
          <w:p w14:paraId="551FE491" w14:textId="395C38CD" w:rsidR="006B7E2F" w:rsidRPr="00730539" w:rsidRDefault="00164D43" w:rsidP="00090C1B">
            <w:pPr>
              <w:spacing w:before="120" w:after="120"/>
              <w:rPr>
                <w:rFonts w:ascii="Arial" w:hAnsi="Arial" w:cs="Arial"/>
              </w:rPr>
            </w:pPr>
            <w:r w:rsidRPr="00730539">
              <w:rPr>
                <w:rFonts w:ascii="Arial" w:hAnsi="Arial" w:cs="Arial"/>
              </w:rPr>
              <w:t>If the department does not have a current copy of your client’s Annual Review it may result in your quarterly payment being held or a delay in considering a Change of Need application.</w:t>
            </w:r>
          </w:p>
          <w:p w14:paraId="5ACD2E34" w14:textId="05BBC3BB" w:rsidR="005C58E4" w:rsidRPr="00730539" w:rsidRDefault="00525282" w:rsidP="00090C1B">
            <w:pPr>
              <w:spacing w:before="120" w:after="120"/>
              <w:rPr>
                <w:rFonts w:ascii="Arial" w:hAnsi="Arial" w:cs="Arial"/>
              </w:rPr>
            </w:pPr>
            <w:r w:rsidRPr="00730539">
              <w:rPr>
                <w:rFonts w:ascii="Arial" w:hAnsi="Arial" w:cs="Arial"/>
              </w:rPr>
              <w:t xml:space="preserve">Completing an Annual Review of your client’s needs can help reduce the risk of an incident occurring and will support a Change of Need application. </w:t>
            </w:r>
          </w:p>
        </w:tc>
      </w:tr>
      <w:tr w:rsidR="006B7E2F" w:rsidRPr="00730539" w14:paraId="3546FB75" w14:textId="77777777" w:rsidTr="00090C1B">
        <w:tc>
          <w:tcPr>
            <w:tcW w:w="1574" w:type="dxa"/>
          </w:tcPr>
          <w:p w14:paraId="45674169" w14:textId="24923965" w:rsidR="006B7E2F" w:rsidRPr="00730539" w:rsidRDefault="006B7E2F" w:rsidP="00090C1B">
            <w:pPr>
              <w:spacing w:before="120" w:after="120"/>
              <w:rPr>
                <w:rFonts w:ascii="Arial" w:hAnsi="Arial" w:cs="Arial"/>
              </w:rPr>
            </w:pPr>
            <w:r w:rsidRPr="00730539">
              <w:rPr>
                <w:rFonts w:ascii="Arial" w:hAnsi="Arial" w:cs="Arial"/>
              </w:rPr>
              <w:t xml:space="preserve">Performance </w:t>
            </w:r>
            <w:r w:rsidR="00DD7AD8">
              <w:rPr>
                <w:rFonts w:ascii="Arial" w:hAnsi="Arial" w:cs="Arial"/>
              </w:rPr>
              <w:t>r</w:t>
            </w:r>
            <w:r w:rsidR="00DD7AD8" w:rsidRPr="00730539">
              <w:rPr>
                <w:rFonts w:ascii="Arial" w:hAnsi="Arial" w:cs="Arial"/>
              </w:rPr>
              <w:t>eport</w:t>
            </w:r>
          </w:p>
        </w:tc>
        <w:tc>
          <w:tcPr>
            <w:tcW w:w="1403" w:type="dxa"/>
          </w:tcPr>
          <w:p w14:paraId="25453ED3" w14:textId="09EF1CEC" w:rsidR="006B7E2F" w:rsidRPr="00730539" w:rsidRDefault="001F2316" w:rsidP="00090C1B">
            <w:pPr>
              <w:spacing w:before="120" w:after="120"/>
              <w:rPr>
                <w:rFonts w:ascii="Arial" w:hAnsi="Arial" w:cs="Arial"/>
              </w:rPr>
            </w:pPr>
            <w:r>
              <w:rPr>
                <w:rFonts w:ascii="Arial" w:hAnsi="Arial" w:cs="Arial"/>
              </w:rPr>
              <w:t>Annually (</w:t>
            </w:r>
            <w:r w:rsidR="002D2BD2" w:rsidRPr="00730539">
              <w:rPr>
                <w:rFonts w:ascii="Arial" w:hAnsi="Arial" w:cs="Arial"/>
              </w:rPr>
              <w:t>31 August</w:t>
            </w:r>
            <w:r>
              <w:rPr>
                <w:rFonts w:ascii="Arial" w:hAnsi="Arial" w:cs="Arial"/>
              </w:rPr>
              <w:t>)</w:t>
            </w:r>
          </w:p>
        </w:tc>
        <w:tc>
          <w:tcPr>
            <w:tcW w:w="6237" w:type="dxa"/>
          </w:tcPr>
          <w:p w14:paraId="4F85CB43" w14:textId="7F536835" w:rsidR="00823EBE" w:rsidRPr="00730539" w:rsidRDefault="002D2BD2" w:rsidP="00090C1B">
            <w:pPr>
              <w:spacing w:before="120" w:after="120"/>
              <w:rPr>
                <w:rFonts w:ascii="Arial" w:hAnsi="Arial" w:cs="Arial"/>
              </w:rPr>
            </w:pPr>
            <w:r w:rsidRPr="00730539">
              <w:rPr>
                <w:rFonts w:ascii="Arial" w:hAnsi="Arial" w:cs="Arial"/>
              </w:rPr>
              <w:t xml:space="preserve">Your </w:t>
            </w:r>
            <w:r w:rsidR="001F2316">
              <w:rPr>
                <w:rFonts w:ascii="Arial" w:hAnsi="Arial" w:cs="Arial"/>
              </w:rPr>
              <w:t>p</w:t>
            </w:r>
            <w:r w:rsidR="001F2316" w:rsidRPr="00730539">
              <w:rPr>
                <w:rFonts w:ascii="Arial" w:hAnsi="Arial" w:cs="Arial"/>
              </w:rPr>
              <w:t xml:space="preserve">erformance </w:t>
            </w:r>
            <w:r w:rsidR="001F2316">
              <w:rPr>
                <w:rFonts w:ascii="Arial" w:hAnsi="Arial" w:cs="Arial"/>
              </w:rPr>
              <w:t>r</w:t>
            </w:r>
            <w:r w:rsidR="001F2316" w:rsidRPr="00730539">
              <w:rPr>
                <w:rFonts w:ascii="Arial" w:hAnsi="Arial" w:cs="Arial"/>
              </w:rPr>
              <w:t xml:space="preserve">eport </w:t>
            </w:r>
            <w:r w:rsidRPr="00730539">
              <w:rPr>
                <w:rFonts w:ascii="Arial" w:hAnsi="Arial" w:cs="Arial"/>
              </w:rPr>
              <w:t>is due 31 August</w:t>
            </w:r>
            <w:r w:rsidR="00956056" w:rsidRPr="00730539">
              <w:rPr>
                <w:rFonts w:ascii="Arial" w:hAnsi="Arial" w:cs="Arial"/>
              </w:rPr>
              <w:t xml:space="preserve"> each year.</w:t>
            </w:r>
          </w:p>
          <w:p w14:paraId="506E0BF0" w14:textId="77777777" w:rsidR="001F2316" w:rsidRDefault="00823EBE" w:rsidP="009145E8">
            <w:pPr>
              <w:spacing w:before="120" w:after="120"/>
              <w:rPr>
                <w:rFonts w:ascii="Arial" w:hAnsi="Arial" w:cs="Arial"/>
              </w:rPr>
            </w:pPr>
            <w:r w:rsidRPr="00730539">
              <w:rPr>
                <w:rFonts w:ascii="Arial" w:hAnsi="Arial" w:cs="Arial"/>
              </w:rPr>
              <w:t>Each line</w:t>
            </w:r>
            <w:r w:rsidR="00057694" w:rsidRPr="00730539">
              <w:rPr>
                <w:rFonts w:ascii="Arial" w:hAnsi="Arial" w:cs="Arial"/>
              </w:rPr>
              <w:t xml:space="preserve"> item</w:t>
            </w:r>
            <w:r w:rsidRPr="00730539">
              <w:rPr>
                <w:rFonts w:ascii="Arial" w:hAnsi="Arial" w:cs="Arial"/>
              </w:rPr>
              <w:t xml:space="preserve"> must </w:t>
            </w:r>
            <w:r w:rsidR="002154B0" w:rsidRPr="00730539">
              <w:rPr>
                <w:rFonts w:ascii="Arial" w:hAnsi="Arial" w:cs="Arial"/>
              </w:rPr>
              <w:t>have a comment</w:t>
            </w:r>
            <w:r w:rsidR="00F23DA7" w:rsidRPr="00730539">
              <w:rPr>
                <w:rFonts w:ascii="Arial" w:hAnsi="Arial" w:cs="Arial"/>
              </w:rPr>
              <w:t xml:space="preserve"> if you are reporting </w:t>
            </w:r>
            <w:r w:rsidR="00D24F8F" w:rsidRPr="00730539">
              <w:rPr>
                <w:rFonts w:ascii="Arial" w:hAnsi="Arial" w:cs="Arial"/>
              </w:rPr>
              <w:t xml:space="preserve">a delivery that is less than or exceeds 100% delivery for </w:t>
            </w:r>
            <w:r w:rsidR="00393436" w:rsidRPr="00730539">
              <w:rPr>
                <w:rFonts w:ascii="Arial" w:hAnsi="Arial" w:cs="Arial"/>
              </w:rPr>
              <w:t>that item</w:t>
            </w:r>
            <w:r w:rsidR="002E5895" w:rsidRPr="00730539">
              <w:rPr>
                <w:rFonts w:ascii="Arial" w:hAnsi="Arial" w:cs="Arial"/>
              </w:rPr>
              <w:t xml:space="preserve">. </w:t>
            </w:r>
            <w:r w:rsidR="00B41670" w:rsidRPr="00730539">
              <w:rPr>
                <w:rFonts w:ascii="Arial" w:hAnsi="Arial" w:cs="Arial"/>
              </w:rPr>
              <w:t>Comments can be repeated if applicable.</w:t>
            </w:r>
            <w:r w:rsidR="00002D5A" w:rsidRPr="00730539">
              <w:rPr>
                <w:rFonts w:ascii="Arial" w:hAnsi="Arial" w:cs="Arial"/>
              </w:rPr>
              <w:t xml:space="preserve"> </w:t>
            </w:r>
            <w:r w:rsidR="00057694" w:rsidRPr="00730539">
              <w:rPr>
                <w:rFonts w:ascii="Arial" w:hAnsi="Arial" w:cs="Arial"/>
              </w:rPr>
              <w:t xml:space="preserve"> </w:t>
            </w:r>
          </w:p>
          <w:p w14:paraId="3B9D3473" w14:textId="77FD720E" w:rsidR="00126C97" w:rsidRPr="00730539" w:rsidRDefault="00112FC1" w:rsidP="00090C1B">
            <w:pPr>
              <w:spacing w:before="120" w:after="120"/>
              <w:rPr>
                <w:rFonts w:ascii="Arial" w:hAnsi="Arial" w:cs="Arial"/>
              </w:rPr>
            </w:pPr>
            <w:r w:rsidRPr="00730539">
              <w:rPr>
                <w:rFonts w:ascii="Arial" w:hAnsi="Arial" w:cs="Arial"/>
              </w:rPr>
              <w:t xml:space="preserve">Your </w:t>
            </w:r>
            <w:r w:rsidR="001F2316">
              <w:rPr>
                <w:rFonts w:ascii="Arial" w:hAnsi="Arial" w:cs="Arial"/>
              </w:rPr>
              <w:t>p</w:t>
            </w:r>
            <w:r w:rsidR="001F2316" w:rsidRPr="00730539">
              <w:rPr>
                <w:rFonts w:ascii="Arial" w:hAnsi="Arial" w:cs="Arial"/>
              </w:rPr>
              <w:t xml:space="preserve">erformance </w:t>
            </w:r>
            <w:r w:rsidR="001F2316">
              <w:rPr>
                <w:rFonts w:ascii="Arial" w:hAnsi="Arial" w:cs="Arial"/>
              </w:rPr>
              <w:t>r</w:t>
            </w:r>
            <w:r w:rsidR="001F2316" w:rsidRPr="00730539">
              <w:rPr>
                <w:rFonts w:ascii="Arial" w:hAnsi="Arial" w:cs="Arial"/>
              </w:rPr>
              <w:t xml:space="preserve">eport </w:t>
            </w:r>
            <w:r w:rsidRPr="00730539">
              <w:rPr>
                <w:rFonts w:ascii="Arial" w:hAnsi="Arial" w:cs="Arial"/>
              </w:rPr>
              <w:t xml:space="preserve">will be reconciled against your </w:t>
            </w:r>
            <w:r w:rsidR="001F2316">
              <w:rPr>
                <w:rFonts w:ascii="Arial" w:hAnsi="Arial" w:cs="Arial"/>
              </w:rPr>
              <w:t>a</w:t>
            </w:r>
            <w:r w:rsidR="001F2316" w:rsidRPr="00730539">
              <w:rPr>
                <w:rFonts w:ascii="Arial" w:hAnsi="Arial" w:cs="Arial"/>
              </w:rPr>
              <w:t xml:space="preserve">cquittal </w:t>
            </w:r>
            <w:r w:rsidR="001F2316">
              <w:rPr>
                <w:rFonts w:ascii="Arial" w:hAnsi="Arial" w:cs="Arial"/>
              </w:rPr>
              <w:t>r</w:t>
            </w:r>
            <w:r w:rsidR="001F2316" w:rsidRPr="00730539">
              <w:rPr>
                <w:rFonts w:ascii="Arial" w:hAnsi="Arial" w:cs="Arial"/>
              </w:rPr>
              <w:t>eport</w:t>
            </w:r>
            <w:r w:rsidRPr="00730539">
              <w:rPr>
                <w:rFonts w:ascii="Arial" w:hAnsi="Arial" w:cs="Arial"/>
              </w:rPr>
              <w:t>.</w:t>
            </w:r>
          </w:p>
          <w:p w14:paraId="572CF480" w14:textId="1E014D82" w:rsidR="00126C97" w:rsidRPr="00730539" w:rsidRDefault="00126C97" w:rsidP="00090C1B">
            <w:pPr>
              <w:spacing w:before="120" w:after="120"/>
              <w:rPr>
                <w:rFonts w:ascii="Arial" w:hAnsi="Arial" w:cs="Arial"/>
              </w:rPr>
            </w:pPr>
            <w:r w:rsidRPr="00730539">
              <w:rPr>
                <w:rFonts w:ascii="Arial" w:hAnsi="Arial" w:cs="Arial"/>
              </w:rPr>
              <w:t xml:space="preserve">Performance </w:t>
            </w:r>
            <w:r w:rsidR="001F2316">
              <w:rPr>
                <w:rFonts w:ascii="Arial" w:hAnsi="Arial" w:cs="Arial"/>
              </w:rPr>
              <w:t>r</w:t>
            </w:r>
            <w:r w:rsidR="001F2316" w:rsidRPr="00730539">
              <w:rPr>
                <w:rFonts w:ascii="Arial" w:hAnsi="Arial" w:cs="Arial"/>
              </w:rPr>
              <w:t xml:space="preserve">eports </w:t>
            </w:r>
            <w:r w:rsidR="00D24F8F" w:rsidRPr="00730539">
              <w:rPr>
                <w:rFonts w:ascii="Arial" w:hAnsi="Arial" w:cs="Arial"/>
              </w:rPr>
              <w:t xml:space="preserve">must </w:t>
            </w:r>
            <w:r w:rsidRPr="00730539">
              <w:rPr>
                <w:rFonts w:ascii="Arial" w:hAnsi="Arial" w:cs="Arial"/>
              </w:rPr>
              <w:t>be submitted to your Funding Arrangement Manager.</w:t>
            </w:r>
          </w:p>
          <w:p w14:paraId="6C87EAC8" w14:textId="6D042A02" w:rsidR="00126C97" w:rsidRPr="00730539" w:rsidRDefault="00BA10CE" w:rsidP="00090C1B">
            <w:pPr>
              <w:spacing w:before="120" w:after="120"/>
              <w:rPr>
                <w:rFonts w:ascii="Arial" w:hAnsi="Arial" w:cs="Arial"/>
              </w:rPr>
            </w:pPr>
            <w:r w:rsidRPr="00730539">
              <w:rPr>
                <w:rFonts w:ascii="Arial" w:hAnsi="Arial" w:cs="Arial"/>
              </w:rPr>
              <w:t>Your quarterly payment</w:t>
            </w:r>
            <w:r w:rsidR="005F1580" w:rsidRPr="00730539">
              <w:rPr>
                <w:rFonts w:ascii="Arial" w:hAnsi="Arial" w:cs="Arial"/>
              </w:rPr>
              <w:t xml:space="preserve"> may be held if you</w:t>
            </w:r>
            <w:r w:rsidR="00956056" w:rsidRPr="00730539">
              <w:rPr>
                <w:rFonts w:ascii="Arial" w:hAnsi="Arial" w:cs="Arial"/>
              </w:rPr>
              <w:t xml:space="preserve">r </w:t>
            </w:r>
            <w:r w:rsidR="001F2316">
              <w:rPr>
                <w:rFonts w:ascii="Arial" w:hAnsi="Arial" w:cs="Arial"/>
              </w:rPr>
              <w:t>p</w:t>
            </w:r>
            <w:r w:rsidR="001F2316" w:rsidRPr="00730539">
              <w:rPr>
                <w:rFonts w:ascii="Arial" w:hAnsi="Arial" w:cs="Arial"/>
              </w:rPr>
              <w:t xml:space="preserve">erformance </w:t>
            </w:r>
            <w:r w:rsidR="001F2316">
              <w:rPr>
                <w:rFonts w:ascii="Arial" w:hAnsi="Arial" w:cs="Arial"/>
              </w:rPr>
              <w:t>r</w:t>
            </w:r>
            <w:r w:rsidR="001F2316" w:rsidRPr="00730539">
              <w:rPr>
                <w:rFonts w:ascii="Arial" w:hAnsi="Arial" w:cs="Arial"/>
              </w:rPr>
              <w:t xml:space="preserve">eport </w:t>
            </w:r>
            <w:r w:rsidR="00956056" w:rsidRPr="00730539">
              <w:rPr>
                <w:rFonts w:ascii="Arial" w:hAnsi="Arial" w:cs="Arial"/>
              </w:rPr>
              <w:t>is not submitted by 31 August.</w:t>
            </w:r>
          </w:p>
        </w:tc>
      </w:tr>
      <w:tr w:rsidR="008C2C46" w:rsidRPr="00730539" w14:paraId="21E55199" w14:textId="77777777" w:rsidTr="00090C1B">
        <w:tc>
          <w:tcPr>
            <w:tcW w:w="1574" w:type="dxa"/>
          </w:tcPr>
          <w:p w14:paraId="0A9401BE" w14:textId="4AA13FDA" w:rsidR="008C2C46" w:rsidRPr="00730539" w:rsidRDefault="00CE7667" w:rsidP="00090C1B">
            <w:pPr>
              <w:spacing w:before="120" w:after="120"/>
              <w:rPr>
                <w:rFonts w:ascii="Arial" w:hAnsi="Arial" w:cs="Arial"/>
              </w:rPr>
            </w:pPr>
            <w:r w:rsidRPr="00730539">
              <w:rPr>
                <w:rFonts w:ascii="Arial" w:hAnsi="Arial" w:cs="Arial"/>
              </w:rPr>
              <w:t xml:space="preserve">Financial </w:t>
            </w:r>
            <w:r w:rsidR="00DD7AD8">
              <w:rPr>
                <w:rFonts w:ascii="Arial" w:hAnsi="Arial" w:cs="Arial"/>
              </w:rPr>
              <w:t>a</w:t>
            </w:r>
            <w:r w:rsidR="00DD7AD8" w:rsidRPr="00730539">
              <w:rPr>
                <w:rFonts w:ascii="Arial" w:hAnsi="Arial" w:cs="Arial"/>
              </w:rPr>
              <w:t xml:space="preserve">cquittal </w:t>
            </w:r>
            <w:r w:rsidR="00DD7AD8">
              <w:rPr>
                <w:rFonts w:ascii="Arial" w:hAnsi="Arial" w:cs="Arial"/>
              </w:rPr>
              <w:t>r</w:t>
            </w:r>
            <w:r w:rsidR="00DD7AD8" w:rsidRPr="00730539">
              <w:rPr>
                <w:rFonts w:ascii="Arial" w:hAnsi="Arial" w:cs="Arial"/>
              </w:rPr>
              <w:t>eport</w:t>
            </w:r>
          </w:p>
        </w:tc>
        <w:tc>
          <w:tcPr>
            <w:tcW w:w="1403" w:type="dxa"/>
          </w:tcPr>
          <w:p w14:paraId="6B139A95" w14:textId="7D96924D" w:rsidR="008C2C46" w:rsidRPr="00730539" w:rsidRDefault="001F2316" w:rsidP="00090C1B">
            <w:pPr>
              <w:spacing w:before="120" w:after="120"/>
              <w:rPr>
                <w:rFonts w:ascii="Arial" w:hAnsi="Arial" w:cs="Arial"/>
              </w:rPr>
            </w:pPr>
            <w:r>
              <w:rPr>
                <w:rFonts w:ascii="Arial" w:hAnsi="Arial" w:cs="Arial"/>
              </w:rPr>
              <w:t>Annually (</w:t>
            </w:r>
            <w:r w:rsidR="008C2C46" w:rsidRPr="00730539">
              <w:rPr>
                <w:rFonts w:ascii="Arial" w:hAnsi="Arial" w:cs="Arial"/>
              </w:rPr>
              <w:t>31 August</w:t>
            </w:r>
            <w:r>
              <w:rPr>
                <w:rFonts w:ascii="Arial" w:hAnsi="Arial" w:cs="Arial"/>
              </w:rPr>
              <w:t>)</w:t>
            </w:r>
          </w:p>
        </w:tc>
        <w:tc>
          <w:tcPr>
            <w:tcW w:w="6237" w:type="dxa"/>
          </w:tcPr>
          <w:p w14:paraId="776FD75D" w14:textId="31573D74" w:rsidR="00733E88" w:rsidRPr="00730539" w:rsidRDefault="008C2C46" w:rsidP="00090C1B">
            <w:pPr>
              <w:spacing w:before="120" w:after="120"/>
              <w:rPr>
                <w:rFonts w:ascii="Arial" w:hAnsi="Arial" w:cs="Arial"/>
              </w:rPr>
            </w:pPr>
            <w:r w:rsidRPr="00730539">
              <w:rPr>
                <w:rFonts w:ascii="Arial" w:hAnsi="Arial" w:cs="Arial"/>
              </w:rPr>
              <w:t xml:space="preserve">Your </w:t>
            </w:r>
            <w:r w:rsidR="00CE7667" w:rsidRPr="00730539">
              <w:rPr>
                <w:rFonts w:ascii="Arial" w:hAnsi="Arial" w:cs="Arial"/>
              </w:rPr>
              <w:t xml:space="preserve">financial </w:t>
            </w:r>
            <w:r w:rsidR="001F2316">
              <w:rPr>
                <w:rFonts w:ascii="Arial" w:hAnsi="Arial" w:cs="Arial"/>
              </w:rPr>
              <w:t>a</w:t>
            </w:r>
            <w:r w:rsidR="001F2316" w:rsidRPr="00730539">
              <w:rPr>
                <w:rFonts w:ascii="Arial" w:hAnsi="Arial" w:cs="Arial"/>
              </w:rPr>
              <w:t xml:space="preserve">cquittal </w:t>
            </w:r>
            <w:r w:rsidR="001F2316">
              <w:rPr>
                <w:rFonts w:ascii="Arial" w:hAnsi="Arial" w:cs="Arial"/>
              </w:rPr>
              <w:t>r</w:t>
            </w:r>
            <w:r w:rsidR="001F2316" w:rsidRPr="00730539">
              <w:rPr>
                <w:rFonts w:ascii="Arial" w:hAnsi="Arial" w:cs="Arial"/>
              </w:rPr>
              <w:t xml:space="preserve">eport </w:t>
            </w:r>
            <w:r w:rsidRPr="00730539">
              <w:rPr>
                <w:rFonts w:ascii="Arial" w:hAnsi="Arial" w:cs="Arial"/>
              </w:rPr>
              <w:t>is due 31 August each year.</w:t>
            </w:r>
          </w:p>
          <w:p w14:paraId="7804843D" w14:textId="4491BAC3" w:rsidR="00733E88" w:rsidRPr="00730539" w:rsidRDefault="00733E88" w:rsidP="00090C1B">
            <w:pPr>
              <w:spacing w:before="120" w:after="120"/>
              <w:rPr>
                <w:rFonts w:ascii="Arial" w:hAnsi="Arial" w:cs="Arial"/>
              </w:rPr>
            </w:pPr>
            <w:r w:rsidRPr="00730539">
              <w:rPr>
                <w:rFonts w:ascii="Arial" w:hAnsi="Arial" w:cs="Arial"/>
              </w:rPr>
              <w:t xml:space="preserve">Acquittal </w:t>
            </w:r>
            <w:r w:rsidR="001F2316">
              <w:rPr>
                <w:rFonts w:ascii="Arial" w:hAnsi="Arial" w:cs="Arial"/>
              </w:rPr>
              <w:t>r</w:t>
            </w:r>
            <w:r w:rsidR="001F2316" w:rsidRPr="00730539">
              <w:rPr>
                <w:rFonts w:ascii="Arial" w:hAnsi="Arial" w:cs="Arial"/>
              </w:rPr>
              <w:t xml:space="preserve">eports </w:t>
            </w:r>
            <w:r w:rsidRPr="00730539">
              <w:rPr>
                <w:rFonts w:ascii="Arial" w:hAnsi="Arial" w:cs="Arial"/>
              </w:rPr>
              <w:t xml:space="preserve">should be submitted to </w:t>
            </w:r>
            <w:hyperlink r:id="rId18" w:history="1">
              <w:r w:rsidR="00451491" w:rsidRPr="00730539">
                <w:rPr>
                  <w:rStyle w:val="Hyperlink"/>
                  <w:rFonts w:cs="Arial"/>
                </w:rPr>
                <w:t>doh.acquittals@communitygrants.gov.au</w:t>
              </w:r>
            </w:hyperlink>
            <w:r w:rsidR="00451491" w:rsidRPr="00730539">
              <w:rPr>
                <w:rFonts w:ascii="Arial" w:hAnsi="Arial" w:cs="Arial"/>
              </w:rPr>
              <w:t xml:space="preserve"> </w:t>
            </w:r>
          </w:p>
          <w:p w14:paraId="6AE6E339" w14:textId="106DB448" w:rsidR="00697E6B" w:rsidRPr="00730539" w:rsidRDefault="00D24F8F" w:rsidP="00090C1B">
            <w:pPr>
              <w:spacing w:before="120" w:after="120"/>
              <w:rPr>
                <w:rFonts w:ascii="Arial" w:hAnsi="Arial" w:cs="Arial"/>
              </w:rPr>
            </w:pPr>
            <w:r w:rsidRPr="00730539">
              <w:rPr>
                <w:rFonts w:ascii="Arial" w:hAnsi="Arial" w:cs="Arial"/>
              </w:rPr>
              <w:t>All u</w:t>
            </w:r>
            <w:r w:rsidR="00697E6B" w:rsidRPr="00730539">
              <w:rPr>
                <w:rFonts w:ascii="Arial" w:hAnsi="Arial" w:cs="Arial"/>
              </w:rPr>
              <w:t>nspent funds must be declared and will need to be repaid</w:t>
            </w:r>
            <w:r w:rsidR="00393436" w:rsidRPr="00730539">
              <w:rPr>
                <w:rFonts w:ascii="Arial" w:hAnsi="Arial" w:cs="Arial"/>
              </w:rPr>
              <w:t xml:space="preserve"> to the department, DSOA Service </w:t>
            </w:r>
            <w:r w:rsidRPr="00730539">
              <w:rPr>
                <w:rFonts w:ascii="Arial" w:hAnsi="Arial" w:cs="Arial"/>
              </w:rPr>
              <w:t>coordinators</w:t>
            </w:r>
            <w:r w:rsidR="00393436" w:rsidRPr="00730539">
              <w:rPr>
                <w:rFonts w:ascii="Arial" w:hAnsi="Arial" w:cs="Arial"/>
              </w:rPr>
              <w:t xml:space="preserve"> must quarantine all unspent funds reported, so that funds are available to repay to the department</w:t>
            </w:r>
            <w:r w:rsidR="00697E6B" w:rsidRPr="00730539">
              <w:rPr>
                <w:rFonts w:ascii="Arial" w:hAnsi="Arial" w:cs="Arial"/>
              </w:rPr>
              <w:t xml:space="preserve">. </w:t>
            </w:r>
          </w:p>
          <w:p w14:paraId="3B70A2C3" w14:textId="06A6359C" w:rsidR="008C2C46" w:rsidRPr="00730539" w:rsidRDefault="008C2C46" w:rsidP="00090C1B">
            <w:pPr>
              <w:spacing w:before="120" w:after="120"/>
              <w:rPr>
                <w:rFonts w:ascii="Arial" w:hAnsi="Arial" w:cs="Arial"/>
              </w:rPr>
            </w:pPr>
            <w:r w:rsidRPr="00730539">
              <w:rPr>
                <w:rFonts w:ascii="Arial" w:hAnsi="Arial" w:cs="Arial"/>
              </w:rPr>
              <w:t xml:space="preserve">Your </w:t>
            </w:r>
            <w:r w:rsidR="001F2316">
              <w:rPr>
                <w:rFonts w:ascii="Arial" w:hAnsi="Arial" w:cs="Arial"/>
              </w:rPr>
              <w:t>a</w:t>
            </w:r>
            <w:r w:rsidR="001F2316" w:rsidRPr="00730539">
              <w:rPr>
                <w:rFonts w:ascii="Arial" w:hAnsi="Arial" w:cs="Arial"/>
              </w:rPr>
              <w:t xml:space="preserve">cquittal </w:t>
            </w:r>
            <w:r w:rsidR="001F2316">
              <w:rPr>
                <w:rFonts w:ascii="Arial" w:hAnsi="Arial" w:cs="Arial"/>
              </w:rPr>
              <w:t>r</w:t>
            </w:r>
            <w:r w:rsidR="001F2316" w:rsidRPr="00730539">
              <w:rPr>
                <w:rFonts w:ascii="Arial" w:hAnsi="Arial" w:cs="Arial"/>
              </w:rPr>
              <w:t xml:space="preserve">eport </w:t>
            </w:r>
            <w:r w:rsidRPr="00730539">
              <w:rPr>
                <w:rFonts w:ascii="Arial" w:hAnsi="Arial" w:cs="Arial"/>
              </w:rPr>
              <w:t xml:space="preserve">will be reconciled against your </w:t>
            </w:r>
            <w:r w:rsidR="001F2316">
              <w:rPr>
                <w:rFonts w:ascii="Arial" w:hAnsi="Arial" w:cs="Arial"/>
              </w:rPr>
              <w:t>p</w:t>
            </w:r>
            <w:r w:rsidR="001F2316" w:rsidRPr="00730539">
              <w:rPr>
                <w:rFonts w:ascii="Arial" w:hAnsi="Arial" w:cs="Arial"/>
              </w:rPr>
              <w:t xml:space="preserve">erformance </w:t>
            </w:r>
            <w:r w:rsidR="001F2316">
              <w:rPr>
                <w:rFonts w:ascii="Arial" w:hAnsi="Arial" w:cs="Arial"/>
              </w:rPr>
              <w:t>r</w:t>
            </w:r>
            <w:r w:rsidR="001F2316" w:rsidRPr="00730539">
              <w:rPr>
                <w:rFonts w:ascii="Arial" w:hAnsi="Arial" w:cs="Arial"/>
              </w:rPr>
              <w:t>eport</w:t>
            </w:r>
            <w:r w:rsidRPr="00730539">
              <w:rPr>
                <w:rFonts w:ascii="Arial" w:hAnsi="Arial" w:cs="Arial"/>
              </w:rPr>
              <w:t>.</w:t>
            </w:r>
          </w:p>
          <w:p w14:paraId="6A1E27AF" w14:textId="381F5118" w:rsidR="008C2C46" w:rsidRPr="00730539" w:rsidRDefault="008C2C46" w:rsidP="00090C1B">
            <w:pPr>
              <w:spacing w:before="120" w:after="120"/>
              <w:rPr>
                <w:rFonts w:ascii="Arial" w:hAnsi="Arial" w:cs="Arial"/>
              </w:rPr>
            </w:pPr>
            <w:r w:rsidRPr="00730539">
              <w:rPr>
                <w:rFonts w:ascii="Arial" w:hAnsi="Arial" w:cs="Arial"/>
              </w:rPr>
              <w:t xml:space="preserve">Your quarterly payment may be held if your </w:t>
            </w:r>
            <w:r w:rsidR="001F2316">
              <w:rPr>
                <w:rFonts w:ascii="Arial" w:hAnsi="Arial" w:cs="Arial"/>
              </w:rPr>
              <w:t>a</w:t>
            </w:r>
            <w:r w:rsidR="001F2316" w:rsidRPr="00730539">
              <w:rPr>
                <w:rFonts w:ascii="Arial" w:hAnsi="Arial" w:cs="Arial"/>
              </w:rPr>
              <w:t xml:space="preserve">cquittal </w:t>
            </w:r>
            <w:r w:rsidR="001F2316">
              <w:rPr>
                <w:rFonts w:ascii="Arial" w:hAnsi="Arial" w:cs="Arial"/>
              </w:rPr>
              <w:t>r</w:t>
            </w:r>
            <w:r w:rsidR="001F2316" w:rsidRPr="00730539">
              <w:rPr>
                <w:rFonts w:ascii="Arial" w:hAnsi="Arial" w:cs="Arial"/>
              </w:rPr>
              <w:t xml:space="preserve">eport </w:t>
            </w:r>
            <w:r w:rsidRPr="00730539">
              <w:rPr>
                <w:rFonts w:ascii="Arial" w:hAnsi="Arial" w:cs="Arial"/>
              </w:rPr>
              <w:t>is not submitted by 31 August.</w:t>
            </w:r>
          </w:p>
        </w:tc>
      </w:tr>
    </w:tbl>
    <w:p w14:paraId="562AEA25" w14:textId="354D1227" w:rsidR="000D1BA4" w:rsidRPr="00730539" w:rsidRDefault="000D1BA4" w:rsidP="00845DB7">
      <w:pPr>
        <w:ind w:left="714" w:hanging="357"/>
        <w:rPr>
          <w:rFonts w:ascii="Arial" w:hAnsi="Arial" w:cs="Arial"/>
          <w:i/>
          <w:iCs/>
        </w:rPr>
      </w:pPr>
      <w:r w:rsidRPr="00730539">
        <w:rPr>
          <w:rFonts w:ascii="Arial" w:hAnsi="Arial" w:cs="Arial"/>
          <w:i/>
          <w:iCs/>
        </w:rPr>
        <w:t xml:space="preserve"> </w:t>
      </w:r>
    </w:p>
    <w:p w14:paraId="1F6319FD" w14:textId="47B1816B" w:rsidR="00BA7AD7" w:rsidRPr="00730539" w:rsidRDefault="00BB2DF3" w:rsidP="00E915A8">
      <w:pPr>
        <w:pStyle w:val="Heading3"/>
      </w:pPr>
      <w:r w:rsidRPr="00730539">
        <w:lastRenderedPageBreak/>
        <w:t>Why hasn’t m</w:t>
      </w:r>
      <w:r w:rsidR="006A1012" w:rsidRPr="00730539">
        <w:t xml:space="preserve">y client’s DSOA funding increased </w:t>
      </w:r>
      <w:r w:rsidRPr="00730539">
        <w:t>with the July 2024 indexation</w:t>
      </w:r>
      <w:r w:rsidR="001F2316">
        <w:t>? W</w:t>
      </w:r>
      <w:r w:rsidR="00393436" w:rsidRPr="00730539">
        <w:t>hich service types did not have a price increase in July 2024</w:t>
      </w:r>
      <w:r w:rsidRPr="00730539">
        <w:t>?</w:t>
      </w:r>
    </w:p>
    <w:p w14:paraId="37E8C68B" w14:textId="14DA53FD" w:rsidR="00BA7AD7" w:rsidRPr="00730539" w:rsidRDefault="00320D73" w:rsidP="002E1AAA">
      <w:pPr>
        <w:pStyle w:val="ListBullet"/>
        <w:rPr>
          <w:rFonts w:cs="Arial"/>
        </w:rPr>
      </w:pPr>
      <w:r w:rsidRPr="00730539">
        <w:rPr>
          <w:rFonts w:cs="Arial"/>
        </w:rPr>
        <w:t xml:space="preserve">Please refer to the </w:t>
      </w:r>
      <w:hyperlink r:id="rId19" w:history="1">
        <w:r w:rsidR="001F2316" w:rsidRPr="00090C1B">
          <w:rPr>
            <w:rStyle w:val="Hyperlink"/>
          </w:rPr>
          <w:t>July 2024 issue of the DSOA Community Newsletter</w:t>
        </w:r>
      </w:hyperlink>
      <w:r w:rsidR="00653460" w:rsidRPr="00730539">
        <w:rPr>
          <w:rFonts w:cs="Arial"/>
        </w:rPr>
        <w:t xml:space="preserve"> for information on </w:t>
      </w:r>
      <w:r w:rsidR="00F22F9A" w:rsidRPr="00730539">
        <w:rPr>
          <w:rFonts w:cs="Arial"/>
        </w:rPr>
        <w:t xml:space="preserve">which service types </w:t>
      </w:r>
      <w:r w:rsidR="0091017B" w:rsidRPr="00730539">
        <w:rPr>
          <w:rFonts w:cs="Arial"/>
        </w:rPr>
        <w:t>had a price increase</w:t>
      </w:r>
      <w:r w:rsidR="009C582D" w:rsidRPr="00730539">
        <w:rPr>
          <w:rFonts w:cs="Arial"/>
        </w:rPr>
        <w:t xml:space="preserve"> this financial year</w:t>
      </w:r>
      <w:r w:rsidR="00BA7AD7" w:rsidRPr="00730539">
        <w:rPr>
          <w:rFonts w:cs="Arial"/>
        </w:rPr>
        <w:t>.</w:t>
      </w:r>
    </w:p>
    <w:p w14:paraId="5F8ADB4D" w14:textId="77777777" w:rsidR="001F2316" w:rsidRDefault="00A47334" w:rsidP="002E1AAA">
      <w:pPr>
        <w:pStyle w:val="ListBullet"/>
      </w:pPr>
      <w:r w:rsidRPr="00730539">
        <w:t xml:space="preserve">Clients who are funded for Extended </w:t>
      </w:r>
      <w:r w:rsidR="001F2316">
        <w:t>Continuity of Support (</w:t>
      </w:r>
      <w:proofErr w:type="spellStart"/>
      <w:r w:rsidRPr="00730539">
        <w:t>CoS</w:t>
      </w:r>
      <w:proofErr w:type="spellEnd"/>
      <w:r w:rsidR="001F2316">
        <w:t>)</w:t>
      </w:r>
      <w:r w:rsidRPr="00730539">
        <w:t xml:space="preserve"> services only</w:t>
      </w:r>
      <w:r w:rsidR="00FA7630" w:rsidRPr="00730539">
        <w:t xml:space="preserve"> </w:t>
      </w:r>
      <w:r w:rsidR="00F97B44" w:rsidRPr="00730539">
        <w:t xml:space="preserve">are not subject to indexation. </w:t>
      </w:r>
    </w:p>
    <w:p w14:paraId="30C1FC3E" w14:textId="416921B2" w:rsidR="00A47334" w:rsidRPr="00730539" w:rsidRDefault="00F97B44" w:rsidP="002E1AAA">
      <w:pPr>
        <w:pStyle w:val="ListBullet2"/>
      </w:pPr>
      <w:r w:rsidRPr="00730539">
        <w:t xml:space="preserve">Extended </w:t>
      </w:r>
      <w:proofErr w:type="spellStart"/>
      <w:r w:rsidRPr="00730539">
        <w:t>CoS</w:t>
      </w:r>
      <w:proofErr w:type="spellEnd"/>
      <w:r w:rsidRPr="00730539">
        <w:t xml:space="preserve"> services is a grandfathered </w:t>
      </w:r>
      <w:proofErr w:type="gramStart"/>
      <w:r w:rsidR="008A2A1D" w:rsidRPr="00730539">
        <w:t>service</w:t>
      </w:r>
      <w:proofErr w:type="gramEnd"/>
      <w:r w:rsidR="006A2F6A">
        <w:t xml:space="preserve"> so</w:t>
      </w:r>
      <w:r w:rsidR="008A2A1D" w:rsidRPr="00730539">
        <w:t xml:space="preserve"> funding </w:t>
      </w:r>
      <w:r w:rsidR="002B44C2" w:rsidRPr="00730539">
        <w:t>remain</w:t>
      </w:r>
      <w:r w:rsidR="001F2316">
        <w:t>s</w:t>
      </w:r>
      <w:r w:rsidR="002B44C2" w:rsidRPr="00730539">
        <w:t xml:space="preserve"> at the </w:t>
      </w:r>
      <w:r w:rsidR="001F2316">
        <w:t xml:space="preserve">same </w:t>
      </w:r>
      <w:r w:rsidR="002B44C2" w:rsidRPr="00730539">
        <w:t xml:space="preserve">level </w:t>
      </w:r>
      <w:r w:rsidR="00090C1B">
        <w:t>from</w:t>
      </w:r>
      <w:r w:rsidR="001F2316" w:rsidRPr="00730539">
        <w:t xml:space="preserve"> </w:t>
      </w:r>
      <w:r w:rsidR="002B44C2" w:rsidRPr="00730539">
        <w:t>the commencement of the DSOA Program 1 July 2021.</w:t>
      </w:r>
    </w:p>
    <w:p w14:paraId="733B0EAA" w14:textId="18792DD6" w:rsidR="006A2F6A" w:rsidRDefault="008D5FD3" w:rsidP="002E1AAA">
      <w:pPr>
        <w:pStyle w:val="ListBullet"/>
      </w:pPr>
      <w:r w:rsidRPr="00730539">
        <w:t xml:space="preserve">DSOA </w:t>
      </w:r>
      <w:r w:rsidR="001F2316">
        <w:t>g</w:t>
      </w:r>
      <w:r w:rsidR="001F2316" w:rsidRPr="00730539">
        <w:t xml:space="preserve">ap </w:t>
      </w:r>
      <w:r w:rsidR="001F2316">
        <w:t>f</w:t>
      </w:r>
      <w:r w:rsidR="001F2316" w:rsidRPr="00730539">
        <w:t xml:space="preserve">unding </w:t>
      </w:r>
      <w:r w:rsidRPr="00730539">
        <w:t xml:space="preserve">is </w:t>
      </w:r>
      <w:r w:rsidR="0050634F" w:rsidRPr="00730539">
        <w:t>not subject to indexation.</w:t>
      </w:r>
      <w:r w:rsidR="003F2B86" w:rsidRPr="00730539">
        <w:t xml:space="preserve"> </w:t>
      </w:r>
    </w:p>
    <w:p w14:paraId="18FCB391" w14:textId="5BC22CB9" w:rsidR="000D0958" w:rsidRPr="00730539" w:rsidRDefault="00897459" w:rsidP="002E1AAA">
      <w:pPr>
        <w:pStyle w:val="ListBullet2"/>
      </w:pPr>
      <w:r w:rsidRPr="00730539">
        <w:t xml:space="preserve">Any additional funding </w:t>
      </w:r>
      <w:r w:rsidR="009C582D" w:rsidRPr="00730539">
        <w:t xml:space="preserve">the client receives </w:t>
      </w:r>
      <w:r w:rsidRPr="00730539">
        <w:t>such as indexation</w:t>
      </w:r>
      <w:r w:rsidR="009C582D" w:rsidRPr="00730539">
        <w:t xml:space="preserve"> or a</w:t>
      </w:r>
      <w:r w:rsidR="00E8294F" w:rsidRPr="00730539">
        <w:t>n approved</w:t>
      </w:r>
      <w:r w:rsidR="009C582D" w:rsidRPr="00730539">
        <w:t xml:space="preserve"> </w:t>
      </w:r>
      <w:r w:rsidR="006A2F6A">
        <w:t>C</w:t>
      </w:r>
      <w:r w:rsidR="006A2F6A" w:rsidRPr="00730539">
        <w:t xml:space="preserve">hange </w:t>
      </w:r>
      <w:r w:rsidR="009C582D" w:rsidRPr="00730539">
        <w:t xml:space="preserve">of </w:t>
      </w:r>
      <w:r w:rsidR="006A2F6A">
        <w:t>N</w:t>
      </w:r>
      <w:r w:rsidR="006A2F6A" w:rsidRPr="00730539">
        <w:t xml:space="preserve">eeds </w:t>
      </w:r>
      <w:r w:rsidR="009C582D" w:rsidRPr="00730539">
        <w:t>application</w:t>
      </w:r>
      <w:r w:rsidRPr="00730539">
        <w:t xml:space="preserve"> will be deducted from DSOA </w:t>
      </w:r>
      <w:r w:rsidR="001F2316">
        <w:t>g</w:t>
      </w:r>
      <w:r w:rsidR="001F2316" w:rsidRPr="00730539">
        <w:t xml:space="preserve">ap </w:t>
      </w:r>
      <w:r w:rsidR="001F2316">
        <w:t>f</w:t>
      </w:r>
      <w:r w:rsidR="001F2316" w:rsidRPr="00730539">
        <w:t>unding</w:t>
      </w:r>
      <w:r w:rsidR="00C77CBA" w:rsidRPr="00730539">
        <w:t>.</w:t>
      </w:r>
    </w:p>
    <w:p w14:paraId="644B5380" w14:textId="5D9E2AC5" w:rsidR="00BA7AD7" w:rsidRPr="00730539" w:rsidRDefault="00BA7AD7" w:rsidP="00E915A8">
      <w:pPr>
        <w:pStyle w:val="Heading3"/>
      </w:pPr>
      <w:r w:rsidRPr="00730539">
        <w:t xml:space="preserve">Can unpent DSOA funding be carried into the next financial year? </w:t>
      </w:r>
    </w:p>
    <w:p w14:paraId="133CD0C5" w14:textId="7F3F10F0" w:rsidR="00730539" w:rsidRPr="00730539" w:rsidRDefault="00393436" w:rsidP="002E1AAA">
      <w:pPr>
        <w:pStyle w:val="ListBullet"/>
      </w:pPr>
      <w:r w:rsidRPr="00730539">
        <w:t>All u</w:t>
      </w:r>
      <w:r w:rsidR="00BA7AD7" w:rsidRPr="00730539">
        <w:t xml:space="preserve">nspent DSOA funding will need to be </w:t>
      </w:r>
      <w:r w:rsidRPr="00730539">
        <w:t xml:space="preserve">declared in your acquittal and performance report and </w:t>
      </w:r>
      <w:r w:rsidR="00BA7AD7" w:rsidRPr="00730539">
        <w:t xml:space="preserve">repaid </w:t>
      </w:r>
      <w:r w:rsidRPr="00730539">
        <w:t xml:space="preserve">to the department, this includes DSOA </w:t>
      </w:r>
      <w:r w:rsidR="006A2F6A">
        <w:t>g</w:t>
      </w:r>
      <w:r w:rsidR="006A2F6A" w:rsidRPr="00730539">
        <w:t xml:space="preserve">ap </w:t>
      </w:r>
      <w:r w:rsidRPr="00730539">
        <w:t>funding</w:t>
      </w:r>
      <w:r w:rsidR="00B21980" w:rsidRPr="00730539">
        <w:t xml:space="preserve">.  </w:t>
      </w:r>
    </w:p>
    <w:p w14:paraId="63FADB67" w14:textId="31B1F626" w:rsidR="006427AB" w:rsidRPr="00730539" w:rsidRDefault="00B21980" w:rsidP="002E1AAA">
      <w:pPr>
        <w:pStyle w:val="ListBullet"/>
      </w:pPr>
      <w:r w:rsidRPr="00730539">
        <w:t>No unspent funding can be carried over to future funding period</w:t>
      </w:r>
      <w:r w:rsidR="00D24F8F" w:rsidRPr="00730539">
        <w:t>s</w:t>
      </w:r>
      <w:r w:rsidRPr="00730539">
        <w:t>.</w:t>
      </w:r>
    </w:p>
    <w:p w14:paraId="664D4FB6" w14:textId="067C2743" w:rsidR="00712B21" w:rsidRPr="00730539" w:rsidRDefault="008B1587" w:rsidP="00E915A8">
      <w:pPr>
        <w:pStyle w:val="Heading3"/>
      </w:pPr>
      <w:r w:rsidRPr="00730539">
        <w:t xml:space="preserve">Can Extended </w:t>
      </w:r>
      <w:proofErr w:type="spellStart"/>
      <w:r w:rsidRPr="00730539">
        <w:t>CoS</w:t>
      </w:r>
      <w:proofErr w:type="spellEnd"/>
      <w:r w:rsidRPr="00730539">
        <w:t xml:space="preserve"> services funding be used for </w:t>
      </w:r>
      <w:proofErr w:type="spellStart"/>
      <w:proofErr w:type="gramStart"/>
      <w:r w:rsidR="00F774B5" w:rsidRPr="00730539">
        <w:t>non face-to-face</w:t>
      </w:r>
      <w:proofErr w:type="spellEnd"/>
      <w:proofErr w:type="gramEnd"/>
      <w:r w:rsidR="00F774B5" w:rsidRPr="00730539">
        <w:t xml:space="preserve"> supports</w:t>
      </w:r>
      <w:r w:rsidR="00712B21" w:rsidRPr="00730539">
        <w:t xml:space="preserve">? </w:t>
      </w:r>
    </w:p>
    <w:p w14:paraId="3EF7F26D" w14:textId="43741099" w:rsidR="00712B21" w:rsidRPr="00730539" w:rsidRDefault="0026394A" w:rsidP="002E1AAA">
      <w:pPr>
        <w:pStyle w:val="ListBullet"/>
      </w:pPr>
      <w:r w:rsidRPr="00730539">
        <w:t xml:space="preserve">Extended </w:t>
      </w:r>
      <w:proofErr w:type="spellStart"/>
      <w:r w:rsidRPr="00730539">
        <w:t>CoS</w:t>
      </w:r>
      <w:proofErr w:type="spellEnd"/>
      <w:r w:rsidRPr="00730539">
        <w:t xml:space="preserve"> services funding must be used for face-to</w:t>
      </w:r>
      <w:r w:rsidR="007F252C" w:rsidRPr="00730539">
        <w:t>-</w:t>
      </w:r>
      <w:r w:rsidRPr="00730539">
        <w:t>face supports</w:t>
      </w:r>
      <w:r w:rsidR="00712B21" w:rsidRPr="00730539">
        <w:t>.</w:t>
      </w:r>
    </w:p>
    <w:p w14:paraId="32970C38" w14:textId="79E3C572" w:rsidR="00DE6B11" w:rsidRPr="00730539" w:rsidRDefault="00DE6B11" w:rsidP="002E1AAA">
      <w:pPr>
        <w:pStyle w:val="Heading2"/>
        <w:numPr>
          <w:ilvl w:val="0"/>
          <w:numId w:val="15"/>
        </w:numPr>
      </w:pPr>
      <w:bookmarkStart w:id="4" w:name="_Change_of_Need"/>
      <w:bookmarkStart w:id="5" w:name="_Toc176875420"/>
      <w:bookmarkEnd w:id="4"/>
      <w:r w:rsidRPr="00730539">
        <w:t>Change of Need applications</w:t>
      </w:r>
      <w:bookmarkEnd w:id="5"/>
    </w:p>
    <w:p w14:paraId="67BC8414" w14:textId="3E5D74D6" w:rsidR="00DE6B11" w:rsidRPr="00730539" w:rsidRDefault="002B68B7" w:rsidP="00E915A8">
      <w:pPr>
        <w:pStyle w:val="Heading3"/>
      </w:pPr>
      <w:r w:rsidRPr="00730539">
        <w:t xml:space="preserve">Is there a maximum </w:t>
      </w:r>
      <w:r w:rsidR="00F62E86" w:rsidRPr="00730539">
        <w:t xml:space="preserve">funding </w:t>
      </w:r>
      <w:r w:rsidRPr="00730539">
        <w:t xml:space="preserve">amount </w:t>
      </w:r>
      <w:r w:rsidR="00680AD2" w:rsidRPr="00730539">
        <w:t>I can apply</w:t>
      </w:r>
      <w:r w:rsidR="00F62E86" w:rsidRPr="00730539">
        <w:t xml:space="preserve"> for</w:t>
      </w:r>
      <w:r w:rsidR="00680AD2" w:rsidRPr="00730539">
        <w:t xml:space="preserve"> in a Change of Need</w:t>
      </w:r>
      <w:r w:rsidR="006A2F6A">
        <w:t>s</w:t>
      </w:r>
      <w:r w:rsidR="00680AD2" w:rsidRPr="00730539">
        <w:t xml:space="preserve"> application</w:t>
      </w:r>
      <w:r w:rsidR="00DE6B11" w:rsidRPr="00730539">
        <w:t>?</w:t>
      </w:r>
    </w:p>
    <w:p w14:paraId="2AF11D03" w14:textId="77777777" w:rsidR="006A2F6A" w:rsidRDefault="00C958CD" w:rsidP="002E1AAA">
      <w:pPr>
        <w:pStyle w:val="ListBullet"/>
      </w:pPr>
      <w:r w:rsidRPr="00730539">
        <w:t xml:space="preserve">There is no minimum or maximum </w:t>
      </w:r>
      <w:r w:rsidR="00F62E86" w:rsidRPr="00730539">
        <w:t xml:space="preserve">funding amount. </w:t>
      </w:r>
    </w:p>
    <w:p w14:paraId="0F321A4E" w14:textId="24595EF1" w:rsidR="00701EC9" w:rsidRPr="00730539" w:rsidRDefault="0070472C" w:rsidP="002E1AAA">
      <w:pPr>
        <w:pStyle w:val="ListBullet"/>
      </w:pPr>
      <w:r w:rsidRPr="00730539">
        <w:t xml:space="preserve">The additional supports </w:t>
      </w:r>
      <w:r w:rsidR="000B3995" w:rsidRPr="00730539">
        <w:t xml:space="preserve">your client </w:t>
      </w:r>
      <w:r w:rsidR="00B21980" w:rsidRPr="00730539">
        <w:t>requires</w:t>
      </w:r>
      <w:r w:rsidR="000B3995" w:rsidRPr="00730539">
        <w:t xml:space="preserve"> </w:t>
      </w:r>
      <w:r w:rsidR="00710C3A" w:rsidRPr="00730539">
        <w:t>should be</w:t>
      </w:r>
      <w:r w:rsidR="008C5CD9" w:rsidRPr="00730539">
        <w:t xml:space="preserve"> supported by</w:t>
      </w:r>
      <w:r w:rsidR="00710C3A" w:rsidRPr="00730539">
        <w:t xml:space="preserve"> the</w:t>
      </w:r>
      <w:r w:rsidR="00BA75B4" w:rsidRPr="00730539">
        <w:t>ir</w:t>
      </w:r>
      <w:r w:rsidR="00953A21" w:rsidRPr="00730539">
        <w:t xml:space="preserve"> </w:t>
      </w:r>
      <w:r w:rsidR="006A2F6A">
        <w:t>a</w:t>
      </w:r>
      <w:r w:rsidR="006A2F6A" w:rsidRPr="00730539">
        <w:t xml:space="preserve">nnual </w:t>
      </w:r>
      <w:r w:rsidR="006A2F6A">
        <w:t>r</w:t>
      </w:r>
      <w:r w:rsidR="006A2F6A" w:rsidRPr="00730539">
        <w:t xml:space="preserve">eview </w:t>
      </w:r>
      <w:r w:rsidR="00BC1A38" w:rsidRPr="00730539">
        <w:t>and other</w:t>
      </w:r>
      <w:r w:rsidR="00B21980" w:rsidRPr="00730539">
        <w:t xml:space="preserve"> evidence</w:t>
      </w:r>
      <w:r w:rsidR="00BC1A38" w:rsidRPr="00730539">
        <w:t xml:space="preserve"> such as allied health reports</w:t>
      </w:r>
      <w:r w:rsidR="000367E5" w:rsidRPr="00730539">
        <w:t xml:space="preserve"> or hospital reports</w:t>
      </w:r>
      <w:r w:rsidR="00701EC9" w:rsidRPr="00730539">
        <w:t xml:space="preserve">. </w:t>
      </w:r>
    </w:p>
    <w:p w14:paraId="2E39F467" w14:textId="07722AC6" w:rsidR="00910BB1" w:rsidRDefault="004B3449" w:rsidP="002E1AAA">
      <w:pPr>
        <w:pStyle w:val="ListBullet"/>
      </w:pPr>
      <w:r w:rsidRPr="00730539">
        <w:t xml:space="preserve">As outlined in Section 3.3 of the </w:t>
      </w:r>
      <w:hyperlink r:id="rId20" w:history="1">
        <w:r w:rsidRPr="00090C1B">
          <w:rPr>
            <w:rStyle w:val="Hyperlink"/>
          </w:rPr>
          <w:t>DSOA Program Manual</w:t>
        </w:r>
      </w:hyperlink>
      <w:r w:rsidRPr="00730539">
        <w:t xml:space="preserve">, </w:t>
      </w:r>
      <w:r w:rsidR="00346AB0" w:rsidRPr="00730539">
        <w:t>the level of evidence provided with a Change of Needs application depends on what supports are requested and the amount of additional funding the client requires to meet their change in need. The more funding requested, the greater the amount of supporting evidence required to justify the request.</w:t>
      </w:r>
    </w:p>
    <w:p w14:paraId="7D199E4D" w14:textId="6E842246" w:rsidR="006A2F6A" w:rsidRPr="006A2F6A" w:rsidRDefault="006A2F6A" w:rsidP="002E1AAA">
      <w:pPr>
        <w:pStyle w:val="ListBullet"/>
        <w:rPr>
          <w:rFonts w:cs="Arial"/>
        </w:rPr>
      </w:pPr>
      <w:r w:rsidRPr="00730539">
        <w:rPr>
          <w:rFonts w:cs="Arial"/>
        </w:rPr>
        <w:t xml:space="preserve">You can watch a </w:t>
      </w:r>
      <w:hyperlink r:id="rId21" w:history="1">
        <w:r w:rsidRPr="006A2F6A">
          <w:rPr>
            <w:rStyle w:val="Hyperlink"/>
            <w:rFonts w:cs="Arial"/>
          </w:rPr>
          <w:t>video on how to complete a Change of Need application</w:t>
        </w:r>
      </w:hyperlink>
      <w:r w:rsidRPr="00730539">
        <w:rPr>
          <w:rFonts w:cs="Arial"/>
        </w:rPr>
        <w:t>.</w:t>
      </w:r>
    </w:p>
    <w:p w14:paraId="62CE4311" w14:textId="5A572B8D" w:rsidR="00B97DDD" w:rsidRPr="00730539" w:rsidRDefault="00B97DDD" w:rsidP="00E915A8">
      <w:pPr>
        <w:pStyle w:val="Heading3"/>
      </w:pPr>
      <w:r w:rsidRPr="00730539">
        <w:t xml:space="preserve">What </w:t>
      </w:r>
      <w:r w:rsidR="0071097D" w:rsidRPr="00730539">
        <w:t>is the timeframe for Change of Need application assessments including</w:t>
      </w:r>
      <w:r w:rsidR="002E0AAE" w:rsidRPr="00730539">
        <w:t xml:space="preserve"> </w:t>
      </w:r>
      <w:r w:rsidR="00727801" w:rsidRPr="00730539">
        <w:t xml:space="preserve">independent </w:t>
      </w:r>
      <w:r w:rsidR="002E0AAE" w:rsidRPr="00730539">
        <w:t>assessment</w:t>
      </w:r>
      <w:r w:rsidRPr="00730539">
        <w:t>?</w:t>
      </w:r>
    </w:p>
    <w:p w14:paraId="485DD02B" w14:textId="4F9DF8B3" w:rsidR="006A2F6A" w:rsidRDefault="006F58E0" w:rsidP="002E1AAA">
      <w:pPr>
        <w:pStyle w:val="ListBullet"/>
      </w:pPr>
      <w:r w:rsidRPr="00730539">
        <w:t xml:space="preserve">The time it takes for the department to finalise a Change of Needs </w:t>
      </w:r>
      <w:r w:rsidR="006A2F6A">
        <w:t>a</w:t>
      </w:r>
      <w:r w:rsidR="006A2F6A" w:rsidRPr="00730539">
        <w:t xml:space="preserve">pplication </w:t>
      </w:r>
      <w:r w:rsidRPr="00730539">
        <w:t>depends on several factors, including</w:t>
      </w:r>
      <w:r w:rsidR="006A2F6A">
        <w:t>:</w:t>
      </w:r>
    </w:p>
    <w:p w14:paraId="610626B2" w14:textId="26E60B5A" w:rsidR="006A2F6A" w:rsidRDefault="006F58E0" w:rsidP="002E1AAA">
      <w:pPr>
        <w:pStyle w:val="ListBullet2"/>
      </w:pPr>
      <w:r w:rsidRPr="00730539">
        <w:t>the complexity of the application</w:t>
      </w:r>
    </w:p>
    <w:p w14:paraId="13BC898A" w14:textId="1A5F11C4" w:rsidR="006A2F6A" w:rsidRDefault="006F58E0" w:rsidP="002E1AAA">
      <w:pPr>
        <w:pStyle w:val="ListBullet2"/>
      </w:pPr>
      <w:r w:rsidRPr="00730539">
        <w:t xml:space="preserve">whether an </w:t>
      </w:r>
      <w:hyperlink r:id="rId22" w:history="1">
        <w:r w:rsidRPr="005D03B7">
          <w:rPr>
            <w:rStyle w:val="Hyperlink"/>
          </w:rPr>
          <w:t>Independent Assessment</w:t>
        </w:r>
      </w:hyperlink>
      <w:r w:rsidRPr="00730539">
        <w:t xml:space="preserve"> is required</w:t>
      </w:r>
    </w:p>
    <w:p w14:paraId="34DADB49" w14:textId="1C416496" w:rsidR="006F58E0" w:rsidRPr="00730539" w:rsidRDefault="006F58E0" w:rsidP="002E1AAA">
      <w:pPr>
        <w:pStyle w:val="ListBullet2"/>
      </w:pPr>
      <w:r w:rsidRPr="00730539">
        <w:t>the priority of other assessments in line for review.</w:t>
      </w:r>
    </w:p>
    <w:p w14:paraId="61BA6014" w14:textId="6B6BD247" w:rsidR="00C31237" w:rsidRPr="00730539" w:rsidRDefault="00C31237" w:rsidP="002E1AAA">
      <w:pPr>
        <w:pStyle w:val="ListBullet"/>
      </w:pPr>
      <w:r w:rsidRPr="00730539">
        <w:lastRenderedPageBreak/>
        <w:t>If</w:t>
      </w:r>
      <w:r w:rsidR="00C00227" w:rsidRPr="00730539">
        <w:t xml:space="preserve"> the Change of Need</w:t>
      </w:r>
      <w:r w:rsidR="006A2F6A">
        <w:t>s</w:t>
      </w:r>
      <w:r w:rsidR="00C00227" w:rsidRPr="00730539">
        <w:t xml:space="preserve"> application has been accepted by the department, </w:t>
      </w:r>
      <w:r w:rsidR="00B7106C" w:rsidRPr="00730539">
        <w:t xml:space="preserve">an indicative </w:t>
      </w:r>
      <w:r w:rsidR="00BB0B80" w:rsidRPr="00730539">
        <w:t xml:space="preserve">assessment </w:t>
      </w:r>
      <w:r w:rsidR="00B7106C" w:rsidRPr="00730539">
        <w:t>timeframe can b</w:t>
      </w:r>
      <w:r w:rsidR="00AC7537" w:rsidRPr="00730539">
        <w:t>e provided on request.</w:t>
      </w:r>
      <w:r w:rsidR="00966B4F" w:rsidRPr="00730539">
        <w:t xml:space="preserve"> </w:t>
      </w:r>
    </w:p>
    <w:p w14:paraId="058BC2AE" w14:textId="0E179C0D" w:rsidR="00966B4F" w:rsidRPr="00730539" w:rsidRDefault="00112DA7" w:rsidP="00E915A8">
      <w:pPr>
        <w:pStyle w:val="Heading3"/>
      </w:pPr>
      <w:r w:rsidRPr="00730539">
        <w:t>My client needs therapy support</w:t>
      </w:r>
      <w:r w:rsidR="009571CB" w:rsidRPr="00730539">
        <w:t xml:space="preserve">. Can they access </w:t>
      </w:r>
      <w:r w:rsidR="002E4D20" w:rsidRPr="00730539">
        <w:t xml:space="preserve">therapy </w:t>
      </w:r>
      <w:r w:rsidR="008470AE" w:rsidRPr="00730539">
        <w:t>through</w:t>
      </w:r>
      <w:r w:rsidR="002E4D20" w:rsidRPr="00730539">
        <w:t xml:space="preserve"> the Commonwealth Home Support Program</w:t>
      </w:r>
      <w:r w:rsidR="006A2F6A">
        <w:t>me</w:t>
      </w:r>
      <w:r w:rsidR="009120E4">
        <w:t xml:space="preserve"> (CHSP)</w:t>
      </w:r>
      <w:r w:rsidR="00DB514C" w:rsidRPr="00730539">
        <w:t xml:space="preserve"> if they are eligible</w:t>
      </w:r>
      <w:r w:rsidR="00C01835" w:rsidRPr="00730539">
        <w:t xml:space="preserve"> or c</w:t>
      </w:r>
      <w:r w:rsidR="009A3AAF" w:rsidRPr="00730539">
        <w:t xml:space="preserve">an they access therapy through DSOA </w:t>
      </w:r>
      <w:r w:rsidR="008D0D21" w:rsidRPr="00730539">
        <w:t>with evidence of need?</w:t>
      </w:r>
    </w:p>
    <w:p w14:paraId="0A3F63E2" w14:textId="6842A943" w:rsidR="009C0C87" w:rsidRPr="00730539" w:rsidRDefault="00BB06CD" w:rsidP="002E1AAA">
      <w:pPr>
        <w:pStyle w:val="ListBullet"/>
        <w:rPr>
          <w:rFonts w:cs="Arial"/>
        </w:rPr>
      </w:pPr>
      <w:r w:rsidRPr="00730539">
        <w:rPr>
          <w:rFonts w:cs="Arial"/>
        </w:rPr>
        <w:t xml:space="preserve">Please refer to </w:t>
      </w:r>
      <w:r w:rsidR="00033103" w:rsidRPr="00730539">
        <w:rPr>
          <w:rFonts w:cs="Arial"/>
        </w:rPr>
        <w:t xml:space="preserve">Section </w:t>
      </w:r>
      <w:r w:rsidR="00B822D2" w:rsidRPr="00730539">
        <w:rPr>
          <w:rFonts w:cs="Arial"/>
        </w:rPr>
        <w:t xml:space="preserve">3.6 of the </w:t>
      </w:r>
      <w:bookmarkStart w:id="6" w:name="_Hlk175643819"/>
      <w:r w:rsidR="00346AB0" w:rsidRPr="005D03B7">
        <w:rPr>
          <w:rStyle w:val="Hyperlink"/>
        </w:rPr>
        <w:fldChar w:fldCharType="begin"/>
      </w:r>
      <w:r w:rsidR="00346AB0" w:rsidRPr="005D03B7">
        <w:rPr>
          <w:rStyle w:val="Hyperlink"/>
        </w:rPr>
        <w:instrText>HYPERLINK "https://www.health.gov.au/resources/publications/disability-support-for-older-australians-program-manual?language=en"</w:instrText>
      </w:r>
      <w:r w:rsidR="00346AB0" w:rsidRPr="005D03B7">
        <w:rPr>
          <w:rStyle w:val="Hyperlink"/>
        </w:rPr>
      </w:r>
      <w:r w:rsidR="00346AB0" w:rsidRPr="005D03B7">
        <w:rPr>
          <w:rStyle w:val="Hyperlink"/>
        </w:rPr>
        <w:fldChar w:fldCharType="separate"/>
      </w:r>
      <w:r w:rsidR="00B822D2" w:rsidRPr="005D03B7">
        <w:rPr>
          <w:rStyle w:val="Hyperlink"/>
        </w:rPr>
        <w:t>DSOA Program Manual</w:t>
      </w:r>
      <w:r w:rsidR="00346AB0" w:rsidRPr="005D03B7">
        <w:rPr>
          <w:rStyle w:val="Hyperlink"/>
        </w:rPr>
        <w:fldChar w:fldCharType="end"/>
      </w:r>
      <w:bookmarkEnd w:id="6"/>
      <w:r w:rsidR="00B822D2" w:rsidRPr="00730539">
        <w:rPr>
          <w:rFonts w:cs="Arial"/>
        </w:rPr>
        <w:t xml:space="preserve"> and </w:t>
      </w:r>
      <w:r w:rsidRPr="00730539">
        <w:rPr>
          <w:rFonts w:cs="Arial"/>
        </w:rPr>
        <w:t xml:space="preserve">the </w:t>
      </w:r>
      <w:hyperlink r:id="rId23" w:history="1">
        <w:r w:rsidR="00B96D62" w:rsidRPr="005D03B7">
          <w:rPr>
            <w:rStyle w:val="Hyperlink"/>
          </w:rPr>
          <w:t>DSOA and aged care services provider fact sheet</w:t>
        </w:r>
      </w:hyperlink>
      <w:r w:rsidR="00B96D62" w:rsidRPr="00730539">
        <w:rPr>
          <w:rFonts w:cs="Arial"/>
        </w:rPr>
        <w:t xml:space="preserve"> to </w:t>
      </w:r>
      <w:r w:rsidR="000E7851" w:rsidRPr="00730539">
        <w:rPr>
          <w:rFonts w:cs="Arial"/>
        </w:rPr>
        <w:t xml:space="preserve">see </w:t>
      </w:r>
      <w:r w:rsidR="00A16C79" w:rsidRPr="00730539">
        <w:rPr>
          <w:rFonts w:cs="Arial"/>
        </w:rPr>
        <w:t xml:space="preserve">which aged care services </w:t>
      </w:r>
      <w:r w:rsidR="00B21980" w:rsidRPr="00730539">
        <w:rPr>
          <w:rFonts w:cs="Arial"/>
        </w:rPr>
        <w:t>will</w:t>
      </w:r>
      <w:r w:rsidR="00A16C79" w:rsidRPr="00730539">
        <w:rPr>
          <w:rFonts w:cs="Arial"/>
        </w:rPr>
        <w:t xml:space="preserve"> impact </w:t>
      </w:r>
      <w:r w:rsidR="00AB2CF0" w:rsidRPr="00730539">
        <w:rPr>
          <w:rFonts w:cs="Arial"/>
        </w:rPr>
        <w:t>your client’s DSOA funding.</w:t>
      </w:r>
    </w:p>
    <w:p w14:paraId="1AAA7810" w14:textId="5F9E97E5" w:rsidR="00864C0C" w:rsidRPr="00730539" w:rsidRDefault="00D85874" w:rsidP="002E1AAA">
      <w:pPr>
        <w:pStyle w:val="Heading2"/>
        <w:numPr>
          <w:ilvl w:val="0"/>
          <w:numId w:val="15"/>
        </w:numPr>
      </w:pPr>
      <w:bookmarkStart w:id="7" w:name="_Transition_of_DSOA"/>
      <w:bookmarkStart w:id="8" w:name="_Toc176875421"/>
      <w:bookmarkEnd w:id="7"/>
      <w:r w:rsidRPr="00730539">
        <w:t>Transition of DSOA clients to in-home aged care</w:t>
      </w:r>
      <w:bookmarkEnd w:id="8"/>
      <w:r w:rsidR="00D20270" w:rsidRPr="00730539">
        <w:t xml:space="preserve"> </w:t>
      </w:r>
    </w:p>
    <w:p w14:paraId="7D644CF8" w14:textId="3DA93CCA" w:rsidR="002E11D7" w:rsidRPr="00730539" w:rsidRDefault="00D3084A" w:rsidP="00E915A8">
      <w:pPr>
        <w:pStyle w:val="Heading3"/>
      </w:pPr>
      <w:r w:rsidRPr="00730539">
        <w:t xml:space="preserve">The Home Care Package </w:t>
      </w:r>
      <w:r w:rsidR="00DC4FAD" w:rsidRPr="00730539">
        <w:t xml:space="preserve">(HCP) </w:t>
      </w:r>
      <w:r w:rsidR="00E86543">
        <w:t xml:space="preserve">level </w:t>
      </w:r>
      <w:r w:rsidRPr="00730539">
        <w:t xml:space="preserve">my client has been assigned </w:t>
      </w:r>
      <w:r w:rsidR="00CC420F" w:rsidRPr="00730539">
        <w:t>is not enough to support their needs.</w:t>
      </w:r>
      <w:r w:rsidR="00EA3671" w:rsidRPr="00730539">
        <w:t xml:space="preserve"> </w:t>
      </w:r>
      <w:r w:rsidR="00C63BD4" w:rsidRPr="00730539">
        <w:t>Can they decline the H</w:t>
      </w:r>
      <w:r w:rsidR="00DC4FAD" w:rsidRPr="00730539">
        <w:t>C</w:t>
      </w:r>
      <w:r w:rsidR="00C63BD4" w:rsidRPr="00730539">
        <w:t>P</w:t>
      </w:r>
      <w:r w:rsidR="00CC420F" w:rsidRPr="00730539">
        <w:t xml:space="preserve"> </w:t>
      </w:r>
      <w:r w:rsidR="000861F5" w:rsidRPr="00730539">
        <w:t>and ask for a re-assessment?</w:t>
      </w:r>
    </w:p>
    <w:p w14:paraId="6497D4B7" w14:textId="0FA32C40" w:rsidR="00855678" w:rsidRPr="00730539" w:rsidRDefault="0030654A" w:rsidP="002E1AAA">
      <w:pPr>
        <w:pStyle w:val="ListBullet"/>
      </w:pPr>
      <w:r w:rsidRPr="00730539">
        <w:t xml:space="preserve">If your client believes </w:t>
      </w:r>
      <w:r w:rsidR="002E467B" w:rsidRPr="00730539">
        <w:t xml:space="preserve">the </w:t>
      </w:r>
      <w:r w:rsidR="00EA3973" w:rsidRPr="00730539">
        <w:t>HCP</w:t>
      </w:r>
      <w:r w:rsidR="00E86543">
        <w:t xml:space="preserve"> level</w:t>
      </w:r>
      <w:r w:rsidR="00EA3973" w:rsidRPr="00730539">
        <w:t xml:space="preserve"> </w:t>
      </w:r>
      <w:r w:rsidR="00377A01" w:rsidRPr="00730539">
        <w:t>they have been assigned will not be enough to support their needs,</w:t>
      </w:r>
      <w:r w:rsidR="003704A6" w:rsidRPr="00730539">
        <w:t xml:space="preserve"> your client or their representative should contact </w:t>
      </w:r>
      <w:hyperlink r:id="rId24" w:history="1">
        <w:r w:rsidR="003704A6" w:rsidRPr="005D03B7">
          <w:rPr>
            <w:rStyle w:val="Hyperlink"/>
          </w:rPr>
          <w:t>My Aged Care</w:t>
        </w:r>
      </w:hyperlink>
      <w:r w:rsidR="003704A6" w:rsidRPr="00730539">
        <w:t xml:space="preserve"> to discuss their support needs</w:t>
      </w:r>
      <w:r w:rsidR="001020A4" w:rsidRPr="00730539">
        <w:t>.</w:t>
      </w:r>
      <w:r w:rsidR="000F4CEE" w:rsidRPr="00730539">
        <w:t xml:space="preserve"> </w:t>
      </w:r>
    </w:p>
    <w:p w14:paraId="4F214967" w14:textId="0D08AB0A" w:rsidR="00622B46" w:rsidRDefault="00622B46" w:rsidP="002E1AAA">
      <w:pPr>
        <w:pStyle w:val="ListBullet"/>
      </w:pPr>
      <w:r w:rsidRPr="00730539">
        <w:t xml:space="preserve">Please refer to </w:t>
      </w:r>
      <w:r w:rsidR="003B0558" w:rsidRPr="00730539">
        <w:t xml:space="preserve">the </w:t>
      </w:r>
      <w:r w:rsidR="002F4567" w:rsidRPr="00730539">
        <w:t>July 2024</w:t>
      </w:r>
      <w:r w:rsidR="00E86543">
        <w:t xml:space="preserve"> letter,</w:t>
      </w:r>
      <w:r w:rsidR="002F4567" w:rsidRPr="00730539">
        <w:t xml:space="preserve"> which provided an update on where you</w:t>
      </w:r>
      <w:r w:rsidR="00B21980" w:rsidRPr="00730539">
        <w:t>r</w:t>
      </w:r>
      <w:r w:rsidR="002F4567" w:rsidRPr="00730539">
        <w:t xml:space="preserve"> client is up to in their transition to in-home aged care a</w:t>
      </w:r>
      <w:r w:rsidR="00785A3C" w:rsidRPr="00730539">
        <w:t>nd what they need to do before 31 December 2024</w:t>
      </w:r>
      <w:r w:rsidR="009120E4">
        <w:t>.</w:t>
      </w:r>
    </w:p>
    <w:p w14:paraId="1F22FBBA" w14:textId="272AEDE7" w:rsidR="009120E4" w:rsidRPr="009120E4" w:rsidRDefault="009120E4" w:rsidP="002E1AAA">
      <w:pPr>
        <w:pStyle w:val="ListBullet"/>
      </w:pPr>
      <w:r w:rsidRPr="00730539">
        <w:t>It is important your client understands their DSOA funding will not be extended after 31 December 2024 if they do not take the action detailed in the July 2024 letter.</w:t>
      </w:r>
    </w:p>
    <w:p w14:paraId="1CE4AA6F" w14:textId="50DBF1B5" w:rsidR="00052BD9" w:rsidRPr="00730539" w:rsidRDefault="00052BD9" w:rsidP="002E1AAA">
      <w:pPr>
        <w:pStyle w:val="ListBullet"/>
      </w:pPr>
      <w:r w:rsidRPr="00730539">
        <w:t xml:space="preserve">When your client commences </w:t>
      </w:r>
      <w:proofErr w:type="gramStart"/>
      <w:r w:rsidRPr="00730539">
        <w:t>a</w:t>
      </w:r>
      <w:proofErr w:type="gramEnd"/>
      <w:r w:rsidRPr="00730539">
        <w:t xml:space="preserve"> HCP, you will need to notify the </w:t>
      </w:r>
      <w:r w:rsidR="005D03B7">
        <w:t xml:space="preserve">department </w:t>
      </w:r>
      <w:r w:rsidRPr="00730539">
        <w:t xml:space="preserve">within 14 days of the client exit.  </w:t>
      </w:r>
    </w:p>
    <w:p w14:paraId="0B6B2BD0" w14:textId="6DB018B7" w:rsidR="00052BD9" w:rsidRPr="00730539" w:rsidRDefault="00052BD9" w:rsidP="002E1AAA">
      <w:pPr>
        <w:pStyle w:val="ListBullet"/>
      </w:pPr>
      <w:r w:rsidRPr="00730539">
        <w:t xml:space="preserve">Please refer to Clause B4.1.2 </w:t>
      </w:r>
      <w:hyperlink r:id="rId25">
        <w:r w:rsidRPr="005D03B7">
          <w:rPr>
            <w:rStyle w:val="Hyperlink"/>
          </w:rPr>
          <w:t>DSOA funding agreement</w:t>
        </w:r>
      </w:hyperlink>
      <w:r w:rsidRPr="00730539">
        <w:t xml:space="preserve"> and </w:t>
      </w:r>
      <w:r w:rsidR="009120E4">
        <w:t>Section</w:t>
      </w:r>
      <w:r w:rsidR="00E86543" w:rsidRPr="00730539">
        <w:t xml:space="preserve"> </w:t>
      </w:r>
      <w:r w:rsidR="00B21980" w:rsidRPr="00730539">
        <w:t>3.8</w:t>
      </w:r>
      <w:r w:rsidRPr="00730539">
        <w:t xml:space="preserve"> of the </w:t>
      </w:r>
      <w:hyperlink r:id="rId26">
        <w:r w:rsidRPr="005D03B7">
          <w:rPr>
            <w:rStyle w:val="Hyperlink"/>
          </w:rPr>
          <w:t>DSOA Program Manual</w:t>
        </w:r>
      </w:hyperlink>
      <w:r w:rsidRPr="009120E4">
        <w:t>.</w:t>
      </w:r>
      <w:r w:rsidRPr="00730539">
        <w:t xml:space="preserve"> </w:t>
      </w:r>
    </w:p>
    <w:p w14:paraId="6007C935" w14:textId="662C2E82" w:rsidR="00895CE1" w:rsidRPr="00730539" w:rsidRDefault="00895CE1" w:rsidP="00E915A8">
      <w:pPr>
        <w:pStyle w:val="Heading3"/>
      </w:pPr>
      <w:r w:rsidRPr="00730539">
        <w:t xml:space="preserve">My client does not want to transition to </w:t>
      </w:r>
      <w:proofErr w:type="gramStart"/>
      <w:r w:rsidR="00C25928" w:rsidRPr="00730539">
        <w:t>a</w:t>
      </w:r>
      <w:proofErr w:type="gramEnd"/>
      <w:r w:rsidR="00C25928" w:rsidRPr="00730539">
        <w:t xml:space="preserve"> HCP. Can they </w:t>
      </w:r>
      <w:r w:rsidR="00E77A48" w:rsidRPr="00730539">
        <w:t>stay in DSOA</w:t>
      </w:r>
      <w:r w:rsidRPr="00730539">
        <w:t>?</w:t>
      </w:r>
    </w:p>
    <w:p w14:paraId="4CCA900B" w14:textId="75510DD4" w:rsidR="00B15580" w:rsidRPr="00730539" w:rsidRDefault="00B15580" w:rsidP="002E1AAA">
      <w:pPr>
        <w:pStyle w:val="ListBullet"/>
      </w:pPr>
      <w:r w:rsidRPr="00730539">
        <w:t xml:space="preserve">Your client will </w:t>
      </w:r>
      <w:r w:rsidR="00B01FFB" w:rsidRPr="00730539">
        <w:t>continue to receive DSOA funding until 31 December 2024.</w:t>
      </w:r>
      <w:r w:rsidRPr="00730539">
        <w:t xml:space="preserve"> Your </w:t>
      </w:r>
      <w:r w:rsidR="00965904" w:rsidRPr="00730539">
        <w:t>c</w:t>
      </w:r>
      <w:r w:rsidRPr="00730539">
        <w:t xml:space="preserve">lient </w:t>
      </w:r>
      <w:r w:rsidR="009120E4">
        <w:t>was</w:t>
      </w:r>
      <w:r w:rsidRPr="00730539">
        <w:t xml:space="preserve"> identified as meeting the criteria to transition into in-home aged care because the services they are receiving can be met through the CHSP or </w:t>
      </w:r>
      <w:proofErr w:type="gramStart"/>
      <w:r w:rsidRPr="00730539">
        <w:t>a</w:t>
      </w:r>
      <w:proofErr w:type="gramEnd"/>
      <w:r w:rsidRPr="00730539">
        <w:t xml:space="preserve"> HCP. </w:t>
      </w:r>
    </w:p>
    <w:p w14:paraId="088B389E" w14:textId="13EB7040" w:rsidR="00895CE1" w:rsidRPr="00730539" w:rsidRDefault="00E168B7" w:rsidP="002E1AAA">
      <w:pPr>
        <w:pStyle w:val="ListBullet"/>
      </w:pPr>
      <w:r w:rsidRPr="00730539">
        <w:t>Please refer to the letter sent</w:t>
      </w:r>
      <w:r w:rsidR="007603C6" w:rsidRPr="00730539">
        <w:t xml:space="preserve"> </w:t>
      </w:r>
      <w:r w:rsidR="00EB4C48" w:rsidRPr="00730539">
        <w:t>Jul</w:t>
      </w:r>
      <w:r w:rsidR="007603C6" w:rsidRPr="00730539">
        <w:t>y 2024</w:t>
      </w:r>
      <w:r w:rsidR="009120E4">
        <w:t>,</w:t>
      </w:r>
      <w:r w:rsidR="007603C6" w:rsidRPr="00730539">
        <w:t xml:space="preserve"> </w:t>
      </w:r>
      <w:r w:rsidR="00DC7234" w:rsidRPr="00730539">
        <w:t xml:space="preserve">which </w:t>
      </w:r>
      <w:r w:rsidR="009120E4">
        <w:t>outlines</w:t>
      </w:r>
      <w:r w:rsidR="00A16826" w:rsidRPr="00730539">
        <w:t xml:space="preserve"> </w:t>
      </w:r>
      <w:r w:rsidR="00DC7234" w:rsidRPr="00730539">
        <w:t xml:space="preserve">where your client is up to in their transition journey and </w:t>
      </w:r>
      <w:r w:rsidR="00A16826" w:rsidRPr="00730539">
        <w:t>what they need to do before 31 December 2024.</w:t>
      </w:r>
    </w:p>
    <w:p w14:paraId="62925F0E" w14:textId="30CE60BE" w:rsidR="00784C33" w:rsidRPr="00730539" w:rsidRDefault="00933815" w:rsidP="002E1AAA">
      <w:pPr>
        <w:pStyle w:val="ListBullet"/>
      </w:pPr>
      <w:r w:rsidRPr="00730539">
        <w:t xml:space="preserve">It is important your client understands </w:t>
      </w:r>
      <w:r w:rsidR="00476302" w:rsidRPr="00730539">
        <w:t xml:space="preserve">their DSOA funding will not be extended </w:t>
      </w:r>
      <w:r w:rsidR="00B16639" w:rsidRPr="00730539">
        <w:t xml:space="preserve">after 31 December 2024 </w:t>
      </w:r>
      <w:r w:rsidR="00837B3C" w:rsidRPr="00730539">
        <w:t xml:space="preserve">if they do not </w:t>
      </w:r>
      <w:r w:rsidR="002E60B2" w:rsidRPr="00730539">
        <w:t xml:space="preserve">take the action </w:t>
      </w:r>
      <w:r w:rsidR="00EB4C48" w:rsidRPr="00730539">
        <w:t xml:space="preserve">detailed in the </w:t>
      </w:r>
      <w:r w:rsidR="00244FFE" w:rsidRPr="00730539">
        <w:t>July 2024 letter.</w:t>
      </w:r>
    </w:p>
    <w:p w14:paraId="4EC5AFBC" w14:textId="7EB08620" w:rsidR="008E47BD" w:rsidRPr="00730539" w:rsidRDefault="008E47BD" w:rsidP="00E915A8">
      <w:pPr>
        <w:pStyle w:val="Heading3"/>
      </w:pPr>
      <w:r w:rsidRPr="00730539">
        <w:t>How do I know if my client is required to transition to in-home aged care?</w:t>
      </w:r>
    </w:p>
    <w:p w14:paraId="2ECDA962" w14:textId="40F02083" w:rsidR="00051E5D" w:rsidRPr="00730539" w:rsidRDefault="00051E5D" w:rsidP="002E1AAA">
      <w:pPr>
        <w:pStyle w:val="ListBullet"/>
      </w:pPr>
      <w:r w:rsidRPr="00730539">
        <w:t xml:space="preserve">We are only transitioning clients who live at home </w:t>
      </w:r>
      <w:r w:rsidR="00F76CDC" w:rsidRPr="00730539">
        <w:t>and who</w:t>
      </w:r>
      <w:r w:rsidRPr="00730539">
        <w:t xml:space="preserve">se individual care needs can be met through the CHSP or with a Level 1-4 HCP. </w:t>
      </w:r>
    </w:p>
    <w:p w14:paraId="22E7E933" w14:textId="77777777" w:rsidR="00051E5D" w:rsidRPr="00730539" w:rsidRDefault="00051E5D" w:rsidP="002E1AAA">
      <w:pPr>
        <w:pStyle w:val="ListBullet"/>
      </w:pPr>
      <w:r w:rsidRPr="00730539">
        <w:t xml:space="preserve">Clients have been identified as meeting the criteria to transition into in-home aged care because the services they are receiving can be met through the CHSP or </w:t>
      </w:r>
      <w:proofErr w:type="gramStart"/>
      <w:r w:rsidRPr="00730539">
        <w:t>a</w:t>
      </w:r>
      <w:proofErr w:type="gramEnd"/>
      <w:r w:rsidRPr="00730539">
        <w:t xml:space="preserve"> HCP. </w:t>
      </w:r>
    </w:p>
    <w:p w14:paraId="1B03F688" w14:textId="43516CAF" w:rsidR="002A6E49" w:rsidRPr="00730539" w:rsidRDefault="00B43877" w:rsidP="002E1AAA">
      <w:pPr>
        <w:pStyle w:val="ListBullet"/>
      </w:pPr>
      <w:r w:rsidRPr="00730539">
        <w:t xml:space="preserve">The department </w:t>
      </w:r>
      <w:r w:rsidR="00E168B7" w:rsidRPr="00730539">
        <w:t xml:space="preserve">sent letters to </w:t>
      </w:r>
      <w:proofErr w:type="gramStart"/>
      <w:r w:rsidR="00EF42EE" w:rsidRPr="00730539">
        <w:t>impacted</w:t>
      </w:r>
      <w:proofErr w:type="gramEnd"/>
      <w:r w:rsidR="00EF42EE" w:rsidRPr="00730539">
        <w:t xml:space="preserve"> </w:t>
      </w:r>
      <w:r w:rsidR="00335C17" w:rsidRPr="00730539">
        <w:t xml:space="preserve">DSOA service coordinators in November 2023, May 2024 and July 2024 </w:t>
      </w:r>
      <w:r w:rsidR="0007585A" w:rsidRPr="00730539">
        <w:t xml:space="preserve">with information about the clients </w:t>
      </w:r>
      <w:r w:rsidR="00E8605C" w:rsidRPr="00730539">
        <w:t>who have been identified to transition to the in-home aged care system.</w:t>
      </w:r>
    </w:p>
    <w:p w14:paraId="6AF85E80" w14:textId="34722365" w:rsidR="00B21980" w:rsidRPr="00730539" w:rsidRDefault="00B21980" w:rsidP="002E1AAA">
      <w:pPr>
        <w:pStyle w:val="ListBullet"/>
      </w:pPr>
      <w:r w:rsidRPr="00730539">
        <w:lastRenderedPageBreak/>
        <w:t>Your CFB also show</w:t>
      </w:r>
      <w:r w:rsidR="009120E4">
        <w:t>s</w:t>
      </w:r>
      <w:r w:rsidRPr="00730539">
        <w:t xml:space="preserve"> which DSOA clients are only funded until 31 December 2024.</w:t>
      </w:r>
    </w:p>
    <w:p w14:paraId="47063F7E" w14:textId="5EE1AD94" w:rsidR="00B21980" w:rsidRPr="00730539" w:rsidRDefault="00883E14" w:rsidP="002E1AAA">
      <w:pPr>
        <w:pStyle w:val="ListBullet"/>
        <w:rPr>
          <w:rFonts w:cs="Arial"/>
        </w:rPr>
      </w:pPr>
      <w:r w:rsidRPr="00730539">
        <w:rPr>
          <w:rFonts w:cs="Arial"/>
        </w:rPr>
        <w:t xml:space="preserve">Please refer to </w:t>
      </w:r>
      <w:r w:rsidRPr="009120E4">
        <w:rPr>
          <w:rFonts w:cs="Arial"/>
        </w:rPr>
        <w:t xml:space="preserve">the </w:t>
      </w:r>
      <w:hyperlink r:id="rId27" w:history="1">
        <w:r w:rsidR="009120E4" w:rsidRPr="005D03B7">
          <w:rPr>
            <w:rStyle w:val="Hyperlink"/>
          </w:rPr>
          <w:t>transition of some Disability Support for Older Australians clients into aged care factsheet</w:t>
        </w:r>
      </w:hyperlink>
      <w:r w:rsidR="009120E4">
        <w:rPr>
          <w:rStyle w:val="Hyperlink"/>
          <w:color w:val="auto"/>
          <w:u w:val="none"/>
        </w:rPr>
        <w:t>.</w:t>
      </w:r>
    </w:p>
    <w:p w14:paraId="4D81C5DF" w14:textId="174D2598" w:rsidR="003A7DF9" w:rsidRPr="00730539" w:rsidRDefault="00937F7A" w:rsidP="00E915A8">
      <w:pPr>
        <w:pStyle w:val="Heading3"/>
      </w:pPr>
      <w:r w:rsidRPr="00730539">
        <w:t xml:space="preserve">My client </w:t>
      </w:r>
      <w:r w:rsidR="00010BE9" w:rsidRPr="00730539">
        <w:t xml:space="preserve">won’t be receiving the same support with in-home aged care as </w:t>
      </w:r>
      <w:r w:rsidR="009145C1" w:rsidRPr="00730539">
        <w:t xml:space="preserve">they are under DSOA </w:t>
      </w:r>
      <w:r w:rsidR="00191DBC" w:rsidRPr="00730539">
        <w:t>such as personal care. Wha</w:t>
      </w:r>
      <w:r w:rsidR="00266166" w:rsidRPr="00730539">
        <w:t>t can they do</w:t>
      </w:r>
      <w:r w:rsidR="003A7DF9" w:rsidRPr="00730539">
        <w:t>?</w:t>
      </w:r>
    </w:p>
    <w:p w14:paraId="1D413CDD" w14:textId="0C100120" w:rsidR="00762A4A" w:rsidRPr="00730539" w:rsidRDefault="00762A4A" w:rsidP="002E1AAA">
      <w:pPr>
        <w:pStyle w:val="ListBullet"/>
      </w:pPr>
      <w:r w:rsidRPr="00730539">
        <w:t xml:space="preserve">The </w:t>
      </w:r>
      <w:r w:rsidR="009120E4">
        <w:t>HCP</w:t>
      </w:r>
      <w:r w:rsidRPr="00730539">
        <w:t xml:space="preserve"> Program offers more flexibility with the types of services that are available when compared </w:t>
      </w:r>
      <w:r w:rsidR="009120E4">
        <w:t>to</w:t>
      </w:r>
      <w:r w:rsidR="009120E4" w:rsidRPr="00730539">
        <w:t xml:space="preserve"> </w:t>
      </w:r>
      <w:r w:rsidRPr="00730539">
        <w:t xml:space="preserve">the DSOA Program. </w:t>
      </w:r>
    </w:p>
    <w:p w14:paraId="5B37D183" w14:textId="47644A1C" w:rsidR="003A7DF9" w:rsidRPr="00730539" w:rsidRDefault="00266166" w:rsidP="002E1AAA">
      <w:pPr>
        <w:pStyle w:val="ListBullet"/>
      </w:pPr>
      <w:r w:rsidRPr="00730539">
        <w:t>Client</w:t>
      </w:r>
      <w:r w:rsidR="004714D4" w:rsidRPr="00730539">
        <w:t xml:space="preserve">s </w:t>
      </w:r>
      <w:r w:rsidR="00072590">
        <w:t xml:space="preserve">can visit </w:t>
      </w:r>
      <w:r w:rsidR="00B85524">
        <w:t xml:space="preserve">the </w:t>
      </w:r>
      <w:hyperlink r:id="rId28" w:history="1">
        <w:r w:rsidR="00B85524" w:rsidRPr="00B85524">
          <w:rPr>
            <w:rStyle w:val="Hyperlink"/>
            <w:rFonts w:cs="Arial"/>
          </w:rPr>
          <w:t>My Aged Care website to learn about the HCP Program</w:t>
        </w:r>
      </w:hyperlink>
      <w:r w:rsidR="00B85524">
        <w:t xml:space="preserve"> or </w:t>
      </w:r>
      <w:r w:rsidR="004714D4" w:rsidRPr="00730539">
        <w:t xml:space="preserve">call </w:t>
      </w:r>
      <w:hyperlink r:id="rId29" w:history="1">
        <w:r w:rsidR="004714D4" w:rsidRPr="005D03B7">
          <w:rPr>
            <w:rStyle w:val="Hyperlink"/>
          </w:rPr>
          <w:t>My Aged Care</w:t>
        </w:r>
      </w:hyperlink>
      <w:r w:rsidR="004714D4" w:rsidRPr="005D03B7">
        <w:rPr>
          <w:rStyle w:val="Hyperlink"/>
          <w:u w:val="none"/>
        </w:rPr>
        <w:t xml:space="preserve"> </w:t>
      </w:r>
      <w:r w:rsidR="00216D11" w:rsidRPr="009120E4">
        <w:t>t</w:t>
      </w:r>
      <w:r w:rsidR="00216D11" w:rsidRPr="00730539">
        <w:t xml:space="preserve">o find out how they </w:t>
      </w:r>
      <w:r w:rsidR="0017497D" w:rsidRPr="00730539">
        <w:t xml:space="preserve">access the services they need </w:t>
      </w:r>
      <w:r w:rsidR="00103332" w:rsidRPr="00730539">
        <w:t xml:space="preserve">with their </w:t>
      </w:r>
      <w:r w:rsidR="009120E4">
        <w:t>HCP</w:t>
      </w:r>
      <w:r w:rsidR="0017497D" w:rsidRPr="00730539">
        <w:t>.</w:t>
      </w:r>
    </w:p>
    <w:p w14:paraId="12396FAF" w14:textId="076D703A" w:rsidR="007F247A" w:rsidRPr="00730539" w:rsidRDefault="00035704" w:rsidP="00E915A8">
      <w:pPr>
        <w:pStyle w:val="Heading3"/>
      </w:pPr>
      <w:r w:rsidRPr="00730539">
        <w:t xml:space="preserve">If </w:t>
      </w:r>
      <w:r w:rsidR="00E262F1" w:rsidRPr="00730539">
        <w:t xml:space="preserve">the July 2024 price increase has pushed a </w:t>
      </w:r>
      <w:r w:rsidR="003A1667" w:rsidRPr="00730539">
        <w:t xml:space="preserve">client’s DSOA funding over </w:t>
      </w:r>
      <w:r w:rsidR="00C425D8" w:rsidRPr="00730539">
        <w:t>$</w:t>
      </w:r>
      <w:r w:rsidR="003A1667" w:rsidRPr="00730539">
        <w:t>50k, will they s</w:t>
      </w:r>
      <w:r w:rsidR="003816A1" w:rsidRPr="00730539">
        <w:t xml:space="preserve">till need to transition to </w:t>
      </w:r>
      <w:r w:rsidR="002B5C53" w:rsidRPr="00730539">
        <w:t>in-home aged care?</w:t>
      </w:r>
    </w:p>
    <w:p w14:paraId="407E59D3" w14:textId="22FE662C" w:rsidR="007F247A" w:rsidRPr="00730539" w:rsidRDefault="002B5C53" w:rsidP="002E1AAA">
      <w:pPr>
        <w:pStyle w:val="ListBullet"/>
      </w:pPr>
      <w:r w:rsidRPr="00730539">
        <w:t xml:space="preserve">Yes, your client will </w:t>
      </w:r>
      <w:r w:rsidR="00664159" w:rsidRPr="00730539">
        <w:t>need to transition to in-home aged care.</w:t>
      </w:r>
      <w:r w:rsidR="007F247A" w:rsidRPr="00730539">
        <w:t xml:space="preserve"> </w:t>
      </w:r>
    </w:p>
    <w:p w14:paraId="05CFC6AB" w14:textId="0D3F9E30" w:rsidR="00CF4748" w:rsidRDefault="00CF4748" w:rsidP="002E1AAA">
      <w:pPr>
        <w:pStyle w:val="Heading2"/>
        <w:numPr>
          <w:ilvl w:val="0"/>
          <w:numId w:val="15"/>
        </w:numPr>
      </w:pPr>
      <w:bookmarkStart w:id="9" w:name="_Client_advocacy"/>
      <w:bookmarkStart w:id="10" w:name="_Contacts_and_more"/>
      <w:bookmarkStart w:id="11" w:name="_Toc176875422"/>
      <w:bookmarkEnd w:id="9"/>
      <w:bookmarkEnd w:id="10"/>
      <w:r>
        <w:t>Contacts and more information</w:t>
      </w:r>
      <w:bookmarkEnd w:id="11"/>
    </w:p>
    <w:p w14:paraId="794DC38D" w14:textId="546D7289" w:rsidR="00ED53F6" w:rsidRPr="00E915A8" w:rsidRDefault="00ED53F6" w:rsidP="00E915A8">
      <w:pPr>
        <w:pStyle w:val="Heading3nonumbers"/>
      </w:pPr>
      <w:bookmarkStart w:id="12" w:name="_Toc176875423"/>
      <w:r w:rsidRPr="00E915A8">
        <w:t>Client advocacy</w:t>
      </w:r>
      <w:bookmarkEnd w:id="12"/>
    </w:p>
    <w:p w14:paraId="2A76D0EA" w14:textId="1A0EFC2F" w:rsidR="002E11D7" w:rsidRPr="00845DB7" w:rsidRDefault="00ED53F6" w:rsidP="00E915A8">
      <w:pPr>
        <w:pStyle w:val="Heading4"/>
      </w:pPr>
      <w:r w:rsidRPr="00845DB7">
        <w:t>H</w:t>
      </w:r>
      <w:r w:rsidR="002E11D7" w:rsidRPr="00845DB7">
        <w:t>ow does a client get advocacy services?</w:t>
      </w:r>
    </w:p>
    <w:p w14:paraId="2B396B90" w14:textId="77777777" w:rsidR="002E11D7" w:rsidRPr="00730539" w:rsidRDefault="002E11D7" w:rsidP="002E1AAA">
      <w:pPr>
        <w:pStyle w:val="ListBullet"/>
      </w:pPr>
      <w:r w:rsidRPr="00730539">
        <w:t>Clients can contact the following organisations to enquire about advocacy services available to them.</w:t>
      </w:r>
    </w:p>
    <w:p w14:paraId="54E042E3" w14:textId="59B7681E" w:rsidR="002E11D7" w:rsidRPr="00730539" w:rsidRDefault="002E11D7" w:rsidP="002E1AAA">
      <w:pPr>
        <w:pStyle w:val="ListBullet2"/>
      </w:pPr>
      <w:r w:rsidRPr="00730539">
        <w:t xml:space="preserve">Disability Advocacy Network Australia (DANA) via </w:t>
      </w:r>
      <w:hyperlink r:id="rId30" w:history="1">
        <w:r w:rsidRPr="00730539">
          <w:rPr>
            <w:rStyle w:val="Hyperlink"/>
          </w:rPr>
          <w:t xml:space="preserve">info@dana.org.au </w:t>
        </w:r>
      </w:hyperlink>
    </w:p>
    <w:p w14:paraId="3A72D48F" w14:textId="6B73E6CE" w:rsidR="002E11D7" w:rsidRPr="00446487" w:rsidRDefault="002E11D7" w:rsidP="002E1AAA">
      <w:pPr>
        <w:pStyle w:val="ListBullet2"/>
      </w:pPr>
      <w:r w:rsidRPr="00446487">
        <w:t xml:space="preserve">Disability Advocacy Support Helpline via </w:t>
      </w:r>
      <w:hyperlink r:id="rId31" w:history="1">
        <w:r w:rsidR="00730539" w:rsidRPr="00446487">
          <w:rPr>
            <w:rStyle w:val="Hyperlink"/>
          </w:rPr>
          <w:t xml:space="preserve">thehelpline@advocacylaw.org.au </w:t>
        </w:r>
      </w:hyperlink>
      <w:r w:rsidRPr="00446487">
        <w:t xml:space="preserve"> </w:t>
      </w:r>
    </w:p>
    <w:p w14:paraId="49D24F66" w14:textId="4D590ECA" w:rsidR="00ED53F6" w:rsidRPr="005D03B7" w:rsidRDefault="00000000" w:rsidP="002E1AAA">
      <w:pPr>
        <w:pStyle w:val="ListBullet2"/>
      </w:pPr>
      <w:hyperlink r:id="rId32" w:history="1">
        <w:r w:rsidR="00F624F0" w:rsidRPr="005D03B7">
          <w:rPr>
            <w:rStyle w:val="Hyperlink"/>
          </w:rPr>
          <w:t>Older Persons Advocacy Network (</w:t>
        </w:r>
        <w:r w:rsidR="002E11D7" w:rsidRPr="005D03B7">
          <w:rPr>
            <w:rStyle w:val="Hyperlink"/>
          </w:rPr>
          <w:t>OPAN</w:t>
        </w:r>
        <w:r w:rsidR="00F624F0" w:rsidRPr="005D03B7">
          <w:rPr>
            <w:rStyle w:val="Hyperlink"/>
          </w:rPr>
          <w:t>)</w:t>
        </w:r>
      </w:hyperlink>
      <w:r w:rsidR="002E11D7" w:rsidRPr="005D03B7">
        <w:t xml:space="preserve"> on 1800 700 600 to connect</w:t>
      </w:r>
      <w:r w:rsidR="00F624F0" w:rsidRPr="005D03B7">
        <w:t xml:space="preserve"> </w:t>
      </w:r>
      <w:r w:rsidR="002E11D7" w:rsidRPr="005D03B7">
        <w:t>to a local advocate.</w:t>
      </w:r>
    </w:p>
    <w:p w14:paraId="62234995" w14:textId="06AEBDA3" w:rsidR="002E11D7" w:rsidRPr="00E915A8" w:rsidRDefault="00F624F0" w:rsidP="00E915A8">
      <w:pPr>
        <w:pStyle w:val="Heading3nonumbers"/>
      </w:pPr>
      <w:bookmarkStart w:id="13" w:name="_Toc176875424"/>
      <w:r w:rsidRPr="00E915A8">
        <w:t xml:space="preserve">DSOA </w:t>
      </w:r>
      <w:r w:rsidR="002E11D7" w:rsidRPr="00E915A8">
        <w:t>Community Newsletter subscription</w:t>
      </w:r>
      <w:bookmarkEnd w:id="13"/>
    </w:p>
    <w:p w14:paraId="7ECABAFB" w14:textId="15A99D48" w:rsidR="002E11D7" w:rsidRPr="00845DB7" w:rsidRDefault="00B1272E" w:rsidP="00E915A8">
      <w:pPr>
        <w:pStyle w:val="Heading4"/>
      </w:pPr>
      <w:r w:rsidRPr="00845DB7">
        <w:t xml:space="preserve">How do I </w:t>
      </w:r>
      <w:r w:rsidR="002E11D7" w:rsidRPr="00845DB7">
        <w:t>subscribe to the DSOA community newsletter?</w:t>
      </w:r>
    </w:p>
    <w:p w14:paraId="427437EE" w14:textId="396A3942" w:rsidR="002E11D7" w:rsidRPr="002249DE" w:rsidRDefault="002E11D7" w:rsidP="002E1AAA">
      <w:pPr>
        <w:pStyle w:val="ListBullet"/>
        <w:rPr>
          <w:rFonts w:cs="Arial"/>
        </w:rPr>
      </w:pPr>
      <w:r w:rsidRPr="002249DE">
        <w:rPr>
          <w:rFonts w:cs="Arial"/>
        </w:rPr>
        <w:t xml:space="preserve">To keep up to date with any DSOA Program news, please </w:t>
      </w:r>
      <w:hyperlink r:id="rId33" w:history="1">
        <w:r w:rsidR="00F624F0" w:rsidRPr="005D03B7">
          <w:rPr>
            <w:rStyle w:val="Hyperlink"/>
          </w:rPr>
          <w:t>register for the DSOA community newsletter</w:t>
        </w:r>
      </w:hyperlink>
      <w:r w:rsidRPr="00F624F0">
        <w:rPr>
          <w:rFonts w:cs="Arial"/>
        </w:rPr>
        <w:t>.</w:t>
      </w:r>
    </w:p>
    <w:p w14:paraId="7F926BF7" w14:textId="77777777" w:rsidR="002E11D7" w:rsidRPr="00446487" w:rsidRDefault="002E11D7" w:rsidP="002E1AAA">
      <w:pPr>
        <w:pStyle w:val="ListBullet"/>
        <w:rPr>
          <w:rFonts w:cs="Arial"/>
        </w:rPr>
      </w:pPr>
      <w:r w:rsidRPr="00446487">
        <w:rPr>
          <w:rFonts w:cs="Arial"/>
        </w:rPr>
        <w:t xml:space="preserve">We also encourage you to subscribe to the </w:t>
      </w:r>
      <w:hyperlink r:id="rId34" w:history="1">
        <w:r w:rsidRPr="005D03B7">
          <w:rPr>
            <w:rStyle w:val="Hyperlink"/>
          </w:rPr>
          <w:t>aged care sector newsletter and alerts</w:t>
        </w:r>
      </w:hyperlink>
      <w:r w:rsidRPr="00446487">
        <w:rPr>
          <w:rFonts w:cs="Arial"/>
        </w:rPr>
        <w:t xml:space="preserve">. </w:t>
      </w:r>
    </w:p>
    <w:p w14:paraId="2F44E003" w14:textId="05EA1C74" w:rsidR="002E11D7" w:rsidRPr="00E915A8" w:rsidRDefault="002E11D7" w:rsidP="00E915A8">
      <w:pPr>
        <w:pStyle w:val="Heading3nonumbers"/>
      </w:pPr>
      <w:bookmarkStart w:id="14" w:name="_Toc176875425"/>
      <w:r w:rsidRPr="00E915A8">
        <w:t>DSOA Program and Funding Arrangement Manager</w:t>
      </w:r>
      <w:bookmarkEnd w:id="14"/>
      <w:r w:rsidRPr="00E915A8">
        <w:t xml:space="preserve"> </w:t>
      </w:r>
    </w:p>
    <w:p w14:paraId="0052A18B" w14:textId="77777777" w:rsidR="002E11D7" w:rsidRPr="00845DB7" w:rsidRDefault="002E11D7" w:rsidP="00E915A8">
      <w:pPr>
        <w:pStyle w:val="Heading4"/>
      </w:pPr>
      <w:r w:rsidRPr="00845DB7">
        <w:t>Where can I find more information about DSOA and who can I contact?</w:t>
      </w:r>
    </w:p>
    <w:p w14:paraId="7D0C0BC9" w14:textId="63D3E37A" w:rsidR="002E11D7" w:rsidRPr="002249DE" w:rsidRDefault="002E11D7" w:rsidP="002E1AAA">
      <w:pPr>
        <w:pStyle w:val="ListBullet"/>
      </w:pPr>
      <w:r w:rsidRPr="002249DE">
        <w:t xml:space="preserve">If you have questions or </w:t>
      </w:r>
      <w:r w:rsidR="005444A1">
        <w:t>need</w:t>
      </w:r>
      <w:r w:rsidR="005444A1" w:rsidRPr="002249DE">
        <w:t xml:space="preserve"> </w:t>
      </w:r>
      <w:r w:rsidR="005444A1">
        <w:t>more</w:t>
      </w:r>
      <w:r w:rsidR="005444A1" w:rsidRPr="002249DE">
        <w:t xml:space="preserve"> </w:t>
      </w:r>
      <w:r w:rsidRPr="002249DE">
        <w:t xml:space="preserve">information </w:t>
      </w:r>
      <w:r w:rsidR="00446487">
        <w:t xml:space="preserve">about </w:t>
      </w:r>
      <w:r w:rsidRPr="002249DE">
        <w:t xml:space="preserve">clients transitioning to aged care, please contact </w:t>
      </w:r>
      <w:hyperlink r:id="rId35" w:history="1">
        <w:r w:rsidRPr="002249DE">
          <w:rPr>
            <w:rStyle w:val="Hyperlink"/>
          </w:rPr>
          <w:t>CommonwealthDSOA@health.gov.au</w:t>
        </w:r>
      </w:hyperlink>
      <w:r w:rsidRPr="002249DE">
        <w:t xml:space="preserve"> </w:t>
      </w:r>
    </w:p>
    <w:p w14:paraId="522D2A5C" w14:textId="48596271" w:rsidR="002E11D7" w:rsidRPr="002249DE" w:rsidRDefault="002E11D7" w:rsidP="002E1AAA">
      <w:pPr>
        <w:pStyle w:val="ListBullet"/>
      </w:pPr>
      <w:r w:rsidRPr="002249DE">
        <w:t xml:space="preserve">If </w:t>
      </w:r>
      <w:r w:rsidR="005444A1" w:rsidRPr="002249DE">
        <w:t>you</w:t>
      </w:r>
      <w:r w:rsidR="005444A1">
        <w:t xml:space="preserve"> have</w:t>
      </w:r>
      <w:r w:rsidR="005444A1" w:rsidRPr="002249DE">
        <w:t xml:space="preserve"> </w:t>
      </w:r>
      <w:r w:rsidRPr="002249DE">
        <w:t xml:space="preserve">questions </w:t>
      </w:r>
      <w:r w:rsidR="005444A1">
        <w:t xml:space="preserve">about </w:t>
      </w:r>
      <w:r w:rsidRPr="002249DE">
        <w:t xml:space="preserve">the new quarterly milestone reporting, please contact </w:t>
      </w:r>
      <w:hyperlink r:id="rId36" w:history="1">
        <w:r w:rsidRPr="002249DE">
          <w:rPr>
            <w:rStyle w:val="Hyperlink"/>
          </w:rPr>
          <w:t>DSOAcompliance@health.gov.au</w:t>
        </w:r>
      </w:hyperlink>
      <w:r w:rsidRPr="002249DE">
        <w:t xml:space="preserve"> </w:t>
      </w:r>
    </w:p>
    <w:p w14:paraId="29BEFBE4" w14:textId="79846E5A" w:rsidR="002E11D7" w:rsidRPr="002249DE" w:rsidRDefault="002E11D7" w:rsidP="002E1AAA">
      <w:pPr>
        <w:pStyle w:val="ListBullet"/>
      </w:pPr>
      <w:r w:rsidRPr="002249DE">
        <w:t xml:space="preserve">If </w:t>
      </w:r>
      <w:r w:rsidR="005444A1" w:rsidRPr="002249DE">
        <w:t>you</w:t>
      </w:r>
      <w:r w:rsidR="005444A1">
        <w:t xml:space="preserve"> have</w:t>
      </w:r>
      <w:r w:rsidR="005444A1" w:rsidRPr="002249DE">
        <w:t xml:space="preserve"> </w:t>
      </w:r>
      <w:r w:rsidRPr="002249DE">
        <w:t xml:space="preserve">questions </w:t>
      </w:r>
      <w:r w:rsidR="005444A1">
        <w:t>about</w:t>
      </w:r>
      <w:r w:rsidRPr="002249DE">
        <w:t xml:space="preserve"> a Change of Needs application, please contact </w:t>
      </w:r>
      <w:hyperlink r:id="rId37" w:history="1">
        <w:r w:rsidRPr="002249DE">
          <w:rPr>
            <w:rStyle w:val="Hyperlink"/>
          </w:rPr>
          <w:t>DSOAchangeofneed@health.gov.au</w:t>
        </w:r>
      </w:hyperlink>
      <w:r w:rsidRPr="002249DE">
        <w:t xml:space="preserve"> </w:t>
      </w:r>
    </w:p>
    <w:p w14:paraId="1ED225F5" w14:textId="7B907D12" w:rsidR="002E11D7" w:rsidRPr="002249DE" w:rsidRDefault="002E11D7" w:rsidP="002E1AAA">
      <w:pPr>
        <w:pStyle w:val="ListBullet"/>
        <w:rPr>
          <w:rFonts w:cs="Arial"/>
        </w:rPr>
      </w:pPr>
      <w:r w:rsidRPr="002249DE">
        <w:lastRenderedPageBreak/>
        <w:t xml:space="preserve">If you have any other questions, in the first instance you should contact your DSOA </w:t>
      </w:r>
      <w:r w:rsidR="005444A1">
        <w:t>Funding Arrangement Manager</w:t>
      </w:r>
      <w:r w:rsidR="005444A1" w:rsidRPr="002249DE">
        <w:t xml:space="preserve"> </w:t>
      </w:r>
      <w:r w:rsidRPr="002249DE">
        <w:t xml:space="preserve">in the Community Grants Hub via the relevant state or territory jurisdiction email </w:t>
      </w:r>
      <w:r w:rsidR="005444A1">
        <w:t>(</w:t>
      </w:r>
      <w:r w:rsidRPr="002249DE">
        <w:t>below</w:t>
      </w:r>
      <w:r w:rsidR="005444A1">
        <w:t>).</w:t>
      </w:r>
    </w:p>
    <w:tbl>
      <w:tblPr>
        <w:tblStyle w:val="ListTable3"/>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4953"/>
      </w:tblGrid>
      <w:tr w:rsidR="002E11D7" w:rsidRPr="00730539" w14:paraId="670980FB" w14:textId="77777777" w:rsidTr="002E1AAA">
        <w:trPr>
          <w:cnfStyle w:val="100000000000" w:firstRow="1" w:lastRow="0" w:firstColumn="0" w:lastColumn="0" w:oddVBand="0" w:evenVBand="0" w:oddHBand="0" w:evenHBand="0" w:firstRowFirstColumn="0" w:firstRowLastColumn="0" w:lastRowFirstColumn="0" w:lastRowLastColumn="0"/>
          <w:trHeight w:val="318"/>
          <w:tblHeader/>
        </w:trPr>
        <w:tc>
          <w:tcPr>
            <w:cnfStyle w:val="001000000100" w:firstRow="0" w:lastRow="0" w:firstColumn="1" w:lastColumn="0" w:oddVBand="0" w:evenVBand="0" w:oddHBand="0" w:evenHBand="0" w:firstRowFirstColumn="1" w:firstRowLastColumn="0" w:lastRowFirstColumn="0" w:lastRowLastColumn="0"/>
            <w:tcW w:w="3968" w:type="dxa"/>
            <w:tcBorders>
              <w:bottom w:val="none" w:sz="0" w:space="0" w:color="auto"/>
              <w:right w:val="none" w:sz="0" w:space="0" w:color="auto"/>
            </w:tcBorders>
            <w:shd w:val="clear" w:color="auto" w:fill="002060"/>
            <w:vAlign w:val="center"/>
          </w:tcPr>
          <w:p w14:paraId="7F06F075" w14:textId="77777777" w:rsidR="002E11D7" w:rsidRPr="00730539" w:rsidRDefault="002E11D7" w:rsidP="005D03B7">
            <w:pPr>
              <w:spacing w:before="120" w:after="120"/>
              <w:rPr>
                <w:rFonts w:ascii="Arial" w:hAnsi="Arial" w:cs="Arial"/>
                <w:sz w:val="22"/>
                <w:szCs w:val="22"/>
              </w:rPr>
            </w:pPr>
            <w:r w:rsidRPr="00730539">
              <w:rPr>
                <w:rFonts w:ascii="Arial" w:hAnsi="Arial" w:cs="Arial"/>
                <w:sz w:val="22"/>
                <w:szCs w:val="22"/>
              </w:rPr>
              <w:t>State/territory</w:t>
            </w:r>
          </w:p>
        </w:tc>
        <w:tc>
          <w:tcPr>
            <w:tcW w:w="5099" w:type="dxa"/>
            <w:shd w:val="clear" w:color="auto" w:fill="002060"/>
            <w:vAlign w:val="center"/>
          </w:tcPr>
          <w:p w14:paraId="4843AB25" w14:textId="77777777" w:rsidR="002E11D7" w:rsidRPr="00730539" w:rsidRDefault="002E11D7" w:rsidP="005D03B7">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30539">
              <w:rPr>
                <w:rFonts w:ascii="Arial" w:hAnsi="Arial" w:cs="Arial"/>
                <w:sz w:val="22"/>
                <w:szCs w:val="22"/>
              </w:rPr>
              <w:t>Email</w:t>
            </w:r>
          </w:p>
        </w:tc>
      </w:tr>
      <w:tr w:rsidR="002E11D7" w:rsidRPr="00730539" w14:paraId="1EEF4829" w14:textId="77777777" w:rsidTr="00224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tcBorders>
              <w:top w:val="none" w:sz="0" w:space="0" w:color="auto"/>
              <w:bottom w:val="none" w:sz="0" w:space="0" w:color="auto"/>
              <w:right w:val="none" w:sz="0" w:space="0" w:color="auto"/>
            </w:tcBorders>
            <w:shd w:val="clear" w:color="auto" w:fill="auto"/>
            <w:vAlign w:val="center"/>
          </w:tcPr>
          <w:p w14:paraId="72A61584" w14:textId="77777777" w:rsidR="002E11D7" w:rsidRPr="00730539" w:rsidRDefault="002E11D7" w:rsidP="005D03B7">
            <w:pPr>
              <w:spacing w:before="120" w:after="120"/>
              <w:rPr>
                <w:rFonts w:ascii="Arial" w:hAnsi="Arial" w:cs="Arial"/>
                <w:b w:val="0"/>
                <w:bCs w:val="0"/>
                <w:sz w:val="22"/>
                <w:szCs w:val="22"/>
              </w:rPr>
            </w:pPr>
            <w:r w:rsidRPr="00730539">
              <w:rPr>
                <w:rFonts w:ascii="Arial" w:hAnsi="Arial" w:cs="Arial"/>
                <w:b w:val="0"/>
                <w:bCs w:val="0"/>
                <w:sz w:val="22"/>
                <w:szCs w:val="22"/>
              </w:rPr>
              <w:t>New South Wales/Australian Capital Territory:</w:t>
            </w:r>
          </w:p>
        </w:tc>
        <w:tc>
          <w:tcPr>
            <w:tcW w:w="5099" w:type="dxa"/>
            <w:tcBorders>
              <w:top w:val="none" w:sz="0" w:space="0" w:color="auto"/>
              <w:bottom w:val="none" w:sz="0" w:space="0" w:color="auto"/>
            </w:tcBorders>
            <w:vAlign w:val="center"/>
          </w:tcPr>
          <w:p w14:paraId="68945E37" w14:textId="77777777" w:rsidR="002E11D7" w:rsidRPr="00730539" w:rsidRDefault="00000000" w:rsidP="005D03B7">
            <w:pPr>
              <w:pStyle w:val="NoSpacing"/>
              <w:spacing w:before="120" w:after="120"/>
              <w:cnfStyle w:val="000000100000" w:firstRow="0" w:lastRow="0" w:firstColumn="0" w:lastColumn="0" w:oddVBand="0" w:evenVBand="0" w:oddHBand="1" w:evenHBand="0" w:firstRowFirstColumn="0" w:firstRowLastColumn="0" w:lastRowFirstColumn="0" w:lastRowLastColumn="0"/>
              <w:rPr>
                <w:rFonts w:cs="Arial"/>
                <w:sz w:val="22"/>
                <w:szCs w:val="22"/>
              </w:rPr>
            </w:pPr>
            <w:hyperlink r:id="rId38" w:history="1">
              <w:r w:rsidR="002E11D7" w:rsidRPr="00730539">
                <w:rPr>
                  <w:rStyle w:val="Hyperlink"/>
                  <w:rFonts w:cs="Arial"/>
                  <w:sz w:val="22"/>
                  <w:szCs w:val="22"/>
                </w:rPr>
                <w:t>nswact.DSOA@dss.gov.au</w:t>
              </w:r>
            </w:hyperlink>
            <w:r w:rsidR="002E11D7" w:rsidRPr="00730539">
              <w:rPr>
                <w:rFonts w:cs="Arial"/>
                <w:sz w:val="22"/>
                <w:szCs w:val="22"/>
              </w:rPr>
              <w:t xml:space="preserve">  </w:t>
            </w:r>
          </w:p>
        </w:tc>
      </w:tr>
      <w:tr w:rsidR="002E11D7" w:rsidRPr="00730539" w14:paraId="6C5EBCAE" w14:textId="77777777" w:rsidTr="002249DE">
        <w:tc>
          <w:tcPr>
            <w:cnfStyle w:val="001000000000" w:firstRow="0" w:lastRow="0" w:firstColumn="1" w:lastColumn="0" w:oddVBand="0" w:evenVBand="0" w:oddHBand="0" w:evenHBand="0" w:firstRowFirstColumn="0" w:firstRowLastColumn="0" w:lastRowFirstColumn="0" w:lastRowLastColumn="0"/>
            <w:tcW w:w="3968" w:type="dxa"/>
            <w:tcBorders>
              <w:right w:val="none" w:sz="0" w:space="0" w:color="auto"/>
            </w:tcBorders>
            <w:shd w:val="clear" w:color="auto" w:fill="auto"/>
            <w:vAlign w:val="center"/>
          </w:tcPr>
          <w:p w14:paraId="5CB0211D" w14:textId="77777777" w:rsidR="002E11D7" w:rsidRPr="00730539" w:rsidRDefault="002E11D7" w:rsidP="005D03B7">
            <w:pPr>
              <w:spacing w:before="120" w:after="120"/>
              <w:rPr>
                <w:rFonts w:ascii="Arial" w:hAnsi="Arial" w:cs="Arial"/>
                <w:b w:val="0"/>
                <w:bCs w:val="0"/>
                <w:sz w:val="22"/>
                <w:szCs w:val="22"/>
              </w:rPr>
            </w:pPr>
            <w:r w:rsidRPr="00730539">
              <w:rPr>
                <w:rFonts w:ascii="Arial" w:hAnsi="Arial" w:cs="Arial"/>
                <w:b w:val="0"/>
                <w:bCs w:val="0"/>
                <w:sz w:val="22"/>
                <w:szCs w:val="22"/>
              </w:rPr>
              <w:t>Northern Territory:</w:t>
            </w:r>
          </w:p>
        </w:tc>
        <w:tc>
          <w:tcPr>
            <w:tcW w:w="5099" w:type="dxa"/>
            <w:vAlign w:val="center"/>
          </w:tcPr>
          <w:p w14:paraId="6BF335AA" w14:textId="77777777" w:rsidR="002E11D7" w:rsidRPr="00730539" w:rsidRDefault="00000000" w:rsidP="005D03B7">
            <w:pPr>
              <w:pStyle w:val="NoSpacing"/>
              <w:spacing w:before="120" w:after="120"/>
              <w:cnfStyle w:val="000000000000" w:firstRow="0" w:lastRow="0" w:firstColumn="0" w:lastColumn="0" w:oddVBand="0" w:evenVBand="0" w:oddHBand="0" w:evenHBand="0" w:firstRowFirstColumn="0" w:firstRowLastColumn="0" w:lastRowFirstColumn="0" w:lastRowLastColumn="0"/>
              <w:rPr>
                <w:rFonts w:cs="Arial"/>
                <w:sz w:val="22"/>
                <w:szCs w:val="22"/>
              </w:rPr>
            </w:pPr>
            <w:hyperlink r:id="rId39" w:history="1">
              <w:r w:rsidR="002E11D7" w:rsidRPr="00730539">
                <w:rPr>
                  <w:rStyle w:val="Hyperlink"/>
                  <w:rFonts w:cs="Arial"/>
                  <w:sz w:val="22"/>
                  <w:szCs w:val="22"/>
                </w:rPr>
                <w:t>nt.DSOA@dss.gov.au</w:t>
              </w:r>
            </w:hyperlink>
            <w:r w:rsidR="002E11D7" w:rsidRPr="00730539">
              <w:rPr>
                <w:rFonts w:cs="Arial"/>
                <w:sz w:val="22"/>
                <w:szCs w:val="22"/>
              </w:rPr>
              <w:t xml:space="preserve"> </w:t>
            </w:r>
          </w:p>
        </w:tc>
      </w:tr>
      <w:tr w:rsidR="002E11D7" w:rsidRPr="00730539" w14:paraId="3F43FAB9" w14:textId="77777777" w:rsidTr="00224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tcBorders>
              <w:top w:val="none" w:sz="0" w:space="0" w:color="auto"/>
              <w:bottom w:val="none" w:sz="0" w:space="0" w:color="auto"/>
              <w:right w:val="none" w:sz="0" w:space="0" w:color="auto"/>
            </w:tcBorders>
            <w:shd w:val="clear" w:color="auto" w:fill="auto"/>
            <w:vAlign w:val="center"/>
          </w:tcPr>
          <w:p w14:paraId="09795E38" w14:textId="77777777" w:rsidR="002E11D7" w:rsidRPr="00730539" w:rsidRDefault="002E11D7" w:rsidP="005D03B7">
            <w:pPr>
              <w:spacing w:before="120" w:after="120"/>
              <w:rPr>
                <w:rFonts w:ascii="Arial" w:hAnsi="Arial" w:cs="Arial"/>
                <w:b w:val="0"/>
                <w:bCs w:val="0"/>
                <w:sz w:val="22"/>
                <w:szCs w:val="22"/>
              </w:rPr>
            </w:pPr>
            <w:r w:rsidRPr="00730539">
              <w:rPr>
                <w:rFonts w:ascii="Arial" w:hAnsi="Arial" w:cs="Arial"/>
                <w:b w:val="0"/>
                <w:bCs w:val="0"/>
                <w:sz w:val="22"/>
                <w:szCs w:val="22"/>
              </w:rPr>
              <w:t>Queensland:</w:t>
            </w:r>
          </w:p>
        </w:tc>
        <w:tc>
          <w:tcPr>
            <w:tcW w:w="5099" w:type="dxa"/>
            <w:tcBorders>
              <w:top w:val="none" w:sz="0" w:space="0" w:color="auto"/>
              <w:bottom w:val="none" w:sz="0" w:space="0" w:color="auto"/>
            </w:tcBorders>
            <w:vAlign w:val="center"/>
          </w:tcPr>
          <w:p w14:paraId="10203954" w14:textId="77777777" w:rsidR="002E11D7" w:rsidRPr="00730539" w:rsidRDefault="00000000" w:rsidP="005D03B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40" w:history="1">
              <w:r w:rsidR="002E11D7" w:rsidRPr="00730539">
                <w:rPr>
                  <w:rStyle w:val="Hyperlink"/>
                  <w:rFonts w:cs="Arial"/>
                  <w:sz w:val="22"/>
                  <w:szCs w:val="22"/>
                </w:rPr>
                <w:t>qld.DSOA@dss.gov.au</w:t>
              </w:r>
            </w:hyperlink>
          </w:p>
        </w:tc>
      </w:tr>
      <w:tr w:rsidR="002E11D7" w:rsidRPr="00730539" w14:paraId="0913CB02" w14:textId="77777777" w:rsidTr="002249DE">
        <w:tc>
          <w:tcPr>
            <w:cnfStyle w:val="001000000000" w:firstRow="0" w:lastRow="0" w:firstColumn="1" w:lastColumn="0" w:oddVBand="0" w:evenVBand="0" w:oddHBand="0" w:evenHBand="0" w:firstRowFirstColumn="0" w:firstRowLastColumn="0" w:lastRowFirstColumn="0" w:lastRowLastColumn="0"/>
            <w:tcW w:w="3968" w:type="dxa"/>
            <w:tcBorders>
              <w:right w:val="none" w:sz="0" w:space="0" w:color="auto"/>
            </w:tcBorders>
            <w:shd w:val="clear" w:color="auto" w:fill="auto"/>
            <w:vAlign w:val="center"/>
          </w:tcPr>
          <w:p w14:paraId="2DF64F51" w14:textId="77777777" w:rsidR="002E11D7" w:rsidRPr="00730539" w:rsidRDefault="002E11D7" w:rsidP="005D03B7">
            <w:pPr>
              <w:spacing w:before="120" w:after="120"/>
              <w:rPr>
                <w:rFonts w:ascii="Arial" w:hAnsi="Arial" w:cs="Arial"/>
                <w:b w:val="0"/>
                <w:bCs w:val="0"/>
                <w:sz w:val="22"/>
                <w:szCs w:val="22"/>
              </w:rPr>
            </w:pPr>
            <w:r w:rsidRPr="00730539">
              <w:rPr>
                <w:rFonts w:ascii="Arial" w:hAnsi="Arial" w:cs="Arial"/>
                <w:b w:val="0"/>
                <w:bCs w:val="0"/>
                <w:sz w:val="22"/>
                <w:szCs w:val="22"/>
              </w:rPr>
              <w:t>South Australia:</w:t>
            </w:r>
          </w:p>
        </w:tc>
        <w:tc>
          <w:tcPr>
            <w:tcW w:w="5099" w:type="dxa"/>
            <w:vAlign w:val="center"/>
          </w:tcPr>
          <w:p w14:paraId="5D4DB489" w14:textId="77777777" w:rsidR="002E11D7" w:rsidRPr="00730539" w:rsidRDefault="00000000" w:rsidP="005D03B7">
            <w:pPr>
              <w:pStyle w:val="NoSpacing"/>
              <w:spacing w:before="120" w:after="120"/>
              <w:cnfStyle w:val="000000000000" w:firstRow="0" w:lastRow="0" w:firstColumn="0" w:lastColumn="0" w:oddVBand="0" w:evenVBand="0" w:oddHBand="0" w:evenHBand="0" w:firstRowFirstColumn="0" w:firstRowLastColumn="0" w:lastRowFirstColumn="0" w:lastRowLastColumn="0"/>
              <w:rPr>
                <w:rFonts w:cs="Arial"/>
                <w:sz w:val="22"/>
                <w:szCs w:val="22"/>
              </w:rPr>
            </w:pPr>
            <w:hyperlink r:id="rId41" w:history="1">
              <w:r w:rsidR="002E11D7" w:rsidRPr="00730539">
                <w:rPr>
                  <w:rStyle w:val="Hyperlink"/>
                  <w:rFonts w:cs="Arial"/>
                  <w:sz w:val="22"/>
                  <w:szCs w:val="22"/>
                </w:rPr>
                <w:t>sa.DSOA@dss.gov.au</w:t>
              </w:r>
            </w:hyperlink>
            <w:r w:rsidR="002E11D7" w:rsidRPr="00730539">
              <w:rPr>
                <w:rFonts w:cs="Arial"/>
                <w:sz w:val="22"/>
                <w:szCs w:val="22"/>
              </w:rPr>
              <w:t xml:space="preserve"> </w:t>
            </w:r>
          </w:p>
        </w:tc>
      </w:tr>
      <w:tr w:rsidR="002E11D7" w:rsidRPr="00730539" w14:paraId="12FC8640" w14:textId="77777777" w:rsidTr="00224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tcBorders>
              <w:top w:val="none" w:sz="0" w:space="0" w:color="auto"/>
              <w:bottom w:val="none" w:sz="0" w:space="0" w:color="auto"/>
              <w:right w:val="none" w:sz="0" w:space="0" w:color="auto"/>
            </w:tcBorders>
            <w:shd w:val="clear" w:color="auto" w:fill="auto"/>
            <w:vAlign w:val="center"/>
          </w:tcPr>
          <w:p w14:paraId="575FBA08" w14:textId="77777777" w:rsidR="002E11D7" w:rsidRPr="00730539" w:rsidRDefault="002E11D7" w:rsidP="005D03B7">
            <w:pPr>
              <w:spacing w:before="120" w:after="120"/>
              <w:rPr>
                <w:rFonts w:ascii="Arial" w:hAnsi="Arial" w:cs="Arial"/>
                <w:b w:val="0"/>
                <w:bCs w:val="0"/>
                <w:sz w:val="22"/>
                <w:szCs w:val="22"/>
              </w:rPr>
            </w:pPr>
            <w:r w:rsidRPr="00730539">
              <w:rPr>
                <w:rFonts w:ascii="Arial" w:hAnsi="Arial" w:cs="Arial"/>
                <w:b w:val="0"/>
                <w:bCs w:val="0"/>
                <w:sz w:val="22"/>
                <w:szCs w:val="22"/>
              </w:rPr>
              <w:t>Tasmania:</w:t>
            </w:r>
          </w:p>
        </w:tc>
        <w:tc>
          <w:tcPr>
            <w:tcW w:w="5099" w:type="dxa"/>
            <w:tcBorders>
              <w:top w:val="none" w:sz="0" w:space="0" w:color="auto"/>
              <w:bottom w:val="none" w:sz="0" w:space="0" w:color="auto"/>
            </w:tcBorders>
            <w:vAlign w:val="center"/>
          </w:tcPr>
          <w:p w14:paraId="0E70A87D" w14:textId="77777777" w:rsidR="002E11D7" w:rsidRPr="00730539" w:rsidRDefault="00000000" w:rsidP="005D03B7">
            <w:pPr>
              <w:pStyle w:val="NoSpacing"/>
              <w:spacing w:before="120" w:after="120"/>
              <w:cnfStyle w:val="000000100000" w:firstRow="0" w:lastRow="0" w:firstColumn="0" w:lastColumn="0" w:oddVBand="0" w:evenVBand="0" w:oddHBand="1" w:evenHBand="0" w:firstRowFirstColumn="0" w:firstRowLastColumn="0" w:lastRowFirstColumn="0" w:lastRowLastColumn="0"/>
              <w:rPr>
                <w:rFonts w:cs="Arial"/>
                <w:sz w:val="22"/>
                <w:szCs w:val="22"/>
              </w:rPr>
            </w:pPr>
            <w:hyperlink r:id="rId42" w:history="1">
              <w:r w:rsidR="002E11D7" w:rsidRPr="00730539">
                <w:rPr>
                  <w:rStyle w:val="Hyperlink"/>
                  <w:rFonts w:cs="Arial"/>
                  <w:sz w:val="22"/>
                  <w:szCs w:val="22"/>
                </w:rPr>
                <w:t>tas.DSOA@dss.gov.au</w:t>
              </w:r>
            </w:hyperlink>
            <w:r w:rsidR="002E11D7" w:rsidRPr="00730539">
              <w:rPr>
                <w:rFonts w:cs="Arial"/>
                <w:sz w:val="22"/>
                <w:szCs w:val="22"/>
              </w:rPr>
              <w:t xml:space="preserve"> </w:t>
            </w:r>
          </w:p>
        </w:tc>
      </w:tr>
      <w:tr w:rsidR="002E11D7" w:rsidRPr="00730539" w14:paraId="37321FC0" w14:textId="77777777" w:rsidTr="005D03B7">
        <w:trPr>
          <w:trHeight w:val="79"/>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shd w:val="clear" w:color="auto" w:fill="auto"/>
            <w:vAlign w:val="center"/>
          </w:tcPr>
          <w:p w14:paraId="7CB6F99F" w14:textId="77777777" w:rsidR="002E11D7" w:rsidRPr="00730539" w:rsidRDefault="002E11D7" w:rsidP="005D03B7">
            <w:pPr>
              <w:spacing w:before="120" w:after="120"/>
              <w:rPr>
                <w:rFonts w:ascii="Arial" w:hAnsi="Arial" w:cs="Arial"/>
                <w:b w:val="0"/>
                <w:bCs w:val="0"/>
                <w:sz w:val="22"/>
                <w:szCs w:val="22"/>
              </w:rPr>
            </w:pPr>
            <w:r w:rsidRPr="00730539">
              <w:rPr>
                <w:rFonts w:ascii="Arial" w:hAnsi="Arial" w:cs="Arial"/>
                <w:b w:val="0"/>
                <w:bCs w:val="0"/>
                <w:sz w:val="22"/>
                <w:szCs w:val="22"/>
              </w:rPr>
              <w:t>Victoria:</w:t>
            </w:r>
          </w:p>
        </w:tc>
        <w:tc>
          <w:tcPr>
            <w:tcW w:w="0" w:type="dxa"/>
            <w:vAlign w:val="center"/>
          </w:tcPr>
          <w:p w14:paraId="129347B1" w14:textId="77777777" w:rsidR="002E11D7" w:rsidRPr="00730539" w:rsidRDefault="00000000" w:rsidP="005D03B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hyperlink r:id="rId43" w:history="1">
              <w:r w:rsidR="002E11D7" w:rsidRPr="00730539">
                <w:rPr>
                  <w:rStyle w:val="Hyperlink"/>
                  <w:rFonts w:cs="Arial"/>
                  <w:sz w:val="22"/>
                  <w:szCs w:val="22"/>
                </w:rPr>
                <w:t>vic.DSOA@dss.gov.au</w:t>
              </w:r>
            </w:hyperlink>
          </w:p>
        </w:tc>
      </w:tr>
      <w:tr w:rsidR="002E11D7" w:rsidRPr="00730539" w14:paraId="6538947B" w14:textId="77777777" w:rsidTr="002249DE">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3968" w:type="dxa"/>
            <w:tcBorders>
              <w:top w:val="none" w:sz="0" w:space="0" w:color="auto"/>
              <w:bottom w:val="none" w:sz="0" w:space="0" w:color="auto"/>
              <w:right w:val="none" w:sz="0" w:space="0" w:color="auto"/>
            </w:tcBorders>
            <w:shd w:val="clear" w:color="auto" w:fill="auto"/>
            <w:vAlign w:val="center"/>
          </w:tcPr>
          <w:p w14:paraId="18F8E969" w14:textId="77777777" w:rsidR="002E11D7" w:rsidRPr="00730539" w:rsidRDefault="002E11D7" w:rsidP="005D03B7">
            <w:pPr>
              <w:spacing w:before="120" w:after="120"/>
              <w:rPr>
                <w:rFonts w:ascii="Arial" w:hAnsi="Arial" w:cs="Arial"/>
                <w:b w:val="0"/>
                <w:bCs w:val="0"/>
                <w:sz w:val="22"/>
                <w:szCs w:val="22"/>
              </w:rPr>
            </w:pPr>
            <w:r w:rsidRPr="00730539">
              <w:rPr>
                <w:rFonts w:ascii="Arial" w:hAnsi="Arial" w:cs="Arial"/>
                <w:b w:val="0"/>
                <w:bCs w:val="0"/>
                <w:sz w:val="22"/>
                <w:szCs w:val="22"/>
              </w:rPr>
              <w:t>Western Australia:</w:t>
            </w:r>
          </w:p>
        </w:tc>
        <w:tc>
          <w:tcPr>
            <w:tcW w:w="5099" w:type="dxa"/>
            <w:tcBorders>
              <w:top w:val="none" w:sz="0" w:space="0" w:color="auto"/>
              <w:bottom w:val="none" w:sz="0" w:space="0" w:color="auto"/>
            </w:tcBorders>
            <w:vAlign w:val="center"/>
          </w:tcPr>
          <w:p w14:paraId="201F20C3" w14:textId="77777777" w:rsidR="002E11D7" w:rsidRPr="00730539" w:rsidRDefault="00000000" w:rsidP="005D03B7">
            <w:pPr>
              <w:pStyle w:val="NoSpacing"/>
              <w:spacing w:before="120" w:after="120"/>
              <w:cnfStyle w:val="000000100000" w:firstRow="0" w:lastRow="0" w:firstColumn="0" w:lastColumn="0" w:oddVBand="0" w:evenVBand="0" w:oddHBand="1" w:evenHBand="0" w:firstRowFirstColumn="0" w:firstRowLastColumn="0" w:lastRowFirstColumn="0" w:lastRowLastColumn="0"/>
              <w:rPr>
                <w:rFonts w:cs="Arial"/>
                <w:sz w:val="22"/>
                <w:szCs w:val="22"/>
              </w:rPr>
            </w:pPr>
            <w:hyperlink r:id="rId44" w:history="1">
              <w:r w:rsidR="002E11D7" w:rsidRPr="00730539">
                <w:rPr>
                  <w:rStyle w:val="Hyperlink"/>
                  <w:rFonts w:cs="Arial"/>
                  <w:sz w:val="22"/>
                  <w:szCs w:val="22"/>
                </w:rPr>
                <w:t>wa.DSOA@dss.gov.au</w:t>
              </w:r>
            </w:hyperlink>
            <w:r w:rsidR="002E11D7" w:rsidRPr="00730539">
              <w:rPr>
                <w:rFonts w:cs="Arial"/>
                <w:sz w:val="22"/>
                <w:szCs w:val="22"/>
              </w:rPr>
              <w:t xml:space="preserve"> </w:t>
            </w:r>
          </w:p>
        </w:tc>
      </w:tr>
    </w:tbl>
    <w:p w14:paraId="23431537" w14:textId="77777777" w:rsidR="002E11D7" w:rsidRPr="00E915A8" w:rsidRDefault="002E11D7" w:rsidP="00E915A8"/>
    <w:sectPr w:rsidR="002E11D7" w:rsidRPr="00E915A8" w:rsidSect="00E65126">
      <w:footerReference w:type="default" r:id="rId45"/>
      <w:headerReference w:type="first" r:id="rId46"/>
      <w:footerReference w:type="first" r:id="rId47"/>
      <w:pgSz w:w="11906" w:h="16838"/>
      <w:pgMar w:top="1276" w:right="1133" w:bottom="1418" w:left="851" w:header="708" w:footer="8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2526" w14:textId="77777777" w:rsidR="00065864" w:rsidRDefault="00065864" w:rsidP="005145D2">
      <w:pPr>
        <w:spacing w:after="0" w:line="240" w:lineRule="auto"/>
      </w:pPr>
      <w:r>
        <w:separator/>
      </w:r>
    </w:p>
  </w:endnote>
  <w:endnote w:type="continuationSeparator" w:id="0">
    <w:p w14:paraId="2FDF39D0" w14:textId="77777777" w:rsidR="00065864" w:rsidRDefault="00065864" w:rsidP="0051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11362375"/>
      <w:docPartObj>
        <w:docPartGallery w:val="Page Numbers (Bottom of Page)"/>
        <w:docPartUnique/>
      </w:docPartObj>
    </w:sdtPr>
    <w:sdtEndPr>
      <w:rPr>
        <w:noProof/>
      </w:rPr>
    </w:sdtEndPr>
    <w:sdtContent>
      <w:p w14:paraId="3E5F08CA" w14:textId="09853078" w:rsidR="00845DB7" w:rsidRPr="00845DB7" w:rsidRDefault="00845DB7" w:rsidP="00845DB7">
        <w:pPr>
          <w:pStyle w:val="Footer"/>
          <w:jc w:val="right"/>
          <w:rPr>
            <w:rFonts w:ascii="Arial" w:hAnsi="Arial" w:cs="Arial"/>
          </w:rPr>
        </w:pPr>
        <w:r w:rsidRPr="00845DB7">
          <w:rPr>
            <w:rFonts w:ascii="Arial" w:hAnsi="Arial" w:cs="Arial"/>
          </w:rPr>
          <w:t xml:space="preserve">DSOA Service Coordinator Forums </w:t>
        </w:r>
        <w:r w:rsidR="009718A7">
          <w:rPr>
            <w:rFonts w:ascii="Arial" w:hAnsi="Arial" w:cs="Arial"/>
          </w:rPr>
          <w:t xml:space="preserve">August </w:t>
        </w:r>
        <w:r w:rsidRPr="00845DB7">
          <w:rPr>
            <w:rFonts w:ascii="Arial" w:hAnsi="Arial" w:cs="Arial"/>
          </w:rPr>
          <w:t>2024 – F</w:t>
        </w:r>
        <w:r>
          <w:rPr>
            <w:rFonts w:ascii="Arial" w:hAnsi="Arial" w:cs="Arial"/>
          </w:rPr>
          <w:t>AQs</w:t>
        </w:r>
        <w:r w:rsidR="006600C3">
          <w:rPr>
            <w:rFonts w:ascii="Arial" w:hAnsi="Arial" w:cs="Arial"/>
          </w:rPr>
          <w:tab/>
        </w:r>
        <w:r w:rsidRPr="00845DB7">
          <w:rPr>
            <w:rFonts w:ascii="Arial" w:hAnsi="Arial" w:cs="Arial"/>
          </w:rPr>
          <w:fldChar w:fldCharType="begin"/>
        </w:r>
        <w:r w:rsidRPr="00845DB7">
          <w:rPr>
            <w:rFonts w:ascii="Arial" w:hAnsi="Arial" w:cs="Arial"/>
          </w:rPr>
          <w:instrText xml:space="preserve"> PAGE   \* MERGEFORMAT </w:instrText>
        </w:r>
        <w:r w:rsidRPr="00845DB7">
          <w:rPr>
            <w:rFonts w:ascii="Arial" w:hAnsi="Arial" w:cs="Arial"/>
          </w:rPr>
          <w:fldChar w:fldCharType="separate"/>
        </w:r>
        <w:r>
          <w:rPr>
            <w:rFonts w:ascii="Arial" w:hAnsi="Arial" w:cs="Arial"/>
          </w:rPr>
          <w:t>1</w:t>
        </w:r>
        <w:r w:rsidRPr="00845DB7">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44182190"/>
      <w:docPartObj>
        <w:docPartGallery w:val="Page Numbers (Bottom of Page)"/>
        <w:docPartUnique/>
      </w:docPartObj>
    </w:sdtPr>
    <w:sdtEndPr>
      <w:rPr>
        <w:noProof/>
      </w:rPr>
    </w:sdtEndPr>
    <w:sdtContent>
      <w:p w14:paraId="2C8E90D6" w14:textId="71FC5D53" w:rsidR="00845DB7" w:rsidRPr="00845DB7" w:rsidRDefault="00845DB7" w:rsidP="00845DB7">
        <w:pPr>
          <w:pStyle w:val="Footer"/>
          <w:jc w:val="right"/>
          <w:rPr>
            <w:rFonts w:ascii="Arial" w:hAnsi="Arial" w:cs="Arial"/>
          </w:rPr>
        </w:pPr>
        <w:r w:rsidRPr="00845DB7">
          <w:rPr>
            <w:rFonts w:ascii="Arial" w:hAnsi="Arial" w:cs="Arial"/>
          </w:rPr>
          <w:t>DSOA Service Coordinator Forums</w:t>
        </w:r>
        <w:r w:rsidR="009718A7">
          <w:rPr>
            <w:rFonts w:ascii="Arial" w:hAnsi="Arial" w:cs="Arial"/>
          </w:rPr>
          <w:t xml:space="preserve"> August </w:t>
        </w:r>
        <w:r w:rsidRPr="00845DB7">
          <w:rPr>
            <w:rFonts w:ascii="Arial" w:hAnsi="Arial" w:cs="Arial"/>
          </w:rPr>
          <w:t>2024 – F</w:t>
        </w:r>
        <w:r>
          <w:rPr>
            <w:rFonts w:ascii="Arial" w:hAnsi="Arial" w:cs="Arial"/>
          </w:rPr>
          <w:t>AQs</w:t>
        </w:r>
        <w:r w:rsidRPr="00845DB7">
          <w:rPr>
            <w:rFonts w:ascii="Arial" w:hAnsi="Arial" w:cs="Arial"/>
          </w:rPr>
          <w:t xml:space="preserve"> </w:t>
        </w:r>
        <w:r w:rsidR="009718A7">
          <w:rPr>
            <w:rFonts w:ascii="Arial" w:hAnsi="Arial" w:cs="Arial"/>
          </w:rPr>
          <w:t xml:space="preserve"> </w:t>
        </w:r>
        <w:r>
          <w:rPr>
            <w:rFonts w:ascii="Arial" w:hAnsi="Arial" w:cs="Arial"/>
          </w:rPr>
          <w:t xml:space="preserve">          </w:t>
        </w:r>
        <w:r w:rsidR="009718A7">
          <w:rPr>
            <w:rFonts w:ascii="Arial" w:hAnsi="Arial" w:cs="Arial"/>
          </w:rPr>
          <w:t xml:space="preserve">   </w:t>
        </w:r>
        <w:r>
          <w:rPr>
            <w:rFonts w:ascii="Arial" w:hAnsi="Arial" w:cs="Arial"/>
          </w:rPr>
          <w:t xml:space="preserve">                      </w:t>
        </w:r>
        <w:r w:rsidRPr="00845DB7">
          <w:rPr>
            <w:rFonts w:ascii="Arial" w:hAnsi="Arial" w:cs="Arial"/>
          </w:rPr>
          <w:t xml:space="preserve">           </w:t>
        </w:r>
        <w:r w:rsidR="006829DB">
          <w:rPr>
            <w:rFonts w:ascii="Arial" w:hAnsi="Arial" w:cs="Arial"/>
          </w:rPr>
          <w:t xml:space="preserve">     </w:t>
        </w:r>
        <w:r w:rsidRPr="00845DB7">
          <w:rPr>
            <w:rFonts w:ascii="Arial" w:hAnsi="Arial" w:cs="Arial"/>
          </w:rPr>
          <w:t xml:space="preserve">                   </w:t>
        </w:r>
        <w:r w:rsidRPr="00845DB7">
          <w:rPr>
            <w:rFonts w:ascii="Arial" w:hAnsi="Arial" w:cs="Arial"/>
          </w:rPr>
          <w:fldChar w:fldCharType="begin"/>
        </w:r>
        <w:r w:rsidRPr="00845DB7">
          <w:rPr>
            <w:rFonts w:ascii="Arial" w:hAnsi="Arial" w:cs="Arial"/>
          </w:rPr>
          <w:instrText xml:space="preserve"> PAGE   \* MERGEFORMAT </w:instrText>
        </w:r>
        <w:r w:rsidRPr="00845DB7">
          <w:rPr>
            <w:rFonts w:ascii="Arial" w:hAnsi="Arial" w:cs="Arial"/>
          </w:rPr>
          <w:fldChar w:fldCharType="separate"/>
        </w:r>
        <w:r w:rsidRPr="00845DB7">
          <w:rPr>
            <w:rFonts w:ascii="Arial" w:hAnsi="Arial" w:cs="Arial"/>
            <w:noProof/>
          </w:rPr>
          <w:t>2</w:t>
        </w:r>
        <w:r w:rsidRPr="00845DB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85A7" w14:textId="77777777" w:rsidR="00065864" w:rsidRDefault="00065864" w:rsidP="005145D2">
      <w:pPr>
        <w:spacing w:after="0" w:line="240" w:lineRule="auto"/>
      </w:pPr>
      <w:r>
        <w:separator/>
      </w:r>
    </w:p>
  </w:footnote>
  <w:footnote w:type="continuationSeparator" w:id="0">
    <w:p w14:paraId="717FC2D2" w14:textId="77777777" w:rsidR="00065864" w:rsidRDefault="00065864" w:rsidP="00514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DE6C" w14:textId="752DCB68" w:rsidR="005145D2" w:rsidRDefault="002F4731">
    <w:pPr>
      <w:pStyle w:val="Header"/>
    </w:pPr>
    <w:r>
      <w:rPr>
        <w:noProof/>
      </w:rPr>
      <w:drawing>
        <wp:anchor distT="0" distB="0" distL="114300" distR="114300" simplePos="0" relativeHeight="251661312" behindDoc="1" locked="0" layoutInCell="1" allowOverlap="1" wp14:anchorId="38D8BFAE" wp14:editId="11AADA43">
          <wp:simplePos x="0" y="0"/>
          <wp:positionH relativeFrom="page">
            <wp:align>left</wp:align>
          </wp:positionH>
          <wp:positionV relativeFrom="page">
            <wp:posOffset>-299085</wp:posOffset>
          </wp:positionV>
          <wp:extent cx="8230235" cy="3549015"/>
          <wp:effectExtent l="0" t="0" r="0" b="0"/>
          <wp:wrapNone/>
          <wp:docPr id="381959731" name="Picture 381959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307" r="307"/>
                  <a:stretch>
                    <a:fillRect/>
                  </a:stretch>
                </pic:blipFill>
                <pic:spPr bwMode="auto">
                  <a:xfrm flipH="1">
                    <a:off x="0" y="0"/>
                    <a:ext cx="8230235" cy="3549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7C4AB6C" wp14:editId="56119D74">
          <wp:simplePos x="0" y="0"/>
          <wp:positionH relativeFrom="page">
            <wp:posOffset>3199</wp:posOffset>
          </wp:positionH>
          <wp:positionV relativeFrom="page">
            <wp:posOffset>-109256</wp:posOffset>
          </wp:positionV>
          <wp:extent cx="7560000" cy="1987200"/>
          <wp:effectExtent l="0" t="0" r="3175" b="0"/>
          <wp:wrapNone/>
          <wp:docPr id="1848181720" name="Picture 18481817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648871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30665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D82102"/>
    <w:multiLevelType w:val="hybridMultilevel"/>
    <w:tmpl w:val="CCCEA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9777E"/>
    <w:multiLevelType w:val="hybridMultilevel"/>
    <w:tmpl w:val="F40E41CA"/>
    <w:lvl w:ilvl="0" w:tplc="3F6EE1A0">
      <w:numFmt w:val="bullet"/>
      <w:lvlText w:val=""/>
      <w:lvlJc w:val="left"/>
      <w:pPr>
        <w:ind w:left="720" w:hanging="360"/>
      </w:pPr>
      <w:rPr>
        <w:rFonts w:ascii="Symbol" w:eastAsiaTheme="minorHAns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335DA5"/>
    <w:multiLevelType w:val="hybridMultilevel"/>
    <w:tmpl w:val="A148A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853725"/>
    <w:multiLevelType w:val="hybridMultilevel"/>
    <w:tmpl w:val="942AA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513D2D"/>
    <w:multiLevelType w:val="hybridMultilevel"/>
    <w:tmpl w:val="3F04D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CC56B5"/>
    <w:multiLevelType w:val="multilevel"/>
    <w:tmpl w:val="4A2CCF52"/>
    <w:lvl w:ilvl="0">
      <w:start w:val="1"/>
      <w:numFmt w:val="decimal"/>
      <w:lvlText w:val="%1."/>
      <w:lvlJc w:val="left"/>
      <w:pPr>
        <w:ind w:left="360" w:hanging="360"/>
      </w:pPr>
      <w:rPr>
        <w:rFonts w:hint="default"/>
      </w:rPr>
    </w:lvl>
    <w:lvl w:ilvl="1">
      <w:start w:val="1"/>
      <w:numFmt w:val="decimal"/>
      <w:pStyle w:val="Heading4"/>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913A03"/>
    <w:multiLevelType w:val="multilevel"/>
    <w:tmpl w:val="FA7AAA90"/>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925B9C"/>
    <w:multiLevelType w:val="hybridMultilevel"/>
    <w:tmpl w:val="2532454A"/>
    <w:lvl w:ilvl="0" w:tplc="0C090001">
      <w:start w:val="1"/>
      <w:numFmt w:val="bullet"/>
      <w:lvlText w:val=""/>
      <w:lvlJc w:val="left"/>
      <w:pPr>
        <w:ind w:left="720" w:hanging="360"/>
      </w:pPr>
      <w:rPr>
        <w:rFonts w:ascii="Symbol" w:hAnsi="Symbol" w:hint="default"/>
      </w:rPr>
    </w:lvl>
    <w:lvl w:ilvl="1" w:tplc="B074FD72">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B56028"/>
    <w:multiLevelType w:val="hybridMultilevel"/>
    <w:tmpl w:val="DD80F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6A55DD"/>
    <w:multiLevelType w:val="hybridMultilevel"/>
    <w:tmpl w:val="98FED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AD7BF2"/>
    <w:multiLevelType w:val="hybridMultilevel"/>
    <w:tmpl w:val="A79C9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EF1118"/>
    <w:multiLevelType w:val="hybridMultilevel"/>
    <w:tmpl w:val="1206B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5717CB"/>
    <w:multiLevelType w:val="multilevel"/>
    <w:tmpl w:val="ECAC2BD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95B0BD2"/>
    <w:multiLevelType w:val="hybridMultilevel"/>
    <w:tmpl w:val="E37E0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410C78"/>
    <w:multiLevelType w:val="hybridMultilevel"/>
    <w:tmpl w:val="51709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761F76"/>
    <w:multiLevelType w:val="hybridMultilevel"/>
    <w:tmpl w:val="0E6CBF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3976140">
    <w:abstractNumId w:val="6"/>
  </w:num>
  <w:num w:numId="2" w16cid:durableId="318268888">
    <w:abstractNumId w:val="3"/>
  </w:num>
  <w:num w:numId="3" w16cid:durableId="487551779">
    <w:abstractNumId w:val="11"/>
  </w:num>
  <w:num w:numId="4" w16cid:durableId="649988660">
    <w:abstractNumId w:val="2"/>
  </w:num>
  <w:num w:numId="5" w16cid:durableId="1103454400">
    <w:abstractNumId w:val="15"/>
  </w:num>
  <w:num w:numId="6" w16cid:durableId="580532140">
    <w:abstractNumId w:val="4"/>
  </w:num>
  <w:num w:numId="7" w16cid:durableId="1145010877">
    <w:abstractNumId w:val="16"/>
  </w:num>
  <w:num w:numId="8" w16cid:durableId="195043849">
    <w:abstractNumId w:val="13"/>
  </w:num>
  <w:num w:numId="9" w16cid:durableId="1066804614">
    <w:abstractNumId w:val="10"/>
  </w:num>
  <w:num w:numId="10" w16cid:durableId="1578518007">
    <w:abstractNumId w:val="12"/>
  </w:num>
  <w:num w:numId="11" w16cid:durableId="1893803428">
    <w:abstractNumId w:val="9"/>
  </w:num>
  <w:num w:numId="12" w16cid:durableId="1896697614">
    <w:abstractNumId w:val="5"/>
  </w:num>
  <w:num w:numId="13" w16cid:durableId="1814055487">
    <w:abstractNumId w:val="17"/>
  </w:num>
  <w:num w:numId="14" w16cid:durableId="1927959678">
    <w:abstractNumId w:val="14"/>
  </w:num>
  <w:num w:numId="15" w16cid:durableId="55011678">
    <w:abstractNumId w:val="7"/>
  </w:num>
  <w:num w:numId="16" w16cid:durableId="1605456531">
    <w:abstractNumId w:val="8"/>
  </w:num>
  <w:num w:numId="17" w16cid:durableId="1524780988">
    <w:abstractNumId w:val="1"/>
  </w:num>
  <w:num w:numId="18" w16cid:durableId="16844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D7"/>
    <w:rsid w:val="00000CEC"/>
    <w:rsid w:val="00002D5A"/>
    <w:rsid w:val="00006902"/>
    <w:rsid w:val="00010BE9"/>
    <w:rsid w:val="00013D85"/>
    <w:rsid w:val="000251B5"/>
    <w:rsid w:val="000316AC"/>
    <w:rsid w:val="00033103"/>
    <w:rsid w:val="00035704"/>
    <w:rsid w:val="000367E5"/>
    <w:rsid w:val="00040737"/>
    <w:rsid w:val="00051E5D"/>
    <w:rsid w:val="00052BD9"/>
    <w:rsid w:val="00057694"/>
    <w:rsid w:val="00065864"/>
    <w:rsid w:val="0007253D"/>
    <w:rsid w:val="00072590"/>
    <w:rsid w:val="0007585A"/>
    <w:rsid w:val="000861F5"/>
    <w:rsid w:val="00086F87"/>
    <w:rsid w:val="00090C1B"/>
    <w:rsid w:val="000B3995"/>
    <w:rsid w:val="000B5EF9"/>
    <w:rsid w:val="000B6194"/>
    <w:rsid w:val="000D0958"/>
    <w:rsid w:val="000D16B2"/>
    <w:rsid w:val="000D1BA4"/>
    <w:rsid w:val="000E735F"/>
    <w:rsid w:val="000E7851"/>
    <w:rsid w:val="000F4CEE"/>
    <w:rsid w:val="000F655F"/>
    <w:rsid w:val="001020A4"/>
    <w:rsid w:val="00103332"/>
    <w:rsid w:val="001038A6"/>
    <w:rsid w:val="00112DA7"/>
    <w:rsid w:val="00112FC1"/>
    <w:rsid w:val="00126C97"/>
    <w:rsid w:val="00131E40"/>
    <w:rsid w:val="00144AEB"/>
    <w:rsid w:val="00151411"/>
    <w:rsid w:val="00152E6E"/>
    <w:rsid w:val="00157D5C"/>
    <w:rsid w:val="00161127"/>
    <w:rsid w:val="00164D43"/>
    <w:rsid w:val="0017497D"/>
    <w:rsid w:val="00187EEC"/>
    <w:rsid w:val="00191DBC"/>
    <w:rsid w:val="001949B5"/>
    <w:rsid w:val="001A223D"/>
    <w:rsid w:val="001B62F6"/>
    <w:rsid w:val="001D6289"/>
    <w:rsid w:val="001D79E2"/>
    <w:rsid w:val="001F0BC8"/>
    <w:rsid w:val="001F1C5F"/>
    <w:rsid w:val="001F2316"/>
    <w:rsid w:val="001F31BD"/>
    <w:rsid w:val="001F383E"/>
    <w:rsid w:val="00200A7E"/>
    <w:rsid w:val="0020723F"/>
    <w:rsid w:val="002154B0"/>
    <w:rsid w:val="00216D11"/>
    <w:rsid w:val="002249DE"/>
    <w:rsid w:val="00227EB3"/>
    <w:rsid w:val="00235C94"/>
    <w:rsid w:val="002439D3"/>
    <w:rsid w:val="00244FFE"/>
    <w:rsid w:val="002561C1"/>
    <w:rsid w:val="0026394A"/>
    <w:rsid w:val="00263A58"/>
    <w:rsid w:val="002646E8"/>
    <w:rsid w:val="00266166"/>
    <w:rsid w:val="00274026"/>
    <w:rsid w:val="00277D42"/>
    <w:rsid w:val="002827D3"/>
    <w:rsid w:val="002845D6"/>
    <w:rsid w:val="0028526A"/>
    <w:rsid w:val="0028769E"/>
    <w:rsid w:val="002939F5"/>
    <w:rsid w:val="002A6E49"/>
    <w:rsid w:val="002B02BC"/>
    <w:rsid w:val="002B4378"/>
    <w:rsid w:val="002B44C2"/>
    <w:rsid w:val="002B5C53"/>
    <w:rsid w:val="002B68B7"/>
    <w:rsid w:val="002D2BD2"/>
    <w:rsid w:val="002E0AAE"/>
    <w:rsid w:val="002E11D7"/>
    <w:rsid w:val="002E1AAA"/>
    <w:rsid w:val="002E467B"/>
    <w:rsid w:val="002E4D20"/>
    <w:rsid w:val="002E5895"/>
    <w:rsid w:val="002E60B2"/>
    <w:rsid w:val="002E7AC4"/>
    <w:rsid w:val="002F0216"/>
    <w:rsid w:val="002F4567"/>
    <w:rsid w:val="002F4731"/>
    <w:rsid w:val="00300755"/>
    <w:rsid w:val="00304BC7"/>
    <w:rsid w:val="0030654A"/>
    <w:rsid w:val="00314C26"/>
    <w:rsid w:val="00316003"/>
    <w:rsid w:val="00316DFC"/>
    <w:rsid w:val="00317FA5"/>
    <w:rsid w:val="00320D73"/>
    <w:rsid w:val="00335C17"/>
    <w:rsid w:val="00344DD4"/>
    <w:rsid w:val="00345F76"/>
    <w:rsid w:val="00346AB0"/>
    <w:rsid w:val="00346E00"/>
    <w:rsid w:val="003546DF"/>
    <w:rsid w:val="00355E4A"/>
    <w:rsid w:val="00362C34"/>
    <w:rsid w:val="003645D2"/>
    <w:rsid w:val="00364868"/>
    <w:rsid w:val="003704A6"/>
    <w:rsid w:val="00371DC4"/>
    <w:rsid w:val="00377A01"/>
    <w:rsid w:val="003816A1"/>
    <w:rsid w:val="0038523E"/>
    <w:rsid w:val="00393436"/>
    <w:rsid w:val="003953CC"/>
    <w:rsid w:val="003A1667"/>
    <w:rsid w:val="003A72F5"/>
    <w:rsid w:val="003A7DF9"/>
    <w:rsid w:val="003B0558"/>
    <w:rsid w:val="003C375D"/>
    <w:rsid w:val="003E2C3D"/>
    <w:rsid w:val="003F26D6"/>
    <w:rsid w:val="003F2B86"/>
    <w:rsid w:val="003F4273"/>
    <w:rsid w:val="00401DD5"/>
    <w:rsid w:val="00414225"/>
    <w:rsid w:val="00446487"/>
    <w:rsid w:val="00451491"/>
    <w:rsid w:val="004714D4"/>
    <w:rsid w:val="004725B0"/>
    <w:rsid w:val="00476302"/>
    <w:rsid w:val="00482092"/>
    <w:rsid w:val="0048248B"/>
    <w:rsid w:val="004876FB"/>
    <w:rsid w:val="00490762"/>
    <w:rsid w:val="00492702"/>
    <w:rsid w:val="004A5B87"/>
    <w:rsid w:val="004B17D7"/>
    <w:rsid w:val="004B3449"/>
    <w:rsid w:val="004C1B16"/>
    <w:rsid w:val="004C7E05"/>
    <w:rsid w:val="004D7248"/>
    <w:rsid w:val="004E1120"/>
    <w:rsid w:val="004E6C49"/>
    <w:rsid w:val="004F37A1"/>
    <w:rsid w:val="0050116B"/>
    <w:rsid w:val="005031D6"/>
    <w:rsid w:val="0050634F"/>
    <w:rsid w:val="0051057A"/>
    <w:rsid w:val="005145D2"/>
    <w:rsid w:val="00516AAB"/>
    <w:rsid w:val="00517B84"/>
    <w:rsid w:val="0052049B"/>
    <w:rsid w:val="00522E78"/>
    <w:rsid w:val="00524431"/>
    <w:rsid w:val="00524AA3"/>
    <w:rsid w:val="00525282"/>
    <w:rsid w:val="00526830"/>
    <w:rsid w:val="0052771E"/>
    <w:rsid w:val="005329B8"/>
    <w:rsid w:val="005444A1"/>
    <w:rsid w:val="0054694C"/>
    <w:rsid w:val="005566D0"/>
    <w:rsid w:val="00570930"/>
    <w:rsid w:val="0057318A"/>
    <w:rsid w:val="005736C5"/>
    <w:rsid w:val="00587691"/>
    <w:rsid w:val="005A133D"/>
    <w:rsid w:val="005B4647"/>
    <w:rsid w:val="005C1320"/>
    <w:rsid w:val="005C2189"/>
    <w:rsid w:val="005C58E4"/>
    <w:rsid w:val="005D03B7"/>
    <w:rsid w:val="005E044A"/>
    <w:rsid w:val="005E20A3"/>
    <w:rsid w:val="005E2939"/>
    <w:rsid w:val="005F0C1D"/>
    <w:rsid w:val="005F1580"/>
    <w:rsid w:val="005F2AF2"/>
    <w:rsid w:val="005F3E5D"/>
    <w:rsid w:val="005F4832"/>
    <w:rsid w:val="00600F37"/>
    <w:rsid w:val="00617F42"/>
    <w:rsid w:val="006211F2"/>
    <w:rsid w:val="00622B46"/>
    <w:rsid w:val="00624FA9"/>
    <w:rsid w:val="006278D4"/>
    <w:rsid w:val="006408A0"/>
    <w:rsid w:val="006427AB"/>
    <w:rsid w:val="00644752"/>
    <w:rsid w:val="00646540"/>
    <w:rsid w:val="00646847"/>
    <w:rsid w:val="00653460"/>
    <w:rsid w:val="006600C3"/>
    <w:rsid w:val="00664159"/>
    <w:rsid w:val="00665C93"/>
    <w:rsid w:val="00666E6B"/>
    <w:rsid w:val="00677284"/>
    <w:rsid w:val="00680AD2"/>
    <w:rsid w:val="006829DB"/>
    <w:rsid w:val="00682A96"/>
    <w:rsid w:val="0068635C"/>
    <w:rsid w:val="00697428"/>
    <w:rsid w:val="00697E6B"/>
    <w:rsid w:val="006A1012"/>
    <w:rsid w:val="006A2F6A"/>
    <w:rsid w:val="006A3690"/>
    <w:rsid w:val="006B51AE"/>
    <w:rsid w:val="006B7E2F"/>
    <w:rsid w:val="006C7311"/>
    <w:rsid w:val="006D0746"/>
    <w:rsid w:val="006D4BD3"/>
    <w:rsid w:val="006F58E0"/>
    <w:rsid w:val="00701EC9"/>
    <w:rsid w:val="00703C5C"/>
    <w:rsid w:val="0070472C"/>
    <w:rsid w:val="0071097D"/>
    <w:rsid w:val="00710C3A"/>
    <w:rsid w:val="00711CF8"/>
    <w:rsid w:val="00712B21"/>
    <w:rsid w:val="00727801"/>
    <w:rsid w:val="0073010E"/>
    <w:rsid w:val="00730539"/>
    <w:rsid w:val="00733E88"/>
    <w:rsid w:val="00747D14"/>
    <w:rsid w:val="00752304"/>
    <w:rsid w:val="00757B85"/>
    <w:rsid w:val="007603C6"/>
    <w:rsid w:val="00760B3B"/>
    <w:rsid w:val="00762A4A"/>
    <w:rsid w:val="00771EE3"/>
    <w:rsid w:val="00772804"/>
    <w:rsid w:val="00784C33"/>
    <w:rsid w:val="00785A3C"/>
    <w:rsid w:val="007A206B"/>
    <w:rsid w:val="007A70D0"/>
    <w:rsid w:val="007B2D62"/>
    <w:rsid w:val="007B303E"/>
    <w:rsid w:val="007C0AFC"/>
    <w:rsid w:val="007C1E24"/>
    <w:rsid w:val="007E3B30"/>
    <w:rsid w:val="007E49C7"/>
    <w:rsid w:val="007F247A"/>
    <w:rsid w:val="007F252C"/>
    <w:rsid w:val="00801675"/>
    <w:rsid w:val="0082208F"/>
    <w:rsid w:val="00823EBE"/>
    <w:rsid w:val="00837B3C"/>
    <w:rsid w:val="00840FA9"/>
    <w:rsid w:val="00845DB7"/>
    <w:rsid w:val="008470AE"/>
    <w:rsid w:val="00851E4D"/>
    <w:rsid w:val="00855678"/>
    <w:rsid w:val="0086033F"/>
    <w:rsid w:val="00864C0C"/>
    <w:rsid w:val="00867759"/>
    <w:rsid w:val="008737AB"/>
    <w:rsid w:val="00874EC1"/>
    <w:rsid w:val="00877889"/>
    <w:rsid w:val="00880D15"/>
    <w:rsid w:val="00883E14"/>
    <w:rsid w:val="00885C13"/>
    <w:rsid w:val="00890960"/>
    <w:rsid w:val="00893E41"/>
    <w:rsid w:val="00895CE1"/>
    <w:rsid w:val="0089640E"/>
    <w:rsid w:val="00897459"/>
    <w:rsid w:val="008A2A1D"/>
    <w:rsid w:val="008A3A44"/>
    <w:rsid w:val="008A4147"/>
    <w:rsid w:val="008B1587"/>
    <w:rsid w:val="008B5224"/>
    <w:rsid w:val="008B7E0E"/>
    <w:rsid w:val="008C2344"/>
    <w:rsid w:val="008C2C46"/>
    <w:rsid w:val="008C5CD9"/>
    <w:rsid w:val="008D0024"/>
    <w:rsid w:val="008D0D21"/>
    <w:rsid w:val="008D561F"/>
    <w:rsid w:val="008D5FD3"/>
    <w:rsid w:val="008E069F"/>
    <w:rsid w:val="008E47BD"/>
    <w:rsid w:val="008F333D"/>
    <w:rsid w:val="008F3878"/>
    <w:rsid w:val="00906C7F"/>
    <w:rsid w:val="0091017B"/>
    <w:rsid w:val="00910BB1"/>
    <w:rsid w:val="00910EF4"/>
    <w:rsid w:val="009120E4"/>
    <w:rsid w:val="009131BF"/>
    <w:rsid w:val="00913A88"/>
    <w:rsid w:val="009145C1"/>
    <w:rsid w:val="009145E8"/>
    <w:rsid w:val="00916817"/>
    <w:rsid w:val="0093030D"/>
    <w:rsid w:val="00932463"/>
    <w:rsid w:val="00933815"/>
    <w:rsid w:val="00937F7A"/>
    <w:rsid w:val="00951688"/>
    <w:rsid w:val="00953A21"/>
    <w:rsid w:val="00956056"/>
    <w:rsid w:val="009571CB"/>
    <w:rsid w:val="00963869"/>
    <w:rsid w:val="00964FB4"/>
    <w:rsid w:val="00965904"/>
    <w:rsid w:val="00966B4F"/>
    <w:rsid w:val="009676DF"/>
    <w:rsid w:val="009718A7"/>
    <w:rsid w:val="009A3AAF"/>
    <w:rsid w:val="009A7793"/>
    <w:rsid w:val="009B7517"/>
    <w:rsid w:val="009C0444"/>
    <w:rsid w:val="009C0C87"/>
    <w:rsid w:val="009C24E3"/>
    <w:rsid w:val="009C47E3"/>
    <w:rsid w:val="009C582D"/>
    <w:rsid w:val="009D544C"/>
    <w:rsid w:val="009F4503"/>
    <w:rsid w:val="009F5E0B"/>
    <w:rsid w:val="00A00B2E"/>
    <w:rsid w:val="00A1265F"/>
    <w:rsid w:val="00A16826"/>
    <w:rsid w:val="00A16C79"/>
    <w:rsid w:val="00A260BC"/>
    <w:rsid w:val="00A26B76"/>
    <w:rsid w:val="00A47334"/>
    <w:rsid w:val="00A709F4"/>
    <w:rsid w:val="00A92843"/>
    <w:rsid w:val="00A95716"/>
    <w:rsid w:val="00A962DC"/>
    <w:rsid w:val="00AB2516"/>
    <w:rsid w:val="00AB2CF0"/>
    <w:rsid w:val="00AC48F9"/>
    <w:rsid w:val="00AC7537"/>
    <w:rsid w:val="00AD3392"/>
    <w:rsid w:val="00AE2D69"/>
    <w:rsid w:val="00B01FFB"/>
    <w:rsid w:val="00B039A6"/>
    <w:rsid w:val="00B059C0"/>
    <w:rsid w:val="00B1272E"/>
    <w:rsid w:val="00B143CA"/>
    <w:rsid w:val="00B15580"/>
    <w:rsid w:val="00B16639"/>
    <w:rsid w:val="00B21980"/>
    <w:rsid w:val="00B40CD7"/>
    <w:rsid w:val="00B41670"/>
    <w:rsid w:val="00B43877"/>
    <w:rsid w:val="00B630A5"/>
    <w:rsid w:val="00B65B16"/>
    <w:rsid w:val="00B65D58"/>
    <w:rsid w:val="00B65F94"/>
    <w:rsid w:val="00B7106C"/>
    <w:rsid w:val="00B822D2"/>
    <w:rsid w:val="00B84F0D"/>
    <w:rsid w:val="00B85524"/>
    <w:rsid w:val="00B879EA"/>
    <w:rsid w:val="00B87A18"/>
    <w:rsid w:val="00B91042"/>
    <w:rsid w:val="00B94C0F"/>
    <w:rsid w:val="00B95A9C"/>
    <w:rsid w:val="00B96D62"/>
    <w:rsid w:val="00B97DDD"/>
    <w:rsid w:val="00BA10CE"/>
    <w:rsid w:val="00BA75B4"/>
    <w:rsid w:val="00BA7AD7"/>
    <w:rsid w:val="00BB06CD"/>
    <w:rsid w:val="00BB08C2"/>
    <w:rsid w:val="00BB0B80"/>
    <w:rsid w:val="00BB2DF3"/>
    <w:rsid w:val="00BB7199"/>
    <w:rsid w:val="00BC1A38"/>
    <w:rsid w:val="00BD0581"/>
    <w:rsid w:val="00BD0D16"/>
    <w:rsid w:val="00BD2D8F"/>
    <w:rsid w:val="00C00227"/>
    <w:rsid w:val="00C01835"/>
    <w:rsid w:val="00C01F50"/>
    <w:rsid w:val="00C11021"/>
    <w:rsid w:val="00C11363"/>
    <w:rsid w:val="00C13BA0"/>
    <w:rsid w:val="00C14C28"/>
    <w:rsid w:val="00C25928"/>
    <w:rsid w:val="00C31237"/>
    <w:rsid w:val="00C36672"/>
    <w:rsid w:val="00C36AC8"/>
    <w:rsid w:val="00C425D8"/>
    <w:rsid w:val="00C51286"/>
    <w:rsid w:val="00C51B9C"/>
    <w:rsid w:val="00C532E0"/>
    <w:rsid w:val="00C63BD4"/>
    <w:rsid w:val="00C77CBA"/>
    <w:rsid w:val="00C83A16"/>
    <w:rsid w:val="00C8745B"/>
    <w:rsid w:val="00C91260"/>
    <w:rsid w:val="00C94176"/>
    <w:rsid w:val="00C958CD"/>
    <w:rsid w:val="00CA7D6F"/>
    <w:rsid w:val="00CB07FF"/>
    <w:rsid w:val="00CC420F"/>
    <w:rsid w:val="00CE7667"/>
    <w:rsid w:val="00CF17E6"/>
    <w:rsid w:val="00CF4748"/>
    <w:rsid w:val="00D20060"/>
    <w:rsid w:val="00D20270"/>
    <w:rsid w:val="00D24F8F"/>
    <w:rsid w:val="00D3084A"/>
    <w:rsid w:val="00D361F7"/>
    <w:rsid w:val="00D415A0"/>
    <w:rsid w:val="00D50334"/>
    <w:rsid w:val="00D73A4E"/>
    <w:rsid w:val="00D82C58"/>
    <w:rsid w:val="00D85874"/>
    <w:rsid w:val="00D867AC"/>
    <w:rsid w:val="00D90519"/>
    <w:rsid w:val="00D95224"/>
    <w:rsid w:val="00DA2C97"/>
    <w:rsid w:val="00DA2DFC"/>
    <w:rsid w:val="00DB32E7"/>
    <w:rsid w:val="00DB514C"/>
    <w:rsid w:val="00DC08A2"/>
    <w:rsid w:val="00DC4E58"/>
    <w:rsid w:val="00DC4FAD"/>
    <w:rsid w:val="00DC7234"/>
    <w:rsid w:val="00DC7BDE"/>
    <w:rsid w:val="00DD7AD8"/>
    <w:rsid w:val="00DE09EC"/>
    <w:rsid w:val="00DE6B11"/>
    <w:rsid w:val="00DF31A0"/>
    <w:rsid w:val="00E01125"/>
    <w:rsid w:val="00E168B7"/>
    <w:rsid w:val="00E262F1"/>
    <w:rsid w:val="00E576B8"/>
    <w:rsid w:val="00E60F94"/>
    <w:rsid w:val="00E65126"/>
    <w:rsid w:val="00E65AD5"/>
    <w:rsid w:val="00E66240"/>
    <w:rsid w:val="00E72364"/>
    <w:rsid w:val="00E72753"/>
    <w:rsid w:val="00E74292"/>
    <w:rsid w:val="00E7659B"/>
    <w:rsid w:val="00E77A48"/>
    <w:rsid w:val="00E8294F"/>
    <w:rsid w:val="00E8605C"/>
    <w:rsid w:val="00E86543"/>
    <w:rsid w:val="00E90501"/>
    <w:rsid w:val="00E915A8"/>
    <w:rsid w:val="00EA3671"/>
    <w:rsid w:val="00EA3973"/>
    <w:rsid w:val="00EB4C48"/>
    <w:rsid w:val="00ED53F6"/>
    <w:rsid w:val="00EE4654"/>
    <w:rsid w:val="00EE6E1E"/>
    <w:rsid w:val="00EF0AE3"/>
    <w:rsid w:val="00EF42EE"/>
    <w:rsid w:val="00F0459F"/>
    <w:rsid w:val="00F057EE"/>
    <w:rsid w:val="00F102E4"/>
    <w:rsid w:val="00F1359F"/>
    <w:rsid w:val="00F22F9A"/>
    <w:rsid w:val="00F23DA7"/>
    <w:rsid w:val="00F36128"/>
    <w:rsid w:val="00F41AC6"/>
    <w:rsid w:val="00F53732"/>
    <w:rsid w:val="00F624F0"/>
    <w:rsid w:val="00F62E86"/>
    <w:rsid w:val="00F63BEB"/>
    <w:rsid w:val="00F6477F"/>
    <w:rsid w:val="00F65EC4"/>
    <w:rsid w:val="00F72787"/>
    <w:rsid w:val="00F76CDC"/>
    <w:rsid w:val="00F774B5"/>
    <w:rsid w:val="00F82765"/>
    <w:rsid w:val="00F82C17"/>
    <w:rsid w:val="00F85B5C"/>
    <w:rsid w:val="00F9137E"/>
    <w:rsid w:val="00F97B44"/>
    <w:rsid w:val="00FA0752"/>
    <w:rsid w:val="00FA37BE"/>
    <w:rsid w:val="00FA7630"/>
    <w:rsid w:val="00FC45FF"/>
    <w:rsid w:val="00FD3F36"/>
    <w:rsid w:val="00FD7291"/>
    <w:rsid w:val="00FD77AB"/>
    <w:rsid w:val="00FD7E94"/>
    <w:rsid w:val="00FE5147"/>
    <w:rsid w:val="00FE68BF"/>
    <w:rsid w:val="00FF2D75"/>
    <w:rsid w:val="00FF661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1BC16"/>
  <w15:chartTrackingRefBased/>
  <w15:docId w15:val="{AD338FF3-2B39-45A6-893B-EFA8367E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A8"/>
  </w:style>
  <w:style w:type="paragraph" w:styleId="Heading1">
    <w:name w:val="heading 1"/>
    <w:basedOn w:val="Normal"/>
    <w:next w:val="Normal"/>
    <w:link w:val="Heading1Char"/>
    <w:uiPriority w:val="9"/>
    <w:qFormat/>
    <w:rsid w:val="00E65126"/>
    <w:pPr>
      <w:keepNext/>
      <w:keepLines/>
      <w:spacing w:before="4200" w:after="240" w:line="276" w:lineRule="auto"/>
      <w:ind w:right="851"/>
      <w:outlineLvl w:val="0"/>
    </w:pPr>
    <w:rPr>
      <w:rFonts w:ascii="Arial" w:eastAsiaTheme="majorEastAsia" w:hAnsi="Arial" w:cs="Arial"/>
      <w:b/>
      <w:bCs/>
      <w:color w:val="002060"/>
      <w:kern w:val="0"/>
      <w:sz w:val="56"/>
      <w:szCs w:val="56"/>
      <w14:ligatures w14:val="none"/>
    </w:rPr>
  </w:style>
  <w:style w:type="paragraph" w:styleId="Heading2">
    <w:name w:val="heading 2"/>
    <w:basedOn w:val="Normal"/>
    <w:next w:val="Normal"/>
    <w:link w:val="Heading2Char"/>
    <w:uiPriority w:val="9"/>
    <w:unhideWhenUsed/>
    <w:qFormat/>
    <w:rsid w:val="002E1AAA"/>
    <w:pPr>
      <w:keepNext/>
      <w:keepLines/>
      <w:numPr>
        <w:numId w:val="16"/>
      </w:numPr>
      <w:spacing w:before="240" w:after="240" w:line="276" w:lineRule="auto"/>
      <w:outlineLvl w:val="1"/>
    </w:pPr>
    <w:rPr>
      <w:rFonts w:ascii="Arial" w:eastAsiaTheme="majorEastAsia" w:hAnsi="Arial" w:cstheme="majorBidi"/>
      <w:b/>
      <w:color w:val="000000" w:themeColor="text1"/>
      <w:kern w:val="0"/>
      <w:sz w:val="36"/>
      <w:szCs w:val="28"/>
      <w14:ligatures w14:val="none"/>
    </w:rPr>
  </w:style>
  <w:style w:type="paragraph" w:styleId="Heading3">
    <w:name w:val="heading 3"/>
    <w:basedOn w:val="Heading4"/>
    <w:next w:val="Normal"/>
    <w:link w:val="Heading3Char"/>
    <w:uiPriority w:val="9"/>
    <w:unhideWhenUsed/>
    <w:qFormat/>
    <w:rsid w:val="00E915A8"/>
    <w:pPr>
      <w:outlineLvl w:val="2"/>
    </w:pPr>
  </w:style>
  <w:style w:type="paragraph" w:styleId="Heading4">
    <w:name w:val="heading 4"/>
    <w:basedOn w:val="Normal"/>
    <w:next w:val="Normal"/>
    <w:link w:val="Heading4Char"/>
    <w:uiPriority w:val="9"/>
    <w:unhideWhenUsed/>
    <w:qFormat/>
    <w:rsid w:val="00E915A8"/>
    <w:pPr>
      <w:keepNext/>
      <w:keepLines/>
      <w:numPr>
        <w:ilvl w:val="1"/>
        <w:numId w:val="15"/>
      </w:numPr>
      <w:spacing w:before="120" w:after="120" w:line="276" w:lineRule="auto"/>
      <w:ind w:left="567" w:hanging="567"/>
      <w:outlineLvl w:val="3"/>
    </w:pPr>
    <w:rPr>
      <w:rFonts w:ascii="Arial" w:eastAsiaTheme="majorEastAsia" w:hAnsi="Arial" w:cs="Arial"/>
      <w:b/>
      <w:color w:val="000000" w:themeColor="text1"/>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qFormat/>
    <w:rsid w:val="002E11D7"/>
    <w:pPr>
      <w:spacing w:after="120" w:line="276" w:lineRule="auto"/>
    </w:pPr>
    <w:rPr>
      <w:rFonts w:ascii="Arial" w:hAnsi="Arial"/>
      <w:color w:val="000000" w:themeColor="text1"/>
      <w:kern w:val="0"/>
      <w:sz w:val="32"/>
      <w:szCs w:val="32"/>
      <w14:ligatures w14:val="none"/>
    </w:rPr>
  </w:style>
  <w:style w:type="character" w:styleId="Hyperlink">
    <w:name w:val="Hyperlink"/>
    <w:uiPriority w:val="99"/>
    <w:unhideWhenUsed/>
    <w:rsid w:val="00730539"/>
    <w:rPr>
      <w:rFonts w:ascii="Arial" w:hAnsi="Arial"/>
      <w:color w:val="0070C0"/>
      <w:u w:val="single"/>
    </w:rPr>
  </w:style>
  <w:style w:type="character" w:customStyle="1" w:styleId="Heading2Char">
    <w:name w:val="Heading 2 Char"/>
    <w:basedOn w:val="DefaultParagraphFont"/>
    <w:link w:val="Heading2"/>
    <w:uiPriority w:val="9"/>
    <w:rsid w:val="002E1AAA"/>
    <w:rPr>
      <w:rFonts w:ascii="Arial" w:eastAsiaTheme="majorEastAsia" w:hAnsi="Arial" w:cstheme="majorBidi"/>
      <w:b/>
      <w:color w:val="000000" w:themeColor="text1"/>
      <w:kern w:val="0"/>
      <w:sz w:val="36"/>
      <w:szCs w:val="28"/>
      <w14:ligatures w14:val="none"/>
    </w:rPr>
  </w:style>
  <w:style w:type="character" w:customStyle="1" w:styleId="Heading3Char">
    <w:name w:val="Heading 3 Char"/>
    <w:basedOn w:val="DefaultParagraphFont"/>
    <w:link w:val="Heading3"/>
    <w:uiPriority w:val="9"/>
    <w:rsid w:val="00E915A8"/>
    <w:rPr>
      <w:rFonts w:ascii="Arial" w:eastAsiaTheme="majorEastAsia" w:hAnsi="Arial" w:cs="Arial"/>
      <w:b/>
      <w:color w:val="000000" w:themeColor="text1"/>
      <w:kern w:val="0"/>
      <w:sz w:val="24"/>
      <w14:ligatures w14:val="none"/>
    </w:rPr>
  </w:style>
  <w:style w:type="character" w:customStyle="1" w:styleId="Heading4Char">
    <w:name w:val="Heading 4 Char"/>
    <w:basedOn w:val="DefaultParagraphFont"/>
    <w:link w:val="Heading4"/>
    <w:uiPriority w:val="9"/>
    <w:rsid w:val="00E915A8"/>
    <w:rPr>
      <w:rFonts w:ascii="Arial" w:eastAsiaTheme="majorEastAsia" w:hAnsi="Arial" w:cs="Arial"/>
      <w:b/>
      <w:color w:val="000000" w:themeColor="text1"/>
      <w:kern w:val="0"/>
      <w:sz w:val="24"/>
      <w14:ligatures w14:val="none"/>
    </w:rPr>
  </w:style>
  <w:style w:type="paragraph" w:styleId="NoSpacing">
    <w:name w:val="No Spacing"/>
    <w:uiPriority w:val="1"/>
    <w:qFormat/>
    <w:rsid w:val="002E11D7"/>
    <w:pPr>
      <w:spacing w:after="0" w:line="276" w:lineRule="auto"/>
    </w:pPr>
    <w:rPr>
      <w:rFonts w:ascii="Arial" w:hAnsi="Arial"/>
      <w:kern w:val="0"/>
      <w:sz w:val="24"/>
      <w:szCs w:val="24"/>
      <w14:ligatures w14:val="none"/>
    </w:rPr>
  </w:style>
  <w:style w:type="paragraph" w:styleId="ListParagraph">
    <w:name w:val="List Paragraph"/>
    <w:basedOn w:val="Normal"/>
    <w:uiPriority w:val="34"/>
    <w:qFormat/>
    <w:rsid w:val="002E11D7"/>
    <w:pPr>
      <w:spacing w:before="120" w:after="120" w:line="276" w:lineRule="auto"/>
    </w:pPr>
    <w:rPr>
      <w:rFonts w:ascii="Arial" w:hAnsi="Arial"/>
      <w:kern w:val="0"/>
      <w:sz w:val="24"/>
      <w:szCs w:val="24"/>
      <w14:ligatures w14:val="none"/>
    </w:rPr>
  </w:style>
  <w:style w:type="paragraph" w:styleId="TOCHeading">
    <w:name w:val="TOC Heading"/>
    <w:basedOn w:val="Heading1"/>
    <w:next w:val="Normal"/>
    <w:uiPriority w:val="39"/>
    <w:unhideWhenUsed/>
    <w:qFormat/>
    <w:rsid w:val="00E915A8"/>
    <w:pPr>
      <w:spacing w:before="240" w:after="0" w:line="259" w:lineRule="auto"/>
      <w:outlineLvl w:val="9"/>
    </w:pPr>
    <w:rPr>
      <w:rFonts w:cstheme="majorBidi"/>
      <w:bCs w:val="0"/>
      <w:color w:val="auto"/>
      <w:sz w:val="32"/>
      <w:szCs w:val="32"/>
      <w:lang w:val="en-US"/>
    </w:rPr>
  </w:style>
  <w:style w:type="character" w:customStyle="1" w:styleId="eop">
    <w:name w:val="eop"/>
    <w:basedOn w:val="DefaultParagraphFont"/>
    <w:rsid w:val="002E11D7"/>
  </w:style>
  <w:style w:type="table" w:styleId="ListTable3">
    <w:name w:val="List Table 3"/>
    <w:basedOn w:val="TableNormal"/>
    <w:uiPriority w:val="48"/>
    <w:rsid w:val="002E11D7"/>
    <w:pPr>
      <w:spacing w:after="0" w:line="240" w:lineRule="auto"/>
    </w:pPr>
    <w:rPr>
      <w:kern w:val="0"/>
      <w:sz w:val="24"/>
      <w:szCs w:val="24"/>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885C13"/>
    <w:rPr>
      <w:color w:val="605E5C"/>
      <w:shd w:val="clear" w:color="auto" w:fill="E1DFDD"/>
    </w:rPr>
  </w:style>
  <w:style w:type="table" w:styleId="TableGrid">
    <w:name w:val="Table Grid"/>
    <w:basedOn w:val="TableNormal"/>
    <w:uiPriority w:val="39"/>
    <w:rsid w:val="0003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61C1"/>
    <w:pPr>
      <w:spacing w:after="0" w:line="240" w:lineRule="auto"/>
    </w:pPr>
  </w:style>
  <w:style w:type="character" w:styleId="CommentReference">
    <w:name w:val="annotation reference"/>
    <w:basedOn w:val="DefaultParagraphFont"/>
    <w:uiPriority w:val="99"/>
    <w:semiHidden/>
    <w:unhideWhenUsed/>
    <w:rsid w:val="002561C1"/>
    <w:rPr>
      <w:sz w:val="16"/>
      <w:szCs w:val="16"/>
    </w:rPr>
  </w:style>
  <w:style w:type="paragraph" w:styleId="CommentText">
    <w:name w:val="annotation text"/>
    <w:basedOn w:val="Normal"/>
    <w:link w:val="CommentTextChar"/>
    <w:uiPriority w:val="99"/>
    <w:unhideWhenUsed/>
    <w:rsid w:val="002561C1"/>
    <w:pPr>
      <w:spacing w:line="240" w:lineRule="auto"/>
    </w:pPr>
    <w:rPr>
      <w:sz w:val="20"/>
      <w:szCs w:val="20"/>
    </w:rPr>
  </w:style>
  <w:style w:type="character" w:customStyle="1" w:styleId="CommentTextChar">
    <w:name w:val="Comment Text Char"/>
    <w:basedOn w:val="DefaultParagraphFont"/>
    <w:link w:val="CommentText"/>
    <w:uiPriority w:val="99"/>
    <w:rsid w:val="002561C1"/>
    <w:rPr>
      <w:sz w:val="20"/>
      <w:szCs w:val="20"/>
    </w:rPr>
  </w:style>
  <w:style w:type="paragraph" w:styleId="CommentSubject">
    <w:name w:val="annotation subject"/>
    <w:basedOn w:val="CommentText"/>
    <w:next w:val="CommentText"/>
    <w:link w:val="CommentSubjectChar"/>
    <w:uiPriority w:val="99"/>
    <w:semiHidden/>
    <w:unhideWhenUsed/>
    <w:rsid w:val="002561C1"/>
    <w:rPr>
      <w:b/>
      <w:bCs/>
    </w:rPr>
  </w:style>
  <w:style w:type="character" w:customStyle="1" w:styleId="CommentSubjectChar">
    <w:name w:val="Comment Subject Char"/>
    <w:basedOn w:val="CommentTextChar"/>
    <w:link w:val="CommentSubject"/>
    <w:uiPriority w:val="99"/>
    <w:semiHidden/>
    <w:rsid w:val="002561C1"/>
    <w:rPr>
      <w:b/>
      <w:bCs/>
      <w:sz w:val="20"/>
      <w:szCs w:val="20"/>
    </w:rPr>
  </w:style>
  <w:style w:type="character" w:styleId="FollowedHyperlink">
    <w:name w:val="FollowedHyperlink"/>
    <w:basedOn w:val="DefaultParagraphFont"/>
    <w:uiPriority w:val="99"/>
    <w:semiHidden/>
    <w:unhideWhenUsed/>
    <w:rsid w:val="00B21980"/>
    <w:rPr>
      <w:color w:val="954F72" w:themeColor="followedHyperlink"/>
      <w:u w:val="single"/>
    </w:rPr>
  </w:style>
  <w:style w:type="paragraph" w:styleId="Header">
    <w:name w:val="header"/>
    <w:basedOn w:val="Normal"/>
    <w:link w:val="HeaderChar"/>
    <w:uiPriority w:val="99"/>
    <w:unhideWhenUsed/>
    <w:rsid w:val="00514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5D2"/>
  </w:style>
  <w:style w:type="paragraph" w:styleId="Footer">
    <w:name w:val="footer"/>
    <w:basedOn w:val="Normal"/>
    <w:link w:val="FooterChar"/>
    <w:uiPriority w:val="99"/>
    <w:unhideWhenUsed/>
    <w:rsid w:val="00514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5D2"/>
  </w:style>
  <w:style w:type="character" w:customStyle="1" w:styleId="Heading1Char">
    <w:name w:val="Heading 1 Char"/>
    <w:basedOn w:val="DefaultParagraphFont"/>
    <w:link w:val="Heading1"/>
    <w:uiPriority w:val="9"/>
    <w:rsid w:val="00E65126"/>
    <w:rPr>
      <w:rFonts w:ascii="Arial" w:eastAsiaTheme="majorEastAsia" w:hAnsi="Arial" w:cs="Arial"/>
      <w:b/>
      <w:bCs/>
      <w:color w:val="002060"/>
      <w:kern w:val="0"/>
      <w:sz w:val="56"/>
      <w:szCs w:val="56"/>
      <w14:ligatures w14:val="none"/>
    </w:rPr>
  </w:style>
  <w:style w:type="table" w:customStyle="1" w:styleId="TableGrid1">
    <w:name w:val="Table Grid1"/>
    <w:basedOn w:val="TableNormal"/>
    <w:next w:val="TableGrid"/>
    <w:uiPriority w:val="39"/>
    <w:rsid w:val="00A1265F"/>
    <w:pPr>
      <w:spacing w:after="0" w:line="240" w:lineRule="auto"/>
    </w:pPr>
    <w:rPr>
      <w:kern w:val="0"/>
      <w:sz w:val="24"/>
      <w:szCs w:val="24"/>
      <w14:ligatures w14:val="none"/>
    </w:rPr>
    <w:tblPr>
      <w:tblBorders>
        <w:top w:val="single" w:sz="4" w:space="0" w:color="DA576C"/>
        <w:bottom w:val="single" w:sz="4" w:space="0" w:color="DA576C"/>
        <w:insideH w:val="single" w:sz="4" w:space="0" w:color="DA576C"/>
      </w:tblBorders>
    </w:tblPr>
  </w:style>
  <w:style w:type="paragraph" w:styleId="TOC1">
    <w:name w:val="toc 1"/>
    <w:basedOn w:val="Normal"/>
    <w:next w:val="Normal"/>
    <w:autoRedefine/>
    <w:uiPriority w:val="39"/>
    <w:unhideWhenUsed/>
    <w:rsid w:val="002E1AAA"/>
    <w:pPr>
      <w:spacing w:after="100"/>
    </w:pPr>
  </w:style>
  <w:style w:type="paragraph" w:styleId="TOC2">
    <w:name w:val="toc 2"/>
    <w:basedOn w:val="Normal"/>
    <w:next w:val="Normal"/>
    <w:autoRedefine/>
    <w:uiPriority w:val="39"/>
    <w:unhideWhenUsed/>
    <w:rsid w:val="002E1AAA"/>
    <w:pPr>
      <w:spacing w:after="100"/>
      <w:ind w:left="220"/>
    </w:pPr>
  </w:style>
  <w:style w:type="paragraph" w:styleId="TOC3">
    <w:name w:val="toc 3"/>
    <w:basedOn w:val="Normal"/>
    <w:next w:val="Normal"/>
    <w:autoRedefine/>
    <w:uiPriority w:val="39"/>
    <w:unhideWhenUsed/>
    <w:rsid w:val="002E1AAA"/>
    <w:pPr>
      <w:spacing w:after="100"/>
      <w:ind w:left="440"/>
    </w:pPr>
  </w:style>
  <w:style w:type="paragraph" w:styleId="ListBullet">
    <w:name w:val="List Bullet"/>
    <w:basedOn w:val="Normal"/>
    <w:uiPriority w:val="99"/>
    <w:unhideWhenUsed/>
    <w:qFormat/>
    <w:rsid w:val="002E1AAA"/>
    <w:pPr>
      <w:numPr>
        <w:numId w:val="17"/>
      </w:numPr>
      <w:ind w:left="924" w:hanging="357"/>
      <w:contextualSpacing/>
    </w:pPr>
    <w:rPr>
      <w:rFonts w:ascii="Arial" w:hAnsi="Arial"/>
      <w:sz w:val="24"/>
    </w:rPr>
  </w:style>
  <w:style w:type="paragraph" w:styleId="ListBullet2">
    <w:name w:val="List Bullet 2"/>
    <w:basedOn w:val="ListParagraph"/>
    <w:uiPriority w:val="99"/>
    <w:unhideWhenUsed/>
    <w:qFormat/>
    <w:rsid w:val="002E1AAA"/>
    <w:pPr>
      <w:numPr>
        <w:ilvl w:val="1"/>
        <w:numId w:val="11"/>
      </w:numPr>
    </w:pPr>
    <w:rPr>
      <w:rFonts w:cs="Arial"/>
    </w:rPr>
  </w:style>
  <w:style w:type="paragraph" w:customStyle="1" w:styleId="Heading3nonumbers">
    <w:name w:val="Heading 3 (no numbers)"/>
    <w:basedOn w:val="Heading2"/>
    <w:link w:val="Heading3nonumbersChar"/>
    <w:qFormat/>
    <w:rsid w:val="00E915A8"/>
    <w:pPr>
      <w:numPr>
        <w:numId w:val="0"/>
      </w:numPr>
      <w:spacing w:before="120" w:after="120"/>
      <w:outlineLvl w:val="2"/>
    </w:pPr>
    <w:rPr>
      <w:color w:val="auto"/>
      <w:sz w:val="30"/>
    </w:rPr>
  </w:style>
  <w:style w:type="character" w:customStyle="1" w:styleId="Heading3nonumbersChar">
    <w:name w:val="Heading 3 (no numbers) Char"/>
    <w:basedOn w:val="Heading3Char"/>
    <w:link w:val="Heading3nonumbers"/>
    <w:rsid w:val="00E915A8"/>
    <w:rPr>
      <w:rFonts w:ascii="Arial" w:eastAsiaTheme="majorEastAsia" w:hAnsi="Arial" w:cstheme="majorBidi"/>
      <w:b/>
      <w:color w:val="000000" w:themeColor="text1"/>
      <w:kern w:val="0"/>
      <w:sz w:val="3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8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OAcompliance@health.gov.au" TargetMode="External"/><Relationship Id="rId18" Type="http://schemas.openxmlformats.org/officeDocument/2006/relationships/hyperlink" Target="mailto:doh.acquittals@communitygrants.gov.au" TargetMode="External"/><Relationship Id="rId26" Type="http://schemas.openxmlformats.org/officeDocument/2006/relationships/hyperlink" Target="https://www.health.gov.au/resources/publications/disability-support-for-older-australians-program-manual?language=en" TargetMode="External"/><Relationship Id="rId39" Type="http://schemas.openxmlformats.org/officeDocument/2006/relationships/hyperlink" Target="mailto:nt.DSOA@dss.gov.au" TargetMode="External"/><Relationship Id="rId3" Type="http://schemas.openxmlformats.org/officeDocument/2006/relationships/styles" Target="styles.xml"/><Relationship Id="rId21" Type="http://schemas.openxmlformats.org/officeDocument/2006/relationships/hyperlink" Target="https://www.health.gov.au/resources/videos/dsoa-change-of-needs-video?language=en" TargetMode="External"/><Relationship Id="rId34" Type="http://schemas.openxmlformats.org/officeDocument/2006/relationships/hyperlink" Target="https://www.health.gov.au/using-our-websites/subscriptions/subscribe-to-aged-care-newsletters-and-alerts" TargetMode="External"/><Relationship Id="rId42" Type="http://schemas.openxmlformats.org/officeDocument/2006/relationships/hyperlink" Target="mailto:tas.DSOA@dss.gov.au"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SOAcompliance@health.gov.au" TargetMode="External"/><Relationship Id="rId17" Type="http://schemas.openxmlformats.org/officeDocument/2006/relationships/hyperlink" Target="mailto:dsoacompliance@health.gov.au" TargetMode="External"/><Relationship Id="rId25" Type="http://schemas.openxmlformats.org/officeDocument/2006/relationships/hyperlink" Target="https://www.health.gov.au/resources/publications/disability-support-for-older-australians-program-template-grant-agreement?language=en" TargetMode="External"/><Relationship Id="rId33" Type="http://schemas.openxmlformats.org/officeDocument/2006/relationships/hyperlink" Target="https://health.us14.list-manage.com/subscribe?u=5733b02296d1f9f0e9af1106a&amp;id=548af11ff5" TargetMode="External"/><Relationship Id="rId38" Type="http://schemas.openxmlformats.org/officeDocument/2006/relationships/hyperlink" Target="mailto:nswact.DSOA@dss.gov.a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ealth.gov.au/resources/publications/dsoa-program-manual-appendix-c-how-to-fill-out-the-isp-template" TargetMode="External"/><Relationship Id="rId20" Type="http://schemas.openxmlformats.org/officeDocument/2006/relationships/hyperlink" Target="https://www.health.gov.au/resources/publications/disability-support-for-older-australians-program-manual?language=en" TargetMode="External"/><Relationship Id="rId29" Type="http://schemas.openxmlformats.org/officeDocument/2006/relationships/hyperlink" Target="https://www.myagedcare.gov.au/" TargetMode="External"/><Relationship Id="rId41" Type="http://schemas.openxmlformats.org/officeDocument/2006/relationships/hyperlink" Target="mailto:sa.DSOA@d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videos/disability-support-for-older-australian-program-individual-support-package-form-instructional-video?language=en" TargetMode="External"/><Relationship Id="rId24" Type="http://schemas.openxmlformats.org/officeDocument/2006/relationships/hyperlink" Target="https://www.myagedcare.gov.au/" TargetMode="External"/><Relationship Id="rId32" Type="http://schemas.openxmlformats.org/officeDocument/2006/relationships/hyperlink" Target="https://opan.org.au/" TargetMode="External"/><Relationship Id="rId37" Type="http://schemas.openxmlformats.org/officeDocument/2006/relationships/hyperlink" Target="mailto:DSOAchangeofneed@health.gov.au" TargetMode="External"/><Relationship Id="rId40" Type="http://schemas.openxmlformats.org/officeDocument/2006/relationships/hyperlink" Target="mailto:qld.DSOA@dss.gov.a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ealth.gov.au/resources/videos/disability-support-for-older-australian-program-individual-support-package-form-instructional-video?language=en" TargetMode="External"/><Relationship Id="rId23" Type="http://schemas.openxmlformats.org/officeDocument/2006/relationships/hyperlink" Target="https://www.health.gov.au/resources/publications/disability-support-for-older-australians-program-and-aged-care-services-for-service-providers?language=en" TargetMode="External"/><Relationship Id="rId28" Type="http://schemas.openxmlformats.org/officeDocument/2006/relationships/hyperlink" Target="https://www.myagedcare.gov.au/help-at-home/home-care-packages" TargetMode="External"/><Relationship Id="rId36" Type="http://schemas.openxmlformats.org/officeDocument/2006/relationships/hyperlink" Target="mailto:DSOAcompliance@health.gov.au" TargetMode="External"/><Relationship Id="rId49" Type="http://schemas.openxmlformats.org/officeDocument/2006/relationships/theme" Target="theme/theme1.xml"/><Relationship Id="rId10" Type="http://schemas.openxmlformats.org/officeDocument/2006/relationships/hyperlink" Target="https://www.health.gov.au/resources/publications/dsoa-program-manual-appendix-e-change-of-needs-application-form" TargetMode="External"/><Relationship Id="rId19" Type="http://schemas.openxmlformats.org/officeDocument/2006/relationships/hyperlink" Target="https://mailchi.mp/health/disability-support-for-older-australians-dsoa-community-news-july-2024-edition?e=9fb3f4774c" TargetMode="External"/><Relationship Id="rId31" Type="http://schemas.openxmlformats.org/officeDocument/2006/relationships/hyperlink" Target="mailto:thehelpline@advocacylaw.org.au%20" TargetMode="External"/><Relationship Id="rId44" Type="http://schemas.openxmlformats.org/officeDocument/2006/relationships/hyperlink" Target="mailto:wa.DSOA@dss.gov.au" TargetMode="External"/><Relationship Id="rId4" Type="http://schemas.openxmlformats.org/officeDocument/2006/relationships/settings" Target="settings.xml"/><Relationship Id="rId9" Type="http://schemas.openxmlformats.org/officeDocument/2006/relationships/hyperlink" Target="https://www.health.gov.au/resources/publications/dsoa-program-manual-appendix-d-individual-support-package-isp-template" TargetMode="External"/><Relationship Id="rId14" Type="http://schemas.openxmlformats.org/officeDocument/2006/relationships/hyperlink" Target="mailto:dsoacompliance@health.gov.au" TargetMode="External"/><Relationship Id="rId22" Type="http://schemas.openxmlformats.org/officeDocument/2006/relationships/hyperlink" Target="https://cds.org.au/clinical-services/i-can/" TargetMode="External"/><Relationship Id="rId27" Type="http://schemas.openxmlformats.org/officeDocument/2006/relationships/hyperlink" Target="https://www.health.gov.au/resources/publications/transition-of-some-disability-support-for-older-australians-clients-into-aged-care" TargetMode="External"/><Relationship Id="rId30" Type="http://schemas.openxmlformats.org/officeDocument/2006/relationships/hyperlink" Target="mailto:info@dana.org.au%20" TargetMode="External"/><Relationship Id="rId35" Type="http://schemas.openxmlformats.org/officeDocument/2006/relationships/hyperlink" Target="mailto:CommonwealthDSOA@health.gov.au" TargetMode="External"/><Relationship Id="rId43" Type="http://schemas.openxmlformats.org/officeDocument/2006/relationships/hyperlink" Target="mailto:vic.DSOA@dss.gov.au" TargetMode="External"/><Relationship Id="rId48" Type="http://schemas.openxmlformats.org/officeDocument/2006/relationships/fontTable" Target="fontTable.xml"/><Relationship Id="rId8" Type="http://schemas.openxmlformats.org/officeDocument/2006/relationships/hyperlink" Target="https://www.finance.gov.au/government/commonwealth-grants/commonwealth-grants-rules-and-guideli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B5A8-D927-4F23-9B1E-BCBA7441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2967</Words>
  <Characters>15315</Characters>
  <Application>Microsoft Office Word</Application>
  <DocSecurity>0</DocSecurity>
  <Lines>373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for Older Australians (DSOA) Service Coordinator Forums August 2024 – Frequently Asked Questions</dc:title>
  <dc:subject>Aged Care</dc:subject>
  <dc:creator>Australian Government, Department of Health and Aged Care</dc:creator>
  <cp:keywords/>
  <dc:description/>
  <cp:lastModifiedBy>MASCHKE, Elvia</cp:lastModifiedBy>
  <cp:revision>6</cp:revision>
  <cp:lastPrinted>2024-09-10T05:10:00Z</cp:lastPrinted>
  <dcterms:created xsi:type="dcterms:W3CDTF">2024-09-10T05:55:00Z</dcterms:created>
  <dcterms:modified xsi:type="dcterms:W3CDTF">2024-09-10T06:02:00Z</dcterms:modified>
</cp:coreProperties>
</file>