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1699" w14:textId="78464378" w:rsidR="00B96A30" w:rsidRPr="002828F3" w:rsidRDefault="00F41FBB" w:rsidP="002828F3">
      <w:pPr>
        <w:pStyle w:val="Title"/>
      </w:pPr>
      <w:r w:rsidRPr="002828F3">
        <w:rPr>
          <w:noProof/>
        </w:rPr>
        <w:drawing>
          <wp:anchor distT="0" distB="0" distL="114300" distR="114300" simplePos="0" relativeHeight="251658240" behindDoc="1" locked="0" layoutInCell="1" allowOverlap="1" wp14:anchorId="67608748" wp14:editId="595DB303">
            <wp:simplePos x="0" y="0"/>
            <wp:positionH relativeFrom="page">
              <wp:posOffset>7951</wp:posOffset>
            </wp:positionH>
            <wp:positionV relativeFrom="page">
              <wp:align>bottom</wp:align>
            </wp:positionV>
            <wp:extent cx="7559675" cy="10691495"/>
            <wp:effectExtent l="0" t="0" r="317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00B96A30" w:rsidRPr="002828F3">
        <w:t xml:space="preserve">Commonwealth Psychosocial Support: </w:t>
      </w:r>
    </w:p>
    <w:p w14:paraId="48749026" w14:textId="240111D0" w:rsidR="00CA79CF" w:rsidRPr="002828F3" w:rsidRDefault="00B96A30" w:rsidP="002828F3">
      <w:pPr>
        <w:pStyle w:val="Subtitle"/>
      </w:pPr>
      <w:r>
        <w:t>Program Guidance</w:t>
      </w:r>
    </w:p>
    <w:p w14:paraId="19C2B68C" w14:textId="683A637A" w:rsidR="00B96A30" w:rsidRPr="002828F3" w:rsidRDefault="00B96A30" w:rsidP="002828F3">
      <w:pPr>
        <w:rPr>
          <w:rStyle w:val="Emphasis"/>
        </w:rPr>
      </w:pPr>
      <w:r w:rsidRPr="002828F3">
        <w:rPr>
          <w:rStyle w:val="Emphasis"/>
        </w:rPr>
        <w:t xml:space="preserve">Psychosocial support for people with severe mental illness </w:t>
      </w:r>
      <w:r w:rsidR="00D25215" w:rsidRPr="002828F3">
        <w:rPr>
          <w:rStyle w:val="Emphasis"/>
        </w:rPr>
        <w:t xml:space="preserve">and associated psychosocial functional impairment </w:t>
      </w:r>
      <w:r w:rsidR="009F5A16" w:rsidRPr="002828F3">
        <w:rPr>
          <w:rStyle w:val="Emphasis"/>
        </w:rPr>
        <w:t xml:space="preserve">living in the </w:t>
      </w:r>
      <w:r w:rsidR="002828F3" w:rsidRPr="002828F3">
        <w:rPr>
          <w:rStyle w:val="Emphasis"/>
        </w:rPr>
        <w:t>community.</w:t>
      </w:r>
    </w:p>
    <w:p w14:paraId="6A1C61F9" w14:textId="39C28862" w:rsidR="00540E32" w:rsidRDefault="00540E32" w:rsidP="004C002F">
      <w:pPr>
        <w:tabs>
          <w:tab w:val="left" w:pos="2317"/>
        </w:tabs>
        <w:sectPr w:rsidR="00540E32" w:rsidSect="004C002F">
          <w:headerReference w:type="default" r:id="rId12"/>
          <w:headerReference w:type="first" r:id="rId13"/>
          <w:type w:val="continuous"/>
          <w:pgSz w:w="11906" w:h="16838"/>
          <w:pgMar w:top="1701" w:right="1418" w:bottom="1418" w:left="1418" w:header="709" w:footer="225" w:gutter="0"/>
          <w:cols w:space="708"/>
          <w:titlePg/>
          <w:docGrid w:linePitch="360"/>
        </w:sectPr>
      </w:pPr>
    </w:p>
    <w:sdt>
      <w:sdtPr>
        <w:rPr>
          <w:rFonts w:eastAsia="Times New Roman" w:cs="Times New Roman"/>
          <w:b w:val="0"/>
          <w:color w:val="auto"/>
          <w:sz w:val="24"/>
          <w:szCs w:val="24"/>
          <w:lang w:val="en-AU"/>
        </w:rPr>
        <w:id w:val="709223790"/>
        <w:docPartObj>
          <w:docPartGallery w:val="Table of Contents"/>
          <w:docPartUnique/>
        </w:docPartObj>
      </w:sdtPr>
      <w:sdtEndPr>
        <w:rPr>
          <w:bCs/>
          <w:noProof/>
        </w:rPr>
      </w:sdtEndPr>
      <w:sdtContent>
        <w:p w14:paraId="73124502" w14:textId="2402A93A" w:rsidR="002828F3" w:rsidRDefault="002828F3">
          <w:pPr>
            <w:pStyle w:val="TOCHeading"/>
          </w:pPr>
          <w:r>
            <w:t>Contents</w:t>
          </w:r>
        </w:p>
        <w:p w14:paraId="0D17A8BB" w14:textId="565AD995" w:rsidR="002828F3" w:rsidRDefault="002828F3">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6503504" w:history="1">
            <w:r w:rsidRPr="00846E95">
              <w:rPr>
                <w:rStyle w:val="Hyperlink"/>
              </w:rPr>
              <w:t>Overview</w:t>
            </w:r>
            <w:r>
              <w:rPr>
                <w:webHidden/>
              </w:rPr>
              <w:tab/>
            </w:r>
            <w:r>
              <w:rPr>
                <w:webHidden/>
              </w:rPr>
              <w:fldChar w:fldCharType="begin"/>
            </w:r>
            <w:r>
              <w:rPr>
                <w:webHidden/>
              </w:rPr>
              <w:instrText xml:space="preserve"> PAGEREF _Toc176503504 \h </w:instrText>
            </w:r>
            <w:r>
              <w:rPr>
                <w:webHidden/>
              </w:rPr>
            </w:r>
            <w:r>
              <w:rPr>
                <w:webHidden/>
              </w:rPr>
              <w:fldChar w:fldCharType="separate"/>
            </w:r>
            <w:r>
              <w:rPr>
                <w:webHidden/>
              </w:rPr>
              <w:t>3</w:t>
            </w:r>
            <w:r>
              <w:rPr>
                <w:webHidden/>
              </w:rPr>
              <w:fldChar w:fldCharType="end"/>
            </w:r>
          </w:hyperlink>
        </w:p>
        <w:p w14:paraId="5FB0BC03" w14:textId="2FD54430" w:rsidR="002828F3" w:rsidRDefault="00000000">
          <w:pPr>
            <w:pStyle w:val="TOC2"/>
            <w:rPr>
              <w:rFonts w:asciiTheme="minorHAnsi" w:eastAsiaTheme="minorEastAsia" w:hAnsiTheme="minorHAnsi" w:cstheme="minorBidi"/>
              <w:kern w:val="2"/>
              <w:lang w:eastAsia="en-AU"/>
              <w14:ligatures w14:val="standardContextual"/>
            </w:rPr>
          </w:pPr>
          <w:hyperlink w:anchor="_Toc176503505" w:history="1">
            <w:r w:rsidR="002828F3" w:rsidRPr="00846E95">
              <w:rPr>
                <w:rStyle w:val="Hyperlink"/>
              </w:rPr>
              <w:t>What are psychosocial supports?</w:t>
            </w:r>
            <w:r w:rsidR="002828F3">
              <w:rPr>
                <w:webHidden/>
              </w:rPr>
              <w:tab/>
            </w:r>
            <w:r w:rsidR="002828F3">
              <w:rPr>
                <w:webHidden/>
              </w:rPr>
              <w:fldChar w:fldCharType="begin"/>
            </w:r>
            <w:r w:rsidR="002828F3">
              <w:rPr>
                <w:webHidden/>
              </w:rPr>
              <w:instrText xml:space="preserve"> PAGEREF _Toc176503505 \h </w:instrText>
            </w:r>
            <w:r w:rsidR="002828F3">
              <w:rPr>
                <w:webHidden/>
              </w:rPr>
            </w:r>
            <w:r w:rsidR="002828F3">
              <w:rPr>
                <w:webHidden/>
              </w:rPr>
              <w:fldChar w:fldCharType="separate"/>
            </w:r>
            <w:r w:rsidR="002828F3">
              <w:rPr>
                <w:webHidden/>
              </w:rPr>
              <w:t>3</w:t>
            </w:r>
            <w:r w:rsidR="002828F3">
              <w:rPr>
                <w:webHidden/>
              </w:rPr>
              <w:fldChar w:fldCharType="end"/>
            </w:r>
          </w:hyperlink>
        </w:p>
        <w:p w14:paraId="1A29B421" w14:textId="0BD6474C" w:rsidR="002828F3" w:rsidRDefault="00000000">
          <w:pPr>
            <w:pStyle w:val="TOC2"/>
            <w:rPr>
              <w:rFonts w:asciiTheme="minorHAnsi" w:eastAsiaTheme="minorEastAsia" w:hAnsiTheme="minorHAnsi" w:cstheme="minorBidi"/>
              <w:kern w:val="2"/>
              <w:lang w:eastAsia="en-AU"/>
              <w14:ligatures w14:val="standardContextual"/>
            </w:rPr>
          </w:pPr>
          <w:hyperlink w:anchor="_Toc176503506" w:history="1">
            <w:r w:rsidR="002828F3" w:rsidRPr="00846E95">
              <w:rPr>
                <w:rStyle w:val="Hyperlink"/>
              </w:rPr>
              <w:t>What is recovery?</w:t>
            </w:r>
            <w:r w:rsidR="002828F3">
              <w:rPr>
                <w:webHidden/>
              </w:rPr>
              <w:tab/>
            </w:r>
            <w:r w:rsidR="002828F3">
              <w:rPr>
                <w:webHidden/>
              </w:rPr>
              <w:fldChar w:fldCharType="begin"/>
            </w:r>
            <w:r w:rsidR="002828F3">
              <w:rPr>
                <w:webHidden/>
              </w:rPr>
              <w:instrText xml:space="preserve"> PAGEREF _Toc176503506 \h </w:instrText>
            </w:r>
            <w:r w:rsidR="002828F3">
              <w:rPr>
                <w:webHidden/>
              </w:rPr>
            </w:r>
            <w:r w:rsidR="002828F3">
              <w:rPr>
                <w:webHidden/>
              </w:rPr>
              <w:fldChar w:fldCharType="separate"/>
            </w:r>
            <w:r w:rsidR="002828F3">
              <w:rPr>
                <w:webHidden/>
              </w:rPr>
              <w:t>3</w:t>
            </w:r>
            <w:r w:rsidR="002828F3">
              <w:rPr>
                <w:webHidden/>
              </w:rPr>
              <w:fldChar w:fldCharType="end"/>
            </w:r>
          </w:hyperlink>
        </w:p>
        <w:p w14:paraId="4CF02530" w14:textId="6AEEF489" w:rsidR="002828F3" w:rsidRDefault="00000000">
          <w:pPr>
            <w:pStyle w:val="TOC2"/>
            <w:rPr>
              <w:rFonts w:asciiTheme="minorHAnsi" w:eastAsiaTheme="minorEastAsia" w:hAnsiTheme="minorHAnsi" w:cstheme="minorBidi"/>
              <w:kern w:val="2"/>
              <w:lang w:eastAsia="en-AU"/>
              <w14:ligatures w14:val="standardContextual"/>
            </w:rPr>
          </w:pPr>
          <w:hyperlink w:anchor="_Toc176503507" w:history="1">
            <w:r w:rsidR="002828F3" w:rsidRPr="00846E95">
              <w:rPr>
                <w:rStyle w:val="Hyperlink"/>
              </w:rPr>
              <w:t>Background</w:t>
            </w:r>
            <w:r w:rsidR="002828F3">
              <w:rPr>
                <w:webHidden/>
              </w:rPr>
              <w:tab/>
            </w:r>
            <w:r w:rsidR="002828F3">
              <w:rPr>
                <w:webHidden/>
              </w:rPr>
              <w:fldChar w:fldCharType="begin"/>
            </w:r>
            <w:r w:rsidR="002828F3">
              <w:rPr>
                <w:webHidden/>
              </w:rPr>
              <w:instrText xml:space="preserve"> PAGEREF _Toc176503507 \h </w:instrText>
            </w:r>
            <w:r w:rsidR="002828F3">
              <w:rPr>
                <w:webHidden/>
              </w:rPr>
            </w:r>
            <w:r w:rsidR="002828F3">
              <w:rPr>
                <w:webHidden/>
              </w:rPr>
              <w:fldChar w:fldCharType="separate"/>
            </w:r>
            <w:r w:rsidR="002828F3">
              <w:rPr>
                <w:webHidden/>
              </w:rPr>
              <w:t>3</w:t>
            </w:r>
            <w:r w:rsidR="002828F3">
              <w:rPr>
                <w:webHidden/>
              </w:rPr>
              <w:fldChar w:fldCharType="end"/>
            </w:r>
          </w:hyperlink>
        </w:p>
        <w:p w14:paraId="33CF7C0E" w14:textId="40ECBF03" w:rsidR="002828F3" w:rsidRDefault="00000000">
          <w:pPr>
            <w:pStyle w:val="TOC1"/>
            <w:rPr>
              <w:rFonts w:asciiTheme="minorHAnsi" w:eastAsiaTheme="minorEastAsia" w:hAnsiTheme="minorHAnsi" w:cstheme="minorBidi"/>
              <w:kern w:val="2"/>
              <w:sz w:val="22"/>
              <w:szCs w:val="22"/>
              <w14:ligatures w14:val="standardContextual"/>
            </w:rPr>
          </w:pPr>
          <w:hyperlink w:anchor="_Toc176503508" w:history="1">
            <w:r w:rsidR="002828F3" w:rsidRPr="00846E95">
              <w:rPr>
                <w:rStyle w:val="Hyperlink"/>
              </w:rPr>
              <w:t>Commonwealth Psychosocial Supports from 1 July 2021</w:t>
            </w:r>
            <w:r w:rsidR="002828F3">
              <w:rPr>
                <w:webHidden/>
              </w:rPr>
              <w:tab/>
            </w:r>
            <w:r w:rsidR="002828F3">
              <w:rPr>
                <w:webHidden/>
              </w:rPr>
              <w:fldChar w:fldCharType="begin"/>
            </w:r>
            <w:r w:rsidR="002828F3">
              <w:rPr>
                <w:webHidden/>
              </w:rPr>
              <w:instrText xml:space="preserve"> PAGEREF _Toc176503508 \h </w:instrText>
            </w:r>
            <w:r w:rsidR="002828F3">
              <w:rPr>
                <w:webHidden/>
              </w:rPr>
            </w:r>
            <w:r w:rsidR="002828F3">
              <w:rPr>
                <w:webHidden/>
              </w:rPr>
              <w:fldChar w:fldCharType="separate"/>
            </w:r>
            <w:r w:rsidR="002828F3">
              <w:rPr>
                <w:webHidden/>
              </w:rPr>
              <w:t>5</w:t>
            </w:r>
            <w:r w:rsidR="002828F3">
              <w:rPr>
                <w:webHidden/>
              </w:rPr>
              <w:fldChar w:fldCharType="end"/>
            </w:r>
          </w:hyperlink>
        </w:p>
        <w:p w14:paraId="39D6E1DA" w14:textId="09CDD0FA" w:rsidR="002828F3" w:rsidRDefault="00000000">
          <w:pPr>
            <w:pStyle w:val="TOC2"/>
            <w:rPr>
              <w:rFonts w:asciiTheme="minorHAnsi" w:eastAsiaTheme="minorEastAsia" w:hAnsiTheme="minorHAnsi" w:cstheme="minorBidi"/>
              <w:kern w:val="2"/>
              <w:lang w:eastAsia="en-AU"/>
              <w14:ligatures w14:val="standardContextual"/>
            </w:rPr>
          </w:pPr>
          <w:hyperlink w:anchor="_Toc176503509" w:history="1">
            <w:r w:rsidR="002828F3" w:rsidRPr="00846E95">
              <w:rPr>
                <w:rStyle w:val="Hyperlink"/>
              </w:rPr>
              <w:t>Who is the Program for?</w:t>
            </w:r>
            <w:r w:rsidR="002828F3">
              <w:rPr>
                <w:webHidden/>
              </w:rPr>
              <w:tab/>
            </w:r>
            <w:r w:rsidR="002828F3">
              <w:rPr>
                <w:webHidden/>
              </w:rPr>
              <w:fldChar w:fldCharType="begin"/>
            </w:r>
            <w:r w:rsidR="002828F3">
              <w:rPr>
                <w:webHidden/>
              </w:rPr>
              <w:instrText xml:space="preserve"> PAGEREF _Toc176503509 \h </w:instrText>
            </w:r>
            <w:r w:rsidR="002828F3">
              <w:rPr>
                <w:webHidden/>
              </w:rPr>
            </w:r>
            <w:r w:rsidR="002828F3">
              <w:rPr>
                <w:webHidden/>
              </w:rPr>
              <w:fldChar w:fldCharType="separate"/>
            </w:r>
            <w:r w:rsidR="002828F3">
              <w:rPr>
                <w:webHidden/>
              </w:rPr>
              <w:t>5</w:t>
            </w:r>
            <w:r w:rsidR="002828F3">
              <w:rPr>
                <w:webHidden/>
              </w:rPr>
              <w:fldChar w:fldCharType="end"/>
            </w:r>
          </w:hyperlink>
        </w:p>
        <w:p w14:paraId="03A34DF4" w14:textId="3378B6AD" w:rsidR="002828F3" w:rsidRDefault="00000000">
          <w:pPr>
            <w:pStyle w:val="TOC2"/>
            <w:rPr>
              <w:rFonts w:asciiTheme="minorHAnsi" w:eastAsiaTheme="minorEastAsia" w:hAnsiTheme="minorHAnsi" w:cstheme="minorBidi"/>
              <w:kern w:val="2"/>
              <w:lang w:eastAsia="en-AU"/>
              <w14:ligatures w14:val="standardContextual"/>
            </w:rPr>
          </w:pPr>
          <w:hyperlink w:anchor="_Toc176503510" w:history="1">
            <w:r w:rsidR="002828F3" w:rsidRPr="00846E95">
              <w:rPr>
                <w:rStyle w:val="Hyperlink"/>
              </w:rPr>
              <w:t>Key Program outcomes</w:t>
            </w:r>
            <w:r w:rsidR="002828F3">
              <w:rPr>
                <w:webHidden/>
              </w:rPr>
              <w:tab/>
            </w:r>
            <w:r w:rsidR="002828F3">
              <w:rPr>
                <w:webHidden/>
              </w:rPr>
              <w:fldChar w:fldCharType="begin"/>
            </w:r>
            <w:r w:rsidR="002828F3">
              <w:rPr>
                <w:webHidden/>
              </w:rPr>
              <w:instrText xml:space="preserve"> PAGEREF _Toc176503510 \h </w:instrText>
            </w:r>
            <w:r w:rsidR="002828F3">
              <w:rPr>
                <w:webHidden/>
              </w:rPr>
            </w:r>
            <w:r w:rsidR="002828F3">
              <w:rPr>
                <w:webHidden/>
              </w:rPr>
              <w:fldChar w:fldCharType="separate"/>
            </w:r>
            <w:r w:rsidR="002828F3">
              <w:rPr>
                <w:webHidden/>
              </w:rPr>
              <w:t>6</w:t>
            </w:r>
            <w:r w:rsidR="002828F3">
              <w:rPr>
                <w:webHidden/>
              </w:rPr>
              <w:fldChar w:fldCharType="end"/>
            </w:r>
          </w:hyperlink>
        </w:p>
        <w:p w14:paraId="2AF23061" w14:textId="08610EA2" w:rsidR="002828F3" w:rsidRDefault="00000000">
          <w:pPr>
            <w:pStyle w:val="TOC2"/>
            <w:rPr>
              <w:rFonts w:asciiTheme="minorHAnsi" w:eastAsiaTheme="minorEastAsia" w:hAnsiTheme="minorHAnsi" w:cstheme="minorBidi"/>
              <w:kern w:val="2"/>
              <w:lang w:eastAsia="en-AU"/>
              <w14:ligatures w14:val="standardContextual"/>
            </w:rPr>
          </w:pPr>
          <w:hyperlink w:anchor="_Toc176503511" w:history="1">
            <w:r w:rsidR="002828F3" w:rsidRPr="00846E95">
              <w:rPr>
                <w:rStyle w:val="Hyperlink"/>
              </w:rPr>
              <w:t>Service Delivery</w:t>
            </w:r>
            <w:r w:rsidR="002828F3">
              <w:rPr>
                <w:webHidden/>
              </w:rPr>
              <w:tab/>
            </w:r>
            <w:r w:rsidR="002828F3">
              <w:rPr>
                <w:webHidden/>
              </w:rPr>
              <w:fldChar w:fldCharType="begin"/>
            </w:r>
            <w:r w:rsidR="002828F3">
              <w:rPr>
                <w:webHidden/>
              </w:rPr>
              <w:instrText xml:space="preserve"> PAGEREF _Toc176503511 \h </w:instrText>
            </w:r>
            <w:r w:rsidR="002828F3">
              <w:rPr>
                <w:webHidden/>
              </w:rPr>
            </w:r>
            <w:r w:rsidR="002828F3">
              <w:rPr>
                <w:webHidden/>
              </w:rPr>
              <w:fldChar w:fldCharType="separate"/>
            </w:r>
            <w:r w:rsidR="002828F3">
              <w:rPr>
                <w:webHidden/>
              </w:rPr>
              <w:t>6</w:t>
            </w:r>
            <w:r w:rsidR="002828F3">
              <w:rPr>
                <w:webHidden/>
              </w:rPr>
              <w:fldChar w:fldCharType="end"/>
            </w:r>
          </w:hyperlink>
        </w:p>
        <w:p w14:paraId="2836CF8F" w14:textId="0BD2AFAB" w:rsidR="002828F3" w:rsidRDefault="00000000">
          <w:pPr>
            <w:pStyle w:val="TOC2"/>
            <w:rPr>
              <w:rFonts w:asciiTheme="minorHAnsi" w:eastAsiaTheme="minorEastAsia" w:hAnsiTheme="minorHAnsi" w:cstheme="minorBidi"/>
              <w:kern w:val="2"/>
              <w:lang w:eastAsia="en-AU"/>
              <w14:ligatures w14:val="standardContextual"/>
            </w:rPr>
          </w:pPr>
          <w:hyperlink w:anchor="_Toc176503512" w:history="1">
            <w:r w:rsidR="002828F3" w:rsidRPr="00846E95">
              <w:rPr>
                <w:rStyle w:val="Hyperlink"/>
              </w:rPr>
              <w:t>Service Navigation</w:t>
            </w:r>
            <w:r w:rsidR="002828F3">
              <w:rPr>
                <w:webHidden/>
              </w:rPr>
              <w:tab/>
            </w:r>
            <w:r w:rsidR="002828F3">
              <w:rPr>
                <w:webHidden/>
              </w:rPr>
              <w:fldChar w:fldCharType="begin"/>
            </w:r>
            <w:r w:rsidR="002828F3">
              <w:rPr>
                <w:webHidden/>
              </w:rPr>
              <w:instrText xml:space="preserve"> PAGEREF _Toc176503512 \h </w:instrText>
            </w:r>
            <w:r w:rsidR="002828F3">
              <w:rPr>
                <w:webHidden/>
              </w:rPr>
            </w:r>
            <w:r w:rsidR="002828F3">
              <w:rPr>
                <w:webHidden/>
              </w:rPr>
              <w:fldChar w:fldCharType="separate"/>
            </w:r>
            <w:r w:rsidR="002828F3">
              <w:rPr>
                <w:webHidden/>
              </w:rPr>
              <w:t>9</w:t>
            </w:r>
            <w:r w:rsidR="002828F3">
              <w:rPr>
                <w:webHidden/>
              </w:rPr>
              <w:fldChar w:fldCharType="end"/>
            </w:r>
          </w:hyperlink>
        </w:p>
        <w:p w14:paraId="59C55E04" w14:textId="04DB832F" w:rsidR="002828F3" w:rsidRDefault="00000000">
          <w:pPr>
            <w:pStyle w:val="TOC2"/>
            <w:rPr>
              <w:rFonts w:asciiTheme="minorHAnsi" w:eastAsiaTheme="minorEastAsia" w:hAnsiTheme="minorHAnsi" w:cstheme="minorBidi"/>
              <w:kern w:val="2"/>
              <w:lang w:eastAsia="en-AU"/>
              <w14:ligatures w14:val="standardContextual"/>
            </w:rPr>
          </w:pPr>
          <w:hyperlink w:anchor="_Toc176503513" w:history="1">
            <w:r w:rsidR="002828F3" w:rsidRPr="00846E95">
              <w:rPr>
                <w:rStyle w:val="Hyperlink"/>
              </w:rPr>
              <w:t>Regional loading</w:t>
            </w:r>
            <w:r w:rsidR="002828F3">
              <w:rPr>
                <w:webHidden/>
              </w:rPr>
              <w:tab/>
            </w:r>
            <w:r w:rsidR="002828F3">
              <w:rPr>
                <w:webHidden/>
              </w:rPr>
              <w:fldChar w:fldCharType="begin"/>
            </w:r>
            <w:r w:rsidR="002828F3">
              <w:rPr>
                <w:webHidden/>
              </w:rPr>
              <w:instrText xml:space="preserve"> PAGEREF _Toc176503513 \h </w:instrText>
            </w:r>
            <w:r w:rsidR="002828F3">
              <w:rPr>
                <w:webHidden/>
              </w:rPr>
            </w:r>
            <w:r w:rsidR="002828F3">
              <w:rPr>
                <w:webHidden/>
              </w:rPr>
              <w:fldChar w:fldCharType="separate"/>
            </w:r>
            <w:r w:rsidR="002828F3">
              <w:rPr>
                <w:webHidden/>
              </w:rPr>
              <w:t>10</w:t>
            </w:r>
            <w:r w:rsidR="002828F3">
              <w:rPr>
                <w:webHidden/>
              </w:rPr>
              <w:fldChar w:fldCharType="end"/>
            </w:r>
          </w:hyperlink>
        </w:p>
        <w:p w14:paraId="03B49AB8" w14:textId="1088AC8A" w:rsidR="002828F3" w:rsidRDefault="00000000">
          <w:pPr>
            <w:pStyle w:val="TOC2"/>
            <w:rPr>
              <w:rFonts w:asciiTheme="minorHAnsi" w:eastAsiaTheme="minorEastAsia" w:hAnsiTheme="minorHAnsi" w:cstheme="minorBidi"/>
              <w:kern w:val="2"/>
              <w:lang w:eastAsia="en-AU"/>
              <w14:ligatures w14:val="standardContextual"/>
            </w:rPr>
          </w:pPr>
          <w:hyperlink w:anchor="_Toc176503514" w:history="1">
            <w:r w:rsidR="002828F3" w:rsidRPr="00846E95">
              <w:rPr>
                <w:rStyle w:val="Hyperlink"/>
              </w:rPr>
              <w:t>NDIS testing support</w:t>
            </w:r>
            <w:r w:rsidR="002828F3">
              <w:rPr>
                <w:webHidden/>
              </w:rPr>
              <w:tab/>
            </w:r>
            <w:r w:rsidR="002828F3">
              <w:rPr>
                <w:webHidden/>
              </w:rPr>
              <w:fldChar w:fldCharType="begin"/>
            </w:r>
            <w:r w:rsidR="002828F3">
              <w:rPr>
                <w:webHidden/>
              </w:rPr>
              <w:instrText xml:space="preserve"> PAGEREF _Toc176503514 \h </w:instrText>
            </w:r>
            <w:r w:rsidR="002828F3">
              <w:rPr>
                <w:webHidden/>
              </w:rPr>
            </w:r>
            <w:r w:rsidR="002828F3">
              <w:rPr>
                <w:webHidden/>
              </w:rPr>
              <w:fldChar w:fldCharType="separate"/>
            </w:r>
            <w:r w:rsidR="002828F3">
              <w:rPr>
                <w:webHidden/>
              </w:rPr>
              <w:t>10</w:t>
            </w:r>
            <w:r w:rsidR="002828F3">
              <w:rPr>
                <w:webHidden/>
              </w:rPr>
              <w:fldChar w:fldCharType="end"/>
            </w:r>
          </w:hyperlink>
        </w:p>
        <w:p w14:paraId="42A04176" w14:textId="7272CAED" w:rsidR="002828F3" w:rsidRDefault="00000000">
          <w:pPr>
            <w:pStyle w:val="TOC2"/>
            <w:rPr>
              <w:rFonts w:asciiTheme="minorHAnsi" w:eastAsiaTheme="minorEastAsia" w:hAnsiTheme="minorHAnsi" w:cstheme="minorBidi"/>
              <w:kern w:val="2"/>
              <w:lang w:eastAsia="en-AU"/>
              <w14:ligatures w14:val="standardContextual"/>
            </w:rPr>
          </w:pPr>
          <w:hyperlink w:anchor="_Toc176503515" w:history="1">
            <w:r w:rsidR="002828F3" w:rsidRPr="00846E95">
              <w:rPr>
                <w:rStyle w:val="Hyperlink"/>
              </w:rPr>
              <w:t>Capacity and strengths-based assessment tool</w:t>
            </w:r>
            <w:r w:rsidR="002828F3">
              <w:rPr>
                <w:webHidden/>
              </w:rPr>
              <w:tab/>
            </w:r>
            <w:r w:rsidR="002828F3">
              <w:rPr>
                <w:webHidden/>
              </w:rPr>
              <w:fldChar w:fldCharType="begin"/>
            </w:r>
            <w:r w:rsidR="002828F3">
              <w:rPr>
                <w:webHidden/>
              </w:rPr>
              <w:instrText xml:space="preserve"> PAGEREF _Toc176503515 \h </w:instrText>
            </w:r>
            <w:r w:rsidR="002828F3">
              <w:rPr>
                <w:webHidden/>
              </w:rPr>
            </w:r>
            <w:r w:rsidR="002828F3">
              <w:rPr>
                <w:webHidden/>
              </w:rPr>
              <w:fldChar w:fldCharType="separate"/>
            </w:r>
            <w:r w:rsidR="002828F3">
              <w:rPr>
                <w:webHidden/>
              </w:rPr>
              <w:t>10</w:t>
            </w:r>
            <w:r w:rsidR="002828F3">
              <w:rPr>
                <w:webHidden/>
              </w:rPr>
              <w:fldChar w:fldCharType="end"/>
            </w:r>
          </w:hyperlink>
        </w:p>
        <w:p w14:paraId="18FC23B0" w14:textId="665DE816" w:rsidR="002828F3" w:rsidRDefault="00000000">
          <w:pPr>
            <w:pStyle w:val="TOC2"/>
            <w:rPr>
              <w:rFonts w:asciiTheme="minorHAnsi" w:eastAsiaTheme="minorEastAsia" w:hAnsiTheme="minorHAnsi" w:cstheme="minorBidi"/>
              <w:kern w:val="2"/>
              <w:lang w:eastAsia="en-AU"/>
              <w14:ligatures w14:val="standardContextual"/>
            </w:rPr>
          </w:pPr>
          <w:hyperlink w:anchor="_Toc176503516" w:history="1">
            <w:r w:rsidR="002828F3" w:rsidRPr="00846E95">
              <w:rPr>
                <w:rStyle w:val="Hyperlink"/>
              </w:rPr>
              <w:t>Brokerage Funding</w:t>
            </w:r>
            <w:r w:rsidR="002828F3">
              <w:rPr>
                <w:webHidden/>
              </w:rPr>
              <w:tab/>
            </w:r>
            <w:r w:rsidR="002828F3">
              <w:rPr>
                <w:webHidden/>
              </w:rPr>
              <w:fldChar w:fldCharType="begin"/>
            </w:r>
            <w:r w:rsidR="002828F3">
              <w:rPr>
                <w:webHidden/>
              </w:rPr>
              <w:instrText xml:space="preserve"> PAGEREF _Toc176503516 \h </w:instrText>
            </w:r>
            <w:r w:rsidR="002828F3">
              <w:rPr>
                <w:webHidden/>
              </w:rPr>
            </w:r>
            <w:r w:rsidR="002828F3">
              <w:rPr>
                <w:webHidden/>
              </w:rPr>
              <w:fldChar w:fldCharType="separate"/>
            </w:r>
            <w:r w:rsidR="002828F3">
              <w:rPr>
                <w:webHidden/>
              </w:rPr>
              <w:t>11</w:t>
            </w:r>
            <w:r w:rsidR="002828F3">
              <w:rPr>
                <w:webHidden/>
              </w:rPr>
              <w:fldChar w:fldCharType="end"/>
            </w:r>
          </w:hyperlink>
        </w:p>
        <w:p w14:paraId="1BF1C5EC" w14:textId="1C2987B1" w:rsidR="002828F3" w:rsidRDefault="00000000">
          <w:pPr>
            <w:pStyle w:val="TOC2"/>
            <w:rPr>
              <w:rFonts w:asciiTheme="minorHAnsi" w:eastAsiaTheme="minorEastAsia" w:hAnsiTheme="minorHAnsi" w:cstheme="minorBidi"/>
              <w:kern w:val="2"/>
              <w:lang w:eastAsia="en-AU"/>
              <w14:ligatures w14:val="standardContextual"/>
            </w:rPr>
          </w:pPr>
          <w:hyperlink w:anchor="_Toc176503517" w:history="1">
            <w:r w:rsidR="002828F3" w:rsidRPr="00846E95">
              <w:rPr>
                <w:rStyle w:val="Hyperlink"/>
              </w:rPr>
              <w:t>Consumer engagement and movement</w:t>
            </w:r>
            <w:r w:rsidR="002828F3">
              <w:rPr>
                <w:webHidden/>
              </w:rPr>
              <w:tab/>
            </w:r>
            <w:r w:rsidR="002828F3">
              <w:rPr>
                <w:webHidden/>
              </w:rPr>
              <w:fldChar w:fldCharType="begin"/>
            </w:r>
            <w:r w:rsidR="002828F3">
              <w:rPr>
                <w:webHidden/>
              </w:rPr>
              <w:instrText xml:space="preserve"> PAGEREF _Toc176503517 \h </w:instrText>
            </w:r>
            <w:r w:rsidR="002828F3">
              <w:rPr>
                <w:webHidden/>
              </w:rPr>
            </w:r>
            <w:r w:rsidR="002828F3">
              <w:rPr>
                <w:webHidden/>
              </w:rPr>
              <w:fldChar w:fldCharType="separate"/>
            </w:r>
            <w:r w:rsidR="002828F3">
              <w:rPr>
                <w:webHidden/>
              </w:rPr>
              <w:t>13</w:t>
            </w:r>
            <w:r w:rsidR="002828F3">
              <w:rPr>
                <w:webHidden/>
              </w:rPr>
              <w:fldChar w:fldCharType="end"/>
            </w:r>
          </w:hyperlink>
        </w:p>
        <w:p w14:paraId="25429DF1" w14:textId="218676E6" w:rsidR="002828F3" w:rsidRDefault="00000000">
          <w:pPr>
            <w:pStyle w:val="TOC2"/>
            <w:rPr>
              <w:rFonts w:asciiTheme="minorHAnsi" w:eastAsiaTheme="minorEastAsia" w:hAnsiTheme="minorHAnsi" w:cstheme="minorBidi"/>
              <w:kern w:val="2"/>
              <w:lang w:eastAsia="en-AU"/>
              <w14:ligatures w14:val="standardContextual"/>
            </w:rPr>
          </w:pPr>
          <w:hyperlink w:anchor="_Toc176503518" w:history="1">
            <w:r w:rsidR="002828F3" w:rsidRPr="00846E95">
              <w:rPr>
                <w:rStyle w:val="Hyperlink"/>
              </w:rPr>
              <w:t>Commissioning</w:t>
            </w:r>
            <w:r w:rsidR="002828F3">
              <w:rPr>
                <w:webHidden/>
              </w:rPr>
              <w:tab/>
            </w:r>
            <w:r w:rsidR="002828F3">
              <w:rPr>
                <w:webHidden/>
              </w:rPr>
              <w:fldChar w:fldCharType="begin"/>
            </w:r>
            <w:r w:rsidR="002828F3">
              <w:rPr>
                <w:webHidden/>
              </w:rPr>
              <w:instrText xml:space="preserve"> PAGEREF _Toc176503518 \h </w:instrText>
            </w:r>
            <w:r w:rsidR="002828F3">
              <w:rPr>
                <w:webHidden/>
              </w:rPr>
            </w:r>
            <w:r w:rsidR="002828F3">
              <w:rPr>
                <w:webHidden/>
              </w:rPr>
              <w:fldChar w:fldCharType="separate"/>
            </w:r>
            <w:r w:rsidR="002828F3">
              <w:rPr>
                <w:webHidden/>
              </w:rPr>
              <w:t>14</w:t>
            </w:r>
            <w:r w:rsidR="002828F3">
              <w:rPr>
                <w:webHidden/>
              </w:rPr>
              <w:fldChar w:fldCharType="end"/>
            </w:r>
          </w:hyperlink>
        </w:p>
        <w:p w14:paraId="07B1EAAA" w14:textId="5C6143F2" w:rsidR="002828F3" w:rsidRDefault="00000000">
          <w:pPr>
            <w:pStyle w:val="TOC2"/>
            <w:rPr>
              <w:rFonts w:asciiTheme="minorHAnsi" w:eastAsiaTheme="minorEastAsia" w:hAnsiTheme="minorHAnsi" w:cstheme="minorBidi"/>
              <w:kern w:val="2"/>
              <w:lang w:eastAsia="en-AU"/>
              <w14:ligatures w14:val="standardContextual"/>
            </w:rPr>
          </w:pPr>
          <w:hyperlink w:anchor="_Toc176503519" w:history="1">
            <w:r w:rsidR="002828F3" w:rsidRPr="00846E95">
              <w:rPr>
                <w:rStyle w:val="Hyperlink"/>
              </w:rPr>
              <w:t>Standards and guiding principles</w:t>
            </w:r>
            <w:r w:rsidR="002828F3">
              <w:rPr>
                <w:webHidden/>
              </w:rPr>
              <w:tab/>
            </w:r>
            <w:r w:rsidR="002828F3">
              <w:rPr>
                <w:webHidden/>
              </w:rPr>
              <w:fldChar w:fldCharType="begin"/>
            </w:r>
            <w:r w:rsidR="002828F3">
              <w:rPr>
                <w:webHidden/>
              </w:rPr>
              <w:instrText xml:space="preserve"> PAGEREF _Toc176503519 \h </w:instrText>
            </w:r>
            <w:r w:rsidR="002828F3">
              <w:rPr>
                <w:webHidden/>
              </w:rPr>
            </w:r>
            <w:r w:rsidR="002828F3">
              <w:rPr>
                <w:webHidden/>
              </w:rPr>
              <w:fldChar w:fldCharType="separate"/>
            </w:r>
            <w:r w:rsidR="002828F3">
              <w:rPr>
                <w:webHidden/>
              </w:rPr>
              <w:t>14</w:t>
            </w:r>
            <w:r w:rsidR="002828F3">
              <w:rPr>
                <w:webHidden/>
              </w:rPr>
              <w:fldChar w:fldCharType="end"/>
            </w:r>
          </w:hyperlink>
        </w:p>
        <w:p w14:paraId="4F843381" w14:textId="3E219F46" w:rsidR="002828F3" w:rsidRDefault="00000000">
          <w:pPr>
            <w:pStyle w:val="TOC2"/>
            <w:rPr>
              <w:rFonts w:asciiTheme="minorHAnsi" w:eastAsiaTheme="minorEastAsia" w:hAnsiTheme="minorHAnsi" w:cstheme="minorBidi"/>
              <w:kern w:val="2"/>
              <w:lang w:eastAsia="en-AU"/>
              <w14:ligatures w14:val="standardContextual"/>
            </w:rPr>
          </w:pPr>
          <w:hyperlink w:anchor="_Toc176503520" w:history="1">
            <w:r w:rsidR="002828F3" w:rsidRPr="00846E95">
              <w:rPr>
                <w:rStyle w:val="Hyperlink"/>
              </w:rPr>
              <w:t>Arrangements for reporting and data</w:t>
            </w:r>
            <w:r w:rsidR="002828F3">
              <w:rPr>
                <w:webHidden/>
              </w:rPr>
              <w:tab/>
            </w:r>
            <w:r w:rsidR="002828F3">
              <w:rPr>
                <w:webHidden/>
              </w:rPr>
              <w:fldChar w:fldCharType="begin"/>
            </w:r>
            <w:r w:rsidR="002828F3">
              <w:rPr>
                <w:webHidden/>
              </w:rPr>
              <w:instrText xml:space="preserve"> PAGEREF _Toc176503520 \h </w:instrText>
            </w:r>
            <w:r w:rsidR="002828F3">
              <w:rPr>
                <w:webHidden/>
              </w:rPr>
            </w:r>
            <w:r w:rsidR="002828F3">
              <w:rPr>
                <w:webHidden/>
              </w:rPr>
              <w:fldChar w:fldCharType="separate"/>
            </w:r>
            <w:r w:rsidR="002828F3">
              <w:rPr>
                <w:webHidden/>
              </w:rPr>
              <w:t>16</w:t>
            </w:r>
            <w:r w:rsidR="002828F3">
              <w:rPr>
                <w:webHidden/>
              </w:rPr>
              <w:fldChar w:fldCharType="end"/>
            </w:r>
          </w:hyperlink>
        </w:p>
        <w:p w14:paraId="1EEE5BC2" w14:textId="2AE811E1" w:rsidR="002828F3" w:rsidRDefault="002828F3">
          <w:r>
            <w:rPr>
              <w:b/>
              <w:bCs/>
              <w:noProof/>
            </w:rPr>
            <w:fldChar w:fldCharType="end"/>
          </w:r>
        </w:p>
      </w:sdtContent>
    </w:sdt>
    <w:p w14:paraId="580BA2BB" w14:textId="24232D7D" w:rsidR="0049162B" w:rsidRPr="008333CA" w:rsidRDefault="0049162B" w:rsidP="008333CA">
      <w:r w:rsidRPr="008333CA">
        <w:br w:type="page"/>
      </w:r>
    </w:p>
    <w:p w14:paraId="4151D928" w14:textId="24FBCCEA" w:rsidR="00F9777C" w:rsidRPr="002828F3" w:rsidRDefault="00F9777C" w:rsidP="002828F3">
      <w:pPr>
        <w:pStyle w:val="Heading1"/>
      </w:pPr>
      <w:bookmarkStart w:id="0" w:name="_Toc176348925"/>
      <w:bookmarkStart w:id="1" w:name="_Toc176503504"/>
      <w:r w:rsidRPr="00320F15">
        <w:lastRenderedPageBreak/>
        <w:t>Overview</w:t>
      </w:r>
      <w:bookmarkEnd w:id="0"/>
      <w:bookmarkEnd w:id="1"/>
    </w:p>
    <w:p w14:paraId="45A77D35" w14:textId="106D9E8B" w:rsidR="00E62F2A" w:rsidRPr="008333CA" w:rsidRDefault="001C1630" w:rsidP="00F9777C">
      <w:r w:rsidRPr="008333CA">
        <w:t xml:space="preserve">The Department of Health </w:t>
      </w:r>
      <w:r w:rsidR="00B455CB" w:rsidRPr="008333CA">
        <w:t xml:space="preserve">and Aged Care </w:t>
      </w:r>
      <w:r w:rsidR="00CC6584" w:rsidRPr="008333CA">
        <w:t xml:space="preserve">(the Department) </w:t>
      </w:r>
      <w:r w:rsidRPr="008333CA">
        <w:t xml:space="preserve">provides funding to Primary Health Networks (PHNs) to commission psychosocial support </w:t>
      </w:r>
      <w:r w:rsidR="00B31239" w:rsidRPr="008333CA">
        <w:t>services</w:t>
      </w:r>
      <w:r w:rsidRPr="008333CA">
        <w:t xml:space="preserve"> for adults with severe mental illness and associated psychosocial functional impairment who are not accessing </w:t>
      </w:r>
      <w:r w:rsidR="007C7ED7" w:rsidRPr="008333CA">
        <w:t xml:space="preserve">similar supports </w:t>
      </w:r>
      <w:r w:rsidRPr="008333CA">
        <w:t xml:space="preserve">through the </w:t>
      </w:r>
      <w:r w:rsidRPr="008333CA">
        <w:rPr>
          <w:rStyle w:val="Emphasis"/>
        </w:rPr>
        <w:t>National Disability Insurance Scheme</w:t>
      </w:r>
      <w:r w:rsidRPr="008333CA">
        <w:t xml:space="preserve"> (NDIS)</w:t>
      </w:r>
      <w:r w:rsidR="007C7ED7" w:rsidRPr="008333CA">
        <w:t xml:space="preserve"> or state and territory-based programs</w:t>
      </w:r>
      <w:r w:rsidRPr="008333CA">
        <w:t>.</w:t>
      </w:r>
    </w:p>
    <w:p w14:paraId="26F7442B" w14:textId="486C8D3B" w:rsidR="00F9777C" w:rsidRPr="00617E43" w:rsidRDefault="00F9777C" w:rsidP="002828F3">
      <w:pPr>
        <w:pStyle w:val="Heading2"/>
      </w:pPr>
      <w:bookmarkStart w:id="2" w:name="_Toc176348926"/>
      <w:bookmarkStart w:id="3" w:name="_Toc176503505"/>
      <w:r w:rsidRPr="00617E43">
        <w:t xml:space="preserve">What </w:t>
      </w:r>
      <w:r w:rsidR="00667884">
        <w:t>are</w:t>
      </w:r>
      <w:r w:rsidRPr="00617E43">
        <w:t xml:space="preserve"> psychosocial support</w:t>
      </w:r>
      <w:r w:rsidR="00667884">
        <w:t>s</w:t>
      </w:r>
      <w:r w:rsidRPr="00617E43">
        <w:t>?</w:t>
      </w:r>
      <w:bookmarkEnd w:id="2"/>
      <w:bookmarkEnd w:id="3"/>
    </w:p>
    <w:p w14:paraId="2B53F4D0" w14:textId="59FF57BB" w:rsidR="00F9777C" w:rsidRPr="008333CA" w:rsidRDefault="00F9777C" w:rsidP="002828F3">
      <w:r w:rsidRPr="008333CA">
        <w:rPr>
          <w:rStyle w:val="Strong"/>
        </w:rPr>
        <w:t>‘Psychosocial supports’</w:t>
      </w:r>
      <w:r w:rsidRPr="008333CA">
        <w:t xml:space="preserve"> are non-clinical </w:t>
      </w:r>
      <w:r w:rsidR="002828F3" w:rsidRPr="008333CA">
        <w:t>community-based</w:t>
      </w:r>
      <w:r w:rsidRPr="008333CA">
        <w:t xml:space="preserve"> supports that aim to facilitate recovery in the community for people experiencing mental illness </w:t>
      </w:r>
      <w:bookmarkStart w:id="4" w:name="_Hlk77247463"/>
      <w:r w:rsidRPr="008333CA">
        <w:t xml:space="preserve">– </w:t>
      </w:r>
      <w:bookmarkEnd w:id="4"/>
      <w:r w:rsidRPr="008333CA">
        <w:t xml:space="preserve">through a range of services to help people manage daily activities, </w:t>
      </w:r>
      <w:proofErr w:type="gramStart"/>
      <w:r w:rsidRPr="008333CA">
        <w:t>rebuild</w:t>
      </w:r>
      <w:proofErr w:type="gramEnd"/>
      <w:r w:rsidRPr="008333CA">
        <w:t xml:space="preserve"> and maintain connections, build social skills and participate in education and employment</w:t>
      </w:r>
      <w:r w:rsidRPr="002828F3">
        <w:rPr>
          <w:rStyle w:val="FootnoteReference"/>
        </w:rPr>
        <w:footnoteReference w:id="2"/>
      </w:r>
      <w:r w:rsidRPr="008333CA">
        <w:t xml:space="preserve">. </w:t>
      </w:r>
    </w:p>
    <w:p w14:paraId="4EE3A641" w14:textId="77777777" w:rsidR="00F9777C" w:rsidRPr="0030195D" w:rsidRDefault="00F9777C" w:rsidP="00617E43">
      <w:pPr>
        <w:pStyle w:val="Heading2"/>
      </w:pPr>
      <w:bookmarkStart w:id="5" w:name="_Toc176348927"/>
      <w:bookmarkStart w:id="6" w:name="_Toc176503506"/>
      <w:r w:rsidRPr="0030195D">
        <w:t>What is recovery?</w:t>
      </w:r>
      <w:bookmarkEnd w:id="5"/>
      <w:bookmarkEnd w:id="6"/>
    </w:p>
    <w:p w14:paraId="0E6DEB86" w14:textId="0EC6C82D" w:rsidR="00F9777C" w:rsidRPr="002828F3" w:rsidRDefault="00F9777C" w:rsidP="002828F3">
      <w:r w:rsidRPr="002828F3">
        <w:rPr>
          <w:rStyle w:val="Emphasis"/>
        </w:rPr>
        <w:t>The National Framework for Recovery-Oriented Mental Health Services</w:t>
      </w:r>
      <w:r w:rsidRPr="002828F3">
        <w:rPr>
          <w:rStyle w:val="FootnoteReference"/>
        </w:rPr>
        <w:footnoteReference w:id="3"/>
      </w:r>
      <w:r w:rsidRPr="002828F3">
        <w:rPr>
          <w:rStyle w:val="FootnoteReference"/>
        </w:rPr>
        <w:t xml:space="preserve"> </w:t>
      </w:r>
      <w:r w:rsidR="007C07BB" w:rsidRPr="002828F3">
        <w:t xml:space="preserve">suggests </w:t>
      </w:r>
      <w:r w:rsidRPr="002828F3">
        <w:t>there is no single description or definition of ‘recovery</w:t>
      </w:r>
      <w:r w:rsidR="00E105E2" w:rsidRPr="002828F3">
        <w:t>’</w:t>
      </w:r>
      <w:r w:rsidR="007C07BB" w:rsidRPr="002828F3">
        <w:t xml:space="preserve"> – </w:t>
      </w:r>
      <w:r w:rsidRPr="002828F3">
        <w:t>it is different for everyone, with non-clinical personal recovery goals different from clinical or functional recovery.</w:t>
      </w:r>
    </w:p>
    <w:p w14:paraId="29F13A57" w14:textId="631143D9" w:rsidR="00F9777C" w:rsidRPr="002828F3" w:rsidRDefault="00F9777C" w:rsidP="002828F3">
      <w:r w:rsidRPr="002828F3">
        <w:t xml:space="preserve">Some commonly cited characteristics of recovery </w:t>
      </w:r>
      <w:r w:rsidR="007C07BB" w:rsidRPr="002828F3">
        <w:t>include</w:t>
      </w:r>
      <w:r w:rsidRPr="002828F3">
        <w:t xml:space="preserve"> it </w:t>
      </w:r>
      <w:r w:rsidR="007C07BB" w:rsidRPr="002828F3">
        <w:t>being</w:t>
      </w:r>
      <w:r w:rsidRPr="002828F3">
        <w:t xml:space="preserve"> a unique and personal journey; an ongoing experience and not the same as an end point or cure; a journey rarely taken alone; and non</w:t>
      </w:r>
      <w:r w:rsidR="007C07BB" w:rsidRPr="002828F3">
        <w:t>-</w:t>
      </w:r>
      <w:r w:rsidRPr="002828F3">
        <w:t>linear, with it being frequently interspersed with both achievement and setbacks.</w:t>
      </w:r>
    </w:p>
    <w:p w14:paraId="496D4218" w14:textId="7C376140" w:rsidR="002B0F2A" w:rsidRDefault="002B0F2A" w:rsidP="00617E43">
      <w:pPr>
        <w:pStyle w:val="Heading2"/>
      </w:pPr>
      <w:bookmarkStart w:id="7" w:name="_Toc176348928"/>
      <w:bookmarkStart w:id="8" w:name="_Toc176503507"/>
      <w:r w:rsidRPr="002B0F2A">
        <w:t>Background</w:t>
      </w:r>
      <w:bookmarkEnd w:id="7"/>
      <w:bookmarkEnd w:id="8"/>
    </w:p>
    <w:p w14:paraId="3A4BDA16" w14:textId="5867E6ED" w:rsidR="00B15872" w:rsidRPr="002828F3" w:rsidRDefault="00B15872" w:rsidP="002828F3">
      <w:r w:rsidRPr="002828F3">
        <w:t>In March 2020, the Department engaged the Nous Group</w:t>
      </w:r>
      <w:r w:rsidR="007C07BB" w:rsidRPr="002828F3">
        <w:t xml:space="preserve"> (Nous)</w:t>
      </w:r>
      <w:r w:rsidRPr="002828F3">
        <w:t xml:space="preserve"> to undertake an evaluation of activities under the </w:t>
      </w:r>
      <w:r w:rsidR="007C07BB" w:rsidRPr="002828F3">
        <w:t xml:space="preserve">National </w:t>
      </w:r>
      <w:r w:rsidRPr="002828F3">
        <w:t xml:space="preserve">Psychosocial Support Program. The objectives of the evaluation were to: </w:t>
      </w:r>
    </w:p>
    <w:p w14:paraId="3F0B8EF1" w14:textId="25766227" w:rsidR="00B15872" w:rsidRPr="008333CA" w:rsidRDefault="00B15872" w:rsidP="008333CA">
      <w:pPr>
        <w:pStyle w:val="ListBullet"/>
      </w:pPr>
      <w:r w:rsidRPr="008333CA">
        <w:t>assess how effectively program arrangements support deliver</w:t>
      </w:r>
      <w:r w:rsidR="00E105E2" w:rsidRPr="008333CA">
        <w:t>y</w:t>
      </w:r>
      <w:r w:rsidRPr="008333CA">
        <w:t xml:space="preserve"> of the intent, objectives and </w:t>
      </w:r>
      <w:proofErr w:type="gramStart"/>
      <w:r w:rsidRPr="008333CA">
        <w:t>outcomes</w:t>
      </w:r>
      <w:proofErr w:type="gramEnd"/>
    </w:p>
    <w:p w14:paraId="31BE3AF4" w14:textId="21CE8A8F" w:rsidR="00B15872" w:rsidRPr="008333CA" w:rsidRDefault="00B15872" w:rsidP="008333CA">
      <w:pPr>
        <w:pStyle w:val="ListBullet"/>
      </w:pPr>
      <w:r w:rsidRPr="008333CA">
        <w:t>identify barrie</w:t>
      </w:r>
      <w:r w:rsidR="00FF5A67" w:rsidRPr="008333CA">
        <w:t>r</w:t>
      </w:r>
      <w:r w:rsidRPr="008333CA">
        <w:t>s and enable</w:t>
      </w:r>
      <w:r w:rsidR="007C07BB" w:rsidRPr="008333CA">
        <w:t>r</w:t>
      </w:r>
      <w:r w:rsidRPr="008333CA">
        <w:t xml:space="preserve">s to achieving the intended outcomes; and </w:t>
      </w:r>
    </w:p>
    <w:p w14:paraId="5EE05BF8" w14:textId="6C00C749" w:rsidR="00B15872" w:rsidRPr="008333CA" w:rsidRDefault="00B15872" w:rsidP="008333CA">
      <w:pPr>
        <w:pStyle w:val="ListBullet"/>
      </w:pPr>
      <w:r w:rsidRPr="008333CA">
        <w:t>identify opportunities to improve psychosocial support arrangement</w:t>
      </w:r>
      <w:r w:rsidR="00CB7342" w:rsidRPr="008333CA">
        <w:t>s</w:t>
      </w:r>
      <w:r w:rsidRPr="008333CA">
        <w:t xml:space="preserve"> and align with government reform priorities. </w:t>
      </w:r>
    </w:p>
    <w:p w14:paraId="03A6C8E3" w14:textId="23ADC33F" w:rsidR="00354A13" w:rsidRPr="002828F3" w:rsidRDefault="00B15872" w:rsidP="002828F3">
      <w:r w:rsidRPr="002828F3">
        <w:t xml:space="preserve">Nous delivered its final report on </w:t>
      </w:r>
      <w:r w:rsidR="000F47DF" w:rsidRPr="002828F3">
        <w:t>14 April</w:t>
      </w:r>
      <w:r w:rsidRPr="002828F3">
        <w:t xml:space="preserve"> 2021</w:t>
      </w:r>
      <w:r w:rsidR="007A00CD" w:rsidRPr="002828F3">
        <w:t xml:space="preserve">, making a total of 18 recommendations against the objectives of the evaluation. Overall, the evaluation found </w:t>
      </w:r>
      <w:r w:rsidR="007C07BB" w:rsidRPr="002828F3">
        <w:t>that, of the</w:t>
      </w:r>
      <w:r w:rsidR="007A00CD" w:rsidRPr="002828F3">
        <w:t xml:space="preserve"> consumers, carers and family member</w:t>
      </w:r>
      <w:r w:rsidR="00E75D66" w:rsidRPr="002828F3">
        <w:t>s</w:t>
      </w:r>
      <w:r w:rsidR="007A00CD" w:rsidRPr="002828F3">
        <w:t xml:space="preserve"> consulted</w:t>
      </w:r>
      <w:r w:rsidR="007C07BB" w:rsidRPr="002828F3">
        <w:t>,</w:t>
      </w:r>
      <w:r w:rsidR="007A00CD" w:rsidRPr="002828F3">
        <w:t xml:space="preserve"> </w:t>
      </w:r>
      <w:r w:rsidR="007C07BB" w:rsidRPr="002828F3">
        <w:t xml:space="preserve">the majority </w:t>
      </w:r>
      <w:r w:rsidR="007A00CD" w:rsidRPr="002828F3">
        <w:t>were overwhelmingly positive about the support</w:t>
      </w:r>
      <w:r w:rsidR="007C07BB" w:rsidRPr="002828F3">
        <w:t>s</w:t>
      </w:r>
      <w:r w:rsidR="007A00CD" w:rsidRPr="002828F3">
        <w:t xml:space="preserve"> provided through these programs.</w:t>
      </w:r>
    </w:p>
    <w:p w14:paraId="56AF74B3" w14:textId="65C57C79" w:rsidR="004E1B23" w:rsidRPr="008333CA" w:rsidRDefault="000F47DF" w:rsidP="008333CA">
      <w:r w:rsidRPr="008333CA">
        <w:t xml:space="preserve">On 16 November 2020, the final report of Productivity Commission inquiry into Mental Health (the PC Report) was publicly released. Recommendation 17 of the PC Report </w:t>
      </w:r>
      <w:r w:rsidRPr="008333CA">
        <w:lastRenderedPageBreak/>
        <w:t>recommends that governments should ensure that all people who have psychosocial needs arising from mental illness, receive adequate psychosocial support. Chapter 17</w:t>
      </w:r>
      <w:r w:rsidRPr="008333CA">
        <w:rPr>
          <w:rStyle w:val="Emphasis"/>
        </w:rPr>
        <w:t xml:space="preserve"> Psychosocial support – recovery and living in the community</w:t>
      </w:r>
      <w:r w:rsidRPr="008333CA">
        <w:t xml:space="preserve"> of the PC Report explores what psychosocial supports are, the delivery of mainstream services, and solutions to improve the delivery of psychosocial supports.</w:t>
      </w:r>
    </w:p>
    <w:p w14:paraId="2CD184BC" w14:textId="57A674E5" w:rsidR="00146C61" w:rsidRPr="008333CA" w:rsidRDefault="00143D29" w:rsidP="008333CA">
      <w:r w:rsidRPr="008333CA">
        <w:t>In the 2021-22 Budget</w:t>
      </w:r>
      <w:r w:rsidR="000A3861" w:rsidRPr="008333CA">
        <w:t xml:space="preserve">, </w:t>
      </w:r>
      <w:r w:rsidR="0040657B" w:rsidRPr="008333CA">
        <w:t xml:space="preserve">the Australian Government announced $171.3 million over two years to continue Commonwealth </w:t>
      </w:r>
      <w:r w:rsidR="007C07BB" w:rsidRPr="008333CA">
        <w:t>p</w:t>
      </w:r>
      <w:r w:rsidR="0040657B" w:rsidRPr="008333CA">
        <w:t xml:space="preserve">sychosocial </w:t>
      </w:r>
      <w:r w:rsidR="007C07BB" w:rsidRPr="008333CA">
        <w:t>s</w:t>
      </w:r>
      <w:r w:rsidR="0040657B" w:rsidRPr="008333CA">
        <w:t>upports from 1 July 2021 to 30 June 2023</w:t>
      </w:r>
      <w:r w:rsidR="0040657B" w:rsidRPr="002828F3">
        <w:rPr>
          <w:rStyle w:val="FootnoteReference"/>
        </w:rPr>
        <w:footnoteReference w:id="4"/>
      </w:r>
      <w:r w:rsidR="0079767A" w:rsidRPr="008333CA">
        <w:t xml:space="preserve"> administered through the Commonwealth Psychosocial Support Program</w:t>
      </w:r>
      <w:r w:rsidR="0040657B" w:rsidRPr="008333CA">
        <w:t xml:space="preserve">. </w:t>
      </w:r>
    </w:p>
    <w:p w14:paraId="1D87C8A7" w14:textId="75943F33" w:rsidR="00B31239" w:rsidRPr="002828F3" w:rsidRDefault="00002AC3" w:rsidP="002828F3">
      <w:r w:rsidRPr="002828F3">
        <w:t>This investment respond</w:t>
      </w:r>
      <w:r w:rsidR="0079767A" w:rsidRPr="002828F3">
        <w:t>ed</w:t>
      </w:r>
      <w:r w:rsidRPr="002828F3">
        <w:t>, in part, to recommendations made by the Productivity Commission Inquiry into Mental Health (PC Inquiry) and findings from a</w:t>
      </w:r>
      <w:r w:rsidR="0079767A" w:rsidRPr="002828F3">
        <w:t>n</w:t>
      </w:r>
      <w:r w:rsidRPr="002828F3">
        <w:t xml:space="preserve"> evaluation of the National Psychosocial Support Measure (NPS-M) and the Continuity of Support (</w:t>
      </w:r>
      <w:proofErr w:type="spellStart"/>
      <w:r w:rsidRPr="002828F3">
        <w:t>CoS</w:t>
      </w:r>
      <w:proofErr w:type="spellEnd"/>
      <w:r w:rsidRPr="002828F3">
        <w:t>) program.</w:t>
      </w:r>
      <w:r w:rsidR="00146C61" w:rsidRPr="002828F3">
        <w:t xml:space="preserve"> </w:t>
      </w:r>
    </w:p>
    <w:p w14:paraId="3847E565" w14:textId="0DB33C2D" w:rsidR="00146C61" w:rsidRPr="002828F3" w:rsidRDefault="00146C61" w:rsidP="002828F3">
      <w:r w:rsidRPr="002828F3">
        <w:t xml:space="preserve">Key program </w:t>
      </w:r>
      <w:r w:rsidR="00A241A3" w:rsidRPr="002828F3">
        <w:t xml:space="preserve">changes and </w:t>
      </w:r>
      <w:r w:rsidRPr="002828F3">
        <w:t>improvements include</w:t>
      </w:r>
      <w:r w:rsidR="00045D6E" w:rsidRPr="002828F3">
        <w:t>d</w:t>
      </w:r>
      <w:r w:rsidRPr="002828F3">
        <w:t>:</w:t>
      </w:r>
    </w:p>
    <w:p w14:paraId="721474D5" w14:textId="1E1DC299" w:rsidR="00146C61" w:rsidRPr="008333CA" w:rsidRDefault="00146C61" w:rsidP="008333CA">
      <w:pPr>
        <w:pStyle w:val="ListBullet"/>
      </w:pPr>
      <w:r w:rsidRPr="008333CA">
        <w:t>Establishing a single consolidated program, the Commonwealth Psychosocial Support program.</w:t>
      </w:r>
    </w:p>
    <w:p w14:paraId="230786D1" w14:textId="0330ED6A" w:rsidR="00A241A3" w:rsidRPr="008333CA" w:rsidRDefault="00A241A3" w:rsidP="008333CA">
      <w:pPr>
        <w:pStyle w:val="ListBullet"/>
      </w:pPr>
      <w:r w:rsidRPr="008333CA">
        <w:t xml:space="preserve">Continuation of service improvements made in 2020 including service navigation.  </w:t>
      </w:r>
    </w:p>
    <w:p w14:paraId="616F9E03" w14:textId="52F88553" w:rsidR="00146C61" w:rsidRPr="008333CA" w:rsidRDefault="00146C61" w:rsidP="008333CA">
      <w:pPr>
        <w:pStyle w:val="ListBullet"/>
      </w:pPr>
      <w:r w:rsidRPr="008333CA">
        <w:t>Providing additional funding to alleviate immediate waiting list demand.</w:t>
      </w:r>
    </w:p>
    <w:p w14:paraId="231FACFA" w14:textId="76BF20D3" w:rsidR="00146C61" w:rsidRPr="008333CA" w:rsidRDefault="00146C61" w:rsidP="008333CA">
      <w:pPr>
        <w:pStyle w:val="ListBullet"/>
      </w:pPr>
      <w:r w:rsidRPr="008333CA">
        <w:t xml:space="preserve">Providing regional loading to program funding in recognition of the higher costs associated with delivering services in regional and remote areas. </w:t>
      </w:r>
    </w:p>
    <w:p w14:paraId="05E42BFC" w14:textId="7388AFF7" w:rsidR="00146C61" w:rsidRPr="008333CA" w:rsidRDefault="0074464C" w:rsidP="008333CA">
      <w:pPr>
        <w:pStyle w:val="ListBullet"/>
      </w:pPr>
      <w:r w:rsidRPr="008333CA">
        <w:t>The use of a</w:t>
      </w:r>
      <w:r w:rsidR="00146C61" w:rsidRPr="008333CA">
        <w:t xml:space="preserve"> capacity and strengths-based assessment tool to determine client needs and the allocation of program resources in a consistent and equitable way.</w:t>
      </w:r>
    </w:p>
    <w:p w14:paraId="014B907D" w14:textId="0040F61A" w:rsidR="00C74E01" w:rsidRPr="008333CA" w:rsidRDefault="009823C9">
      <w:r w:rsidRPr="008333CA">
        <w:t>In the 2023</w:t>
      </w:r>
      <w:r w:rsidRPr="008333CA">
        <w:noBreakHyphen/>
        <w:t xml:space="preserve">24 Budget, </w:t>
      </w:r>
      <w:r w:rsidR="00622C0E" w:rsidRPr="008333CA">
        <w:t>the Australian Government announced an additional investment of $260.2</w:t>
      </w:r>
      <w:r w:rsidR="00524E7A" w:rsidRPr="008333CA">
        <w:t> </w:t>
      </w:r>
      <w:r w:rsidR="00622C0E" w:rsidRPr="008333CA">
        <w:t>million over two years from 1 July 2023 for Commonwealth psychosocial supports. This investment include</w:t>
      </w:r>
      <w:r w:rsidR="00993181" w:rsidRPr="008333CA">
        <w:t>d</w:t>
      </w:r>
      <w:r w:rsidR="00622C0E" w:rsidRPr="008333CA">
        <w:t xml:space="preserve"> $251.9 million to extend the Commonwealth Psychosocial Support Program to 30 June 2025</w:t>
      </w:r>
      <w:r w:rsidR="00266D0B" w:rsidRPr="002828F3">
        <w:rPr>
          <w:rStyle w:val="FootnoteReference"/>
        </w:rPr>
        <w:footnoteReference w:id="5"/>
      </w:r>
      <w:r w:rsidR="00622C0E" w:rsidRPr="008333CA">
        <w:t xml:space="preserve">. </w:t>
      </w:r>
      <w:r w:rsidR="0074732D" w:rsidRPr="008333CA">
        <w:t xml:space="preserve">Future funding arrangements beyond this are being negotiated with state and territory governments in the context of the National Mental Health and Suicide Prevention Agreement and the response to the NDIS Review.  </w:t>
      </w:r>
      <w:r w:rsidR="00C74E01">
        <w:br w:type="page"/>
      </w:r>
    </w:p>
    <w:p w14:paraId="7C04BBD4" w14:textId="52722D95" w:rsidR="00F9777C" w:rsidRPr="008614D0" w:rsidRDefault="001C1630" w:rsidP="008614D0">
      <w:pPr>
        <w:pStyle w:val="Heading1"/>
      </w:pPr>
      <w:bookmarkStart w:id="9" w:name="_Toc176348929"/>
      <w:bookmarkStart w:id="10" w:name="_Toc176503508"/>
      <w:r>
        <w:lastRenderedPageBreak/>
        <w:t>Commonwealth Psychosocial Supports</w:t>
      </w:r>
      <w:r w:rsidR="00F9777C">
        <w:t xml:space="preserve"> from 1 July 2021</w:t>
      </w:r>
      <w:bookmarkEnd w:id="9"/>
      <w:bookmarkEnd w:id="10"/>
    </w:p>
    <w:p w14:paraId="0176A471" w14:textId="09E0D612" w:rsidR="00F9777C" w:rsidRPr="008333CA" w:rsidRDefault="00F9777C" w:rsidP="008333CA">
      <w:r w:rsidRPr="008333CA">
        <w:t>From 1 July 2021, the Commonwealth Psychosocial Support Program</w:t>
      </w:r>
      <w:r w:rsidR="00086587" w:rsidRPr="008333CA">
        <w:t xml:space="preserve"> (the Program)</w:t>
      </w:r>
      <w:r w:rsidRPr="008333CA">
        <w:t xml:space="preserve"> </w:t>
      </w:r>
      <w:r w:rsidR="00086587" w:rsidRPr="008333CA">
        <w:t>consolidate</w:t>
      </w:r>
      <w:r w:rsidR="00F504D8" w:rsidRPr="008333CA">
        <w:t>d</w:t>
      </w:r>
      <w:r w:rsidRPr="008333CA">
        <w:t xml:space="preserve"> the following three Commonwealth funding streams for psychosocial support</w:t>
      </w:r>
      <w:r w:rsidR="001F5F3E" w:rsidRPr="008333CA">
        <w:t>:</w:t>
      </w:r>
      <w:r w:rsidRPr="008333CA">
        <w:t xml:space="preserve"> </w:t>
      </w:r>
    </w:p>
    <w:p w14:paraId="3F8F2D76" w14:textId="5AD6A2FB" w:rsidR="00F9777C" w:rsidRPr="008333CA" w:rsidRDefault="00F9777C" w:rsidP="008333CA">
      <w:pPr>
        <w:pStyle w:val="ListBullet"/>
      </w:pPr>
      <w:r w:rsidRPr="008333CA">
        <w:t>National Psychosocial Support – Transition (NPS-T)</w:t>
      </w:r>
    </w:p>
    <w:p w14:paraId="72CFDA5D" w14:textId="77777777" w:rsidR="00F9777C" w:rsidRPr="008333CA" w:rsidRDefault="00F9777C" w:rsidP="008333CA">
      <w:pPr>
        <w:pStyle w:val="ListBullet"/>
      </w:pPr>
      <w:r w:rsidRPr="008333CA">
        <w:t>National Psychosocial Support Measure (NPSM); and</w:t>
      </w:r>
    </w:p>
    <w:p w14:paraId="2AF90691" w14:textId="77777777" w:rsidR="00F9777C" w:rsidRPr="008333CA" w:rsidRDefault="00F9777C" w:rsidP="008333CA">
      <w:pPr>
        <w:pStyle w:val="ListBullet"/>
      </w:pPr>
      <w:r w:rsidRPr="008333CA">
        <w:t>Continuity of Support (</w:t>
      </w:r>
      <w:proofErr w:type="spellStart"/>
      <w:r w:rsidRPr="008333CA">
        <w:t>CoS</w:t>
      </w:r>
      <w:proofErr w:type="spellEnd"/>
      <w:r w:rsidRPr="008333CA">
        <w:t>).</w:t>
      </w:r>
    </w:p>
    <w:p w14:paraId="1A5543C0" w14:textId="66989FA5" w:rsidR="00A2561E" w:rsidRPr="002828F3" w:rsidRDefault="00C1423C" w:rsidP="002828F3">
      <w:r w:rsidRPr="002828F3">
        <w:t xml:space="preserve">The Program </w:t>
      </w:r>
      <w:r w:rsidR="00F9777C" w:rsidRPr="002828F3">
        <w:t>provide</w:t>
      </w:r>
      <w:r w:rsidR="00A57426" w:rsidRPr="002828F3">
        <w:t>s</w:t>
      </w:r>
      <w:r w:rsidR="00F9777C" w:rsidRPr="002828F3">
        <w:t xml:space="preserve"> short-term</w:t>
      </w:r>
      <w:r w:rsidR="00086587" w:rsidRPr="002828F3">
        <w:t>,</w:t>
      </w:r>
      <w:r w:rsidR="00F9777C" w:rsidRPr="002828F3">
        <w:t xml:space="preserve"> low intensity support to consumers with severe mental illness who are not accessing services under the NDIS or state and territory </w:t>
      </w:r>
      <w:r w:rsidR="00086587" w:rsidRPr="002828F3">
        <w:t xml:space="preserve">led </w:t>
      </w:r>
      <w:r w:rsidR="00F9777C" w:rsidRPr="002828F3">
        <w:t xml:space="preserve">programs. </w:t>
      </w:r>
    </w:p>
    <w:p w14:paraId="3623C6E2" w14:textId="5E47B1D0" w:rsidR="00C1423C" w:rsidRPr="002828F3" w:rsidRDefault="00F9777C" w:rsidP="002828F3">
      <w:r w:rsidRPr="002828F3">
        <w:t xml:space="preserve">The </w:t>
      </w:r>
      <w:r w:rsidR="00086587" w:rsidRPr="002828F3">
        <w:t>P</w:t>
      </w:r>
      <w:r w:rsidRPr="002828F3">
        <w:t xml:space="preserve">rogram aims to strengthen the capacity of consumers to live independently </w:t>
      </w:r>
      <w:r w:rsidR="002E0E1B" w:rsidRPr="002828F3">
        <w:t xml:space="preserve">and </w:t>
      </w:r>
      <w:r w:rsidRPr="002828F3">
        <w:t xml:space="preserve">safely in their community, </w:t>
      </w:r>
      <w:r w:rsidR="00F14CFA" w:rsidRPr="002828F3">
        <w:t xml:space="preserve">achieve personal recovery goals, </w:t>
      </w:r>
      <w:r w:rsidRPr="002828F3">
        <w:t xml:space="preserve">form meaningful connections in a supportive environment, and reduce the need for acute care. </w:t>
      </w:r>
    </w:p>
    <w:p w14:paraId="38E75DF0" w14:textId="193D58F3" w:rsidR="00A2561E" w:rsidRPr="002828F3" w:rsidRDefault="00A2561E" w:rsidP="002828F3">
      <w:r w:rsidRPr="002828F3">
        <w:t xml:space="preserve">Program funding is provided to Primary Health Networks (PHNs) to commission </w:t>
      </w:r>
      <w:r w:rsidR="7428DB0F" w:rsidRPr="002828F3">
        <w:t>person-</w:t>
      </w:r>
      <w:r w:rsidRPr="002828F3">
        <w:t xml:space="preserve">centred, recovery-focussed psychosocial support </w:t>
      </w:r>
      <w:proofErr w:type="gramStart"/>
      <w:r w:rsidRPr="002828F3">
        <w:t>services .</w:t>
      </w:r>
      <w:proofErr w:type="gramEnd"/>
      <w:r w:rsidRPr="002828F3">
        <w:t xml:space="preserve"> </w:t>
      </w:r>
    </w:p>
    <w:p w14:paraId="71DE4065" w14:textId="53D99DC6" w:rsidR="00F9777C" w:rsidRPr="002828F3" w:rsidRDefault="00F9777C" w:rsidP="002828F3">
      <w:r w:rsidRPr="002828F3">
        <w:t xml:space="preserve">In addition to </w:t>
      </w:r>
      <w:r w:rsidR="00CC373F" w:rsidRPr="002828F3">
        <w:t xml:space="preserve">commissioning </w:t>
      </w:r>
      <w:r w:rsidRPr="002828F3">
        <w:t xml:space="preserve">service delivery, </w:t>
      </w:r>
      <w:r w:rsidR="003B129A" w:rsidRPr="002828F3">
        <w:t xml:space="preserve">PHNs are </w:t>
      </w:r>
      <w:r w:rsidRPr="002828F3">
        <w:t xml:space="preserve">also </w:t>
      </w:r>
      <w:r w:rsidR="003B129A" w:rsidRPr="002828F3">
        <w:t xml:space="preserve">funded </w:t>
      </w:r>
      <w:r w:rsidRPr="002828F3">
        <w:t>to support service access through:</w:t>
      </w:r>
    </w:p>
    <w:p w14:paraId="765967D6" w14:textId="2E6F0CC1" w:rsidR="00F9777C" w:rsidRPr="008333CA" w:rsidRDefault="000C25AD" w:rsidP="008333CA">
      <w:pPr>
        <w:pStyle w:val="ListBullet"/>
      </w:pPr>
      <w:r w:rsidRPr="008333CA">
        <w:t xml:space="preserve">the </w:t>
      </w:r>
      <w:r w:rsidR="00F03B1E" w:rsidRPr="008333CA">
        <w:t>use</w:t>
      </w:r>
      <w:r w:rsidR="00F9777C" w:rsidRPr="008333CA">
        <w:t xml:space="preserve"> of a capacity and </w:t>
      </w:r>
      <w:r w:rsidR="00086587" w:rsidRPr="008333CA">
        <w:t>strengths</w:t>
      </w:r>
      <w:r w:rsidR="007418A7" w:rsidRPr="008333CA">
        <w:t>-</w:t>
      </w:r>
      <w:r w:rsidR="00086587" w:rsidRPr="008333CA">
        <w:t>based</w:t>
      </w:r>
      <w:r w:rsidR="00F9777C" w:rsidRPr="008333CA">
        <w:t xml:space="preserve"> assessment tool </w:t>
      </w:r>
      <w:r w:rsidR="00260C98" w:rsidRPr="008333CA">
        <w:t>for</w:t>
      </w:r>
      <w:r w:rsidR="00F9777C" w:rsidRPr="008333CA">
        <w:t xml:space="preserve"> determin</w:t>
      </w:r>
      <w:r w:rsidR="00086587" w:rsidRPr="008333CA">
        <w:t>ing</w:t>
      </w:r>
      <w:r w:rsidR="00F9777C" w:rsidRPr="008333CA">
        <w:t xml:space="preserve"> suitability, support needs and ensur</w:t>
      </w:r>
      <w:r w:rsidR="002D4785" w:rsidRPr="008333CA">
        <w:t>ing</w:t>
      </w:r>
      <w:r w:rsidR="00F9777C" w:rsidRPr="008333CA">
        <w:t xml:space="preserve"> services are tailored to individual</w:t>
      </w:r>
      <w:r w:rsidR="008F7A55" w:rsidRPr="008333CA">
        <w:t>’</w:t>
      </w:r>
      <w:r w:rsidR="001F5F3E" w:rsidRPr="008333CA">
        <w:t>s</w:t>
      </w:r>
      <w:r w:rsidR="00DB6E92" w:rsidRPr="008333CA">
        <w:t xml:space="preserve"> needs</w:t>
      </w:r>
      <w:r w:rsidR="00F9777C" w:rsidRPr="008333CA">
        <w:t>, with assessments undertaken by service providers</w:t>
      </w:r>
      <w:r w:rsidR="00C7102F" w:rsidRPr="008333CA">
        <w:t xml:space="preserve"> with </w:t>
      </w:r>
      <w:proofErr w:type="gramStart"/>
      <w:r w:rsidR="00C7102F" w:rsidRPr="008333CA">
        <w:t>consumers</w:t>
      </w:r>
      <w:proofErr w:type="gramEnd"/>
    </w:p>
    <w:p w14:paraId="5EF17467" w14:textId="7C0316DF" w:rsidR="00F9777C" w:rsidRPr="008333CA" w:rsidRDefault="00F9777C" w:rsidP="008333CA">
      <w:pPr>
        <w:pStyle w:val="ListBullet"/>
      </w:pPr>
      <w:r w:rsidRPr="008333CA">
        <w:t xml:space="preserve">service navigation support to provide information, advice and referral assistance to consumers, their families and </w:t>
      </w:r>
      <w:proofErr w:type="gramStart"/>
      <w:r w:rsidRPr="008333CA">
        <w:t>carers</w:t>
      </w:r>
      <w:proofErr w:type="gramEnd"/>
    </w:p>
    <w:p w14:paraId="700B7067" w14:textId="15690AAB" w:rsidR="00F9777C" w:rsidRPr="008333CA" w:rsidRDefault="00F9777C" w:rsidP="008333CA">
      <w:pPr>
        <w:pStyle w:val="ListBullet"/>
      </w:pPr>
      <w:r w:rsidRPr="008333CA">
        <w:t>discretionary testing of eligibility for the NDIS</w:t>
      </w:r>
      <w:r w:rsidR="0074464C" w:rsidRPr="008333CA">
        <w:t xml:space="preserve"> for consumers with long-term and/or complex support needs</w:t>
      </w:r>
      <w:r w:rsidRPr="008333CA">
        <w:t>; and</w:t>
      </w:r>
    </w:p>
    <w:p w14:paraId="01E40939" w14:textId="77777777" w:rsidR="00F9777C" w:rsidRPr="008333CA" w:rsidRDefault="00F9777C" w:rsidP="008333CA">
      <w:pPr>
        <w:pStyle w:val="ListBullet"/>
      </w:pPr>
      <w:r w:rsidRPr="008333CA">
        <w:t>regional loading for service providers in recognition of the higher cost of delivering services in regional and remote communities.</w:t>
      </w:r>
    </w:p>
    <w:p w14:paraId="2DBECF0D" w14:textId="5D896983" w:rsidR="00B96A30" w:rsidRPr="0030195D" w:rsidRDefault="00B96A30" w:rsidP="004535E3">
      <w:pPr>
        <w:pStyle w:val="Heading2"/>
      </w:pPr>
      <w:bookmarkStart w:id="11" w:name="_Toc176348930"/>
      <w:bookmarkStart w:id="12" w:name="_Toc176503509"/>
      <w:r w:rsidRPr="0030195D">
        <w:t xml:space="preserve">Who is </w:t>
      </w:r>
      <w:r w:rsidR="006B036A" w:rsidRPr="0030195D">
        <w:t xml:space="preserve">the </w:t>
      </w:r>
      <w:r w:rsidR="008E4AF0">
        <w:t>P</w:t>
      </w:r>
      <w:r w:rsidR="006B036A" w:rsidRPr="0030195D">
        <w:t xml:space="preserve">rogram </w:t>
      </w:r>
      <w:r w:rsidRPr="0030195D">
        <w:t>for?</w:t>
      </w:r>
      <w:bookmarkEnd w:id="11"/>
      <w:bookmarkEnd w:id="12"/>
    </w:p>
    <w:p w14:paraId="494F5673" w14:textId="618A1AB2" w:rsidR="00FB19BC" w:rsidRPr="002828F3" w:rsidRDefault="00FB19BC" w:rsidP="002828F3">
      <w:r w:rsidRPr="002828F3">
        <w:t xml:space="preserve">Under the Program, psychosocial support service providers are commissioned to work in partnership with consumers (alongside their families and carers, as appropriate) to achieve recovery goals. </w:t>
      </w:r>
    </w:p>
    <w:p w14:paraId="0C19FEF7" w14:textId="08794B5D" w:rsidR="00B96A30" w:rsidRPr="002828F3" w:rsidRDefault="00B96A30" w:rsidP="002828F3">
      <w:r w:rsidRPr="002828F3">
        <w:t xml:space="preserve">The </w:t>
      </w:r>
      <w:r w:rsidR="00086587" w:rsidRPr="002828F3">
        <w:t>P</w:t>
      </w:r>
      <w:r w:rsidRPr="002828F3">
        <w:t xml:space="preserve">rogram is designed to support people with severe, often episodic, mental illness </w:t>
      </w:r>
      <w:r w:rsidR="00CF42A1" w:rsidRPr="002828F3">
        <w:t>who</w:t>
      </w:r>
      <w:r w:rsidRPr="002828F3">
        <w:t>:</w:t>
      </w:r>
    </w:p>
    <w:p w14:paraId="5C570A04" w14:textId="3CAC1681" w:rsidR="00B96A30" w:rsidRPr="008333CA" w:rsidRDefault="00CF42A1" w:rsidP="008333CA">
      <w:pPr>
        <w:pStyle w:val="ListBullet"/>
      </w:pPr>
      <w:r w:rsidRPr="008333CA">
        <w:t xml:space="preserve">have </w:t>
      </w:r>
      <w:r w:rsidR="00B96A30" w:rsidRPr="008333CA">
        <w:t>needs that can be appropriately met through short-term</w:t>
      </w:r>
      <w:r w:rsidR="00086587" w:rsidRPr="008333CA">
        <w:t>,</w:t>
      </w:r>
      <w:r w:rsidR="00B96A30" w:rsidRPr="008333CA">
        <w:t xml:space="preserve"> low intensity support to live independently in the community, as determined through a capacity and </w:t>
      </w:r>
      <w:r w:rsidR="007418A7" w:rsidRPr="008333CA">
        <w:t>strengths-based</w:t>
      </w:r>
      <w:r w:rsidR="00B96A30" w:rsidRPr="008333CA">
        <w:t xml:space="preserve"> assessment </w:t>
      </w:r>
      <w:proofErr w:type="gramStart"/>
      <w:r w:rsidR="00B96A30" w:rsidRPr="008333CA">
        <w:t>tool</w:t>
      </w:r>
      <w:proofErr w:type="gramEnd"/>
    </w:p>
    <w:p w14:paraId="122835D0" w14:textId="16836493" w:rsidR="00B96A30" w:rsidRPr="008333CA" w:rsidRDefault="00B96A30" w:rsidP="008333CA">
      <w:pPr>
        <w:pStyle w:val="ListBullet"/>
      </w:pPr>
      <w:r w:rsidRPr="008333CA">
        <w:t>are not restricted in their ability to fully</w:t>
      </w:r>
      <w:r w:rsidR="00086587" w:rsidRPr="008333CA">
        <w:t>,</w:t>
      </w:r>
      <w:r w:rsidRPr="008333CA">
        <w:t xml:space="preserve"> and actively</w:t>
      </w:r>
      <w:r w:rsidR="00086587" w:rsidRPr="008333CA">
        <w:t>,</w:t>
      </w:r>
      <w:r w:rsidRPr="008333CA">
        <w:t xml:space="preserve"> participate in the community because of their residential setting (e.g. prison or a psychiatric facility)</w:t>
      </w:r>
    </w:p>
    <w:p w14:paraId="2BA537CB" w14:textId="36E83E9E" w:rsidR="00B96A30" w:rsidRPr="008333CA" w:rsidRDefault="00B96A30" w:rsidP="008333CA">
      <w:pPr>
        <w:pStyle w:val="ListBullet"/>
      </w:pPr>
      <w:r w:rsidRPr="008333CA">
        <w:t>are not receiving similar psychosocial supports through a state or territory government program or the NDIS</w:t>
      </w:r>
      <w:r w:rsidR="001F5F3E" w:rsidRPr="008333CA">
        <w:t>,</w:t>
      </w:r>
      <w:r w:rsidRPr="008333CA">
        <w:t xml:space="preserve"> where there is potential for duplication of servic</w:t>
      </w:r>
      <w:r w:rsidR="00D83CF8" w:rsidRPr="008333CA">
        <w:t>e offerings</w:t>
      </w:r>
      <w:r w:rsidR="00F14CFA" w:rsidRPr="008333CA">
        <w:t xml:space="preserve"> However, individuals who have been found eligible for the NDIS but have not activated their plan or where there are no NDIS service providers in the region, should continue to be supported until these NDIS services </w:t>
      </w:r>
      <w:proofErr w:type="gramStart"/>
      <w:r w:rsidR="00F14CFA" w:rsidRPr="008333CA">
        <w:t>actually commence</w:t>
      </w:r>
      <w:proofErr w:type="gramEnd"/>
      <w:r w:rsidR="00F14CFA" w:rsidRPr="008333CA">
        <w:t>,</w:t>
      </w:r>
      <w:r w:rsidR="00086587" w:rsidRPr="008333CA">
        <w:t xml:space="preserve"> and</w:t>
      </w:r>
      <w:r w:rsidR="00D83CF8" w:rsidRPr="008333CA">
        <w:t xml:space="preserve"> </w:t>
      </w:r>
    </w:p>
    <w:p w14:paraId="7C5A284E" w14:textId="65000833" w:rsidR="00B96A30" w:rsidRPr="008333CA" w:rsidRDefault="00B96A30" w:rsidP="008333CA">
      <w:pPr>
        <w:pStyle w:val="ListBullet"/>
      </w:pPr>
      <w:r w:rsidRPr="0030195D">
        <w:lastRenderedPageBreak/>
        <w:t xml:space="preserve">are aged 16 years and over, noting exceptions can be made for people aged less than 16 years subject to approval </w:t>
      </w:r>
      <w:r w:rsidR="00086587">
        <w:t xml:space="preserve">by </w:t>
      </w:r>
      <w:r w:rsidRPr="0030195D">
        <w:t>the PHN.</w:t>
      </w:r>
      <w:r w:rsidR="00CD78D0">
        <w:t xml:space="preserve"> There is also no </w:t>
      </w:r>
      <w:r w:rsidR="001409D7">
        <w:t xml:space="preserve">upper </w:t>
      </w:r>
      <w:r w:rsidR="00CD78D0">
        <w:t>age limit for the Program</w:t>
      </w:r>
      <w:r w:rsidR="004D2B93">
        <w:t xml:space="preserve">, </w:t>
      </w:r>
      <w:proofErr w:type="gramStart"/>
      <w:r w:rsidR="004D2B93">
        <w:t>as long as</w:t>
      </w:r>
      <w:proofErr w:type="gramEnd"/>
      <w:r w:rsidR="004D2B93">
        <w:t xml:space="preserve"> there is no duplication of service offering for individuals. </w:t>
      </w:r>
    </w:p>
    <w:p w14:paraId="0CB24EEB" w14:textId="77777777" w:rsidR="00A2561E" w:rsidRPr="002828F3" w:rsidRDefault="00B96A30" w:rsidP="002828F3">
      <w:r w:rsidRPr="002828F3">
        <w:t xml:space="preserve">Eligible consumers are those affected by mental illness, </w:t>
      </w:r>
      <w:r w:rsidR="0001365D" w:rsidRPr="002828F3">
        <w:t>including</w:t>
      </w:r>
      <w:r w:rsidRPr="002828F3">
        <w:t xml:space="preserve"> mood (affective) disorders (e.g. depression, bipolar disorder), anxiety disorders, personality disorders, psychotic disorders (e.g. schizophrenia, schizotypal and delusional disorders), eating disorders, substance use disorders, and trauma-related disorders. </w:t>
      </w:r>
    </w:p>
    <w:p w14:paraId="5F47B2EC" w14:textId="06B71496" w:rsidR="008E22BD" w:rsidRPr="002828F3" w:rsidRDefault="001F5F3E" w:rsidP="002828F3">
      <w:r w:rsidRPr="002828F3">
        <w:t>A clinical d</w:t>
      </w:r>
      <w:r w:rsidR="008E22BD" w:rsidRPr="002828F3">
        <w:t xml:space="preserve">iagnosis is not required for consumers to access services, however relevant eligibility criteria is required to be met (e.g. consumers </w:t>
      </w:r>
      <w:r w:rsidR="003772A0" w:rsidRPr="002828F3">
        <w:t>must not be</w:t>
      </w:r>
      <w:r w:rsidR="008E22BD" w:rsidRPr="002828F3">
        <w:t xml:space="preserve"> </w:t>
      </w:r>
      <w:r w:rsidR="0047605A" w:rsidRPr="002828F3">
        <w:t>receiving similar psychosocial supports through a state or territory government program or the NDIS</w:t>
      </w:r>
      <w:r w:rsidR="008E22BD" w:rsidRPr="002828F3">
        <w:t xml:space="preserve">). </w:t>
      </w:r>
    </w:p>
    <w:p w14:paraId="54D40798" w14:textId="34608C44" w:rsidR="00802C3A" w:rsidRPr="0030195D" w:rsidRDefault="00802C3A" w:rsidP="00726D9F">
      <w:pPr>
        <w:pStyle w:val="Heading2"/>
      </w:pPr>
      <w:bookmarkStart w:id="13" w:name="_Toc176348931"/>
      <w:bookmarkStart w:id="14" w:name="_Toc176503510"/>
      <w:r w:rsidRPr="0030195D">
        <w:t xml:space="preserve">Key </w:t>
      </w:r>
      <w:r w:rsidR="008E4AF0">
        <w:t>P</w:t>
      </w:r>
      <w:r w:rsidRPr="0030195D">
        <w:t>rogram outcomes</w:t>
      </w:r>
      <w:bookmarkEnd w:id="13"/>
      <w:bookmarkEnd w:id="14"/>
    </w:p>
    <w:p w14:paraId="0DED36E8" w14:textId="4269271F" w:rsidR="00551563" w:rsidRPr="002828F3" w:rsidRDefault="00C82472" w:rsidP="002828F3">
      <w:r w:rsidRPr="002828F3">
        <w:t>Pl</w:t>
      </w:r>
      <w:r w:rsidR="00802C3A" w:rsidRPr="002828F3">
        <w:t xml:space="preserve">anning and commissioning </w:t>
      </w:r>
      <w:r w:rsidRPr="002828F3">
        <w:t xml:space="preserve">of </w:t>
      </w:r>
      <w:r w:rsidR="00802C3A" w:rsidRPr="002828F3">
        <w:t>services</w:t>
      </w:r>
      <w:r w:rsidR="001F5F3E" w:rsidRPr="002828F3">
        <w:t xml:space="preserve"> </w:t>
      </w:r>
      <w:r w:rsidRPr="002828F3">
        <w:t>should consider</w:t>
      </w:r>
      <w:r w:rsidR="00A2561E" w:rsidRPr="002828F3">
        <w:t xml:space="preserve"> </w:t>
      </w:r>
      <w:r w:rsidR="001F5F3E" w:rsidRPr="002828F3">
        <w:t>the key</w:t>
      </w:r>
      <w:r w:rsidRPr="002828F3">
        <w:t xml:space="preserve"> </w:t>
      </w:r>
      <w:r w:rsidR="001F5F3E" w:rsidRPr="002828F3">
        <w:t>outcomes</w:t>
      </w:r>
      <w:r w:rsidRPr="002828F3">
        <w:t xml:space="preserve"> of the Program</w:t>
      </w:r>
      <w:r w:rsidR="0050298F" w:rsidRPr="002828F3">
        <w:t xml:space="preserve">, as </w:t>
      </w:r>
      <w:r w:rsidR="00BE6963" w:rsidRPr="002828F3">
        <w:t>defined</w:t>
      </w:r>
      <w:r w:rsidR="0050298F" w:rsidRPr="002828F3">
        <w:t xml:space="preserve"> below</w:t>
      </w:r>
      <w:r w:rsidR="00802C3A" w:rsidRPr="002828F3">
        <w:t>:</w:t>
      </w:r>
    </w:p>
    <w:p w14:paraId="7F9650DF" w14:textId="77777777" w:rsidR="00551563" w:rsidRPr="002828F3" w:rsidRDefault="00551563" w:rsidP="002828F3">
      <w:r w:rsidRPr="002828F3">
        <w:t>Short Term:</w:t>
      </w:r>
    </w:p>
    <w:p w14:paraId="653443BC" w14:textId="389D6229" w:rsidR="00802C3A" w:rsidRDefault="005501FA" w:rsidP="008333CA">
      <w:pPr>
        <w:pStyle w:val="ListBullet"/>
      </w:pPr>
      <w:r w:rsidRPr="005501FA">
        <w:t xml:space="preserve">Commonwealth psychosocial support clients have continued access to </w:t>
      </w:r>
      <w:proofErr w:type="gramStart"/>
      <w:r w:rsidRPr="005501FA">
        <w:t>support</w:t>
      </w:r>
      <w:proofErr w:type="gramEnd"/>
    </w:p>
    <w:p w14:paraId="2A3AF14A" w14:textId="6D33A386" w:rsidR="005501FA" w:rsidRDefault="005501FA" w:rsidP="008333CA">
      <w:pPr>
        <w:pStyle w:val="ListBullet"/>
      </w:pPr>
      <w:r w:rsidRPr="005501FA">
        <w:t xml:space="preserve">Streamlined and improved access </w:t>
      </w:r>
      <w:r w:rsidR="006813E2">
        <w:t xml:space="preserve">to </w:t>
      </w:r>
      <w:r w:rsidRPr="005501FA">
        <w:t xml:space="preserve">(including in regional and remote areas), timeliness and appropriateness of psychosocial </w:t>
      </w:r>
      <w:proofErr w:type="gramStart"/>
      <w:r w:rsidRPr="005501FA">
        <w:t>services</w:t>
      </w:r>
      <w:proofErr w:type="gramEnd"/>
    </w:p>
    <w:p w14:paraId="59CCED60" w14:textId="6DD1DA25" w:rsidR="005501FA" w:rsidRPr="005501FA" w:rsidRDefault="005501FA" w:rsidP="008333CA">
      <w:pPr>
        <w:pStyle w:val="ListBullet"/>
      </w:pPr>
      <w:r w:rsidRPr="005501FA">
        <w:t>Improved overall consumer experience and coordinated access to holistic supports</w:t>
      </w:r>
      <w:r w:rsidR="00543962">
        <w:t>.</w:t>
      </w:r>
    </w:p>
    <w:p w14:paraId="1F1594EB" w14:textId="07A5466D" w:rsidR="00551563" w:rsidRPr="002828F3" w:rsidRDefault="00551563" w:rsidP="002828F3">
      <w:r w:rsidRPr="002828F3">
        <w:t>Medium Term:</w:t>
      </w:r>
    </w:p>
    <w:p w14:paraId="6A8B860F" w14:textId="55443A81" w:rsidR="00551563" w:rsidRDefault="005501FA" w:rsidP="008333CA">
      <w:pPr>
        <w:pStyle w:val="ListBullet"/>
      </w:pPr>
      <w:r w:rsidRPr="005501FA">
        <w:t>Improved consumer recovery outcomes</w:t>
      </w:r>
      <w:r>
        <w:t xml:space="preserve"> </w:t>
      </w:r>
    </w:p>
    <w:p w14:paraId="6E53B972" w14:textId="358555FC" w:rsidR="005501FA" w:rsidRDefault="005501FA" w:rsidP="008333CA">
      <w:pPr>
        <w:pStyle w:val="ListBullet"/>
      </w:pPr>
      <w:r w:rsidRPr="005501FA">
        <w:t>Increased consumer capacity, confidence, self-reliance/</w:t>
      </w:r>
      <w:proofErr w:type="gramStart"/>
      <w:r w:rsidRPr="005501FA">
        <w:t>independence</w:t>
      </w:r>
      <w:proofErr w:type="gramEnd"/>
      <w:r w:rsidRPr="005501FA">
        <w:t xml:space="preserve"> and reduced distress</w:t>
      </w:r>
      <w:r>
        <w:t xml:space="preserve"> </w:t>
      </w:r>
    </w:p>
    <w:p w14:paraId="2162F73F" w14:textId="08CB840F" w:rsidR="005501FA" w:rsidRDefault="005501FA" w:rsidP="008333CA">
      <w:pPr>
        <w:pStyle w:val="ListBullet"/>
      </w:pPr>
      <w:r w:rsidRPr="005501FA">
        <w:t>Improved coordination and integration of psychosocial services with</w:t>
      </w:r>
      <w:r w:rsidR="00707BDD">
        <w:t>in</w:t>
      </w:r>
      <w:r w:rsidRPr="005501FA">
        <w:t xml:space="preserve"> the broader mental health and community support system</w:t>
      </w:r>
    </w:p>
    <w:p w14:paraId="7DBB9B3A" w14:textId="26493658" w:rsidR="005501FA" w:rsidRPr="005501FA" w:rsidRDefault="005501FA" w:rsidP="008333CA">
      <w:pPr>
        <w:pStyle w:val="ListBullet"/>
      </w:pPr>
      <w:r w:rsidRPr="005501FA">
        <w:t>Reduced demand for more expensive interventions (e.g. crisis services, acute or inpatient facilities) and reduced mental health related hospitalisations</w:t>
      </w:r>
      <w:r w:rsidR="00543962">
        <w:t>.</w:t>
      </w:r>
    </w:p>
    <w:p w14:paraId="0D4917DE" w14:textId="6E9DDB11" w:rsidR="00551563" w:rsidRPr="002828F3" w:rsidRDefault="00551563" w:rsidP="002828F3">
      <w:r w:rsidRPr="002828F3">
        <w:t>Long</w:t>
      </w:r>
      <w:r w:rsidR="00B774FC" w:rsidRPr="002828F3">
        <w:t>er</w:t>
      </w:r>
      <w:r w:rsidRPr="002828F3">
        <w:t xml:space="preserve"> Term:</w:t>
      </w:r>
    </w:p>
    <w:p w14:paraId="74B2714F" w14:textId="695918B3" w:rsidR="00551563" w:rsidRDefault="00B774FC" w:rsidP="008333CA">
      <w:pPr>
        <w:pStyle w:val="ListBullet"/>
      </w:pPr>
      <w:r w:rsidRPr="00B774FC">
        <w:t>Increased social and economic participation of consumers (incl</w:t>
      </w:r>
      <w:r w:rsidR="000C19E0">
        <w:t>uding</w:t>
      </w:r>
      <w:r w:rsidRPr="00B774FC">
        <w:t xml:space="preserve"> carers/families)</w:t>
      </w:r>
    </w:p>
    <w:p w14:paraId="539B1D1F" w14:textId="1A157A73" w:rsidR="00B774FC" w:rsidRDefault="00B774FC" w:rsidP="008333CA">
      <w:pPr>
        <w:pStyle w:val="ListBullet"/>
      </w:pPr>
      <w:r w:rsidRPr="00B774FC">
        <w:t xml:space="preserve">Improved quality of life, </w:t>
      </w:r>
      <w:proofErr w:type="gramStart"/>
      <w:r w:rsidRPr="00B774FC">
        <w:t>health</w:t>
      </w:r>
      <w:proofErr w:type="gramEnd"/>
      <w:r w:rsidRPr="00B774FC">
        <w:t xml:space="preserve"> and wellbeing of consumers (inc</w:t>
      </w:r>
      <w:r w:rsidR="000C19E0">
        <w:t>luding</w:t>
      </w:r>
      <w:r w:rsidRPr="00B774FC">
        <w:t xml:space="preserve"> carers/families)</w:t>
      </w:r>
      <w:r>
        <w:t xml:space="preserve"> </w:t>
      </w:r>
    </w:p>
    <w:p w14:paraId="1AE8CFC0" w14:textId="3C93FDF7" w:rsidR="00B774FC" w:rsidRDefault="00B774FC" w:rsidP="008333CA">
      <w:pPr>
        <w:pStyle w:val="ListBullet"/>
      </w:pPr>
      <w:r w:rsidRPr="00B774FC">
        <w:t>More people with severe mental illness able to live independently and safely in the community</w:t>
      </w:r>
      <w:r>
        <w:t>; and</w:t>
      </w:r>
    </w:p>
    <w:p w14:paraId="4C5EEAAC" w14:textId="020F3A85" w:rsidR="00551563" w:rsidRPr="008926BD" w:rsidRDefault="00B774FC" w:rsidP="008333CA">
      <w:pPr>
        <w:pStyle w:val="ListBullet"/>
      </w:pPr>
      <w:r w:rsidRPr="00B774FC">
        <w:t>Improved sustainability and equity in the psychosocial support system</w:t>
      </w:r>
      <w:r>
        <w:t xml:space="preserve">. </w:t>
      </w:r>
    </w:p>
    <w:p w14:paraId="0209B398" w14:textId="3ABA3AF1" w:rsidR="00B96A30" w:rsidRPr="0030195D" w:rsidRDefault="00A9616E" w:rsidP="009C3C84">
      <w:pPr>
        <w:pStyle w:val="Heading2"/>
      </w:pPr>
      <w:bookmarkStart w:id="15" w:name="_Toc176348932"/>
      <w:bookmarkStart w:id="16" w:name="_Toc176503511"/>
      <w:r>
        <w:t>Service Delivery</w:t>
      </w:r>
      <w:bookmarkEnd w:id="15"/>
      <w:bookmarkEnd w:id="16"/>
    </w:p>
    <w:p w14:paraId="241E2D18" w14:textId="136F5ED0" w:rsidR="00143D29" w:rsidRPr="00002AC3" w:rsidRDefault="00143D29" w:rsidP="002828F3">
      <w:pPr>
        <w:pStyle w:val="Heading3"/>
      </w:pPr>
      <w:bookmarkStart w:id="17" w:name="page5"/>
      <w:bookmarkEnd w:id="17"/>
      <w:r w:rsidRPr="00002AC3">
        <w:t>What services are in scope?</w:t>
      </w:r>
    </w:p>
    <w:p w14:paraId="493B6E70" w14:textId="7B09A690" w:rsidR="00B96A30" w:rsidRPr="002828F3" w:rsidRDefault="00B96A30" w:rsidP="002828F3">
      <w:r w:rsidRPr="002828F3">
        <w:t>Psychosocial support services cover a range of non-clinical supports that focus on building personal capacity and stability in one or more of the following areas:</w:t>
      </w:r>
    </w:p>
    <w:p w14:paraId="08089C94" w14:textId="018B5B24" w:rsidR="00B96A30" w:rsidRPr="008333CA" w:rsidRDefault="00B96A30" w:rsidP="008333CA">
      <w:pPr>
        <w:pStyle w:val="ListBullet"/>
      </w:pPr>
      <w:r w:rsidRPr="008333CA">
        <w:t xml:space="preserve">social skills, </w:t>
      </w:r>
      <w:proofErr w:type="gramStart"/>
      <w:r w:rsidRPr="008333CA">
        <w:t>friendships</w:t>
      </w:r>
      <w:proofErr w:type="gramEnd"/>
      <w:r w:rsidRPr="008333CA">
        <w:t xml:space="preserve"> and family connections</w:t>
      </w:r>
    </w:p>
    <w:p w14:paraId="4D6B94BC" w14:textId="5A342874" w:rsidR="00B96A30" w:rsidRPr="008333CA" w:rsidRDefault="00B96A30" w:rsidP="008333CA">
      <w:pPr>
        <w:pStyle w:val="ListBullet"/>
      </w:pPr>
      <w:r w:rsidRPr="008333CA">
        <w:lastRenderedPageBreak/>
        <w:t>day</w:t>
      </w:r>
      <w:r w:rsidR="00C82472" w:rsidRPr="008333CA">
        <w:t>-</w:t>
      </w:r>
      <w:r w:rsidRPr="008333CA">
        <w:t>to</w:t>
      </w:r>
      <w:r w:rsidR="00C82472" w:rsidRPr="008333CA">
        <w:t>-</w:t>
      </w:r>
      <w:r w:rsidRPr="008333CA">
        <w:t>day living skills</w:t>
      </w:r>
    </w:p>
    <w:p w14:paraId="3335C844" w14:textId="1E00C2B6" w:rsidR="00B96A30" w:rsidRPr="008333CA" w:rsidRDefault="00B96A30" w:rsidP="008333CA">
      <w:pPr>
        <w:pStyle w:val="ListBullet"/>
      </w:pPr>
      <w:r w:rsidRPr="008333CA">
        <w:t>financial management and budgeting</w:t>
      </w:r>
    </w:p>
    <w:p w14:paraId="3150959F" w14:textId="1E3A7385" w:rsidR="00B96A30" w:rsidRPr="008333CA" w:rsidRDefault="00B96A30" w:rsidP="008333CA">
      <w:pPr>
        <w:pStyle w:val="ListBullet"/>
      </w:pPr>
      <w:r w:rsidRPr="008333CA">
        <w:t>finding and maintaining a home</w:t>
      </w:r>
    </w:p>
    <w:p w14:paraId="7B88C216" w14:textId="436E8005" w:rsidR="00B96A30" w:rsidRPr="008333CA" w:rsidRDefault="00B96A30" w:rsidP="008333CA">
      <w:pPr>
        <w:pStyle w:val="ListBullet"/>
      </w:pPr>
      <w:r w:rsidRPr="008333CA">
        <w:t>vocational skills and goals</w:t>
      </w:r>
    </w:p>
    <w:p w14:paraId="488AB137" w14:textId="01321D55" w:rsidR="00B96A30" w:rsidRPr="008333CA" w:rsidRDefault="00B96A30" w:rsidP="008333CA">
      <w:pPr>
        <w:pStyle w:val="ListBullet"/>
      </w:pPr>
      <w:r w:rsidRPr="008333CA">
        <w:t>maintaining physical wellbeing, including exercise</w:t>
      </w:r>
    </w:p>
    <w:p w14:paraId="0BBD6220" w14:textId="7A9BED5D" w:rsidR="00B96A30" w:rsidRPr="008333CA" w:rsidRDefault="00B96A30" w:rsidP="008333CA">
      <w:pPr>
        <w:pStyle w:val="ListBullet"/>
      </w:pPr>
      <w:r w:rsidRPr="008333CA">
        <w:t xml:space="preserve">managing substance use </w:t>
      </w:r>
      <w:proofErr w:type="gramStart"/>
      <w:r w:rsidRPr="008333CA">
        <w:t>issues</w:t>
      </w:r>
      <w:proofErr w:type="gramEnd"/>
    </w:p>
    <w:p w14:paraId="7B6A229D" w14:textId="77777777" w:rsidR="00B96A30" w:rsidRPr="008333CA" w:rsidRDefault="00B96A30" w:rsidP="008333CA">
      <w:pPr>
        <w:pStyle w:val="ListBullet"/>
      </w:pPr>
      <w:r w:rsidRPr="008333CA">
        <w:t>building broader life skills, including confidence and resilience; and</w:t>
      </w:r>
    </w:p>
    <w:p w14:paraId="31BEDBB2" w14:textId="77777777" w:rsidR="00B96A30" w:rsidRPr="008333CA" w:rsidRDefault="00B96A30" w:rsidP="008333CA">
      <w:pPr>
        <w:pStyle w:val="ListBullet"/>
      </w:pPr>
      <w:r w:rsidRPr="008333CA">
        <w:t xml:space="preserve">building capacity to live independently in the community. </w:t>
      </w:r>
    </w:p>
    <w:p w14:paraId="3B09759F" w14:textId="77777777" w:rsidR="00143D29" w:rsidRPr="002828F3" w:rsidRDefault="00143D29" w:rsidP="002828F3">
      <w:pPr>
        <w:pStyle w:val="Heading3"/>
      </w:pPr>
      <w:r w:rsidRPr="002828F3">
        <w:t>What services are out of scope?</w:t>
      </w:r>
    </w:p>
    <w:p w14:paraId="74F22B3A" w14:textId="77777777" w:rsidR="00143D29" w:rsidRPr="002828F3" w:rsidRDefault="00143D29" w:rsidP="002828F3">
      <w:r w:rsidRPr="002828F3">
        <w:t>The following services are outside the scope of funding:</w:t>
      </w:r>
    </w:p>
    <w:p w14:paraId="09714171" w14:textId="77777777" w:rsidR="00143D29" w:rsidRPr="0030195D" w:rsidRDefault="00143D29" w:rsidP="008333CA">
      <w:pPr>
        <w:pStyle w:val="ListBullet"/>
      </w:pPr>
      <w:r w:rsidRPr="008333CA">
        <w:rPr>
          <w:rStyle w:val="Strong"/>
        </w:rPr>
        <w:t>Provision of Clinical or Specialist Medical Services</w:t>
      </w:r>
      <w:r w:rsidRPr="0030195D">
        <w:t>: Service providers and PHNs are to encourage consumers to access these services and assist with referral processes.</w:t>
      </w:r>
    </w:p>
    <w:p w14:paraId="58E838C8" w14:textId="77777777" w:rsidR="00143D29" w:rsidRPr="0030195D" w:rsidRDefault="00143D29" w:rsidP="008333CA">
      <w:pPr>
        <w:pStyle w:val="ListBullet"/>
      </w:pPr>
      <w:r w:rsidRPr="008333CA">
        <w:rPr>
          <w:rStyle w:val="Strong"/>
        </w:rPr>
        <w:t>Provision of Personal Care and Domestic Help</w:t>
      </w:r>
      <w:r w:rsidRPr="0030195D">
        <w:t>: Support workers may assist consumers in learning how to complete household domestic activities</w:t>
      </w:r>
      <w:r>
        <w:t>,</w:t>
      </w:r>
      <w:r w:rsidRPr="0030195D">
        <w:t xml:space="preserve"> as well as prompt them to </w:t>
      </w:r>
      <w:r>
        <w:t>undertake</w:t>
      </w:r>
      <w:r w:rsidRPr="0030195D">
        <w:t xml:space="preserve"> tasks and help them find assistance to undertake tasks they cannot manage themselves. </w:t>
      </w:r>
    </w:p>
    <w:p w14:paraId="5FD73B5A" w14:textId="77777777" w:rsidR="00143D29" w:rsidRPr="0030195D" w:rsidRDefault="00143D29" w:rsidP="008333CA">
      <w:pPr>
        <w:pStyle w:val="ListBullet"/>
      </w:pPr>
      <w:r w:rsidRPr="008333CA">
        <w:rPr>
          <w:rStyle w:val="Strong"/>
        </w:rPr>
        <w:t xml:space="preserve">Crisis Support: </w:t>
      </w:r>
      <w:r w:rsidRPr="0030195D">
        <w:t xml:space="preserve">Services delivered are not to manage or respond to crises. Support workers are not expected to be the contact for mental health emergencies or to manage consumers through such an event. Consumers should be encouraged and assisted to seek clinical mental health </w:t>
      </w:r>
      <w:proofErr w:type="gramStart"/>
      <w:r w:rsidRPr="0030195D">
        <w:t>support</w:t>
      </w:r>
      <w:r>
        <w:t xml:space="preserve">, </w:t>
      </w:r>
      <w:r w:rsidRPr="0030195D">
        <w:t>and</w:t>
      </w:r>
      <w:proofErr w:type="gramEnd"/>
      <w:r w:rsidRPr="0030195D">
        <w:t xml:space="preserve"> supported to develop a crisis plan.</w:t>
      </w:r>
    </w:p>
    <w:p w14:paraId="5F0CDEB5" w14:textId="77777777" w:rsidR="00143D29" w:rsidRPr="0030195D" w:rsidRDefault="00143D29" w:rsidP="008333CA">
      <w:pPr>
        <w:pStyle w:val="ListBullet"/>
      </w:pPr>
      <w:r w:rsidRPr="008333CA">
        <w:rPr>
          <w:rStyle w:val="Strong"/>
        </w:rPr>
        <w:t>Capital Works:</w:t>
      </w:r>
      <w:r w:rsidRPr="0030195D">
        <w:t xml:space="preserve"> Funds cannot be used for capital works, construction or installing facilities or fixtures.</w:t>
      </w:r>
    </w:p>
    <w:p w14:paraId="576AC883" w14:textId="7E3FEB94" w:rsidR="00F322CA" w:rsidRPr="00C436BE" w:rsidRDefault="00143D29" w:rsidP="008333CA">
      <w:pPr>
        <w:pStyle w:val="ListBullet"/>
      </w:pPr>
      <w:r w:rsidRPr="008333CA">
        <w:rPr>
          <w:rStyle w:val="Strong"/>
        </w:rPr>
        <w:t>Duplicated services:</w:t>
      </w:r>
      <w:r w:rsidRPr="00395712">
        <w:t xml:space="preserve"> Services may not duplicate existing funded activities that are primarily the responsibility of state and territory governments, or are more appropriately funded through other programs, such as NDIS or primary mental health care services.</w:t>
      </w:r>
    </w:p>
    <w:p w14:paraId="649DD98B" w14:textId="6D6AFD36" w:rsidR="00A9616E" w:rsidRPr="00002AC3" w:rsidRDefault="00A9616E" w:rsidP="002828F3">
      <w:pPr>
        <w:pStyle w:val="Heading3"/>
      </w:pPr>
      <w:r>
        <w:t xml:space="preserve">Service delivery </w:t>
      </w:r>
      <w:proofErr w:type="gramStart"/>
      <w:r>
        <w:t>model</w:t>
      </w:r>
      <w:proofErr w:type="gramEnd"/>
    </w:p>
    <w:p w14:paraId="01FEFC7B" w14:textId="49CC1AA9" w:rsidR="00B96A30" w:rsidRPr="002828F3" w:rsidRDefault="00B96A30" w:rsidP="002828F3">
      <w:r w:rsidRPr="002828F3">
        <w:t>Services can be delivered through a range of formats, including individual support, place</w:t>
      </w:r>
      <w:r w:rsidRPr="002828F3">
        <w:noBreakHyphen/>
        <w:t>based services (e.g. Clubhouse models), group activities and outreach support. A flexible approach should be taken to tailor supports to the needs of the consumer</w:t>
      </w:r>
      <w:r w:rsidR="00A7362A" w:rsidRPr="002828F3">
        <w:t xml:space="preserve">, including regular reviews to ensure relevance and responsiveness to consumer’s changing </w:t>
      </w:r>
      <w:proofErr w:type="gramStart"/>
      <w:r w:rsidR="00A7362A" w:rsidRPr="002828F3">
        <w:t>needs.</w:t>
      </w:r>
      <w:r w:rsidRPr="002828F3">
        <w:t>.</w:t>
      </w:r>
      <w:proofErr w:type="gramEnd"/>
      <w:r w:rsidRPr="002828F3">
        <w:t xml:space="preserve"> Supports can also be delivered using technology (e.g. telephone or video</w:t>
      </w:r>
      <w:r w:rsidRPr="002828F3">
        <w:noBreakHyphen/>
        <w:t>conferencing).</w:t>
      </w:r>
    </w:p>
    <w:p w14:paraId="2E28B2BB" w14:textId="5902BF18" w:rsidR="00B96A30" w:rsidRPr="008333CA" w:rsidRDefault="00B96A30" w:rsidP="008333CA">
      <w:r w:rsidRPr="008333CA">
        <w:t xml:space="preserve">Service delivery should support the facilitation of care coordination </w:t>
      </w:r>
      <w:r w:rsidR="0001365D" w:rsidRPr="008333CA">
        <w:t xml:space="preserve">and </w:t>
      </w:r>
      <w:r w:rsidR="00704144" w:rsidRPr="008333CA">
        <w:t>non</w:t>
      </w:r>
      <w:r w:rsidR="00CF42CF" w:rsidRPr="008333CA">
        <w:t xml:space="preserve">-clinical and </w:t>
      </w:r>
      <w:r w:rsidR="0001365D" w:rsidRPr="008333CA">
        <w:t xml:space="preserve">clinical </w:t>
      </w:r>
      <w:r w:rsidRPr="008333CA">
        <w:t>activities to enable the appropriate delivery of psychosocial support services (e.g. through communication and transfer of relevant information to ensure safe care transitions; processes to support team</w:t>
      </w:r>
      <w:r w:rsidRPr="008333CA">
        <w:noBreakHyphen/>
        <w:t>based approaches, such as care plans, case conferences, assignment of a care coordinator role; and facilitated access to other health and social support services).</w:t>
      </w:r>
    </w:p>
    <w:p w14:paraId="1CCD5CBE" w14:textId="77777777" w:rsidR="00C1423C" w:rsidRPr="002828F3" w:rsidRDefault="00C1423C" w:rsidP="002828F3">
      <w:r w:rsidRPr="002828F3">
        <w:t>Some consumers may have co-occurring conditions, such as intellectual or cognitive disability, neuro</w:t>
      </w:r>
      <w:r w:rsidRPr="002828F3">
        <w:noBreakHyphen/>
        <w:t xml:space="preserve">developmental disorders (e.g. autism), and/or substance use disorders. </w:t>
      </w:r>
      <w:r w:rsidRPr="002828F3">
        <w:lastRenderedPageBreak/>
        <w:t>Referrals to services that can provide relevant support and assistance should be considered where appropriate.</w:t>
      </w:r>
    </w:p>
    <w:p w14:paraId="1997C937" w14:textId="77777777" w:rsidR="00143D29" w:rsidRPr="002828F3" w:rsidRDefault="00C1423C" w:rsidP="002828F3">
      <w:r w:rsidRPr="002828F3">
        <w:t xml:space="preserve">Support needs may be episodic and may occur across </w:t>
      </w:r>
      <w:proofErr w:type="gramStart"/>
      <w:r w:rsidRPr="002828F3">
        <w:t>a number of</w:t>
      </w:r>
      <w:proofErr w:type="gramEnd"/>
      <w:r w:rsidRPr="002828F3">
        <w:t xml:space="preserve"> domains, including help with physical and mental health, employment, substance use, social isolation, family violence, access to appropriate housing, and navigating the justice system. </w:t>
      </w:r>
    </w:p>
    <w:p w14:paraId="0D6B94C2" w14:textId="7EF55188" w:rsidR="00C1423C" w:rsidRPr="002828F3" w:rsidRDefault="00C1423C" w:rsidP="002828F3">
      <w:r w:rsidRPr="002828F3">
        <w:t>Some consumers may experience hospital admission</w:t>
      </w:r>
      <w:r w:rsidR="004332CD" w:rsidRPr="002828F3">
        <w:t>/</w:t>
      </w:r>
      <w:r w:rsidRPr="002828F3">
        <w:t>s</w:t>
      </w:r>
      <w:r w:rsidR="00423388" w:rsidRPr="002828F3">
        <w:t>, either planned or due to mental health crisis, in the duration of their participation in the program. It is crucial that service provision includes contingency plans for such situations, ensuring continuity of low-intensity support during their ho</w:t>
      </w:r>
      <w:r w:rsidR="00267C16" w:rsidRPr="002828F3">
        <w:t>spital stay and smooth transition back into needs-based</w:t>
      </w:r>
      <w:r w:rsidRPr="002828F3">
        <w:t xml:space="preserve"> supports on discharge to aid their recovery where they are no</w:t>
      </w:r>
      <w:r w:rsidR="00131B31" w:rsidRPr="002828F3">
        <w:t xml:space="preserve"> longer accessing</w:t>
      </w:r>
      <w:r w:rsidRPr="002828F3">
        <w:t xml:space="preserve"> support through a state/territory program.</w:t>
      </w:r>
    </w:p>
    <w:p w14:paraId="5434988D" w14:textId="77777777" w:rsidR="00C1423C" w:rsidRPr="002828F3" w:rsidRDefault="00A9616E" w:rsidP="002828F3">
      <w:pPr>
        <w:pStyle w:val="Heading3"/>
      </w:pPr>
      <w:r w:rsidRPr="002828F3">
        <w:t>Duration of support</w:t>
      </w:r>
    </w:p>
    <w:p w14:paraId="5B07396D" w14:textId="77777777" w:rsidR="00A2561E" w:rsidRPr="002828F3" w:rsidRDefault="00C1423C" w:rsidP="002828F3">
      <w:r w:rsidRPr="002828F3">
        <w:t>S</w:t>
      </w:r>
      <w:r w:rsidR="00A9616E" w:rsidRPr="002828F3">
        <w:t xml:space="preserve">upports should be provided under a recovery-framework and should seek to provide positive consumer outcomes within an agreed period. The capacity and </w:t>
      </w:r>
      <w:r w:rsidR="00023B54" w:rsidRPr="002828F3">
        <w:t>strengths-based</w:t>
      </w:r>
      <w:r w:rsidR="00A9616E" w:rsidRPr="002828F3">
        <w:t xml:space="preserve"> assessment</w:t>
      </w:r>
      <w:r w:rsidR="00C82472" w:rsidRPr="002828F3">
        <w:t xml:space="preserve"> tool</w:t>
      </w:r>
      <w:r w:rsidR="00A9616E" w:rsidRPr="002828F3">
        <w:t xml:space="preserve"> can be used to </w:t>
      </w:r>
      <w:r w:rsidR="00E63A96" w:rsidRPr="002828F3">
        <w:t xml:space="preserve">define </w:t>
      </w:r>
      <w:r w:rsidR="00A9616E" w:rsidRPr="002828F3">
        <w:t xml:space="preserve">this period. </w:t>
      </w:r>
    </w:p>
    <w:p w14:paraId="4558BB55" w14:textId="21DA1562" w:rsidR="00A9616E" w:rsidRPr="002828F3" w:rsidRDefault="00A9616E" w:rsidP="002828F3">
      <w:r w:rsidRPr="002828F3">
        <w:t>It is anticipated that most consumers will have an initial support period of between three and six months if they do not have severe and persistent mental illness</w:t>
      </w:r>
      <w:r w:rsidR="006F44D2" w:rsidRPr="002828F3">
        <w:t>. It is understood that consumers</w:t>
      </w:r>
      <w:r w:rsidR="004F11C3" w:rsidRPr="002828F3">
        <w:t xml:space="preserve"> can have varying levels of need over time</w:t>
      </w:r>
      <w:r w:rsidRPr="002828F3">
        <w:t xml:space="preserve">, additional support </w:t>
      </w:r>
      <w:r w:rsidR="00F504C7" w:rsidRPr="002828F3">
        <w:t xml:space="preserve">can be </w:t>
      </w:r>
      <w:r w:rsidRPr="002828F3">
        <w:t xml:space="preserve">provided </w:t>
      </w:r>
      <w:r w:rsidR="00495AB3" w:rsidRPr="002828F3">
        <w:t xml:space="preserve">over a longer </w:t>
      </w:r>
      <w:proofErr w:type="gramStart"/>
      <w:r w:rsidR="00495AB3" w:rsidRPr="002828F3">
        <w:t>period of time</w:t>
      </w:r>
      <w:proofErr w:type="gramEnd"/>
      <w:r w:rsidR="00495AB3" w:rsidRPr="002828F3">
        <w:t xml:space="preserve"> </w:t>
      </w:r>
      <w:r w:rsidRPr="002828F3">
        <w:t>if deemed appropriate</w:t>
      </w:r>
      <w:r w:rsidR="00C82472" w:rsidRPr="002828F3">
        <w:t xml:space="preserve">, </w:t>
      </w:r>
      <w:r w:rsidRPr="002828F3">
        <w:t xml:space="preserve">following a support plan review. </w:t>
      </w:r>
    </w:p>
    <w:p w14:paraId="601E8ECB" w14:textId="77777777" w:rsidR="00C1423C" w:rsidRPr="002828F3" w:rsidRDefault="00C1423C" w:rsidP="002828F3">
      <w:pPr>
        <w:pStyle w:val="Heading3"/>
      </w:pPr>
      <w:r w:rsidRPr="002828F3">
        <w:t>Intensity of Support</w:t>
      </w:r>
    </w:p>
    <w:p w14:paraId="78179680" w14:textId="46731D67" w:rsidR="00A9616E" w:rsidRPr="002828F3" w:rsidRDefault="00A9616E" w:rsidP="002828F3">
      <w:r w:rsidRPr="002828F3">
        <w:t>Consumers requiring more intensive support services for a period greater than 12 months</w:t>
      </w:r>
      <w:r w:rsidR="00C82472" w:rsidRPr="002828F3">
        <w:t>,</w:t>
      </w:r>
      <w:r w:rsidRPr="002828F3">
        <w:t xml:space="preserve"> should be </w:t>
      </w:r>
      <w:r w:rsidR="00696AD7" w:rsidRPr="002828F3">
        <w:t xml:space="preserve">supported </w:t>
      </w:r>
      <w:r w:rsidRPr="002828F3">
        <w:t xml:space="preserve">to test </w:t>
      </w:r>
      <w:r w:rsidR="00C82472" w:rsidRPr="002828F3">
        <w:t xml:space="preserve">for </w:t>
      </w:r>
      <w:r w:rsidRPr="002828F3">
        <w:t>NDIS eligibility</w:t>
      </w:r>
      <w:r w:rsidR="00C82472" w:rsidRPr="002828F3">
        <w:t>. This will</w:t>
      </w:r>
      <w:r w:rsidRPr="002828F3">
        <w:t xml:space="preserve"> ensure access to appropriate ongoing </w:t>
      </w:r>
      <w:r w:rsidR="008F7A55" w:rsidRPr="002828F3">
        <w:t>support and</w:t>
      </w:r>
      <w:r w:rsidR="00C82472" w:rsidRPr="002828F3">
        <w:t xml:space="preserve"> </w:t>
      </w:r>
      <w:r w:rsidRPr="002828F3">
        <w:t>acknowledg</w:t>
      </w:r>
      <w:r w:rsidR="00C82472" w:rsidRPr="002828F3">
        <w:t>es</w:t>
      </w:r>
      <w:r w:rsidRPr="002828F3">
        <w:t xml:space="preserve"> personal circumstances may affect the duration of supports required. </w:t>
      </w:r>
    </w:p>
    <w:p w14:paraId="4394FA72" w14:textId="681C2C7E" w:rsidR="00A9616E" w:rsidRPr="008333CA" w:rsidRDefault="00A9616E" w:rsidP="008333CA">
      <w:r w:rsidRPr="008333CA">
        <w:t xml:space="preserve">The intensity of support provided to consumers is flexible and </w:t>
      </w:r>
      <w:r w:rsidR="00C82472" w:rsidRPr="008333CA">
        <w:t xml:space="preserve">should be </w:t>
      </w:r>
      <w:r w:rsidRPr="008333CA">
        <w:t xml:space="preserve">negotiated with each consumer based on the outcomes of the capacity and </w:t>
      </w:r>
      <w:r w:rsidR="00023B54" w:rsidRPr="008333CA">
        <w:t>strengths-based</w:t>
      </w:r>
      <w:r w:rsidRPr="008333CA">
        <w:t xml:space="preserve"> assessment. Targeted individual support can be provided in times of increased need. This recognises some consumers may need varying levels of support over time</w:t>
      </w:r>
      <w:r w:rsidR="00C82472" w:rsidRPr="008333CA">
        <w:t>,</w:t>
      </w:r>
      <w:r w:rsidRPr="008333CA">
        <w:t xml:space="preserve"> due to the episodic nature of mental illness.</w:t>
      </w:r>
    </w:p>
    <w:p w14:paraId="6A5D84AD" w14:textId="57223FE7" w:rsidR="00B96A30" w:rsidRPr="002828F3" w:rsidRDefault="00B96A30" w:rsidP="002828F3">
      <w:r w:rsidRPr="002828F3">
        <w:t xml:space="preserve">Examples of activities that may be provided under the </w:t>
      </w:r>
      <w:r w:rsidR="00C82472" w:rsidRPr="002828F3">
        <w:t>P</w:t>
      </w:r>
      <w:r w:rsidRPr="002828F3">
        <w:t>rogram are outlined in the table below:</w:t>
      </w:r>
    </w:p>
    <w:tbl>
      <w:tblPr>
        <w:tblStyle w:val="GridTable5Dark-Accent5"/>
        <w:tblW w:w="0" w:type="auto"/>
        <w:tblLook w:val="04A0" w:firstRow="1" w:lastRow="0" w:firstColumn="1" w:lastColumn="0" w:noHBand="0" w:noVBand="1"/>
      </w:tblPr>
      <w:tblGrid>
        <w:gridCol w:w="2405"/>
        <w:gridCol w:w="6611"/>
      </w:tblGrid>
      <w:tr w:rsidR="00B96A30" w:rsidRPr="0030195D" w14:paraId="32014B1D" w14:textId="77777777" w:rsidTr="003957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FFFFFF" w:themeColor="background1"/>
            </w:tcBorders>
          </w:tcPr>
          <w:p w14:paraId="20B7E267" w14:textId="77777777" w:rsidR="00B96A30" w:rsidRPr="002828F3" w:rsidRDefault="00B96A30" w:rsidP="002828F3">
            <w:r w:rsidRPr="002828F3">
              <w:lastRenderedPageBreak/>
              <w:t>Service Type</w:t>
            </w:r>
          </w:p>
        </w:tc>
        <w:tc>
          <w:tcPr>
            <w:tcW w:w="6611" w:type="dxa"/>
            <w:tcBorders>
              <w:left w:val="single" w:sz="4" w:space="0" w:color="FFFFFF" w:themeColor="background1"/>
              <w:bottom w:val="single" w:sz="4" w:space="0" w:color="FFFFFF" w:themeColor="background1"/>
            </w:tcBorders>
          </w:tcPr>
          <w:p w14:paraId="49753F11" w14:textId="77777777" w:rsidR="00B96A30" w:rsidRPr="002828F3" w:rsidRDefault="00B96A30" w:rsidP="002828F3">
            <w:pPr>
              <w:cnfStyle w:val="100000000000" w:firstRow="1" w:lastRow="0" w:firstColumn="0" w:lastColumn="0" w:oddVBand="0" w:evenVBand="0" w:oddHBand="0" w:evenHBand="0" w:firstRowFirstColumn="0" w:firstRowLastColumn="0" w:lastRowFirstColumn="0" w:lastRowLastColumn="0"/>
            </w:pPr>
            <w:r w:rsidRPr="002828F3">
              <w:t>Activity examples</w:t>
            </w:r>
          </w:p>
        </w:tc>
      </w:tr>
      <w:tr w:rsidR="00B96A30" w:rsidRPr="0030195D" w14:paraId="37640733" w14:textId="77777777" w:rsidTr="00395712">
        <w:trPr>
          <w:cnfStyle w:val="000000100000" w:firstRow="0" w:lastRow="0" w:firstColumn="0" w:lastColumn="0" w:oddVBand="0" w:evenVBand="0" w:oddHBand="1" w:evenHBand="0" w:firstRowFirstColumn="0" w:firstRowLastColumn="0" w:lastRowFirstColumn="0" w:lastRowLastColumn="0"/>
          <w:trHeight w:val="5864"/>
        </w:trPr>
        <w:tc>
          <w:tcPr>
            <w:cnfStyle w:val="001000000000" w:firstRow="0" w:lastRow="0" w:firstColumn="1" w:lastColumn="0" w:oddVBand="0" w:evenVBand="0" w:oddHBand="0" w:evenHBand="0" w:firstRowFirstColumn="0" w:firstRowLastColumn="0" w:lastRowFirstColumn="0" w:lastRowLastColumn="0"/>
            <w:tcW w:w="2405" w:type="dxa"/>
          </w:tcPr>
          <w:p w14:paraId="76AB6C80" w14:textId="77777777" w:rsidR="00B96A30" w:rsidRPr="002828F3" w:rsidRDefault="00B96A30" w:rsidP="002828F3">
            <w:r w:rsidRPr="002828F3">
              <w:t>Individual supports</w:t>
            </w:r>
          </w:p>
        </w:tc>
        <w:tc>
          <w:tcPr>
            <w:tcW w:w="6611" w:type="dxa"/>
            <w:tcBorders>
              <w:bottom w:val="nil"/>
            </w:tcBorders>
          </w:tcPr>
          <w:p w14:paraId="296E69F4" w14:textId="192CA396"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Support to work towards individual recovery goals. For example, confidence to catch public transport, developing a meal plan, and accessing education and </w:t>
            </w:r>
            <w:proofErr w:type="gramStart"/>
            <w:r w:rsidRPr="0030195D">
              <w:t>training</w:t>
            </w:r>
            <w:proofErr w:type="gramEnd"/>
          </w:p>
          <w:p w14:paraId="0BE38E6F" w14:textId="608C6E68"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Making decisions to support with problem solving and skill</w:t>
            </w:r>
            <w:r w:rsidRPr="0030195D">
              <w:noBreakHyphen/>
            </w:r>
            <w:proofErr w:type="gramStart"/>
            <w:r w:rsidRPr="0030195D">
              <w:t>building</w:t>
            </w:r>
            <w:proofErr w:type="gramEnd"/>
          </w:p>
          <w:p w14:paraId="33DBF52B" w14:textId="06747F79"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Assistance to plan, face challenges and develop resilience and management/coping </w:t>
            </w:r>
            <w:proofErr w:type="gramStart"/>
            <w:r w:rsidRPr="0030195D">
              <w:t>strategies</w:t>
            </w:r>
            <w:proofErr w:type="gramEnd"/>
          </w:p>
          <w:p w14:paraId="185938FB" w14:textId="1CD5815B"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Providing emotional support and </w:t>
            </w:r>
            <w:r w:rsidR="001B7308">
              <w:t xml:space="preserve">opportunities for </w:t>
            </w:r>
            <w:r w:rsidRPr="0030195D">
              <w:t>social connection</w:t>
            </w:r>
            <w:r w:rsidR="00D5262D">
              <w:t>s</w:t>
            </w:r>
          </w:p>
          <w:p w14:paraId="31EBBE2A" w14:textId="5FC46DFE"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Providing practical assistance. For example, accessing housing assistance or government support </w:t>
            </w:r>
            <w:proofErr w:type="gramStart"/>
            <w:r w:rsidRPr="0030195D">
              <w:t>payments</w:t>
            </w:r>
            <w:proofErr w:type="gramEnd"/>
          </w:p>
          <w:p w14:paraId="3BEB27F3" w14:textId="0DBC85AA"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Support to re-connect and improve relationships with family and friends to increase support </w:t>
            </w:r>
            <w:proofErr w:type="gramStart"/>
            <w:r w:rsidRPr="0030195D">
              <w:t>networks</w:t>
            </w:r>
            <w:proofErr w:type="gramEnd"/>
          </w:p>
          <w:p w14:paraId="4768752F" w14:textId="1AD2E505"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Assistance with navigating the mental health system and accessing other appropriate services, including </w:t>
            </w:r>
            <w:r w:rsidR="00F31642">
              <w:t xml:space="preserve">Alcohol and Other Drugs services, </w:t>
            </w:r>
            <w:r w:rsidRPr="0030195D">
              <w:t xml:space="preserve">transport, advocacy and </w:t>
            </w:r>
            <w:proofErr w:type="gramStart"/>
            <w:r w:rsidRPr="0030195D">
              <w:t>housing</w:t>
            </w:r>
            <w:proofErr w:type="gramEnd"/>
          </w:p>
          <w:p w14:paraId="0D647919" w14:textId="54A0F7ED"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Support to test NDIS </w:t>
            </w:r>
            <w:proofErr w:type="gramStart"/>
            <w:r w:rsidRPr="0030195D">
              <w:t>eligibility</w:t>
            </w:r>
            <w:proofErr w:type="gramEnd"/>
            <w:r w:rsidRPr="0030195D">
              <w:t xml:space="preserve"> </w:t>
            </w:r>
          </w:p>
          <w:p w14:paraId="62867292" w14:textId="493BD93A"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Building knowledge and capacity to </w:t>
            </w:r>
            <w:r w:rsidR="00F31642">
              <w:t>improve</w:t>
            </w:r>
            <w:r w:rsidRPr="0030195D">
              <w:t xml:space="preserve"> physical and mental </w:t>
            </w:r>
            <w:proofErr w:type="gramStart"/>
            <w:r w:rsidRPr="0030195D">
              <w:t>health</w:t>
            </w:r>
            <w:proofErr w:type="gramEnd"/>
          </w:p>
          <w:p w14:paraId="5AE6379C" w14:textId="3B789EEC"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 xml:space="preserve">Participating in the consumer’s care team and providing advocacy support, noting the important role carers and family will often play in supporting a </w:t>
            </w:r>
            <w:proofErr w:type="gramStart"/>
            <w:r w:rsidRPr="0030195D">
              <w:t>consumer</w:t>
            </w:r>
            <w:proofErr w:type="gramEnd"/>
          </w:p>
          <w:p w14:paraId="4CF03D14" w14:textId="77777777" w:rsidR="00B96A30" w:rsidRPr="0030195D" w:rsidRDefault="00B96A30" w:rsidP="008333CA">
            <w:pPr>
              <w:pStyle w:val="Tablelistbullet"/>
              <w:cnfStyle w:val="000000100000" w:firstRow="0" w:lastRow="0" w:firstColumn="0" w:lastColumn="0" w:oddVBand="0" w:evenVBand="0" w:oddHBand="1" w:evenHBand="0" w:firstRowFirstColumn="0" w:firstRowLastColumn="0" w:lastRowFirstColumn="0" w:lastRowLastColumn="0"/>
            </w:pPr>
            <w:r w:rsidRPr="0030195D">
              <w:t>Providing opportunities to practice life skills (e.g. grocery shopping).</w:t>
            </w:r>
          </w:p>
        </w:tc>
      </w:tr>
      <w:tr w:rsidR="00B96A30" w:rsidRPr="0030195D" w14:paraId="22E8A096" w14:textId="77777777" w:rsidTr="00395712">
        <w:trPr>
          <w:trHeight w:val="4375"/>
        </w:trPr>
        <w:tc>
          <w:tcPr>
            <w:cnfStyle w:val="001000000000" w:firstRow="0" w:lastRow="0" w:firstColumn="1" w:lastColumn="0" w:oddVBand="0" w:evenVBand="0" w:oddHBand="0" w:evenHBand="0" w:firstRowFirstColumn="0" w:firstRowLastColumn="0" w:lastRowFirstColumn="0" w:lastRowLastColumn="0"/>
            <w:tcW w:w="2405" w:type="dxa"/>
          </w:tcPr>
          <w:p w14:paraId="13750EB0" w14:textId="77777777" w:rsidR="00B96A30" w:rsidRPr="002828F3" w:rsidRDefault="00B96A30" w:rsidP="002828F3">
            <w:r w:rsidRPr="002828F3">
              <w:t>Group supports</w:t>
            </w:r>
          </w:p>
        </w:tc>
        <w:tc>
          <w:tcPr>
            <w:tcW w:w="6611" w:type="dxa"/>
            <w:tcBorders>
              <w:top w:val="nil"/>
            </w:tcBorders>
          </w:tcPr>
          <w:p w14:paraId="0CC143A4" w14:textId="1D7585AC"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 xml:space="preserve">Psycho-educational groups covering emotional wellbeing promotion activities, such as mindfulness and </w:t>
            </w:r>
            <w:proofErr w:type="gramStart"/>
            <w:r w:rsidRPr="0030195D">
              <w:t>self-care</w:t>
            </w:r>
            <w:proofErr w:type="gramEnd"/>
          </w:p>
          <w:p w14:paraId="6D4CABEA" w14:textId="7E873128"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Information sessions</w:t>
            </w:r>
            <w:r w:rsidR="0052797D">
              <w:t>/workshops</w:t>
            </w:r>
            <w:r w:rsidRPr="0030195D">
              <w:t xml:space="preserve"> aimed at enhancing daily living skills (e.g. budgeting, nutrition)</w:t>
            </w:r>
          </w:p>
          <w:p w14:paraId="316C18D5" w14:textId="5271D92B"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 xml:space="preserve">Visits from other service providers and organisations to provide information on services, eligibility and referral </w:t>
            </w:r>
            <w:proofErr w:type="gramStart"/>
            <w:r w:rsidRPr="0030195D">
              <w:t>pathways</w:t>
            </w:r>
            <w:proofErr w:type="gramEnd"/>
            <w:r w:rsidRPr="0030195D">
              <w:t xml:space="preserve"> </w:t>
            </w:r>
          </w:p>
          <w:p w14:paraId="1B0181B7" w14:textId="74A536C9"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 xml:space="preserve">Visits to continuing education centres to explore study </w:t>
            </w:r>
            <w:proofErr w:type="gramStart"/>
            <w:r w:rsidRPr="0030195D">
              <w:t>options</w:t>
            </w:r>
            <w:proofErr w:type="gramEnd"/>
            <w:r w:rsidRPr="0030195D">
              <w:t xml:space="preserve"> </w:t>
            </w:r>
          </w:p>
          <w:p w14:paraId="23DA1742" w14:textId="0133BA01"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 xml:space="preserve">Opportunities for social connection and skill building, including participation by families, </w:t>
            </w:r>
            <w:proofErr w:type="gramStart"/>
            <w:r w:rsidRPr="0030195D">
              <w:t>carers</w:t>
            </w:r>
            <w:proofErr w:type="gramEnd"/>
            <w:r w:rsidRPr="0030195D">
              <w:t xml:space="preserve"> and friends in activities, such as:</w:t>
            </w:r>
          </w:p>
          <w:p w14:paraId="00BB0749" w14:textId="77777777" w:rsidR="00B96A30" w:rsidRPr="008333CA" w:rsidRDefault="00B96A30" w:rsidP="008333CA">
            <w:pPr>
              <w:pStyle w:val="ListBullet2"/>
              <w:cnfStyle w:val="000000000000" w:firstRow="0" w:lastRow="0" w:firstColumn="0" w:lastColumn="0" w:oddVBand="0" w:evenVBand="0" w:oddHBand="0" w:evenHBand="0" w:firstRowFirstColumn="0" w:firstRowLastColumn="0" w:lastRowFirstColumn="0" w:lastRowLastColumn="0"/>
            </w:pPr>
            <w:r w:rsidRPr="008333CA">
              <w:t>Art/craft activities</w:t>
            </w:r>
          </w:p>
          <w:p w14:paraId="221339DD" w14:textId="77777777" w:rsidR="00B96A30" w:rsidRPr="008333CA" w:rsidRDefault="00B96A30" w:rsidP="008333CA">
            <w:pPr>
              <w:pStyle w:val="ListBullet2"/>
              <w:cnfStyle w:val="000000000000" w:firstRow="0" w:lastRow="0" w:firstColumn="0" w:lastColumn="0" w:oddVBand="0" w:evenVBand="0" w:oddHBand="0" w:evenHBand="0" w:firstRowFirstColumn="0" w:firstRowLastColumn="0" w:lastRowFirstColumn="0" w:lastRowLastColumn="0"/>
            </w:pPr>
            <w:r w:rsidRPr="008333CA">
              <w:t>Cooking classes</w:t>
            </w:r>
          </w:p>
          <w:p w14:paraId="569F8B8E" w14:textId="77777777" w:rsidR="00B96A30" w:rsidRPr="008333CA" w:rsidRDefault="00B96A30" w:rsidP="008333CA">
            <w:pPr>
              <w:pStyle w:val="ListBullet2"/>
              <w:cnfStyle w:val="000000000000" w:firstRow="0" w:lastRow="0" w:firstColumn="0" w:lastColumn="0" w:oddVBand="0" w:evenVBand="0" w:oddHBand="0" w:evenHBand="0" w:firstRowFirstColumn="0" w:firstRowLastColumn="0" w:lastRowFirstColumn="0" w:lastRowLastColumn="0"/>
            </w:pPr>
            <w:r w:rsidRPr="008333CA">
              <w:t>Gardening groups</w:t>
            </w:r>
          </w:p>
          <w:p w14:paraId="41B9BBBD" w14:textId="0A57D862" w:rsidR="00B96A30" w:rsidRPr="008333CA" w:rsidRDefault="00B96A30" w:rsidP="008333CA">
            <w:pPr>
              <w:pStyle w:val="ListBullet2"/>
              <w:cnfStyle w:val="000000000000" w:firstRow="0" w:lastRow="0" w:firstColumn="0" w:lastColumn="0" w:oddVBand="0" w:evenVBand="0" w:oddHBand="0" w:evenHBand="0" w:firstRowFirstColumn="0" w:firstRowLastColumn="0" w:lastRowFirstColumn="0" w:lastRowLastColumn="0"/>
            </w:pPr>
            <w:r w:rsidRPr="008333CA">
              <w:t>Drop-in spaces</w:t>
            </w:r>
            <w:r w:rsidR="00A56491" w:rsidRPr="008333CA">
              <w:t>.</w:t>
            </w:r>
          </w:p>
          <w:p w14:paraId="0D640819" w14:textId="38736AF1"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 xml:space="preserve">Opportunities to make a contribution and engage in meaningful activities, such as </w:t>
            </w:r>
            <w:proofErr w:type="gramStart"/>
            <w:r w:rsidRPr="0030195D">
              <w:t>volunteering</w:t>
            </w:r>
            <w:proofErr w:type="gramEnd"/>
          </w:p>
          <w:p w14:paraId="519750AB" w14:textId="3EDA6A55"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Exercise/physical activity groups (e.g. dance, walking, yoga)</w:t>
            </w:r>
          </w:p>
          <w:p w14:paraId="34FE82B1" w14:textId="20205F2E" w:rsidR="00B96A30" w:rsidRPr="0030195D" w:rsidRDefault="00B96A30" w:rsidP="008333CA">
            <w:pPr>
              <w:pStyle w:val="Tablelistbullet"/>
              <w:cnfStyle w:val="000000000000" w:firstRow="0" w:lastRow="0" w:firstColumn="0" w:lastColumn="0" w:oddVBand="0" w:evenVBand="0" w:oddHBand="0" w:evenHBand="0" w:firstRowFirstColumn="0" w:firstRowLastColumn="0" w:lastRowFirstColumn="0" w:lastRowLastColumn="0"/>
            </w:pPr>
            <w:r w:rsidRPr="0030195D">
              <w:t>Excursions to community events and cultural experiences</w:t>
            </w:r>
            <w:r w:rsidR="00A56491">
              <w:t>.</w:t>
            </w:r>
            <w:r w:rsidRPr="0030195D">
              <w:t xml:space="preserve"> </w:t>
            </w:r>
          </w:p>
        </w:tc>
      </w:tr>
    </w:tbl>
    <w:p w14:paraId="515817D4" w14:textId="77777777" w:rsidR="001D6009" w:rsidRPr="0030195D" w:rsidRDefault="001D6009" w:rsidP="00617E43">
      <w:pPr>
        <w:pStyle w:val="Heading2"/>
      </w:pPr>
      <w:bookmarkStart w:id="18" w:name="_Toc176348933"/>
      <w:bookmarkStart w:id="19" w:name="_Toc176503512"/>
      <w:r w:rsidRPr="0030195D">
        <w:lastRenderedPageBreak/>
        <w:t>Service Navigation</w:t>
      </w:r>
      <w:bookmarkEnd w:id="18"/>
      <w:bookmarkEnd w:id="19"/>
      <w:r w:rsidRPr="0030195D">
        <w:t xml:space="preserve"> </w:t>
      </w:r>
    </w:p>
    <w:p w14:paraId="3B96F536" w14:textId="77777777" w:rsidR="001D6009" w:rsidRPr="002828F3" w:rsidRDefault="001D6009" w:rsidP="002828F3">
      <w:r w:rsidRPr="002828F3">
        <w:t>Early and easy access to health services are key factors in promoting positive health outcomes and sustained recovery, particularly for people with severe mental illness who are at higher risk of experiencing chronic disease and other health conditions.</w:t>
      </w:r>
    </w:p>
    <w:p w14:paraId="122CC39B" w14:textId="0A250D6E" w:rsidR="001D6009" w:rsidRPr="002828F3" w:rsidRDefault="001D6009" w:rsidP="002828F3">
      <w:r w:rsidRPr="002828F3">
        <w:t xml:space="preserve">PHNs will be funded for service navigation </w:t>
      </w:r>
      <w:r w:rsidR="00D62C82" w:rsidRPr="002828F3">
        <w:t xml:space="preserve">positions </w:t>
      </w:r>
      <w:r w:rsidRPr="002828F3">
        <w:t xml:space="preserve">in their regions and will be responsible for </w:t>
      </w:r>
      <w:r w:rsidR="00104036" w:rsidRPr="002828F3">
        <w:t>planning and</w:t>
      </w:r>
      <w:r w:rsidRPr="002828F3">
        <w:t xml:space="preserve"> commissioning supports that include:</w:t>
      </w:r>
    </w:p>
    <w:p w14:paraId="5A58C84E" w14:textId="46CF9800" w:rsidR="001D6009" w:rsidRPr="008333CA" w:rsidRDefault="001D6009" w:rsidP="002828F3">
      <w:pPr>
        <w:pStyle w:val="ListBullet"/>
      </w:pPr>
      <w:r w:rsidRPr="008333CA">
        <w:t>consumers, families and carers hav</w:t>
      </w:r>
      <w:r w:rsidR="00104036" w:rsidRPr="008333CA">
        <w:t>ing</w:t>
      </w:r>
      <w:r w:rsidRPr="008333CA">
        <w:t xml:space="preserve"> a better understanding of the service options available across a range of service </w:t>
      </w:r>
      <w:proofErr w:type="gramStart"/>
      <w:r w:rsidRPr="008333CA">
        <w:t>domains</w:t>
      </w:r>
      <w:proofErr w:type="gramEnd"/>
      <w:r w:rsidRPr="008333CA">
        <w:t xml:space="preserve"> </w:t>
      </w:r>
    </w:p>
    <w:p w14:paraId="1B093E9E" w14:textId="2506FFC9" w:rsidR="001D6009" w:rsidRPr="008333CA" w:rsidRDefault="001D6009" w:rsidP="002828F3">
      <w:pPr>
        <w:pStyle w:val="ListBullet"/>
      </w:pPr>
      <w:r w:rsidRPr="008333CA">
        <w:t>consumers hav</w:t>
      </w:r>
      <w:r w:rsidR="00104036" w:rsidRPr="008333CA">
        <w:t>ing</w:t>
      </w:r>
      <w:r w:rsidRPr="008333CA">
        <w:t xml:space="preserve"> increased choice in accessing a broader range of relevant health and support services to achieve recovery goals and manage their conditions on a </w:t>
      </w:r>
      <w:proofErr w:type="gramStart"/>
      <w:r w:rsidRPr="008333CA">
        <w:t>day to day</w:t>
      </w:r>
      <w:proofErr w:type="gramEnd"/>
      <w:r w:rsidRPr="008333CA">
        <w:t xml:space="preserve"> basis in the community</w:t>
      </w:r>
    </w:p>
    <w:p w14:paraId="4CB3E48D" w14:textId="188F75F3" w:rsidR="001D6009" w:rsidRPr="008333CA" w:rsidRDefault="001D6009" w:rsidP="002828F3">
      <w:pPr>
        <w:pStyle w:val="ListBullet"/>
      </w:pPr>
      <w:r w:rsidRPr="008333CA">
        <w:t>support for consumers to access and engage with dedicated and specialised support services to meet their social needs</w:t>
      </w:r>
      <w:r w:rsidR="00104036" w:rsidRPr="008333CA">
        <w:t>,</w:t>
      </w:r>
      <w:r w:rsidRPr="008333CA">
        <w:t xml:space="preserve"> particularly access to safe and appropriate </w:t>
      </w:r>
      <w:proofErr w:type="gramStart"/>
      <w:r w:rsidRPr="008333CA">
        <w:t>housing</w:t>
      </w:r>
      <w:proofErr w:type="gramEnd"/>
    </w:p>
    <w:p w14:paraId="2C53D50F" w14:textId="34E349D6" w:rsidR="001D6009" w:rsidRPr="008333CA" w:rsidRDefault="001D6009" w:rsidP="008333CA">
      <w:r w:rsidRPr="008333CA">
        <w:t>G</w:t>
      </w:r>
      <w:r w:rsidR="00104036" w:rsidRPr="008333CA">
        <w:t>eneral Practitioners</w:t>
      </w:r>
      <w:r w:rsidR="00DE3E66" w:rsidRPr="008333CA">
        <w:t xml:space="preserve"> (GPs)</w:t>
      </w:r>
      <w:r w:rsidRPr="008333CA">
        <w:t>, program managers and service provider staff hav</w:t>
      </w:r>
      <w:r w:rsidR="00104036" w:rsidRPr="008333CA">
        <w:t>ing</w:t>
      </w:r>
      <w:r w:rsidRPr="008333CA">
        <w:t xml:space="preserve"> a better understanding of services available in their regions to support the social, mental and physical health needs of </w:t>
      </w:r>
      <w:r w:rsidR="006B4929" w:rsidRPr="008333CA">
        <w:t xml:space="preserve">consumers </w:t>
      </w:r>
      <w:r w:rsidRPr="008333CA">
        <w:t>with severe mental illness and promote effective multi</w:t>
      </w:r>
      <w:r w:rsidR="005D4C66" w:rsidRPr="008333CA">
        <w:noBreakHyphen/>
      </w:r>
      <w:r w:rsidRPr="008333CA">
        <w:t xml:space="preserve">disciplinary </w:t>
      </w:r>
      <w:proofErr w:type="gramStart"/>
      <w:r w:rsidRPr="008333CA">
        <w:t>care</w:t>
      </w:r>
      <w:proofErr w:type="gramEnd"/>
    </w:p>
    <w:p w14:paraId="27216024" w14:textId="37BB3415" w:rsidR="001D6009" w:rsidRPr="008333CA" w:rsidRDefault="001D6009" w:rsidP="002828F3">
      <w:r w:rsidRPr="008333CA">
        <w:t xml:space="preserve">PHNs, Local Hospital Networks and Local Area Coordinators develop a joint understanding of psychosocial consumer referral pathways, available supports, service gaps and emerging issues. Where there is capacity, strategies are implemented to mitigate identified barriers to this </w:t>
      </w:r>
      <w:proofErr w:type="gramStart"/>
      <w:r w:rsidRPr="008333CA">
        <w:t>objective</w:t>
      </w:r>
      <w:proofErr w:type="gramEnd"/>
      <w:r w:rsidRPr="008333CA">
        <w:t xml:space="preserve"> </w:t>
      </w:r>
    </w:p>
    <w:p w14:paraId="467207B0" w14:textId="77777777" w:rsidR="001D6009" w:rsidRPr="008333CA" w:rsidRDefault="001D6009" w:rsidP="002828F3">
      <w:pPr>
        <w:pStyle w:val="ListBullet"/>
      </w:pPr>
      <w:r w:rsidRPr="008333CA">
        <w:t>help is provided to consumers, together with their families and carers, to access the supports needed to promote mental and physical health; and</w:t>
      </w:r>
    </w:p>
    <w:p w14:paraId="1F9DD723" w14:textId="77777777" w:rsidR="001D6009" w:rsidRPr="008333CA" w:rsidRDefault="001D6009" w:rsidP="002828F3">
      <w:pPr>
        <w:pStyle w:val="ListBullet"/>
      </w:pPr>
      <w:r w:rsidRPr="008333CA">
        <w:t xml:space="preserve">consumers are assisted with accessing stable, </w:t>
      </w:r>
      <w:proofErr w:type="gramStart"/>
      <w:r w:rsidRPr="008333CA">
        <w:t>safe</w:t>
      </w:r>
      <w:proofErr w:type="gramEnd"/>
      <w:r w:rsidRPr="008333CA">
        <w:t xml:space="preserve"> and appropriate housing, given the strong link between stable housing and positive mental health outcomes.</w:t>
      </w:r>
    </w:p>
    <w:p w14:paraId="5FD74F55" w14:textId="1649E4CE" w:rsidR="001D6009" w:rsidRPr="002828F3" w:rsidRDefault="001D6009" w:rsidP="002828F3">
      <w:r w:rsidRPr="002828F3">
        <w:t>Service navigation activities aim to improve integration of local health services, promote multi</w:t>
      </w:r>
      <w:r w:rsidR="005C6940" w:rsidRPr="002828F3">
        <w:noBreakHyphen/>
      </w:r>
      <w:r w:rsidRPr="002828F3">
        <w:t xml:space="preserve">disciplinary care, </w:t>
      </w:r>
      <w:r w:rsidR="00D0243A" w:rsidRPr="002828F3">
        <w:t xml:space="preserve">emphasise holistic care </w:t>
      </w:r>
      <w:r w:rsidRPr="002828F3">
        <w:t xml:space="preserve">and make the health system more accessible to people with severe mental illness and associated psychosocial disorders. </w:t>
      </w:r>
    </w:p>
    <w:p w14:paraId="669C2391" w14:textId="321B4574" w:rsidR="001D6009" w:rsidRPr="008333CA" w:rsidRDefault="001D6009" w:rsidP="008333CA">
      <w:r w:rsidRPr="008333CA">
        <w:t xml:space="preserve">PHNs should establish coordinated referral processes to support consumer access to psychosocial, </w:t>
      </w:r>
      <w:proofErr w:type="gramStart"/>
      <w:r w:rsidRPr="008333CA">
        <w:t>clinical</w:t>
      </w:r>
      <w:proofErr w:type="gramEnd"/>
      <w:r w:rsidRPr="008333CA">
        <w:t xml:space="preserve"> and primary health care and implement standardised consumer intake processes across providers where individual consumer mental and physical health need</w:t>
      </w:r>
      <w:r w:rsidR="005C6940" w:rsidRPr="008333CA">
        <w:t>s</w:t>
      </w:r>
      <w:r w:rsidRPr="008333CA">
        <w:t xml:space="preserve"> assessments are reviewed against available services. This ensures all eligible service information is provided to consumers, their </w:t>
      </w:r>
      <w:proofErr w:type="gramStart"/>
      <w:r w:rsidRPr="008333CA">
        <w:t>families</w:t>
      </w:r>
      <w:proofErr w:type="gramEnd"/>
      <w:r w:rsidRPr="008333CA">
        <w:t xml:space="preserve"> and carers to assist the consumer with health care access. Carers and families of consumers should also be provided with support information, such as a referral to the Carer Gateway at www.carergateway.gov.au.</w:t>
      </w:r>
    </w:p>
    <w:p w14:paraId="0C5BD586" w14:textId="77777777" w:rsidR="001D6009" w:rsidRPr="002828F3" w:rsidRDefault="001D6009" w:rsidP="002828F3">
      <w:r w:rsidRPr="002828F3">
        <w:t xml:space="preserve">Where PHNs have already commissioned similar services and models that support the new funding and activities, PHNs may choose to extend or supplement these services rather than establish separate or new programs provided the outcomes outlined in the guidance material can be met. </w:t>
      </w:r>
    </w:p>
    <w:p w14:paraId="41625A0B" w14:textId="77777777" w:rsidR="001D6009" w:rsidRPr="002828F3" w:rsidRDefault="001D6009" w:rsidP="002828F3">
      <w:r w:rsidRPr="002828F3">
        <w:t>Where PHNs have implemented the Initial Assessment and Referral guidance, service navigation activities may be integrated into established processes to support the referral of consumers with psychosocial support needs into a stepped care service model.</w:t>
      </w:r>
    </w:p>
    <w:p w14:paraId="75254251" w14:textId="77777777" w:rsidR="001D6009" w:rsidRPr="0030195D" w:rsidRDefault="001D6009" w:rsidP="00617E43">
      <w:pPr>
        <w:pStyle w:val="Heading2"/>
      </w:pPr>
      <w:bookmarkStart w:id="20" w:name="_Toc176348934"/>
      <w:bookmarkStart w:id="21" w:name="_Toc176503513"/>
      <w:r w:rsidRPr="0030195D">
        <w:lastRenderedPageBreak/>
        <w:t>Regional loading</w:t>
      </w:r>
      <w:bookmarkEnd w:id="20"/>
      <w:bookmarkEnd w:id="21"/>
    </w:p>
    <w:p w14:paraId="316E13F7" w14:textId="54C498A8" w:rsidR="001D6009" w:rsidRPr="008333CA" w:rsidRDefault="001D6009" w:rsidP="008333CA">
      <w:r w:rsidRPr="008333CA">
        <w:t xml:space="preserve">Regional weighting to funding levels has been applied in relation to consumers living in outer regional, </w:t>
      </w:r>
      <w:proofErr w:type="gramStart"/>
      <w:r w:rsidRPr="008333CA">
        <w:t>remote</w:t>
      </w:r>
      <w:proofErr w:type="gramEnd"/>
      <w:r w:rsidRPr="008333CA">
        <w:t xml:space="preserve"> and very remote</w:t>
      </w:r>
      <w:r w:rsidRPr="008333CA" w:rsidDel="00D259B2">
        <w:t xml:space="preserve"> </w:t>
      </w:r>
      <w:r w:rsidRPr="008333CA">
        <w:t xml:space="preserve">Australia. This is in recognition of the higher costs of delivering services in these </w:t>
      </w:r>
      <w:proofErr w:type="gramStart"/>
      <w:r w:rsidRPr="008333CA">
        <w:t>areas</w:t>
      </w:r>
      <w:r w:rsidR="00DE3E66" w:rsidRPr="008333CA">
        <w:t xml:space="preserve">, </w:t>
      </w:r>
      <w:r w:rsidRPr="008333CA">
        <w:t>and</w:t>
      </w:r>
      <w:proofErr w:type="gramEnd"/>
      <w:r w:rsidRPr="008333CA">
        <w:t xml:space="preserve"> is intended to improve service availability for people with severe mental illness in those communities. </w:t>
      </w:r>
    </w:p>
    <w:p w14:paraId="6700ABFE" w14:textId="77777777" w:rsidR="001D6009" w:rsidRPr="0030195D" w:rsidRDefault="001D6009" w:rsidP="00617E43">
      <w:pPr>
        <w:pStyle w:val="Heading2"/>
      </w:pPr>
      <w:bookmarkStart w:id="22" w:name="_Toc176348935"/>
      <w:bookmarkStart w:id="23" w:name="_Toc176503514"/>
      <w:r w:rsidRPr="0030195D">
        <w:t xml:space="preserve">NDIS testing </w:t>
      </w:r>
      <w:proofErr w:type="gramStart"/>
      <w:r w:rsidRPr="0030195D">
        <w:t>support</w:t>
      </w:r>
      <w:bookmarkEnd w:id="22"/>
      <w:bookmarkEnd w:id="23"/>
      <w:proofErr w:type="gramEnd"/>
    </w:p>
    <w:p w14:paraId="6195F801" w14:textId="180953A0" w:rsidR="001D6009" w:rsidRPr="008333CA" w:rsidRDefault="00133845" w:rsidP="008333CA">
      <w:r w:rsidRPr="008333CA">
        <w:t xml:space="preserve">PHNs </w:t>
      </w:r>
      <w:r w:rsidR="00336261" w:rsidRPr="008333CA">
        <w:t>are</w:t>
      </w:r>
      <w:r w:rsidRPr="008333CA">
        <w:t xml:space="preserve"> provided with </w:t>
      </w:r>
      <w:r w:rsidR="001D6009" w:rsidRPr="008333CA">
        <w:t xml:space="preserve">NDIS testing support </w:t>
      </w:r>
      <w:r w:rsidRPr="008333CA">
        <w:t>funding to test the eligibility</w:t>
      </w:r>
      <w:r w:rsidRPr="008333CA" w:rsidDel="00133845">
        <w:t xml:space="preserve"> </w:t>
      </w:r>
      <w:r w:rsidRPr="008333CA">
        <w:t>of</w:t>
      </w:r>
      <w:r w:rsidR="001D6009" w:rsidRPr="008333CA">
        <w:t xml:space="preserve"> participants who appear to meet NDIS eligibility guidelines. This support assists consumers with collecting the evidence to submit an access request and to ‘walk with consumers’ while they take part in this process. Funding is provided for up to 30 per cent of consumers to test/retest their eligibility for the NDIS each year. It is at the discretion of the service provider/PHN to determine when this testing support is necessary.</w:t>
      </w:r>
    </w:p>
    <w:p w14:paraId="51655DA1" w14:textId="762145EF" w:rsidR="00B96A30" w:rsidRPr="0030195D" w:rsidRDefault="00B96A30" w:rsidP="00400749">
      <w:pPr>
        <w:pStyle w:val="Heading2"/>
      </w:pPr>
      <w:bookmarkStart w:id="24" w:name="_Toc176348936"/>
      <w:bookmarkStart w:id="25" w:name="_Toc176503515"/>
      <w:r w:rsidRPr="0030195D">
        <w:t xml:space="preserve">Capacity and </w:t>
      </w:r>
      <w:r w:rsidR="00023B54" w:rsidRPr="0030195D">
        <w:t>strengths</w:t>
      </w:r>
      <w:r w:rsidR="00023B54">
        <w:t>-based</w:t>
      </w:r>
      <w:r w:rsidRPr="0030195D">
        <w:t xml:space="preserve"> assessment tool</w:t>
      </w:r>
      <w:bookmarkEnd w:id="24"/>
      <w:bookmarkEnd w:id="25"/>
    </w:p>
    <w:p w14:paraId="3D8672F9" w14:textId="7853FF21" w:rsidR="003B129A" w:rsidRPr="002828F3" w:rsidRDefault="00095D0C" w:rsidP="002828F3">
      <w:r w:rsidRPr="002828F3">
        <w:t>S</w:t>
      </w:r>
      <w:r w:rsidR="00B96A30" w:rsidRPr="002828F3">
        <w:t>ervice provider</w:t>
      </w:r>
      <w:r w:rsidRPr="002828F3">
        <w:t>s</w:t>
      </w:r>
      <w:r w:rsidR="00B96A30" w:rsidRPr="002828F3">
        <w:t xml:space="preserve"> </w:t>
      </w:r>
      <w:r w:rsidR="00447A71" w:rsidRPr="002828F3">
        <w:t>should</w:t>
      </w:r>
      <w:r w:rsidRPr="002828F3">
        <w:t xml:space="preserve"> undertake</w:t>
      </w:r>
      <w:r w:rsidR="00B96A30" w:rsidRPr="002828F3">
        <w:t xml:space="preserve"> a capacity and </w:t>
      </w:r>
      <w:r w:rsidR="00023B54" w:rsidRPr="002828F3">
        <w:t>strengths-based</w:t>
      </w:r>
      <w:r w:rsidR="00B96A30" w:rsidRPr="002828F3">
        <w:t xml:space="preserve"> assessment</w:t>
      </w:r>
      <w:r w:rsidRPr="002828F3">
        <w:t xml:space="preserve"> of consumers</w:t>
      </w:r>
      <w:r w:rsidR="00B96A30" w:rsidRPr="002828F3">
        <w:t xml:space="preserve"> within six </w:t>
      </w:r>
      <w:r w:rsidR="00447A71" w:rsidRPr="002828F3">
        <w:t xml:space="preserve">to eight weeks </w:t>
      </w:r>
      <w:r w:rsidR="00B96A30" w:rsidRPr="002828F3">
        <w:t xml:space="preserve">of </w:t>
      </w:r>
      <w:r w:rsidR="008E4AF0" w:rsidRPr="002828F3">
        <w:t>P</w:t>
      </w:r>
      <w:r w:rsidR="00B96A30" w:rsidRPr="002828F3">
        <w:t xml:space="preserve">rogram commencement to assess suitability, identify support needs and goals and the </w:t>
      </w:r>
      <w:proofErr w:type="gramStart"/>
      <w:r w:rsidR="00B96A30" w:rsidRPr="002828F3">
        <w:t>period of time</w:t>
      </w:r>
      <w:proofErr w:type="gramEnd"/>
      <w:r w:rsidR="00B96A30" w:rsidRPr="002828F3">
        <w:t xml:space="preserve"> they will likely require supports. </w:t>
      </w:r>
      <w:r w:rsidR="00492AD1" w:rsidRPr="002828F3">
        <w:t>PHNs and service providers will collaboratively identify the most appropriate strength-based assessment tool to be used for the consumer demographic of the region.</w:t>
      </w:r>
    </w:p>
    <w:p w14:paraId="38C5B9BD" w14:textId="57FA6F23" w:rsidR="00B96A30" w:rsidRPr="002828F3" w:rsidRDefault="00B96A30" w:rsidP="002828F3">
      <w:r w:rsidRPr="002828F3">
        <w:t xml:space="preserve">PHNs and service providers will work to ensure that intake processes are person-focused, culturally safe, and conducted at a pace that consumers are comfortable with. </w:t>
      </w:r>
    </w:p>
    <w:p w14:paraId="26C6FBD3" w14:textId="47696ED8" w:rsidR="00B96A30" w:rsidRPr="008333CA" w:rsidRDefault="00B96A30" w:rsidP="008333CA">
      <w:r w:rsidRPr="008333CA">
        <w:t>Based on the assessment and determination of eligibility, an individualised support plan will be developed together with the consumer, which should outline the following:</w:t>
      </w:r>
    </w:p>
    <w:p w14:paraId="3AB7924A" w14:textId="614863E5" w:rsidR="00B96A30" w:rsidRPr="008333CA" w:rsidRDefault="00B96A30" w:rsidP="008333CA">
      <w:pPr>
        <w:pStyle w:val="ListBullet"/>
      </w:pPr>
      <w:r w:rsidRPr="008333CA">
        <w:t>the consumer’s strengths and existing supports</w:t>
      </w:r>
    </w:p>
    <w:p w14:paraId="2F73E30C" w14:textId="36911162" w:rsidR="00B96A30" w:rsidRPr="008333CA" w:rsidRDefault="00B96A30" w:rsidP="008333CA">
      <w:pPr>
        <w:pStyle w:val="ListBullet"/>
      </w:pPr>
      <w:r w:rsidRPr="008333CA">
        <w:t xml:space="preserve">the consumer’s recovery goals and support </w:t>
      </w:r>
      <w:proofErr w:type="gramStart"/>
      <w:r w:rsidRPr="008333CA">
        <w:t>needs</w:t>
      </w:r>
      <w:proofErr w:type="gramEnd"/>
    </w:p>
    <w:p w14:paraId="0BDA05C0" w14:textId="0D2A630F" w:rsidR="00B96A30" w:rsidRPr="008333CA" w:rsidRDefault="00B96A30" w:rsidP="008333CA">
      <w:pPr>
        <w:pStyle w:val="ListBullet"/>
      </w:pPr>
      <w:r w:rsidRPr="008333CA">
        <w:t xml:space="preserve">activities to be undertaken to achieve recovery goals and meet support </w:t>
      </w:r>
      <w:proofErr w:type="gramStart"/>
      <w:r w:rsidRPr="008333CA">
        <w:t>needs</w:t>
      </w:r>
      <w:proofErr w:type="gramEnd"/>
    </w:p>
    <w:p w14:paraId="461B47AE" w14:textId="77777777" w:rsidR="00B96A30" w:rsidRPr="008333CA" w:rsidRDefault="00B96A30" w:rsidP="008333CA">
      <w:pPr>
        <w:pStyle w:val="ListBullet"/>
      </w:pPr>
      <w:r w:rsidRPr="008333CA">
        <w:t>services to be referred to, if needed; and</w:t>
      </w:r>
    </w:p>
    <w:p w14:paraId="1F99A924" w14:textId="4DDE0B11" w:rsidR="00B96A30" w:rsidRPr="008333CA" w:rsidRDefault="00B96A30" w:rsidP="008333CA">
      <w:pPr>
        <w:pStyle w:val="ListBullet"/>
      </w:pPr>
      <w:r w:rsidRPr="008333CA">
        <w:t>a care/crisis plan in the event the consumer becomes unwell or crisis occurs, noting a family member or carer may play a critical role in supporting a consumer in such events.</w:t>
      </w:r>
      <w:r w:rsidR="00330BB4" w:rsidRPr="008333CA">
        <w:t xml:space="preserve"> </w:t>
      </w:r>
      <w:r w:rsidR="002E4167" w:rsidRPr="008333CA">
        <w:t>This care plan should also include information such as treating GP and/or other services to better facilitate whole of person care.</w:t>
      </w:r>
    </w:p>
    <w:p w14:paraId="7C5E57D6" w14:textId="479FFDA7" w:rsidR="00320F15" w:rsidRPr="002828F3" w:rsidRDefault="00B96A30" w:rsidP="002828F3">
      <w:r w:rsidRPr="002828F3">
        <w:t>Support plans should be reviewed regularly a</w:t>
      </w:r>
      <w:r w:rsidR="00B667C9" w:rsidRPr="002828F3">
        <w:t>s well as</w:t>
      </w:r>
      <w:r w:rsidRPr="002828F3">
        <w:t xml:space="preserve"> following any significant events in the life of the consumer </w:t>
      </w:r>
      <w:r w:rsidR="0074732D" w:rsidRPr="002828F3">
        <w:t>that</w:t>
      </w:r>
      <w:r w:rsidRPr="002828F3">
        <w:t xml:space="preserve"> may affect their support needs. </w:t>
      </w:r>
      <w:bookmarkStart w:id="26" w:name="_Toc2691197"/>
    </w:p>
    <w:p w14:paraId="00EB5A61" w14:textId="77777777" w:rsidR="008B1A5D" w:rsidRPr="00A136CA" w:rsidRDefault="008B1A5D" w:rsidP="008B1A5D">
      <w:pPr>
        <w:pStyle w:val="Heading2"/>
      </w:pPr>
      <w:bookmarkStart w:id="27" w:name="_Toc176348937"/>
      <w:bookmarkStart w:id="28" w:name="_Toc176503516"/>
      <w:bookmarkEnd w:id="26"/>
      <w:r w:rsidRPr="00A136CA">
        <w:t>Brokerage Funding</w:t>
      </w:r>
      <w:bookmarkEnd w:id="27"/>
      <w:bookmarkEnd w:id="28"/>
    </w:p>
    <w:p w14:paraId="5FF6EEDD" w14:textId="07277F86" w:rsidR="008B1A5D" w:rsidRPr="002828F3" w:rsidRDefault="008B1A5D" w:rsidP="002828F3">
      <w:r w:rsidRPr="002828F3">
        <w:t xml:space="preserve">Brokerage Funding is available to support consumer recovery needs for PHNs who feel it would be of benefit to their consumers. The Department recognises that some consumers will require greater funding support. PHNs have flexibility to determine whether to </w:t>
      </w:r>
      <w:r w:rsidR="4ECD3255" w:rsidRPr="002828F3">
        <w:t>provide</w:t>
      </w:r>
      <w:r w:rsidRPr="002828F3">
        <w:t xml:space="preserve"> Brokerage Funding. </w:t>
      </w:r>
    </w:p>
    <w:p w14:paraId="1F3673E6" w14:textId="77777777" w:rsidR="008B1A5D" w:rsidRPr="00A136CA" w:rsidRDefault="008B1A5D" w:rsidP="002828F3">
      <w:pPr>
        <w:pStyle w:val="Heading3"/>
      </w:pPr>
      <w:r w:rsidRPr="00A136CA">
        <w:lastRenderedPageBreak/>
        <w:t>Purpose</w:t>
      </w:r>
    </w:p>
    <w:p w14:paraId="7DA449CA" w14:textId="6BAC870F" w:rsidR="008B1A5D" w:rsidRPr="002828F3" w:rsidRDefault="008B1A5D" w:rsidP="002828F3">
      <w:r w:rsidRPr="002828F3">
        <w:t>Consumers should principally access supports and services from service providers, and Brokerage Funding is not intended to be used to outsource responsibility from existing service providers. The Department recognises that</w:t>
      </w:r>
      <w:r w:rsidR="45476C8B" w:rsidRPr="002828F3">
        <w:t>,</w:t>
      </w:r>
      <w:r w:rsidRPr="002828F3">
        <w:t xml:space="preserve"> in some circumstances, it may be appropriate for service providers to purchase services and supports when client needs are identified but not immediately able to be met through normal channels. </w:t>
      </w:r>
    </w:p>
    <w:p w14:paraId="22AFCB1D" w14:textId="77777777" w:rsidR="008B1A5D" w:rsidRPr="002828F3" w:rsidRDefault="008B1A5D" w:rsidP="002828F3">
      <w:r w:rsidRPr="002828F3">
        <w:t>Service providers should also be aware of the availability of other supports and services, including any other brokerage funding sources, which may be used to supplement CPSP supports and services.</w:t>
      </w:r>
    </w:p>
    <w:p w14:paraId="4D0FCD68" w14:textId="77777777" w:rsidR="008B1A5D" w:rsidRPr="00A136CA" w:rsidRDefault="008B1A5D" w:rsidP="002828F3">
      <w:pPr>
        <w:pStyle w:val="Heading3"/>
      </w:pPr>
      <w:r w:rsidRPr="00A136CA">
        <w:t>Scope</w:t>
      </w:r>
    </w:p>
    <w:p w14:paraId="7247FF9F" w14:textId="77777777" w:rsidR="008B1A5D" w:rsidRPr="002828F3" w:rsidRDefault="008B1A5D" w:rsidP="002828F3">
      <w:r w:rsidRPr="002828F3">
        <w:t>The following criteria apply to the use of Brokerage Funding:</w:t>
      </w:r>
    </w:p>
    <w:p w14:paraId="4F2665BB" w14:textId="77777777" w:rsidR="008B1A5D" w:rsidRPr="008333CA" w:rsidRDefault="008B1A5D" w:rsidP="008333CA">
      <w:pPr>
        <w:pStyle w:val="ListBullet"/>
      </w:pPr>
      <w:r w:rsidRPr="008333CA">
        <w:t>Use of Brokerage Funding aligns with the overall aims and objectives of the CPSP to provide short-term, low intensity support to consumers with severe mental illness, and strengthen consumers’ capacity to live independently and safely in their community.</w:t>
      </w:r>
    </w:p>
    <w:p w14:paraId="0F19913A" w14:textId="77777777" w:rsidR="008B1A5D" w:rsidRPr="008333CA" w:rsidRDefault="008B1A5D" w:rsidP="008333CA">
      <w:pPr>
        <w:pStyle w:val="ListBullet"/>
      </w:pPr>
      <w:r w:rsidRPr="008333CA">
        <w:t>Use of Brokerage Funding aligns with the individual’s recovery goals as identified in their Recovery Care Plan.</w:t>
      </w:r>
    </w:p>
    <w:p w14:paraId="62E50CD3" w14:textId="77777777" w:rsidR="008B1A5D" w:rsidRPr="008333CA" w:rsidRDefault="008B1A5D" w:rsidP="008333CA">
      <w:pPr>
        <w:pStyle w:val="ListBullet"/>
      </w:pPr>
      <w:r w:rsidRPr="008333CA">
        <w:t>Brokerage Funding is used to purchase services, supports or goods on a one-off or short</w:t>
      </w:r>
      <w:r w:rsidRPr="008333CA">
        <w:noBreakHyphen/>
        <w:t>term basis where these services, supports or goods cannot be provided through normal channels or alternative services.</w:t>
      </w:r>
    </w:p>
    <w:p w14:paraId="0829E1AF" w14:textId="77777777" w:rsidR="008B1A5D" w:rsidRPr="008333CA" w:rsidRDefault="008B1A5D" w:rsidP="008333CA">
      <w:pPr>
        <w:pStyle w:val="ListBullet"/>
      </w:pPr>
      <w:r w:rsidRPr="008333CA">
        <w:t>Brokerage Funding must not be used to fund recurring or ongoing expenses such as rent or regular food shopping.</w:t>
      </w:r>
    </w:p>
    <w:p w14:paraId="49C3A0AF" w14:textId="77777777" w:rsidR="008B1A5D" w:rsidRPr="008333CA" w:rsidRDefault="008B1A5D" w:rsidP="008333CA">
      <w:pPr>
        <w:pStyle w:val="ListBullet"/>
      </w:pPr>
      <w:r w:rsidRPr="008333CA">
        <w:t>Brokerage Funding must not be used to outsource any CPSP activities or purchase supports that should be provided by commissioned service providers.</w:t>
      </w:r>
    </w:p>
    <w:p w14:paraId="70F8368F" w14:textId="77777777" w:rsidR="008B1A5D" w:rsidRPr="008333CA" w:rsidRDefault="008B1A5D" w:rsidP="008333CA">
      <w:pPr>
        <w:pStyle w:val="ListBullet"/>
      </w:pPr>
      <w:r w:rsidRPr="008333CA">
        <w:t>Brokerage Funding must only be used once all other appropriate funding options and community services have been explored.</w:t>
      </w:r>
    </w:p>
    <w:p w14:paraId="7D51F5BF" w14:textId="77777777" w:rsidR="008B1A5D" w:rsidRPr="008333CA" w:rsidRDefault="008B1A5D" w:rsidP="008333CA">
      <w:pPr>
        <w:pStyle w:val="ListBullet"/>
      </w:pPr>
      <w:r w:rsidRPr="008333CA">
        <w:t>Services, supports or goods purchased with Brokerage Funding represent value for money.</w:t>
      </w:r>
    </w:p>
    <w:p w14:paraId="4C4D8C82" w14:textId="77777777" w:rsidR="008B1A5D" w:rsidRPr="008333CA" w:rsidRDefault="008B1A5D" w:rsidP="008333CA">
      <w:pPr>
        <w:pStyle w:val="ListBullet"/>
      </w:pPr>
      <w:r w:rsidRPr="008333CA">
        <w:t>Services, supports or goods purchased with the Brokerage Funding are capable of withstanding public scrutiny, and will not bring the CPSP, the Department or the PHN, into disrepute.</w:t>
      </w:r>
    </w:p>
    <w:p w14:paraId="56143543" w14:textId="7FB7ABF5" w:rsidR="008B1A5D" w:rsidRPr="008333CA" w:rsidRDefault="008B1A5D" w:rsidP="008333CA">
      <w:pPr>
        <w:pStyle w:val="ListBullet"/>
      </w:pPr>
      <w:r w:rsidRPr="008333CA">
        <w:t>Adequate funding is available within the overall budget to meet all other requirements under the</w:t>
      </w:r>
      <w:r w:rsidR="00A65BD1" w:rsidRPr="008333CA">
        <w:t xml:space="preserve"> agreement</w:t>
      </w:r>
      <w:r w:rsidRPr="008333CA">
        <w:t>, including the needs of other CPSP consumers.</w:t>
      </w:r>
    </w:p>
    <w:p w14:paraId="0FFB6D21" w14:textId="77777777" w:rsidR="003771B5" w:rsidRPr="002828F3" w:rsidRDefault="003771B5" w:rsidP="002828F3">
      <w:r w:rsidRPr="002828F3">
        <w:br w:type="page"/>
      </w:r>
    </w:p>
    <w:p w14:paraId="604C239B" w14:textId="1B89C947" w:rsidR="008B1A5D" w:rsidRPr="002828F3" w:rsidRDefault="008B1A5D" w:rsidP="002828F3">
      <w:r w:rsidRPr="002828F3">
        <w:lastRenderedPageBreak/>
        <w:t>The following table provides some examples of the types of services and supports that may and may not be purchased with Brokerage Funding, and is not intended to be prescriptive or exhaustive:</w:t>
      </w:r>
    </w:p>
    <w:tbl>
      <w:tblPr>
        <w:tblStyle w:val="TableGrid"/>
        <w:tblW w:w="0" w:type="auto"/>
        <w:tblLook w:val="04A0" w:firstRow="1" w:lastRow="0" w:firstColumn="1" w:lastColumn="0" w:noHBand="0" w:noVBand="1"/>
      </w:tblPr>
      <w:tblGrid>
        <w:gridCol w:w="1283"/>
        <w:gridCol w:w="3115"/>
        <w:gridCol w:w="4662"/>
      </w:tblGrid>
      <w:tr w:rsidR="008B1A5D" w:rsidRPr="00726BB9" w14:paraId="63028080" w14:textId="77777777" w:rsidTr="002828F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83" w:type="dxa"/>
            <w:tcBorders>
              <w:top w:val="nil"/>
              <w:left w:val="nil"/>
            </w:tcBorders>
            <w:shd w:val="clear" w:color="auto" w:fill="auto"/>
          </w:tcPr>
          <w:p w14:paraId="63FECA19" w14:textId="77777777" w:rsidR="008B1A5D" w:rsidRPr="00726BB9" w:rsidRDefault="008B1A5D" w:rsidP="00E074FE">
            <w:pPr>
              <w:spacing w:before="240" w:after="60"/>
              <w:rPr>
                <w:rFonts w:cs="Arial"/>
                <w:b w:val="0"/>
                <w:sz w:val="21"/>
                <w:szCs w:val="21"/>
              </w:rPr>
            </w:pPr>
          </w:p>
        </w:tc>
        <w:tc>
          <w:tcPr>
            <w:tcW w:w="3115" w:type="dxa"/>
          </w:tcPr>
          <w:p w14:paraId="409C044A" w14:textId="77777777" w:rsidR="008B1A5D" w:rsidRPr="008333CA" w:rsidRDefault="008B1A5D" w:rsidP="008333CA">
            <w:pPr>
              <w:cnfStyle w:val="100000000000" w:firstRow="1" w:lastRow="0" w:firstColumn="0" w:lastColumn="0" w:oddVBand="0" w:evenVBand="0" w:oddHBand="0" w:evenHBand="0" w:firstRowFirstColumn="0" w:firstRowLastColumn="0" w:lastRowFirstColumn="0" w:lastRowLastColumn="0"/>
            </w:pPr>
            <w:r w:rsidRPr="008333CA">
              <w:t>Item</w:t>
            </w:r>
          </w:p>
        </w:tc>
        <w:tc>
          <w:tcPr>
            <w:tcW w:w="4662" w:type="dxa"/>
          </w:tcPr>
          <w:p w14:paraId="3C5D513E" w14:textId="77777777" w:rsidR="008B1A5D" w:rsidRPr="008333CA" w:rsidRDefault="008B1A5D" w:rsidP="008333CA">
            <w:pPr>
              <w:cnfStyle w:val="100000000000" w:firstRow="1" w:lastRow="0" w:firstColumn="0" w:lastColumn="0" w:oddVBand="0" w:evenVBand="0" w:oddHBand="0" w:evenHBand="0" w:firstRowFirstColumn="0" w:firstRowLastColumn="0" w:lastRowFirstColumn="0" w:lastRowLastColumn="0"/>
            </w:pPr>
            <w:r w:rsidRPr="008333CA">
              <w:t>Explanation</w:t>
            </w:r>
          </w:p>
        </w:tc>
      </w:tr>
      <w:tr w:rsidR="008B1A5D" w:rsidRPr="00726BB9" w14:paraId="3CAC1C9A"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val="restart"/>
          </w:tcPr>
          <w:p w14:paraId="7208AB8D" w14:textId="77777777" w:rsidR="008B1A5D" w:rsidRPr="008333CA" w:rsidRDefault="008B1A5D" w:rsidP="008333CA">
            <w:r w:rsidRPr="008333CA">
              <w:t>In-scope for Brokerage Funding</w:t>
            </w:r>
          </w:p>
        </w:tc>
        <w:tc>
          <w:tcPr>
            <w:tcW w:w="3115" w:type="dxa"/>
            <w:shd w:val="clear" w:color="auto" w:fill="D5EBF2" w:themeFill="accent5" w:themeFillTint="33"/>
          </w:tcPr>
          <w:p w14:paraId="51AA467E"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Minor home modifications, such as block-out blinds </w:t>
            </w:r>
          </w:p>
        </w:tc>
        <w:tc>
          <w:tcPr>
            <w:tcW w:w="4662" w:type="dxa"/>
            <w:shd w:val="clear" w:color="auto" w:fill="D5EBF2" w:themeFill="accent5" w:themeFillTint="33"/>
          </w:tcPr>
          <w:p w14:paraId="0C5F3CCC" w14:textId="207E1423"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Minor capital improvements can lead to better health and mental health outcomes, such as improved quality of sleep</w:t>
            </w:r>
            <w:r w:rsidR="216FE060" w:rsidRPr="002828F3">
              <w:t>.</w:t>
            </w:r>
          </w:p>
        </w:tc>
      </w:tr>
      <w:tr w:rsidR="008B1A5D" w:rsidRPr="00726BB9" w14:paraId="3FFDAF67"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31D20628"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6142E793"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Access to clinical supports e.g. Psychiatrist, to assist and support consumer’s NDIS application</w:t>
            </w:r>
          </w:p>
        </w:tc>
        <w:tc>
          <w:tcPr>
            <w:tcW w:w="4662" w:type="dxa"/>
            <w:shd w:val="clear" w:color="auto" w:fill="D5EBF2" w:themeFill="accent5" w:themeFillTint="33"/>
          </w:tcPr>
          <w:p w14:paraId="5EBAD156" w14:textId="4A5EAE8F"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Provides additional assistance in applying for the NDIS when accessing some clinical supports may be prohibitive</w:t>
            </w:r>
            <w:r w:rsidR="216FE060" w:rsidRPr="002828F3">
              <w:t>.</w:t>
            </w:r>
          </w:p>
        </w:tc>
      </w:tr>
      <w:tr w:rsidR="008B1A5D" w:rsidRPr="00726BB9" w14:paraId="09966F0C"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023ED01F"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3EC2F699"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Medications while any issues regarding access to a health care card or Medicare are being resolved </w:t>
            </w:r>
          </w:p>
        </w:tc>
        <w:tc>
          <w:tcPr>
            <w:tcW w:w="4662" w:type="dxa"/>
            <w:shd w:val="clear" w:color="auto" w:fill="D5EBF2" w:themeFill="accent5" w:themeFillTint="33"/>
          </w:tcPr>
          <w:p w14:paraId="587B3468" w14:textId="48D5CD42"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Purchasing medicine will enable a consumer to maintain their physical and mental health if they are having trouble accessing medication they need immediately while longer-term arrangements are finalised</w:t>
            </w:r>
            <w:r w:rsidR="7BA817B8" w:rsidRPr="002828F3">
              <w:t>.</w:t>
            </w:r>
          </w:p>
        </w:tc>
      </w:tr>
      <w:tr w:rsidR="008B1A5D" w:rsidRPr="00726BB9" w14:paraId="150A5582"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6B2EDD19"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7FE4FBB1"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Emergency short-term accommodation </w:t>
            </w:r>
          </w:p>
        </w:tc>
        <w:tc>
          <w:tcPr>
            <w:tcW w:w="4662" w:type="dxa"/>
            <w:shd w:val="clear" w:color="auto" w:fill="D5EBF2" w:themeFill="accent5" w:themeFillTint="33"/>
          </w:tcPr>
          <w:p w14:paraId="0E98BFFF"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Brokerage Funding is available for when a consumer needs to live out of home for a short period and no other appropriate accommodation options are available. Emergency short-term accommodation may be needed if a consumer’s usual support network is not available for a short period. </w:t>
            </w:r>
          </w:p>
        </w:tc>
      </w:tr>
      <w:tr w:rsidR="008B1A5D" w:rsidRPr="00726BB9" w14:paraId="434227B4"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487F14B9"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4E4AD566"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One-off emergency house cleaning</w:t>
            </w:r>
          </w:p>
        </w:tc>
        <w:tc>
          <w:tcPr>
            <w:tcW w:w="4662" w:type="dxa"/>
            <w:shd w:val="clear" w:color="auto" w:fill="D5EBF2" w:themeFill="accent5" w:themeFillTint="33"/>
          </w:tcPr>
          <w:p w14:paraId="27E97BE1"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A consumer may need one-off help to clean a tenancy if they are at immediate risk of being evicted.</w:t>
            </w:r>
          </w:p>
        </w:tc>
      </w:tr>
      <w:tr w:rsidR="008B1A5D" w:rsidRPr="00726BB9" w14:paraId="554F4505"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5BF9EA5F"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1DA13161"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Mobile phones</w:t>
            </w:r>
          </w:p>
        </w:tc>
        <w:tc>
          <w:tcPr>
            <w:tcW w:w="4662" w:type="dxa"/>
            <w:shd w:val="clear" w:color="auto" w:fill="D5EBF2" w:themeFill="accent5" w:themeFillTint="33"/>
          </w:tcPr>
          <w:p w14:paraId="4BF01B2C" w14:textId="3D72768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A </w:t>
            </w:r>
            <w:r w:rsidR="1C88B919" w:rsidRPr="002828F3">
              <w:t>low-cost</w:t>
            </w:r>
            <w:r w:rsidRPr="002828F3">
              <w:t xml:space="preserve"> mobile phone may assist consumer to find employment or educational opportunities.</w:t>
            </w:r>
          </w:p>
        </w:tc>
      </w:tr>
      <w:tr w:rsidR="008B1A5D" w:rsidRPr="00726BB9" w14:paraId="682C3C9F"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5D17A915"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6FBE636B" w14:textId="4AB8E82E"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One-off transport costs, e</w:t>
            </w:r>
            <w:r w:rsidR="00842022" w:rsidRPr="002828F3">
              <w:t>.</w:t>
            </w:r>
            <w:r w:rsidRPr="002828F3">
              <w:t>g</w:t>
            </w:r>
            <w:r w:rsidR="00842022" w:rsidRPr="002828F3">
              <w:t>.</w:t>
            </w:r>
            <w:r w:rsidRPr="002828F3">
              <w:t xml:space="preserve"> taxi fee, bus or train card, assistance to obtain driver's license, assistance to obtain a package of driver lessons</w:t>
            </w:r>
          </w:p>
        </w:tc>
        <w:tc>
          <w:tcPr>
            <w:tcW w:w="4662" w:type="dxa"/>
            <w:shd w:val="clear" w:color="auto" w:fill="D5EBF2" w:themeFill="accent5" w:themeFillTint="33"/>
          </w:tcPr>
          <w:p w14:paraId="75F8E313"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A consumer may not be able to access transport options to an important CPSP activity, medical appointment, job interview or educational class, especially in more regional or rural areas where there is less access to public transport.</w:t>
            </w:r>
          </w:p>
        </w:tc>
      </w:tr>
      <w:tr w:rsidR="008B1A5D" w:rsidRPr="00726BB9" w14:paraId="618E2601"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val="restart"/>
          </w:tcPr>
          <w:p w14:paraId="041E8F2F" w14:textId="77777777" w:rsidR="008B1A5D" w:rsidRPr="008333CA" w:rsidRDefault="008B1A5D" w:rsidP="008333CA">
            <w:r w:rsidRPr="008333CA">
              <w:t xml:space="preserve">Out-of-scope for </w:t>
            </w:r>
            <w:r w:rsidRPr="008333CA">
              <w:lastRenderedPageBreak/>
              <w:t xml:space="preserve">Brokerage Funding </w:t>
            </w:r>
          </w:p>
        </w:tc>
        <w:tc>
          <w:tcPr>
            <w:tcW w:w="3115" w:type="dxa"/>
            <w:shd w:val="clear" w:color="auto" w:fill="D5EBF2" w:themeFill="accent5" w:themeFillTint="33"/>
          </w:tcPr>
          <w:p w14:paraId="2367B560"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lastRenderedPageBreak/>
              <w:t xml:space="preserve">Entertainment, including restaurants and cafes, gambling and gaming, movies </w:t>
            </w:r>
            <w:r w:rsidRPr="002828F3">
              <w:lastRenderedPageBreak/>
              <w:t>or concerts, holiday travel or other recreational activities</w:t>
            </w:r>
          </w:p>
        </w:tc>
        <w:tc>
          <w:tcPr>
            <w:tcW w:w="4662" w:type="dxa"/>
            <w:shd w:val="clear" w:color="auto" w:fill="D5EBF2" w:themeFill="accent5" w:themeFillTint="33"/>
          </w:tcPr>
          <w:p w14:paraId="5CA5D94C"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lastRenderedPageBreak/>
              <w:t>Regular CPSP group activities should be used to provide opportunities for social connection and group recreational activities.</w:t>
            </w:r>
          </w:p>
        </w:tc>
      </w:tr>
      <w:tr w:rsidR="008B1A5D" w:rsidRPr="00726BB9" w14:paraId="009936E6"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2554D5B2"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4296E5A1"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Medium to long-term accommodation</w:t>
            </w:r>
          </w:p>
        </w:tc>
        <w:tc>
          <w:tcPr>
            <w:tcW w:w="4662" w:type="dxa"/>
            <w:shd w:val="clear" w:color="auto" w:fill="D5EBF2" w:themeFill="accent5" w:themeFillTint="33"/>
          </w:tcPr>
          <w:p w14:paraId="31F434C5"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Brokerage Funding is not sufficient to meet the housing needs of consumers on an ongoing basis. Consumers should be supported through Service Navigation to access alternative services offering support with housing.</w:t>
            </w:r>
          </w:p>
        </w:tc>
      </w:tr>
      <w:tr w:rsidR="008B1A5D" w:rsidRPr="00726BB9" w14:paraId="575FEC2B"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10DBB40E"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57972DCA"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Ongoing living expenses such as groceries, rent, transport and utilities</w:t>
            </w:r>
          </w:p>
        </w:tc>
        <w:tc>
          <w:tcPr>
            <w:tcW w:w="4662" w:type="dxa"/>
            <w:shd w:val="clear" w:color="auto" w:fill="D5EBF2" w:themeFill="accent5" w:themeFillTint="33"/>
          </w:tcPr>
          <w:p w14:paraId="5DC48645"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Brokerage Funding is for one-off ad-hoc expenses not for regular ongoing living expenses.</w:t>
            </w:r>
          </w:p>
        </w:tc>
      </w:tr>
      <w:tr w:rsidR="008B1A5D" w:rsidRPr="00726BB9" w14:paraId="2E7D8A6B"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15F40511"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4D730FAD"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 xml:space="preserve">High-end electronics, such as iPads and laptops </w:t>
            </w:r>
          </w:p>
        </w:tc>
        <w:tc>
          <w:tcPr>
            <w:tcW w:w="4662" w:type="dxa"/>
            <w:shd w:val="clear" w:color="auto" w:fill="D5EBF2" w:themeFill="accent5" w:themeFillTint="33"/>
          </w:tcPr>
          <w:p w14:paraId="522D4A05"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Consumers should be directed to services in the community aimed at assisting people in need to access electronics and other technology, such as groups who refurbish used technology.</w:t>
            </w:r>
          </w:p>
        </w:tc>
      </w:tr>
      <w:tr w:rsidR="008B1A5D" w:rsidRPr="00726BB9" w14:paraId="344C968C" w14:textId="77777777" w:rsidTr="00E074FE">
        <w:trPr>
          <w:trHeight w:val="300"/>
        </w:trPr>
        <w:tc>
          <w:tcPr>
            <w:cnfStyle w:val="001000000000" w:firstRow="0" w:lastRow="0" w:firstColumn="1" w:lastColumn="0" w:oddVBand="0" w:evenVBand="0" w:oddHBand="0" w:evenHBand="0" w:firstRowFirstColumn="0" w:firstRowLastColumn="0" w:lastRowFirstColumn="0" w:lastRowLastColumn="0"/>
            <w:tcW w:w="1283" w:type="dxa"/>
            <w:vMerge/>
          </w:tcPr>
          <w:p w14:paraId="2133F43A" w14:textId="77777777" w:rsidR="008B1A5D" w:rsidRPr="00C932D6" w:rsidRDefault="008B1A5D" w:rsidP="00C932D6">
            <w:pPr>
              <w:spacing w:before="240" w:after="60"/>
              <w:rPr>
                <w:rFonts w:cs="Arial"/>
                <w:b/>
                <w:sz w:val="21"/>
                <w:szCs w:val="21"/>
              </w:rPr>
            </w:pPr>
          </w:p>
        </w:tc>
        <w:tc>
          <w:tcPr>
            <w:tcW w:w="3115" w:type="dxa"/>
            <w:shd w:val="clear" w:color="auto" w:fill="D5EBF2" w:themeFill="accent5" w:themeFillTint="33"/>
          </w:tcPr>
          <w:p w14:paraId="612D283D"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Ongoing medical expenses</w:t>
            </w:r>
          </w:p>
        </w:tc>
        <w:tc>
          <w:tcPr>
            <w:tcW w:w="4662" w:type="dxa"/>
            <w:shd w:val="clear" w:color="auto" w:fill="D5EBF2" w:themeFill="accent5" w:themeFillTint="33"/>
          </w:tcPr>
          <w:p w14:paraId="1C6D9DD4" w14:textId="77777777" w:rsidR="008B1A5D" w:rsidRPr="002828F3" w:rsidRDefault="008B1A5D" w:rsidP="002828F3">
            <w:pPr>
              <w:cnfStyle w:val="000000000000" w:firstRow="0" w:lastRow="0" w:firstColumn="0" w:lastColumn="0" w:oddVBand="0" w:evenVBand="0" w:oddHBand="0" w:evenHBand="0" w:firstRowFirstColumn="0" w:firstRowLastColumn="0" w:lastRowFirstColumn="0" w:lastRowLastColumn="0"/>
            </w:pPr>
            <w:r w:rsidRPr="002828F3">
              <w:t>Other government-funded services and supports are available to assist consumers with ongoing medical expenses including access to a health care card or Medicare.</w:t>
            </w:r>
          </w:p>
        </w:tc>
      </w:tr>
    </w:tbl>
    <w:p w14:paraId="7FCC7A14" w14:textId="77777777" w:rsidR="008B1A5D" w:rsidRPr="00A136CA" w:rsidRDefault="008B1A5D" w:rsidP="002828F3">
      <w:pPr>
        <w:pStyle w:val="Heading3"/>
      </w:pPr>
      <w:r w:rsidRPr="00A136CA">
        <w:t>Budget</w:t>
      </w:r>
    </w:p>
    <w:p w14:paraId="5E7BD256" w14:textId="2D062D3D" w:rsidR="0040574E" w:rsidRPr="002828F3" w:rsidRDefault="0040574E" w:rsidP="002828F3">
      <w:r w:rsidRPr="002828F3">
        <w:t xml:space="preserve">Brokerage Funding may be approved by the service provider up to a limit of $250 (excluding GST) for any single instance. If a service provider considers a consumer would benefit from the use of Brokerage Funding exceeding $250 in any single instance, the provider must seek prior written approval from their commissioning PHN. The PHN must notify the Department as soon as practicable </w:t>
      </w:r>
      <w:proofErr w:type="gramStart"/>
      <w:r w:rsidRPr="002828F3">
        <w:t>if and when</w:t>
      </w:r>
      <w:proofErr w:type="gramEnd"/>
      <w:r w:rsidRPr="002828F3">
        <w:t xml:space="preserve"> approval has been </w:t>
      </w:r>
      <w:r w:rsidR="002828F3" w:rsidRPr="002828F3">
        <w:t>granted and</w:t>
      </w:r>
      <w:r w:rsidRPr="002828F3">
        <w:t xml:space="preserve"> maintain a record of approvals.</w:t>
      </w:r>
    </w:p>
    <w:p w14:paraId="2035DF12" w14:textId="77777777" w:rsidR="008B1A5D" w:rsidRPr="002828F3" w:rsidRDefault="008B1A5D" w:rsidP="002828F3">
      <w:r w:rsidRPr="002828F3">
        <w:t>Brokerage Funding will have a cap of $1,000 (excluding GST) for any one consumer over their lifetime, except for in exceptional circumstances. If a service provider considers that a consumer has exceptional circumstances and would benefit from Brokerage Funding of more than $1,000, they must seek prior written approval to provide additional Brokerage Funding from the commissioning PHN. The PHN must notify the Department as soon as practicable where this has occurred.</w:t>
      </w:r>
    </w:p>
    <w:p w14:paraId="4DBB8304" w14:textId="6793A6C7" w:rsidR="008B1A5D" w:rsidRPr="00A136CA" w:rsidRDefault="008B1A5D" w:rsidP="002828F3">
      <w:pPr>
        <w:pStyle w:val="Heading3"/>
      </w:pPr>
      <w:r w:rsidRPr="00A136CA">
        <w:t>Record</w:t>
      </w:r>
      <w:r w:rsidR="005418C8">
        <w:t>-</w:t>
      </w:r>
      <w:r w:rsidRPr="00A136CA">
        <w:t xml:space="preserve">keeping </w:t>
      </w:r>
    </w:p>
    <w:p w14:paraId="2D9E0340" w14:textId="77777777" w:rsidR="008B1A5D" w:rsidRPr="008333CA" w:rsidRDefault="008B1A5D" w:rsidP="008333CA">
      <w:r w:rsidRPr="008333CA">
        <w:t xml:space="preserve">Service providers must retain and be able to provide records related to the use of Brokerage Funding such as tax invoices and records of date, type of goods/services paid for, an explanation of how activity was related to the consumer’s recovery goals, and the alternative options for purchasing services, supports or goods explored prior to the use of Brokerage Funding. </w:t>
      </w:r>
    </w:p>
    <w:p w14:paraId="7B9E1F09" w14:textId="41AAF768" w:rsidR="008B1A5D" w:rsidRPr="008333CA" w:rsidRDefault="008B1A5D" w:rsidP="008333CA">
      <w:r w:rsidRPr="008333CA">
        <w:lastRenderedPageBreak/>
        <w:t>Service providers will record and report the details of Brokerage Funding expenditure in a format specified by their PHN in a manner that would enable the Department to account for any one instance of Brokerage Funding.</w:t>
      </w:r>
    </w:p>
    <w:p w14:paraId="7C199400" w14:textId="1C1B098D" w:rsidR="008B1A5D" w:rsidRPr="008333CA" w:rsidRDefault="008B1A5D" w:rsidP="008333CA">
      <w:r w:rsidRPr="008333CA">
        <w:t>Information on the total amount of Brokerage Funding utilised and how many consumers have accessed Brokerage Funding will be captured in the 12 Month Reports provided by PHNs. PHNs must also provide a de-identified record of all purchases exceeding $250.</w:t>
      </w:r>
    </w:p>
    <w:p w14:paraId="214E3B53" w14:textId="6102446A" w:rsidR="00B96A30" w:rsidRPr="0030195D" w:rsidRDefault="007C39F1" w:rsidP="00400749">
      <w:pPr>
        <w:pStyle w:val="Heading2"/>
      </w:pPr>
      <w:bookmarkStart w:id="29" w:name="_Toc176348938"/>
      <w:bookmarkStart w:id="30" w:name="_Toc176503517"/>
      <w:r>
        <w:t xml:space="preserve">Consumer </w:t>
      </w:r>
      <w:r w:rsidR="00263438">
        <w:t xml:space="preserve">engagement and </w:t>
      </w:r>
      <w:r>
        <w:t>movement</w:t>
      </w:r>
      <w:bookmarkEnd w:id="29"/>
      <w:bookmarkEnd w:id="30"/>
    </w:p>
    <w:p w14:paraId="2FC92D5F" w14:textId="77777777" w:rsidR="00143D29" w:rsidRPr="008333CA" w:rsidRDefault="00B96A30" w:rsidP="008333CA">
      <w:r w:rsidRPr="008333CA">
        <w:t xml:space="preserve">Where a consumer disengages from the </w:t>
      </w:r>
      <w:r w:rsidR="00B667C9" w:rsidRPr="008333CA">
        <w:t>P</w:t>
      </w:r>
      <w:r w:rsidRPr="008333CA">
        <w:t xml:space="preserve">rogram or cannot be reached, a genuine attempt should be made to contact the consumer and offer additional or alternative supports. </w:t>
      </w:r>
    </w:p>
    <w:p w14:paraId="5146AF1A" w14:textId="53DE599F" w:rsidR="00B96A30" w:rsidRPr="008333CA" w:rsidRDefault="00B96A30" w:rsidP="008333CA">
      <w:r w:rsidRPr="008333CA">
        <w:t xml:space="preserve">If the consumer cannot be reached after a period of three months and </w:t>
      </w:r>
      <w:r w:rsidR="00B667C9" w:rsidRPr="008333CA">
        <w:t xml:space="preserve">after </w:t>
      </w:r>
      <w:r w:rsidRPr="008333CA">
        <w:t xml:space="preserve">at least three contact attempts in this time, the consumer should be formally exited from the </w:t>
      </w:r>
      <w:r w:rsidR="00B667C9" w:rsidRPr="008333CA">
        <w:t>P</w:t>
      </w:r>
      <w:r w:rsidRPr="008333CA">
        <w:t>rogram.</w:t>
      </w:r>
      <w:r w:rsidR="002E4167" w:rsidRPr="008333CA">
        <w:t xml:space="preserve"> If there is permission </w:t>
      </w:r>
      <w:r w:rsidR="00B667C9" w:rsidRPr="008333CA">
        <w:t xml:space="preserve">to </w:t>
      </w:r>
      <w:r w:rsidR="008F7A55" w:rsidRPr="008333CA">
        <w:t>contact</w:t>
      </w:r>
      <w:r w:rsidR="002E4167" w:rsidRPr="008333CA">
        <w:t xml:space="preserve"> a family member/carer</w:t>
      </w:r>
      <w:r w:rsidR="00B667C9" w:rsidRPr="008333CA">
        <w:t>,</w:t>
      </w:r>
      <w:r w:rsidR="002E4167" w:rsidRPr="008333CA">
        <w:t xml:space="preserve"> then it would be ap</w:t>
      </w:r>
      <w:r w:rsidR="00E308DB" w:rsidRPr="008333CA">
        <w:t>propriate to contact th</w:t>
      </w:r>
      <w:r w:rsidR="00B667C9" w:rsidRPr="008333CA">
        <w:t>at family member/carer</w:t>
      </w:r>
      <w:r w:rsidR="00E308DB" w:rsidRPr="008333CA">
        <w:t>.</w:t>
      </w:r>
    </w:p>
    <w:p w14:paraId="7C22B8BC" w14:textId="694B034F" w:rsidR="00B96A30" w:rsidRPr="002828F3" w:rsidRDefault="00B96A30" w:rsidP="002828F3">
      <w:r w:rsidRPr="002828F3">
        <w:t xml:space="preserve">Soft re-entry points should be established to enable streamlined re-entry to </w:t>
      </w:r>
      <w:proofErr w:type="gramStart"/>
      <w:r w:rsidRPr="002828F3">
        <w:t>supports</w:t>
      </w:r>
      <w:proofErr w:type="gramEnd"/>
      <w:r w:rsidRPr="002828F3">
        <w:t xml:space="preserve"> as required, noting there may be waiting lists. PHNs, or service providers on behalf of PHNs, should maintain waiting lists to be able to report accurate information and advice on local unmet demand</w:t>
      </w:r>
      <w:r w:rsidR="006B036A" w:rsidRPr="002828F3">
        <w:t xml:space="preserve"> to the D</w:t>
      </w:r>
      <w:r w:rsidRPr="002828F3">
        <w:t xml:space="preserve">epartment. Soft re-entry allows the </w:t>
      </w:r>
      <w:r w:rsidR="00B667C9" w:rsidRPr="002828F3">
        <w:t>P</w:t>
      </w:r>
      <w:r w:rsidRPr="002828F3">
        <w:t xml:space="preserve">rogram to support a greater proportion of the community during episodes of increased need. </w:t>
      </w:r>
    </w:p>
    <w:p w14:paraId="73507B5B" w14:textId="2372A270" w:rsidR="00B96A30" w:rsidRPr="002828F3" w:rsidRDefault="00B96A30" w:rsidP="002828F3">
      <w:r w:rsidRPr="002828F3">
        <w:t xml:space="preserve">Consumers who no longer meet the required eligibility criteria (e.g. </w:t>
      </w:r>
      <w:r w:rsidR="007E07F4" w:rsidRPr="002828F3">
        <w:t>are receiving similar psychosocial supports through a state or territory government program</w:t>
      </w:r>
      <w:r w:rsidR="00492AD1" w:rsidRPr="002828F3">
        <w:t>, community supports</w:t>
      </w:r>
      <w:r w:rsidR="007E07F4" w:rsidRPr="002828F3">
        <w:t xml:space="preserve"> </w:t>
      </w:r>
      <w:r w:rsidR="00385D7B" w:rsidRPr="002828F3">
        <w:t xml:space="preserve">such as </w:t>
      </w:r>
      <w:r w:rsidR="006028BE" w:rsidRPr="002828F3">
        <w:t xml:space="preserve">community </w:t>
      </w:r>
      <w:r w:rsidR="00385D7B" w:rsidRPr="002828F3">
        <w:t xml:space="preserve">social groups, </w:t>
      </w:r>
      <w:r w:rsidR="007E07F4" w:rsidRPr="002828F3">
        <w:t>or the NDIS</w:t>
      </w:r>
      <w:r w:rsidRPr="002828F3">
        <w:t xml:space="preserve">), should be notified and supported to transition from the </w:t>
      </w:r>
      <w:r w:rsidR="00B667C9" w:rsidRPr="002828F3">
        <w:t>P</w:t>
      </w:r>
      <w:r w:rsidRPr="002828F3">
        <w:t xml:space="preserve">rogram to other supports as appropriate and available. </w:t>
      </w:r>
    </w:p>
    <w:p w14:paraId="0EFE28AC" w14:textId="77777777" w:rsidR="007C39F1" w:rsidRPr="0030195D" w:rsidRDefault="007C39F1" w:rsidP="002828F3">
      <w:pPr>
        <w:pStyle w:val="Heading3"/>
      </w:pPr>
      <w:r w:rsidRPr="0030195D">
        <w:t>Movement between PHN regions</w:t>
      </w:r>
    </w:p>
    <w:p w14:paraId="476B0F13" w14:textId="64F12490" w:rsidR="007C39F1" w:rsidRPr="008333CA" w:rsidRDefault="007C39F1" w:rsidP="008333CA">
      <w:r w:rsidRPr="008333CA">
        <w:t xml:space="preserve">Where consumers move </w:t>
      </w:r>
      <w:r w:rsidR="00B667C9" w:rsidRPr="008333CA">
        <w:t xml:space="preserve">between </w:t>
      </w:r>
      <w:r w:rsidRPr="008333CA">
        <w:t>regions there should be, where possible, a ‘warm handover’ between service providers</w:t>
      </w:r>
      <w:r w:rsidR="00C55BB8" w:rsidRPr="008333CA">
        <w:t xml:space="preserve"> to ensure the consumer, family and carer can fully participate in this process</w:t>
      </w:r>
      <w:r w:rsidRPr="008333CA">
        <w:t>. PHNs will need to be informed by the service providers as this may impact on service capacity</w:t>
      </w:r>
      <w:r w:rsidR="005A7D38" w:rsidRPr="008333CA">
        <w:t>, service agreements</w:t>
      </w:r>
      <w:r w:rsidR="00FC2ED7" w:rsidRPr="008333CA">
        <w:t xml:space="preserve"> and deliverables</w:t>
      </w:r>
      <w:r w:rsidRPr="008333CA">
        <w:t>.</w:t>
      </w:r>
    </w:p>
    <w:p w14:paraId="71994080" w14:textId="77777777" w:rsidR="00B96A30" w:rsidRPr="0030195D" w:rsidRDefault="00B96A30" w:rsidP="00400749">
      <w:pPr>
        <w:pStyle w:val="Heading2"/>
      </w:pPr>
      <w:bookmarkStart w:id="31" w:name="_Toc176348939"/>
      <w:bookmarkStart w:id="32" w:name="_Toc176503518"/>
      <w:r w:rsidRPr="0030195D">
        <w:t>Commissioning</w:t>
      </w:r>
      <w:bookmarkEnd w:id="31"/>
      <w:bookmarkEnd w:id="32"/>
    </w:p>
    <w:p w14:paraId="1F4C64D0" w14:textId="77777777" w:rsidR="00B96A30" w:rsidRPr="008333CA" w:rsidRDefault="00B96A30" w:rsidP="008333CA">
      <w:r w:rsidRPr="008333CA">
        <w:t xml:space="preserve">There are </w:t>
      </w:r>
      <w:proofErr w:type="gramStart"/>
      <w:r w:rsidRPr="008333CA">
        <w:t>a number of</w:t>
      </w:r>
      <w:proofErr w:type="gramEnd"/>
      <w:r w:rsidRPr="008333CA">
        <w:t xml:space="preserve"> sectors central to the success of providing psychosocial supports. These include primary care (health and mental health), state and territory specialist mental health systems, the mental health and broader non-government sector, alcohol and other drug treatment services, income support services, as well as education, employment and housing </w:t>
      </w:r>
      <w:proofErr w:type="gramStart"/>
      <w:r w:rsidRPr="008333CA">
        <w:t>supports</w:t>
      </w:r>
      <w:proofErr w:type="gramEnd"/>
      <w:r w:rsidRPr="008333CA">
        <w:t xml:space="preserve">. </w:t>
      </w:r>
    </w:p>
    <w:p w14:paraId="50C45235" w14:textId="2353885D" w:rsidR="00B96A30" w:rsidRPr="002828F3" w:rsidRDefault="00B96A30" w:rsidP="002828F3">
      <w:r w:rsidRPr="002828F3">
        <w:t xml:space="preserve">PHNs, in consultation with community mental health service providers, states and territories, clinical services, and carers, </w:t>
      </w:r>
      <w:r w:rsidR="00B667C9" w:rsidRPr="002828F3">
        <w:t>should</w:t>
      </w:r>
      <w:r w:rsidRPr="002828F3">
        <w:t xml:space="preserve"> commission and coordinate services based on local needs, </w:t>
      </w:r>
      <w:r w:rsidR="00B667C9" w:rsidRPr="002828F3">
        <w:t xml:space="preserve">and </w:t>
      </w:r>
      <w:r w:rsidRPr="002828F3">
        <w:t xml:space="preserve">what services and supports are already available.  </w:t>
      </w:r>
    </w:p>
    <w:p w14:paraId="1271143F" w14:textId="66A4940B" w:rsidR="00B96A30" w:rsidRPr="008333CA" w:rsidRDefault="00B96A30" w:rsidP="008333CA">
      <w:r w:rsidRPr="008333CA">
        <w:t>Ideally, services should be embedded within</w:t>
      </w:r>
      <w:r w:rsidR="00B667C9" w:rsidRPr="008333CA">
        <w:t>,</w:t>
      </w:r>
      <w:r w:rsidRPr="008333CA">
        <w:t xml:space="preserve"> or linked to</w:t>
      </w:r>
      <w:r w:rsidR="00B667C9" w:rsidRPr="008333CA">
        <w:t>,</w:t>
      </w:r>
      <w:r w:rsidRPr="008333CA">
        <w:t xml:space="preserve"> clinical services to support a multi</w:t>
      </w:r>
      <w:r w:rsidRPr="008333CA">
        <w:noBreakHyphen/>
        <w:t xml:space="preserve">disciplinary approach to meeting the needs of people with severe mental illness, and form part of a multi-agency care plan. PHNs should review their regional </w:t>
      </w:r>
      <w:r w:rsidR="00761570" w:rsidRPr="008333CA">
        <w:t xml:space="preserve">mental health </w:t>
      </w:r>
      <w:r w:rsidRPr="008333CA">
        <w:t xml:space="preserve">and suicide </w:t>
      </w:r>
      <w:r w:rsidR="00E308DB" w:rsidRPr="008333CA">
        <w:t xml:space="preserve">prevention </w:t>
      </w:r>
      <w:r w:rsidRPr="008333CA">
        <w:t xml:space="preserve">plans when undertaking service needs analysis and </w:t>
      </w:r>
      <w:r w:rsidR="00B667C9" w:rsidRPr="008333CA">
        <w:t>activities and</w:t>
      </w:r>
      <w:r w:rsidRPr="008333CA">
        <w:t xml:space="preserve"> take </w:t>
      </w:r>
      <w:r w:rsidRPr="008333CA">
        <w:lastRenderedPageBreak/>
        <w:t>into consideration the needs of people with co-occurring health conditions and dual diagnoses, such as intellectual disability, acquired brain injury and autism spectrum disorder.</w:t>
      </w:r>
    </w:p>
    <w:p w14:paraId="17225F26" w14:textId="77777777" w:rsidR="00B96A30" w:rsidRPr="0030195D" w:rsidRDefault="00B96A30" w:rsidP="00400749">
      <w:pPr>
        <w:pStyle w:val="Heading2"/>
      </w:pPr>
      <w:bookmarkStart w:id="33" w:name="_Toc176348940"/>
      <w:bookmarkStart w:id="34" w:name="_Toc176503519"/>
      <w:r w:rsidRPr="0030195D">
        <w:t>Standards and guiding principles</w:t>
      </w:r>
      <w:bookmarkEnd w:id="33"/>
      <w:bookmarkEnd w:id="34"/>
    </w:p>
    <w:p w14:paraId="1DC6742B" w14:textId="69F58B74" w:rsidR="00143D29" w:rsidRPr="008333CA" w:rsidRDefault="00B96A30" w:rsidP="008333CA">
      <w:r w:rsidRPr="008333CA">
        <w:t>Service providers are required to operate in accordance with (and where appropriate, be accredited against) any service, professional, and</w:t>
      </w:r>
      <w:r w:rsidR="00023B54" w:rsidRPr="008333CA">
        <w:t>/or</w:t>
      </w:r>
      <w:r w:rsidRPr="008333CA">
        <w:t xml:space="preserve"> workforce standards that may be relevant to their organisation, including</w:t>
      </w:r>
      <w:r w:rsidR="00143D29" w:rsidRPr="008333CA">
        <w:t>:</w:t>
      </w:r>
    </w:p>
    <w:p w14:paraId="17413290" w14:textId="52C8FD0A" w:rsidR="00143D29" w:rsidRPr="008333CA" w:rsidRDefault="00B96A30" w:rsidP="008333CA">
      <w:pPr>
        <w:pStyle w:val="ListBullet"/>
      </w:pPr>
      <w:r w:rsidRPr="008333CA">
        <w:t>National Standards for Mental Health Services 2010</w:t>
      </w:r>
    </w:p>
    <w:p w14:paraId="0BFF414E" w14:textId="37340158" w:rsidR="00143D29" w:rsidRPr="008333CA" w:rsidRDefault="00B96A30" w:rsidP="008333CA">
      <w:pPr>
        <w:pStyle w:val="ListBullet"/>
      </w:pPr>
      <w:r w:rsidRPr="008333CA">
        <w:t>National Practice Standards for the Mental Health Workforce 2013</w:t>
      </w:r>
    </w:p>
    <w:p w14:paraId="19A7CBCD" w14:textId="77777777" w:rsidR="005C78DF" w:rsidRPr="008333CA" w:rsidRDefault="00B96A30" w:rsidP="008333CA">
      <w:pPr>
        <w:pStyle w:val="ListBullet"/>
      </w:pPr>
      <w:r w:rsidRPr="008333CA">
        <w:t>A national framework for recovery-oriented mental health services: Guide for practitioners and providers</w:t>
      </w:r>
      <w:r w:rsidR="00FE396B" w:rsidRPr="008333CA">
        <w:t>, the NDIS National Recovery Framework (2021)</w:t>
      </w:r>
    </w:p>
    <w:p w14:paraId="3F152620" w14:textId="33A40C46" w:rsidR="00143D29" w:rsidRPr="008333CA" w:rsidRDefault="00A10C94" w:rsidP="008333CA">
      <w:pPr>
        <w:pStyle w:val="ListBullet"/>
      </w:pPr>
      <w:r w:rsidRPr="008333CA">
        <w:t>National Safety and Quality Mental Health Standards for Community Managed Organisations (2022)</w:t>
      </w:r>
      <w:r w:rsidR="00143D29" w:rsidRPr="008333CA">
        <w:t xml:space="preserve">, </w:t>
      </w:r>
      <w:r w:rsidR="00FE396B" w:rsidRPr="008333CA">
        <w:t xml:space="preserve">and </w:t>
      </w:r>
    </w:p>
    <w:p w14:paraId="1CA8F95E" w14:textId="3B3D7097" w:rsidR="00B96A30" w:rsidRPr="008333CA" w:rsidRDefault="00FE396B" w:rsidP="008333CA">
      <w:pPr>
        <w:pStyle w:val="ListBullet"/>
      </w:pPr>
      <w:r w:rsidRPr="008333CA">
        <w:t>National Safety and Quality Standards for mental health (2017)</w:t>
      </w:r>
      <w:r w:rsidR="00B96A30" w:rsidRPr="008333CA">
        <w:t>.</w:t>
      </w:r>
    </w:p>
    <w:p w14:paraId="765E6479" w14:textId="526F94EC" w:rsidR="00B96A30" w:rsidRPr="002828F3" w:rsidRDefault="00B96A30" w:rsidP="002828F3">
      <w:r w:rsidRPr="002828F3">
        <w:t xml:space="preserve">The delivery of activities </w:t>
      </w:r>
      <w:r w:rsidR="00A61EE9" w:rsidRPr="002828F3">
        <w:t>is</w:t>
      </w:r>
      <w:r w:rsidRPr="002828F3">
        <w:t xml:space="preserve"> underpinned by the following guiding principles</w:t>
      </w:r>
      <w:r w:rsidRPr="002828F3">
        <w:footnoteReference w:id="6"/>
      </w:r>
      <w:r w:rsidRPr="002828F3">
        <w:t>:</w:t>
      </w:r>
    </w:p>
    <w:p w14:paraId="1E41733D" w14:textId="77581441" w:rsidR="00B96A30" w:rsidRPr="008333CA" w:rsidRDefault="00B96A30" w:rsidP="002828F3">
      <w:pPr>
        <w:pStyle w:val="ListBullet"/>
      </w:pPr>
      <w:r w:rsidRPr="008333CA">
        <w:rPr>
          <w:rStyle w:val="Strong"/>
        </w:rPr>
        <w:t>Recovery focussed:</w:t>
      </w:r>
      <w:r w:rsidRPr="008333CA">
        <w:t xml:space="preserve"> Services will operate under a recovery framework by increasing choices and opportunities for consumers to live a meaningful, </w:t>
      </w:r>
      <w:proofErr w:type="gramStart"/>
      <w:r w:rsidRPr="008333CA">
        <w:t>satisfying</w:t>
      </w:r>
      <w:proofErr w:type="gramEnd"/>
      <w:r w:rsidRPr="008333CA">
        <w:t xml:space="preserve"> and purposeful life.</w:t>
      </w:r>
    </w:p>
    <w:p w14:paraId="4FEEB99C" w14:textId="3AA4C41F" w:rsidR="00B96A30" w:rsidRPr="008333CA" w:rsidRDefault="00B96A30" w:rsidP="002828F3">
      <w:pPr>
        <w:pStyle w:val="ListBullet"/>
      </w:pPr>
      <w:r w:rsidRPr="008333CA">
        <w:rPr>
          <w:rStyle w:val="Strong"/>
        </w:rPr>
        <w:t>Flexible and available:</w:t>
      </w:r>
      <w:r w:rsidRPr="008333CA">
        <w:t xml:space="preserve"> Consumers should feel comfortable contacting support workers at times of </w:t>
      </w:r>
      <w:r w:rsidR="00A61EE9" w:rsidRPr="008333CA">
        <w:t>need and</w:t>
      </w:r>
      <w:r w:rsidRPr="008333CA">
        <w:t xml:space="preserve"> should play an active role in choosing the frequency of contact and setting, </w:t>
      </w:r>
      <w:proofErr w:type="gramStart"/>
      <w:r w:rsidRPr="008333CA">
        <w:t>pace</w:t>
      </w:r>
      <w:proofErr w:type="gramEnd"/>
      <w:r w:rsidRPr="008333CA">
        <w:t xml:space="preserve"> and delivery of supports.</w:t>
      </w:r>
    </w:p>
    <w:p w14:paraId="14537655" w14:textId="77777777" w:rsidR="00B96A30" w:rsidRPr="008333CA" w:rsidRDefault="00B96A30" w:rsidP="002828F3">
      <w:pPr>
        <w:pStyle w:val="ListBullet"/>
      </w:pPr>
      <w:r w:rsidRPr="008333CA">
        <w:rPr>
          <w:rStyle w:val="Strong"/>
        </w:rPr>
        <w:t>Regular and reliable:</w:t>
      </w:r>
      <w:r w:rsidRPr="008333CA">
        <w:t xml:space="preserve"> Regular contacts provide opportunities to build routine, continue steady progress towards goals and build confidence. Services are expected to demonstrate reliability by keeping appointments, following through on offers of support, and returning calls within reasonable timeframes.</w:t>
      </w:r>
    </w:p>
    <w:p w14:paraId="4866AD9C" w14:textId="25F2E0AA" w:rsidR="00C74E01" w:rsidRPr="008333CA" w:rsidRDefault="00B96A30" w:rsidP="002828F3">
      <w:pPr>
        <w:pStyle w:val="ListBullet"/>
      </w:pPr>
      <w:r w:rsidRPr="008333CA">
        <w:rPr>
          <w:rStyle w:val="Strong"/>
        </w:rPr>
        <w:t>Proactive:</w:t>
      </w:r>
      <w:r w:rsidRPr="008333CA">
        <w:t xml:space="preserve"> Services should be proactive in initiating contact and advocating on behalf of consumers. Proactive service provision can assist in building trust and rapport and support consumers to feel comfortable with accessing services.</w:t>
      </w:r>
    </w:p>
    <w:p w14:paraId="596F75C7" w14:textId="77777777" w:rsidR="00B96A30" w:rsidRPr="008333CA" w:rsidRDefault="00B96A30" w:rsidP="002828F3">
      <w:pPr>
        <w:pStyle w:val="ListBullet"/>
      </w:pPr>
      <w:r w:rsidRPr="008333CA">
        <w:rPr>
          <w:rStyle w:val="Strong"/>
        </w:rPr>
        <w:t>Based on genuine understanding:</w:t>
      </w:r>
      <w:r w:rsidRPr="008333CA">
        <w:t xml:space="preserve"> Services should endeavour to understand the story and experience of each consumer. Training in mental health, as well as a capacity to listen without stigma or stereotyping can help ensure consumers feel heard, seen and understood. </w:t>
      </w:r>
    </w:p>
    <w:p w14:paraId="2406439D" w14:textId="77777777" w:rsidR="00B96A30" w:rsidRPr="008333CA" w:rsidRDefault="00B96A30" w:rsidP="002828F3">
      <w:pPr>
        <w:pStyle w:val="ListBullet"/>
      </w:pPr>
      <w:r w:rsidRPr="008333CA">
        <w:rPr>
          <w:rStyle w:val="Strong"/>
        </w:rPr>
        <w:t>Respectful, authentic, positive:</w:t>
      </w:r>
      <w:r w:rsidRPr="008333CA">
        <w:t xml:space="preserve"> Services should be delivered in a manner that supports consumer engagement and promotes hope, and the development of positive, motivated, partnerships.</w:t>
      </w:r>
    </w:p>
    <w:p w14:paraId="1F5C9C3A" w14:textId="5FA643FF" w:rsidR="00B96A30" w:rsidRPr="008333CA" w:rsidRDefault="00B96A30" w:rsidP="002828F3">
      <w:pPr>
        <w:pStyle w:val="ListBullet"/>
      </w:pPr>
      <w:r w:rsidRPr="008333CA">
        <w:rPr>
          <w:rStyle w:val="Strong"/>
        </w:rPr>
        <w:t xml:space="preserve">Valuing the lived experience of mental illness: </w:t>
      </w:r>
      <w:r w:rsidRPr="008333CA">
        <w:t>Recognising the importance of the peer workforce</w:t>
      </w:r>
      <w:r w:rsidR="00A61EE9" w:rsidRPr="008333CA">
        <w:t>.</w:t>
      </w:r>
    </w:p>
    <w:p w14:paraId="3EE22DC5" w14:textId="090DFE4C" w:rsidR="00B96A30" w:rsidRPr="008333CA" w:rsidRDefault="00B96A30" w:rsidP="002828F3">
      <w:pPr>
        <w:pStyle w:val="ListBullet"/>
      </w:pPr>
      <w:r w:rsidRPr="008333CA">
        <w:rPr>
          <w:rStyle w:val="Strong"/>
        </w:rPr>
        <w:lastRenderedPageBreak/>
        <w:t>Person-centred:</w:t>
      </w:r>
      <w:r w:rsidRPr="008333CA">
        <w:t xml:space="preserve"> Services should address the specific support requirements and goals of the consumer, while building on strengths to empower consumers to take an active role in their recovery journey.</w:t>
      </w:r>
    </w:p>
    <w:p w14:paraId="0602AA19" w14:textId="35CB70CB" w:rsidR="00B96A30" w:rsidRPr="008333CA" w:rsidRDefault="00B96A30" w:rsidP="002828F3">
      <w:pPr>
        <w:pStyle w:val="ListBullet"/>
      </w:pPr>
      <w:r w:rsidRPr="008333CA">
        <w:rPr>
          <w:rStyle w:val="Strong"/>
        </w:rPr>
        <w:t>Clear and transparent:</w:t>
      </w:r>
      <w:r w:rsidRPr="008333CA">
        <w:t xml:space="preserve"> Consumers should be provided with information on </w:t>
      </w:r>
      <w:r w:rsidR="00A61EE9" w:rsidRPr="008333CA">
        <w:t xml:space="preserve">the </w:t>
      </w:r>
      <w:r w:rsidRPr="008333CA">
        <w:t>program processes and service options. Planning and delivery of programs and services should be conducted in partnership with consumers and their families and/or carers.</w:t>
      </w:r>
    </w:p>
    <w:p w14:paraId="2F443828" w14:textId="349140A7" w:rsidR="00B96A30" w:rsidRPr="008333CA" w:rsidRDefault="00B96A30" w:rsidP="002828F3">
      <w:pPr>
        <w:pStyle w:val="ListBullet"/>
      </w:pPr>
      <w:r w:rsidRPr="008333CA">
        <w:rPr>
          <w:rStyle w:val="Strong"/>
        </w:rPr>
        <w:t>Cultural safety:</w:t>
      </w:r>
      <w:r w:rsidRPr="008333CA">
        <w:t xml:space="preserve"> Services should be delivered in ways that are culturally appropriate, </w:t>
      </w:r>
      <w:proofErr w:type="gramStart"/>
      <w:r w:rsidRPr="008333CA">
        <w:t>safe</w:t>
      </w:r>
      <w:proofErr w:type="gramEnd"/>
      <w:r w:rsidRPr="008333CA">
        <w:t xml:space="preserve"> and relevant for specific groups including First Australians, people from Culturally and Linguistically Diverse </w:t>
      </w:r>
      <w:r w:rsidR="009F6EA9" w:rsidRPr="008333CA">
        <w:t xml:space="preserve">communities </w:t>
      </w:r>
      <w:r w:rsidRPr="008333CA">
        <w:t>and people who identify as LGBTIQ+</w:t>
      </w:r>
      <w:r w:rsidR="00A61EE9" w:rsidRPr="008333CA">
        <w:t>.</w:t>
      </w:r>
    </w:p>
    <w:p w14:paraId="672B1D69" w14:textId="78E166AC" w:rsidR="00B96A30" w:rsidRPr="008333CA" w:rsidRDefault="00B96A30" w:rsidP="002828F3">
      <w:pPr>
        <w:pStyle w:val="ListBullet"/>
      </w:pPr>
      <w:r w:rsidRPr="008333CA">
        <w:rPr>
          <w:rStyle w:val="Strong"/>
        </w:rPr>
        <w:t>Strengths</w:t>
      </w:r>
      <w:r w:rsidR="00A61EE9" w:rsidRPr="008333CA">
        <w:rPr>
          <w:rStyle w:val="Strong"/>
        </w:rPr>
        <w:t>-</w:t>
      </w:r>
      <w:r w:rsidRPr="008333CA">
        <w:rPr>
          <w:rStyle w:val="Strong"/>
        </w:rPr>
        <w:t>based:</w:t>
      </w:r>
      <w:r w:rsidRPr="008333CA">
        <w:t xml:space="preserve"> Services should focus on the strengths, </w:t>
      </w:r>
      <w:proofErr w:type="gramStart"/>
      <w:r w:rsidRPr="008333CA">
        <w:t>abilities</w:t>
      </w:r>
      <w:proofErr w:type="gramEnd"/>
      <w:r w:rsidRPr="008333CA">
        <w:t xml:space="preserve"> and resources of consumers to build resilience and increase capabilities and wellbeing through social and environmental opportunities.</w:t>
      </w:r>
    </w:p>
    <w:p w14:paraId="7C143EE6" w14:textId="6AE02F04" w:rsidR="00B96A30" w:rsidRPr="008333CA" w:rsidRDefault="00B96A30" w:rsidP="002828F3">
      <w:pPr>
        <w:pStyle w:val="ListBullet"/>
      </w:pPr>
      <w:r w:rsidRPr="008333CA">
        <w:rPr>
          <w:rStyle w:val="Strong"/>
        </w:rPr>
        <w:t>Trauma</w:t>
      </w:r>
      <w:r w:rsidR="00A61EE9" w:rsidRPr="008333CA">
        <w:rPr>
          <w:rStyle w:val="Strong"/>
        </w:rPr>
        <w:t>-</w:t>
      </w:r>
      <w:r w:rsidRPr="008333CA">
        <w:rPr>
          <w:rStyle w:val="Strong"/>
        </w:rPr>
        <w:t>informed:</w:t>
      </w:r>
      <w:r w:rsidRPr="008333CA">
        <w:t xml:space="preserve"> Services will be delivered under a trauma</w:t>
      </w:r>
      <w:r w:rsidR="00A61EE9" w:rsidRPr="008333CA">
        <w:t>-</w:t>
      </w:r>
      <w:r w:rsidRPr="008333CA">
        <w:t xml:space="preserve">informed framework promoting safety, trust, choice, collaboration, </w:t>
      </w:r>
      <w:proofErr w:type="gramStart"/>
      <w:r w:rsidRPr="008333CA">
        <w:t>respect</w:t>
      </w:r>
      <w:proofErr w:type="gramEnd"/>
      <w:r w:rsidRPr="008333CA">
        <w:t xml:space="preserve"> and empowerment.</w:t>
      </w:r>
    </w:p>
    <w:p w14:paraId="2FBE0421" w14:textId="18FF5DE4" w:rsidR="00B96A30" w:rsidRPr="008333CA" w:rsidRDefault="00B96A30" w:rsidP="002828F3">
      <w:pPr>
        <w:pStyle w:val="ListBullet"/>
      </w:pPr>
      <w:r w:rsidRPr="008333CA">
        <w:rPr>
          <w:rStyle w:val="Strong"/>
        </w:rPr>
        <w:t>Complementary to existing service systems:</w:t>
      </w:r>
      <w:r w:rsidRPr="008333CA">
        <w:t xml:space="preserve"> Service providers should build and maintain strong linkages and partnerships with local health</w:t>
      </w:r>
      <w:r w:rsidR="00A61EE9" w:rsidRPr="008333CA">
        <w:t xml:space="preserve"> </w:t>
      </w:r>
      <w:r w:rsidRPr="008333CA">
        <w:t>and social services to streamline referral pathways, facilitate services for consumers</w:t>
      </w:r>
      <w:r w:rsidR="00A61EE9" w:rsidRPr="008333CA">
        <w:t>,</w:t>
      </w:r>
      <w:r w:rsidRPr="008333CA">
        <w:t xml:space="preserve"> and build complementary support systems.</w:t>
      </w:r>
    </w:p>
    <w:p w14:paraId="27B12228" w14:textId="3432C87B" w:rsidR="00B96A30" w:rsidRPr="008333CA" w:rsidRDefault="00B96A30" w:rsidP="002828F3">
      <w:pPr>
        <w:pStyle w:val="ListBullet"/>
      </w:pPr>
      <w:r w:rsidRPr="008333CA">
        <w:rPr>
          <w:rStyle w:val="Strong"/>
        </w:rPr>
        <w:t>Clinically integrated:</w:t>
      </w:r>
      <w:r w:rsidRPr="008333CA">
        <w:t xml:space="preserve"> Service providers </w:t>
      </w:r>
      <w:r w:rsidR="00A61EE9" w:rsidRPr="008333CA">
        <w:t xml:space="preserve">should </w:t>
      </w:r>
      <w:r w:rsidRPr="008333CA">
        <w:t>ensure consumers have opportunities to improve their mental health outcomes, including access to clinical mental health services. Service providers can assist consumers with accessing these services and</w:t>
      </w:r>
      <w:r w:rsidR="00320F15" w:rsidRPr="008333CA">
        <w:t xml:space="preserve"> engage in a multi</w:t>
      </w:r>
      <w:r w:rsidR="00320F15" w:rsidRPr="008333CA">
        <w:noBreakHyphen/>
      </w:r>
      <w:r w:rsidRPr="008333CA">
        <w:t>agency care team approach to ensure integrated and holistic service delivery.</w:t>
      </w:r>
    </w:p>
    <w:p w14:paraId="092496BA" w14:textId="79380CC7" w:rsidR="00B96A30" w:rsidRPr="0030195D" w:rsidRDefault="001D6009" w:rsidP="00400749">
      <w:pPr>
        <w:pStyle w:val="Heading2"/>
      </w:pPr>
      <w:bookmarkStart w:id="35" w:name="_Toc176348941"/>
      <w:bookmarkStart w:id="36" w:name="_Toc176503520"/>
      <w:r>
        <w:t>A</w:t>
      </w:r>
      <w:r w:rsidR="00B96A30" w:rsidRPr="0030195D">
        <w:t>rrangements for reporting and data</w:t>
      </w:r>
      <w:bookmarkEnd w:id="35"/>
      <w:bookmarkEnd w:id="36"/>
      <w:r w:rsidR="00B96A30" w:rsidRPr="0030195D">
        <w:t xml:space="preserve"> </w:t>
      </w:r>
    </w:p>
    <w:p w14:paraId="6D37B170" w14:textId="716AD79A" w:rsidR="003B129A" w:rsidRPr="008333CA" w:rsidRDefault="00143D29" w:rsidP="008333CA">
      <w:r w:rsidRPr="008333CA">
        <w:t>Specific data collection requirements for the Program will be set out in funding schedules. PHNs will provide</w:t>
      </w:r>
      <w:r w:rsidR="003B129A" w:rsidRPr="008333CA">
        <w:t>:</w:t>
      </w:r>
      <w:r w:rsidRPr="008333CA">
        <w:t xml:space="preserve"> </w:t>
      </w:r>
    </w:p>
    <w:p w14:paraId="30419D0B" w14:textId="1C9A507D" w:rsidR="003B129A" w:rsidRPr="00002AC3" w:rsidRDefault="00143D29" w:rsidP="008333CA">
      <w:pPr>
        <w:pStyle w:val="ListBullet"/>
      </w:pPr>
      <w:r w:rsidRPr="00002AC3">
        <w:t xml:space="preserve">service and outcome data provided through </w:t>
      </w:r>
      <w:r w:rsidR="00B96A30" w:rsidRPr="00002AC3">
        <w:t>the Primary Mental Health Care Minimum Data Set (PMHC</w:t>
      </w:r>
      <w:r w:rsidR="00B96A30" w:rsidRPr="00002AC3">
        <w:noBreakHyphen/>
        <w:t>MDS)</w:t>
      </w:r>
      <w:r w:rsidR="007A3A9C">
        <w:t>; and</w:t>
      </w:r>
    </w:p>
    <w:p w14:paraId="021676EE" w14:textId="4DBA02A2" w:rsidR="003B129A" w:rsidRPr="002828F3" w:rsidRDefault="00B96A30" w:rsidP="008333CA">
      <w:pPr>
        <w:pStyle w:val="ListBullet"/>
      </w:pPr>
      <w:r w:rsidRPr="00002AC3">
        <w:t xml:space="preserve">12-month reports via the </w:t>
      </w:r>
      <w:r w:rsidRPr="008333CA">
        <w:rPr>
          <w:rStyle w:val="Emphasis"/>
        </w:rPr>
        <w:t>Primary Health Networks Program Electronic Reporting System</w:t>
      </w:r>
      <w:r w:rsidRPr="00002AC3">
        <w:t xml:space="preserve"> (PPERs), </w:t>
      </w:r>
      <w:r w:rsidR="00A61EE9" w:rsidRPr="00002AC3">
        <w:t>taking</w:t>
      </w:r>
      <w:r w:rsidRPr="00002AC3">
        <w:t xml:space="preserve"> a targeted approach to capturing information pertinent to understanding effectiveness measures and areas of improvement.</w:t>
      </w:r>
    </w:p>
    <w:p w14:paraId="577F7C57" w14:textId="6A300EEE" w:rsidR="003B129A" w:rsidRPr="008333CA" w:rsidRDefault="003B129A" w:rsidP="008333CA">
      <w:r w:rsidRPr="008333CA">
        <w:t>Information on testing and retesting support and exits to the NDIS will be captured in the 12</w:t>
      </w:r>
      <w:r w:rsidR="00C74E01" w:rsidRPr="008333CA">
        <w:noBreakHyphen/>
      </w:r>
      <w:r w:rsidRPr="008333CA">
        <w:t>month reports provided by PHNs.</w:t>
      </w:r>
    </w:p>
    <w:p w14:paraId="620F2599" w14:textId="50B9A6D0" w:rsidR="00B96A30" w:rsidRPr="002828F3" w:rsidRDefault="00B96A30" w:rsidP="002828F3">
      <w:r w:rsidRPr="002828F3">
        <w:t xml:space="preserve">The Department will continue to monitor the data collected to measure the effectiveness of the </w:t>
      </w:r>
      <w:r w:rsidR="00A61EE9" w:rsidRPr="002828F3">
        <w:t>P</w:t>
      </w:r>
      <w:r w:rsidRPr="002828F3">
        <w:t>rogram.</w:t>
      </w:r>
    </w:p>
    <w:p w14:paraId="7A2236C5" w14:textId="77777777" w:rsidR="00B96A30" w:rsidRPr="00A61EE9" w:rsidRDefault="00B96A30" w:rsidP="002828F3">
      <w:pPr>
        <w:pStyle w:val="Heading3"/>
      </w:pPr>
      <w:r w:rsidRPr="0030195D">
        <w:t>Critical Incident Reporting</w:t>
      </w:r>
    </w:p>
    <w:p w14:paraId="01874748" w14:textId="77777777" w:rsidR="002828F3" w:rsidRPr="002828F3" w:rsidRDefault="00B96A30" w:rsidP="002828F3">
      <w:r w:rsidRPr="002828F3">
        <w:t xml:space="preserve">PHNs must ensure that all critical incidence reporting is included. They should inform the Department of critical incidents such as serious complaints, unnatural death of a consumer, </w:t>
      </w:r>
      <w:proofErr w:type="gramStart"/>
      <w:r w:rsidRPr="002828F3">
        <w:t>staff</w:t>
      </w:r>
      <w:proofErr w:type="gramEnd"/>
      <w:r w:rsidRPr="002828F3">
        <w:t xml:space="preserve"> or carers. PHNs may be asked to provide further information. </w:t>
      </w:r>
    </w:p>
    <w:p w14:paraId="63924DCE" w14:textId="2F078CBF" w:rsidR="00B96A30" w:rsidRPr="002828F3" w:rsidRDefault="00B96A30" w:rsidP="002828F3">
      <w:r w:rsidRPr="002828F3">
        <w:t xml:space="preserve">PHNs </w:t>
      </w:r>
      <w:r w:rsidR="00143D29" w:rsidRPr="002828F3">
        <w:t>should</w:t>
      </w:r>
      <w:r w:rsidRPr="002828F3">
        <w:t xml:space="preserve"> analyse critical incident information to inform service improvement through the implementation of preventative measures and responses to adverse events.</w:t>
      </w:r>
      <w:r w:rsidRPr="0030195D">
        <w:rPr>
          <w:vanish/>
        </w:rPr>
        <w:br w:type="page"/>
      </w:r>
    </w:p>
    <w:p w14:paraId="7EBFC6F3" w14:textId="77777777" w:rsidR="00205A93" w:rsidRPr="0030195D" w:rsidRDefault="00205A93" w:rsidP="00CF14A6">
      <w:pPr>
        <w:pStyle w:val="Paragraphtext"/>
        <w:sectPr w:rsidR="00205A93" w:rsidRPr="0030195D" w:rsidSect="00C74E01">
          <w:headerReference w:type="even" r:id="rId14"/>
          <w:headerReference w:type="default" r:id="rId15"/>
          <w:footerReference w:type="even" r:id="rId16"/>
          <w:footerReference w:type="default" r:id="rId17"/>
          <w:headerReference w:type="first" r:id="rId18"/>
          <w:footerReference w:type="first" r:id="rId19"/>
          <w:pgSz w:w="11906" w:h="16838"/>
          <w:pgMar w:top="1276" w:right="1418" w:bottom="1702" w:left="1418" w:header="709" w:footer="709" w:gutter="0"/>
          <w:cols w:space="708"/>
          <w:docGrid w:linePitch="360"/>
        </w:sectPr>
      </w:pPr>
    </w:p>
    <w:p w14:paraId="1E4066CB" w14:textId="77777777" w:rsidR="00205A93" w:rsidRPr="0030195D" w:rsidRDefault="00205A93" w:rsidP="00205A93">
      <w:pPr>
        <w:pStyle w:val="URL"/>
      </w:pPr>
      <w:r w:rsidRPr="0030195D">
        <w:lastRenderedPageBreak/>
        <w:t>Health.gov.au</w:t>
      </w:r>
    </w:p>
    <w:p w14:paraId="27B43FCE" w14:textId="2C40F276" w:rsidR="00205A93" w:rsidRPr="002828F3" w:rsidRDefault="00205A93" w:rsidP="002828F3">
      <w:pPr>
        <w:pStyle w:val="Paragraphtext"/>
      </w:pPr>
      <w:r w:rsidRPr="002828F3">
        <w:t xml:space="preserve">All information in this publication is correct as </w:t>
      </w:r>
      <w:proofErr w:type="gramStart"/>
      <w:r w:rsidRPr="002828F3">
        <w:t>at</w:t>
      </w:r>
      <w:proofErr w:type="gramEnd"/>
      <w:r w:rsidRPr="002828F3">
        <w:t xml:space="preserve"> </w:t>
      </w:r>
      <w:r w:rsidR="00E7637D" w:rsidRPr="002828F3">
        <w:t>4</w:t>
      </w:r>
      <w:r w:rsidR="00EE462F" w:rsidRPr="002828F3">
        <w:t xml:space="preserve"> </w:t>
      </w:r>
      <w:r w:rsidR="00E7637D" w:rsidRPr="002828F3">
        <w:t>September</w:t>
      </w:r>
      <w:r w:rsidR="00D8168A" w:rsidRPr="002828F3">
        <w:t xml:space="preserve"> 2024</w:t>
      </w:r>
    </w:p>
    <w:sectPr w:rsidR="00205A93" w:rsidRPr="002828F3" w:rsidSect="00205A93">
      <w:headerReference w:type="default" r:id="rId20"/>
      <w:footerReference w:type="default" r:id="rId2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82FA" w14:textId="77777777" w:rsidR="00F219D3" w:rsidRDefault="00F219D3" w:rsidP="006B56BB">
      <w:r>
        <w:separator/>
      </w:r>
    </w:p>
    <w:p w14:paraId="0D835F81" w14:textId="77777777" w:rsidR="00F219D3" w:rsidRDefault="00F219D3"/>
  </w:endnote>
  <w:endnote w:type="continuationSeparator" w:id="0">
    <w:p w14:paraId="3223FB0C" w14:textId="77777777" w:rsidR="00F219D3" w:rsidRDefault="00F219D3" w:rsidP="006B56BB">
      <w:r>
        <w:continuationSeparator/>
      </w:r>
    </w:p>
    <w:p w14:paraId="2962C042" w14:textId="77777777" w:rsidR="00F219D3" w:rsidRDefault="00F219D3"/>
  </w:endnote>
  <w:endnote w:type="continuationNotice" w:id="1">
    <w:p w14:paraId="7600FC79" w14:textId="77777777" w:rsidR="00F219D3" w:rsidRDefault="00F2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24DC" w14:textId="62DDEFEC" w:rsidR="001F5F3E" w:rsidRDefault="001F5F3E" w:rsidP="00320F15">
    <w:pPr>
      <w:pStyle w:val="Footer"/>
    </w:pPr>
    <w:r>
      <w:fldChar w:fldCharType="begin"/>
    </w:r>
    <w:r>
      <w:instrText xml:space="preserve"> PAGE   \* MERGEFORMAT </w:instrText>
    </w:r>
    <w:r>
      <w:fldChar w:fldCharType="separate"/>
    </w:r>
    <w:r w:rsidR="00BF512F">
      <w:rPr>
        <w:noProof/>
      </w:rPr>
      <w:t>14</w:t>
    </w:r>
    <w:r>
      <w:rPr>
        <w:noProof/>
      </w:rPr>
      <w:fldChar w:fldCharType="end"/>
    </w:r>
    <w:r w:rsidRPr="000D56E4">
      <w:tab/>
    </w:r>
    <w:r>
      <w:t>Commonwealth Psychosocial Support: Program Guidance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6DF9911" w14:textId="2675162D" w:rsidR="001F5F3E" w:rsidRDefault="001F5F3E" w:rsidP="008932FE">
        <w:pPr>
          <w:pStyle w:val="Footer"/>
        </w:pPr>
        <w:r>
          <w:fldChar w:fldCharType="begin"/>
        </w:r>
        <w:r>
          <w:instrText xml:space="preserve"> PAGE   \* MERGEFORMAT </w:instrText>
        </w:r>
        <w:r>
          <w:fldChar w:fldCharType="separate"/>
        </w:r>
        <w:r w:rsidR="00BF512F">
          <w:rPr>
            <w:noProof/>
          </w:rPr>
          <w:t>13</w:t>
        </w:r>
        <w:r>
          <w:rPr>
            <w:noProof/>
          </w:rPr>
          <w:fldChar w:fldCharType="end"/>
        </w:r>
        <w:r w:rsidRPr="000D56E4">
          <w:tab/>
        </w:r>
        <w:r>
          <w:t>Commonwealth Psychosocial Support: Program Guidance</w:t>
        </w:r>
      </w:p>
      <w:p w14:paraId="00340F7B" w14:textId="7784629D" w:rsidR="001F5F3E" w:rsidRDefault="00000000" w:rsidP="00C5074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548DC7E5" w14:textId="77777777" w:rsidR="001F5F3E" w:rsidRDefault="001F5F3E"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49CC" w14:textId="77777777" w:rsidR="001F5F3E" w:rsidRDefault="001F5F3E"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4089" w14:textId="77777777" w:rsidR="00F219D3" w:rsidRDefault="00F219D3" w:rsidP="002828F3">
      <w:r>
        <w:separator/>
      </w:r>
    </w:p>
  </w:footnote>
  <w:footnote w:type="continuationSeparator" w:id="0">
    <w:p w14:paraId="7060D2A1" w14:textId="77777777" w:rsidR="00F219D3" w:rsidRDefault="00F219D3" w:rsidP="006B56BB">
      <w:r>
        <w:continuationSeparator/>
      </w:r>
    </w:p>
    <w:p w14:paraId="4D7D7016" w14:textId="77777777" w:rsidR="00F219D3" w:rsidRDefault="00F219D3"/>
  </w:footnote>
  <w:footnote w:type="continuationNotice" w:id="1">
    <w:p w14:paraId="57F1A6D8" w14:textId="77777777" w:rsidR="00F219D3" w:rsidRDefault="00F219D3"/>
  </w:footnote>
  <w:footnote w:id="2">
    <w:p w14:paraId="3ECDBCD1" w14:textId="77777777" w:rsidR="001F5F3E" w:rsidRDefault="001F5F3E" w:rsidP="00F9777C">
      <w:pPr>
        <w:pStyle w:val="FootnoteText"/>
      </w:pPr>
      <w:r>
        <w:rPr>
          <w:rStyle w:val="FootnoteReference"/>
        </w:rPr>
        <w:footnoteRef/>
      </w:r>
      <w:r>
        <w:t xml:space="preserve"> Productivity Commission 2020, </w:t>
      </w:r>
      <w:r>
        <w:rPr>
          <w:i/>
          <w:iCs/>
        </w:rPr>
        <w:t>Mental Health</w:t>
      </w:r>
      <w:r>
        <w:t>, Report no. 95, Canberra – Volume 3, Chapter 17</w:t>
      </w:r>
    </w:p>
  </w:footnote>
  <w:footnote w:id="3">
    <w:p w14:paraId="75D17D15" w14:textId="77777777" w:rsidR="001F5F3E" w:rsidRDefault="001F5F3E" w:rsidP="00F9777C">
      <w:pPr>
        <w:pStyle w:val="FootnoteText"/>
      </w:pPr>
      <w:r>
        <w:rPr>
          <w:rStyle w:val="FootnoteReference"/>
        </w:rPr>
        <w:footnoteRef/>
      </w:r>
      <w:r>
        <w:t xml:space="preserve"> </w:t>
      </w:r>
      <w:r w:rsidRPr="005D46A6">
        <w:rPr>
          <w:i/>
        </w:rPr>
        <w:t xml:space="preserve">A </w:t>
      </w:r>
      <w:r>
        <w:rPr>
          <w:i/>
        </w:rPr>
        <w:t>N</w:t>
      </w:r>
      <w:r w:rsidRPr="005D46A6">
        <w:rPr>
          <w:i/>
        </w:rPr>
        <w:t xml:space="preserve">ational </w:t>
      </w:r>
      <w:r>
        <w:rPr>
          <w:i/>
        </w:rPr>
        <w:t>F</w:t>
      </w:r>
      <w:r w:rsidRPr="005D46A6">
        <w:rPr>
          <w:i/>
        </w:rPr>
        <w:t xml:space="preserve">ramework for </w:t>
      </w:r>
      <w:r>
        <w:rPr>
          <w:i/>
        </w:rPr>
        <w:t>R</w:t>
      </w:r>
      <w:r w:rsidRPr="005D46A6">
        <w:rPr>
          <w:i/>
        </w:rPr>
        <w:t>ecovery</w:t>
      </w:r>
      <w:r>
        <w:rPr>
          <w:i/>
        </w:rPr>
        <w:t>-O</w:t>
      </w:r>
      <w:r w:rsidRPr="005D46A6">
        <w:rPr>
          <w:i/>
        </w:rPr>
        <w:t xml:space="preserve">riented </w:t>
      </w:r>
      <w:r>
        <w:rPr>
          <w:i/>
        </w:rPr>
        <w:t>M</w:t>
      </w:r>
      <w:r w:rsidRPr="005D46A6">
        <w:rPr>
          <w:i/>
        </w:rPr>
        <w:t xml:space="preserve">ental </w:t>
      </w:r>
      <w:r>
        <w:rPr>
          <w:i/>
        </w:rPr>
        <w:t>H</w:t>
      </w:r>
      <w:r w:rsidRPr="005D46A6">
        <w:rPr>
          <w:i/>
        </w:rPr>
        <w:t xml:space="preserve">ealth </w:t>
      </w:r>
      <w:r>
        <w:rPr>
          <w:i/>
        </w:rPr>
        <w:t>S</w:t>
      </w:r>
      <w:r w:rsidRPr="005D46A6">
        <w:rPr>
          <w:i/>
        </w:rPr>
        <w:t>ervices: Policy and theory</w:t>
      </w:r>
      <w:r>
        <w:t>, Commonwealth of Australia, 2013</w:t>
      </w:r>
    </w:p>
  </w:footnote>
  <w:footnote w:id="4">
    <w:p w14:paraId="5BE3F891" w14:textId="77777777" w:rsidR="001F5F3E" w:rsidRDefault="001F5F3E" w:rsidP="0040657B">
      <w:pPr>
        <w:pStyle w:val="FootnoteText"/>
      </w:pPr>
      <w:r>
        <w:rPr>
          <w:rStyle w:val="FootnoteReference"/>
        </w:rPr>
        <w:footnoteRef/>
      </w:r>
      <w:r>
        <w:t xml:space="preserve"> </w:t>
      </w:r>
      <w:r w:rsidRPr="00320F15">
        <w:rPr>
          <w:rFonts w:cs="Arial"/>
        </w:rPr>
        <w:t>Budget 2021-22: Health Portfolio Budget Statements, p. 24</w:t>
      </w:r>
    </w:p>
  </w:footnote>
  <w:footnote w:id="5">
    <w:p w14:paraId="2BB89CE2" w14:textId="0216493B" w:rsidR="00266D0B" w:rsidRDefault="00266D0B">
      <w:pPr>
        <w:pStyle w:val="FootnoteText"/>
      </w:pPr>
      <w:r>
        <w:rPr>
          <w:rStyle w:val="FootnoteReference"/>
        </w:rPr>
        <w:footnoteRef/>
      </w:r>
      <w:r>
        <w:t xml:space="preserve"> </w:t>
      </w:r>
      <w:r w:rsidR="00721C7F" w:rsidRPr="00721C7F">
        <w:t>Stakeholder pack – Budget 2023–24</w:t>
      </w:r>
      <w:r w:rsidR="00721C7F">
        <w:t xml:space="preserve">, </w:t>
      </w:r>
      <w:r w:rsidR="002A3702">
        <w:t>p. 31</w:t>
      </w:r>
    </w:p>
  </w:footnote>
  <w:footnote w:id="6">
    <w:p w14:paraId="43413634" w14:textId="7D2E6BB4" w:rsidR="001F5F3E" w:rsidRDefault="001F5F3E" w:rsidP="00B96A30">
      <w:pPr>
        <w:pStyle w:val="FootnoteText"/>
      </w:pPr>
      <w:r>
        <w:rPr>
          <w:rStyle w:val="FootnoteReference"/>
        </w:rPr>
        <w:footnoteRef/>
      </w:r>
      <w:r w:rsidR="005C247D">
        <w:t xml:space="preserve"> </w:t>
      </w:r>
      <w:r w:rsidRPr="00320F15">
        <w:t xml:space="preserve">Evaluation of National Psychosocial Support Programs, </w:t>
      </w:r>
      <w:r w:rsidRPr="00320F15">
        <w:rPr>
          <w:i/>
        </w:rPr>
        <w:t>Voices of Lived Experience findings</w:t>
      </w:r>
      <w:r w:rsidRPr="00320F15">
        <w:t xml:space="preserve"> - University of Sydney, 2020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84D4" w14:textId="77777777" w:rsidR="001F5F3E" w:rsidRDefault="001F5F3E" w:rsidP="008E0C77">
    <w:pPr>
      <w:pStyle w:val="Headertext"/>
      <w:spacing w:after="180"/>
      <w:jc w:val="left"/>
    </w:pPr>
    <w:r>
      <w:rPr>
        <w:noProof/>
        <w:lang w:eastAsia="en-AU"/>
      </w:rPr>
      <w:drawing>
        <wp:anchor distT="0" distB="0" distL="114300" distR="114300" simplePos="0" relativeHeight="251658240" behindDoc="1" locked="0" layoutInCell="1" allowOverlap="1" wp14:anchorId="0865A76F" wp14:editId="3ED50DFD">
          <wp:simplePos x="0" y="0"/>
          <wp:positionH relativeFrom="page">
            <wp:align>center</wp:align>
          </wp:positionH>
          <wp:positionV relativeFrom="page">
            <wp:align>center</wp:align>
          </wp:positionV>
          <wp:extent cx="7560000" cy="10692000"/>
          <wp:effectExtent l="0" t="0" r="3175" b="0"/>
          <wp:wrapNone/>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B6BF" w14:textId="614B422F" w:rsidR="001F5F3E" w:rsidRDefault="001F5F3E" w:rsidP="00205A93">
    <w:pPr>
      <w:pStyle w:val="Header"/>
      <w:tabs>
        <w:tab w:val="clear" w:pos="4513"/>
        <w:tab w:val="clear" w:pos="9026"/>
        <w:tab w:val="center" w:pos="45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D94B" w14:textId="77777777" w:rsidR="001F5F3E" w:rsidRPr="0072091A" w:rsidRDefault="001F5F3E" w:rsidP="00720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D0E2" w14:textId="72524F4C" w:rsidR="001F5F3E" w:rsidRPr="008333CA" w:rsidRDefault="001F5F3E" w:rsidP="008333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76EC" w14:textId="77777777" w:rsidR="001F5F3E" w:rsidRDefault="001F5F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0E26" w14:textId="77777777" w:rsidR="001F5F3E" w:rsidRDefault="001F5F3E" w:rsidP="008E0C77">
    <w:pPr>
      <w:pStyle w:val="Headertext"/>
      <w:spacing w:after="180"/>
      <w:jc w:val="left"/>
    </w:pPr>
    <w:r>
      <w:rPr>
        <w:noProof/>
        <w:lang w:eastAsia="en-AU"/>
      </w:rPr>
      <w:drawing>
        <wp:anchor distT="0" distB="0" distL="114300" distR="114300" simplePos="0" relativeHeight="251658241" behindDoc="1" locked="0" layoutInCell="1" allowOverlap="1" wp14:anchorId="02648B4C" wp14:editId="6604025F">
          <wp:simplePos x="0" y="0"/>
          <wp:positionH relativeFrom="page">
            <wp:posOffset>0</wp:posOffset>
          </wp:positionH>
          <wp:positionV relativeFrom="page">
            <wp:posOffset>3458210</wp:posOffset>
          </wp:positionV>
          <wp:extent cx="7559040" cy="7232650"/>
          <wp:effectExtent l="0" t="0" r="3810" b="6350"/>
          <wp:wrapNone/>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B6261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3C6A7A"/>
    <w:multiLevelType w:val="hybridMultilevel"/>
    <w:tmpl w:val="32E6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A85031"/>
    <w:multiLevelType w:val="hybridMultilevel"/>
    <w:tmpl w:val="50AE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51411C"/>
    <w:multiLevelType w:val="hybridMultilevel"/>
    <w:tmpl w:val="16340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E4E36"/>
    <w:multiLevelType w:val="hybridMultilevel"/>
    <w:tmpl w:val="701A3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822D2"/>
    <w:multiLevelType w:val="hybridMultilevel"/>
    <w:tmpl w:val="15F0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D25A0F"/>
    <w:multiLevelType w:val="hybridMultilevel"/>
    <w:tmpl w:val="5AB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265ABF"/>
    <w:multiLevelType w:val="hybridMultilevel"/>
    <w:tmpl w:val="3A7AA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8F3F0A"/>
    <w:multiLevelType w:val="hybridMultilevel"/>
    <w:tmpl w:val="599E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42708"/>
    <w:multiLevelType w:val="hybridMultilevel"/>
    <w:tmpl w:val="52F2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73A7A"/>
    <w:multiLevelType w:val="hybridMultilevel"/>
    <w:tmpl w:val="2FEE3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A10679"/>
    <w:multiLevelType w:val="hybridMultilevel"/>
    <w:tmpl w:val="F4864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A60AB"/>
    <w:multiLevelType w:val="hybridMultilevel"/>
    <w:tmpl w:val="9422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2194F"/>
    <w:multiLevelType w:val="hybridMultilevel"/>
    <w:tmpl w:val="3998F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6B6AAE"/>
    <w:multiLevelType w:val="hybridMultilevel"/>
    <w:tmpl w:val="E36E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32440C"/>
    <w:multiLevelType w:val="hybridMultilevel"/>
    <w:tmpl w:val="08DE9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12E75"/>
    <w:multiLevelType w:val="hybridMultilevel"/>
    <w:tmpl w:val="1190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23B44"/>
    <w:multiLevelType w:val="hybridMultilevel"/>
    <w:tmpl w:val="E47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572667"/>
    <w:multiLevelType w:val="hybridMultilevel"/>
    <w:tmpl w:val="F246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BD7617B"/>
    <w:multiLevelType w:val="hybridMultilevel"/>
    <w:tmpl w:val="C73003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A451B5"/>
    <w:multiLevelType w:val="hybridMultilevel"/>
    <w:tmpl w:val="62CECDB6"/>
    <w:lvl w:ilvl="0" w:tplc="CCC4026C">
      <w:start w:val="1"/>
      <w:numFmt w:val="decimal"/>
      <w:lvlText w:val="%1."/>
      <w:lvlJc w:val="left"/>
      <w:pPr>
        <w:ind w:left="360" w:hanging="360"/>
      </w:pPr>
      <w:rPr>
        <w:rFonts w:hint="default"/>
      </w:rPr>
    </w:lvl>
    <w:lvl w:ilvl="1" w:tplc="3F40CDEC">
      <w:start w:val="1"/>
      <w:numFmt w:val="bullet"/>
      <w:lvlText w:val=""/>
      <w:lvlJc w:val="left"/>
      <w:pPr>
        <w:ind w:left="1440" w:hanging="720"/>
      </w:pPr>
      <w:rPr>
        <w:rFonts w:ascii="Symbol" w:hAnsi="Symbol" w:hint="default"/>
      </w:rPr>
    </w:lvl>
    <w:lvl w:ilvl="2" w:tplc="76D65640" w:tentative="1">
      <w:start w:val="1"/>
      <w:numFmt w:val="lowerRoman"/>
      <w:lvlText w:val="%3."/>
      <w:lvlJc w:val="right"/>
      <w:pPr>
        <w:ind w:left="1800" w:hanging="180"/>
      </w:pPr>
    </w:lvl>
    <w:lvl w:ilvl="3" w:tplc="2A902108" w:tentative="1">
      <w:start w:val="1"/>
      <w:numFmt w:val="decimal"/>
      <w:lvlText w:val="%4."/>
      <w:lvlJc w:val="left"/>
      <w:pPr>
        <w:ind w:left="2520" w:hanging="360"/>
      </w:pPr>
    </w:lvl>
    <w:lvl w:ilvl="4" w:tplc="9006C3CE" w:tentative="1">
      <w:start w:val="1"/>
      <w:numFmt w:val="lowerLetter"/>
      <w:lvlText w:val="%5."/>
      <w:lvlJc w:val="left"/>
      <w:pPr>
        <w:ind w:left="3240" w:hanging="360"/>
      </w:pPr>
    </w:lvl>
    <w:lvl w:ilvl="5" w:tplc="7180DD96" w:tentative="1">
      <w:start w:val="1"/>
      <w:numFmt w:val="lowerRoman"/>
      <w:lvlText w:val="%6."/>
      <w:lvlJc w:val="right"/>
      <w:pPr>
        <w:ind w:left="3960" w:hanging="180"/>
      </w:pPr>
    </w:lvl>
    <w:lvl w:ilvl="6" w:tplc="850A381C" w:tentative="1">
      <w:start w:val="1"/>
      <w:numFmt w:val="decimal"/>
      <w:lvlText w:val="%7."/>
      <w:lvlJc w:val="left"/>
      <w:pPr>
        <w:ind w:left="4680" w:hanging="360"/>
      </w:pPr>
    </w:lvl>
    <w:lvl w:ilvl="7" w:tplc="1D408E6A" w:tentative="1">
      <w:start w:val="1"/>
      <w:numFmt w:val="lowerLetter"/>
      <w:lvlText w:val="%8."/>
      <w:lvlJc w:val="left"/>
      <w:pPr>
        <w:ind w:left="5400" w:hanging="360"/>
      </w:pPr>
    </w:lvl>
    <w:lvl w:ilvl="8" w:tplc="1A800BCC" w:tentative="1">
      <w:start w:val="1"/>
      <w:numFmt w:val="lowerRoman"/>
      <w:lvlText w:val="%9."/>
      <w:lvlJc w:val="right"/>
      <w:pPr>
        <w:ind w:left="6120" w:hanging="180"/>
      </w:pPr>
    </w:lvl>
  </w:abstractNum>
  <w:abstractNum w:abstractNumId="38" w15:restartNumberingAfterBreak="0">
    <w:nsid w:val="723B0B55"/>
    <w:multiLevelType w:val="hybridMultilevel"/>
    <w:tmpl w:val="CDEA0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60849948">
    <w:abstractNumId w:val="7"/>
  </w:num>
  <w:num w:numId="2" w16cid:durableId="394087643">
    <w:abstractNumId w:val="28"/>
  </w:num>
  <w:num w:numId="3" w16cid:durableId="1965043484">
    <w:abstractNumId w:val="36"/>
  </w:num>
  <w:num w:numId="4" w16cid:durableId="280117834">
    <w:abstractNumId w:val="9"/>
  </w:num>
  <w:num w:numId="5" w16cid:durableId="179395097">
    <w:abstractNumId w:val="9"/>
    <w:lvlOverride w:ilvl="0">
      <w:startOverride w:val="1"/>
    </w:lvlOverride>
  </w:num>
  <w:num w:numId="6" w16cid:durableId="502430485">
    <w:abstractNumId w:val="11"/>
  </w:num>
  <w:num w:numId="7" w16cid:durableId="1951273615">
    <w:abstractNumId w:val="24"/>
  </w:num>
  <w:num w:numId="8" w16cid:durableId="645165739">
    <w:abstractNumId w:val="34"/>
  </w:num>
  <w:num w:numId="9" w16cid:durableId="1670451415">
    <w:abstractNumId w:val="5"/>
  </w:num>
  <w:num w:numId="10" w16cid:durableId="923029067">
    <w:abstractNumId w:val="4"/>
  </w:num>
  <w:num w:numId="11" w16cid:durableId="1621305104">
    <w:abstractNumId w:val="3"/>
  </w:num>
  <w:num w:numId="12" w16cid:durableId="307367474">
    <w:abstractNumId w:val="2"/>
  </w:num>
  <w:num w:numId="13" w16cid:durableId="1126124121">
    <w:abstractNumId w:val="6"/>
  </w:num>
  <w:num w:numId="14" w16cid:durableId="147475707">
    <w:abstractNumId w:val="1"/>
  </w:num>
  <w:num w:numId="15" w16cid:durableId="494690690">
    <w:abstractNumId w:val="0"/>
  </w:num>
  <w:num w:numId="16" w16cid:durableId="313267321">
    <w:abstractNumId w:val="39"/>
  </w:num>
  <w:num w:numId="17" w16cid:durableId="388117759">
    <w:abstractNumId w:val="15"/>
  </w:num>
  <w:num w:numId="18" w16cid:durableId="1687176288">
    <w:abstractNumId w:val="17"/>
  </w:num>
  <w:num w:numId="19" w16cid:durableId="1460763517">
    <w:abstractNumId w:val="20"/>
  </w:num>
  <w:num w:numId="20" w16cid:durableId="246038583">
    <w:abstractNumId w:val="14"/>
  </w:num>
  <w:num w:numId="21" w16cid:durableId="502890083">
    <w:abstractNumId w:val="8"/>
  </w:num>
  <w:num w:numId="22" w16cid:durableId="775562396">
    <w:abstractNumId w:val="22"/>
  </w:num>
  <w:num w:numId="23" w16cid:durableId="1377699902">
    <w:abstractNumId w:val="33"/>
  </w:num>
  <w:num w:numId="24" w16cid:durableId="1897667905">
    <w:abstractNumId w:val="19"/>
  </w:num>
  <w:num w:numId="25" w16cid:durableId="747120126">
    <w:abstractNumId w:val="31"/>
  </w:num>
  <w:num w:numId="26" w16cid:durableId="590310067">
    <w:abstractNumId w:val="25"/>
  </w:num>
  <w:num w:numId="27" w16cid:durableId="1860510895">
    <w:abstractNumId w:val="27"/>
  </w:num>
  <w:num w:numId="28" w16cid:durableId="2091808905">
    <w:abstractNumId w:val="35"/>
  </w:num>
  <w:num w:numId="29" w16cid:durableId="384843029">
    <w:abstractNumId w:val="29"/>
  </w:num>
  <w:num w:numId="30" w16cid:durableId="1263414439">
    <w:abstractNumId w:val="30"/>
  </w:num>
  <w:num w:numId="31" w16cid:durableId="669406085">
    <w:abstractNumId w:val="21"/>
  </w:num>
  <w:num w:numId="32" w16cid:durableId="243875729">
    <w:abstractNumId w:val="23"/>
  </w:num>
  <w:num w:numId="33" w16cid:durableId="997535261">
    <w:abstractNumId w:val="26"/>
  </w:num>
  <w:num w:numId="34" w16cid:durableId="291327610">
    <w:abstractNumId w:val="12"/>
  </w:num>
  <w:num w:numId="35" w16cid:durableId="1369641075">
    <w:abstractNumId w:val="10"/>
  </w:num>
  <w:num w:numId="36" w16cid:durableId="499387848">
    <w:abstractNumId w:val="32"/>
  </w:num>
  <w:num w:numId="37" w16cid:durableId="471295417">
    <w:abstractNumId w:val="13"/>
  </w:num>
  <w:num w:numId="38" w16cid:durableId="1472552413">
    <w:abstractNumId w:val="18"/>
  </w:num>
  <w:num w:numId="39" w16cid:durableId="1280380347">
    <w:abstractNumId w:val="37"/>
  </w:num>
  <w:num w:numId="40" w16cid:durableId="1206019744">
    <w:abstractNumId w:val="16"/>
  </w:num>
  <w:num w:numId="41" w16cid:durableId="199438206">
    <w:abstractNumId w:val="38"/>
  </w:num>
  <w:num w:numId="42" w16cid:durableId="11534512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0"/>
    <w:rsid w:val="00002AC3"/>
    <w:rsid w:val="00003743"/>
    <w:rsid w:val="000047B4"/>
    <w:rsid w:val="00005712"/>
    <w:rsid w:val="00007FD8"/>
    <w:rsid w:val="000117F8"/>
    <w:rsid w:val="0001365D"/>
    <w:rsid w:val="00020533"/>
    <w:rsid w:val="00023B54"/>
    <w:rsid w:val="00026139"/>
    <w:rsid w:val="00027071"/>
    <w:rsid w:val="00027601"/>
    <w:rsid w:val="00030275"/>
    <w:rsid w:val="00033321"/>
    <w:rsid w:val="000338E5"/>
    <w:rsid w:val="00033ECC"/>
    <w:rsid w:val="0003422F"/>
    <w:rsid w:val="0004110C"/>
    <w:rsid w:val="00045D6E"/>
    <w:rsid w:val="00046FF0"/>
    <w:rsid w:val="000474E6"/>
    <w:rsid w:val="00050176"/>
    <w:rsid w:val="00053921"/>
    <w:rsid w:val="00053C4D"/>
    <w:rsid w:val="00055371"/>
    <w:rsid w:val="00060A0B"/>
    <w:rsid w:val="00061FB8"/>
    <w:rsid w:val="00062B65"/>
    <w:rsid w:val="000639C8"/>
    <w:rsid w:val="0006481D"/>
    <w:rsid w:val="00064A7E"/>
    <w:rsid w:val="00067456"/>
    <w:rsid w:val="00071506"/>
    <w:rsid w:val="0007154F"/>
    <w:rsid w:val="000739AF"/>
    <w:rsid w:val="00077664"/>
    <w:rsid w:val="0008145C"/>
    <w:rsid w:val="00081AB1"/>
    <w:rsid w:val="00086587"/>
    <w:rsid w:val="0008728C"/>
    <w:rsid w:val="00090316"/>
    <w:rsid w:val="00093981"/>
    <w:rsid w:val="00093CD9"/>
    <w:rsid w:val="00093D6F"/>
    <w:rsid w:val="0009542E"/>
    <w:rsid w:val="0009551B"/>
    <w:rsid w:val="00095D0C"/>
    <w:rsid w:val="00096721"/>
    <w:rsid w:val="000978E6"/>
    <w:rsid w:val="00097F72"/>
    <w:rsid w:val="000A0364"/>
    <w:rsid w:val="000A0C36"/>
    <w:rsid w:val="000A11D7"/>
    <w:rsid w:val="000A1A7D"/>
    <w:rsid w:val="000A3861"/>
    <w:rsid w:val="000A7C48"/>
    <w:rsid w:val="000A7C64"/>
    <w:rsid w:val="000B067A"/>
    <w:rsid w:val="000B149C"/>
    <w:rsid w:val="000B1540"/>
    <w:rsid w:val="000B2337"/>
    <w:rsid w:val="000B33FD"/>
    <w:rsid w:val="000B4ABA"/>
    <w:rsid w:val="000B5161"/>
    <w:rsid w:val="000B6CF9"/>
    <w:rsid w:val="000C10A7"/>
    <w:rsid w:val="000C15A3"/>
    <w:rsid w:val="000C19E0"/>
    <w:rsid w:val="000C1A92"/>
    <w:rsid w:val="000C25AD"/>
    <w:rsid w:val="000C45E3"/>
    <w:rsid w:val="000C4B16"/>
    <w:rsid w:val="000C4DE3"/>
    <w:rsid w:val="000C50C3"/>
    <w:rsid w:val="000C5FC3"/>
    <w:rsid w:val="000C7508"/>
    <w:rsid w:val="000C75E6"/>
    <w:rsid w:val="000D21F6"/>
    <w:rsid w:val="000D21FB"/>
    <w:rsid w:val="000D42C3"/>
    <w:rsid w:val="000D4500"/>
    <w:rsid w:val="000D56E4"/>
    <w:rsid w:val="000D7AEA"/>
    <w:rsid w:val="000E01A9"/>
    <w:rsid w:val="000E1A95"/>
    <w:rsid w:val="000E2C66"/>
    <w:rsid w:val="000E2D07"/>
    <w:rsid w:val="000E3EA1"/>
    <w:rsid w:val="000E592F"/>
    <w:rsid w:val="000E6E7D"/>
    <w:rsid w:val="000E7A9B"/>
    <w:rsid w:val="000F123C"/>
    <w:rsid w:val="000F1D95"/>
    <w:rsid w:val="000F2FED"/>
    <w:rsid w:val="000F47DF"/>
    <w:rsid w:val="000F5120"/>
    <w:rsid w:val="00100E69"/>
    <w:rsid w:val="00100F6D"/>
    <w:rsid w:val="0010230F"/>
    <w:rsid w:val="00104036"/>
    <w:rsid w:val="00104349"/>
    <w:rsid w:val="0010616D"/>
    <w:rsid w:val="00110478"/>
    <w:rsid w:val="0011409E"/>
    <w:rsid w:val="001159D5"/>
    <w:rsid w:val="00115BF6"/>
    <w:rsid w:val="00115D61"/>
    <w:rsid w:val="0011711B"/>
    <w:rsid w:val="00117F8A"/>
    <w:rsid w:val="001200AA"/>
    <w:rsid w:val="00121B9B"/>
    <w:rsid w:val="00122ADC"/>
    <w:rsid w:val="001233A7"/>
    <w:rsid w:val="00123727"/>
    <w:rsid w:val="001241AA"/>
    <w:rsid w:val="00125769"/>
    <w:rsid w:val="00130155"/>
    <w:rsid w:val="00130F59"/>
    <w:rsid w:val="00131B31"/>
    <w:rsid w:val="00132620"/>
    <w:rsid w:val="00132799"/>
    <w:rsid w:val="00133845"/>
    <w:rsid w:val="00133EC0"/>
    <w:rsid w:val="00134076"/>
    <w:rsid w:val="00135132"/>
    <w:rsid w:val="00137378"/>
    <w:rsid w:val="001409D7"/>
    <w:rsid w:val="00141CE5"/>
    <w:rsid w:val="00141DAD"/>
    <w:rsid w:val="00143A50"/>
    <w:rsid w:val="00143D29"/>
    <w:rsid w:val="00144908"/>
    <w:rsid w:val="0014696F"/>
    <w:rsid w:val="00146C61"/>
    <w:rsid w:val="001477C8"/>
    <w:rsid w:val="00147E08"/>
    <w:rsid w:val="001567CB"/>
    <w:rsid w:val="00156B52"/>
    <w:rsid w:val="001571C7"/>
    <w:rsid w:val="00160B01"/>
    <w:rsid w:val="00161094"/>
    <w:rsid w:val="00172A55"/>
    <w:rsid w:val="001758CD"/>
    <w:rsid w:val="0017665C"/>
    <w:rsid w:val="00176662"/>
    <w:rsid w:val="00177AD2"/>
    <w:rsid w:val="00180A04"/>
    <w:rsid w:val="001815A8"/>
    <w:rsid w:val="001840FA"/>
    <w:rsid w:val="00190079"/>
    <w:rsid w:val="001946A7"/>
    <w:rsid w:val="0019622E"/>
    <w:rsid w:val="001966A7"/>
    <w:rsid w:val="001A1559"/>
    <w:rsid w:val="001A2606"/>
    <w:rsid w:val="001A4627"/>
    <w:rsid w:val="001A4979"/>
    <w:rsid w:val="001A4B76"/>
    <w:rsid w:val="001A616B"/>
    <w:rsid w:val="001A68CE"/>
    <w:rsid w:val="001A6AD9"/>
    <w:rsid w:val="001A6E6B"/>
    <w:rsid w:val="001B15D3"/>
    <w:rsid w:val="001B3388"/>
    <w:rsid w:val="001B3443"/>
    <w:rsid w:val="001B34BB"/>
    <w:rsid w:val="001B4AE2"/>
    <w:rsid w:val="001B4EE9"/>
    <w:rsid w:val="001B7308"/>
    <w:rsid w:val="001C0326"/>
    <w:rsid w:val="001C1630"/>
    <w:rsid w:val="001C192F"/>
    <w:rsid w:val="001C1E28"/>
    <w:rsid w:val="001C208D"/>
    <w:rsid w:val="001C2DB0"/>
    <w:rsid w:val="001C3C42"/>
    <w:rsid w:val="001C54A3"/>
    <w:rsid w:val="001C5559"/>
    <w:rsid w:val="001D0C78"/>
    <w:rsid w:val="001D11F1"/>
    <w:rsid w:val="001D2E48"/>
    <w:rsid w:val="001D353B"/>
    <w:rsid w:val="001D6009"/>
    <w:rsid w:val="001D7869"/>
    <w:rsid w:val="001E55C5"/>
    <w:rsid w:val="001F05E3"/>
    <w:rsid w:val="001F2F78"/>
    <w:rsid w:val="001F3D42"/>
    <w:rsid w:val="001F549B"/>
    <w:rsid w:val="001F5F3E"/>
    <w:rsid w:val="002026CD"/>
    <w:rsid w:val="00202701"/>
    <w:rsid w:val="00202D28"/>
    <w:rsid w:val="002033FC"/>
    <w:rsid w:val="002044BB"/>
    <w:rsid w:val="00205A93"/>
    <w:rsid w:val="0020787B"/>
    <w:rsid w:val="00210B09"/>
    <w:rsid w:val="00210C9E"/>
    <w:rsid w:val="00211840"/>
    <w:rsid w:val="00214B17"/>
    <w:rsid w:val="0021518E"/>
    <w:rsid w:val="00216941"/>
    <w:rsid w:val="00217779"/>
    <w:rsid w:val="00217C94"/>
    <w:rsid w:val="00220E5F"/>
    <w:rsid w:val="002212B5"/>
    <w:rsid w:val="00225DC5"/>
    <w:rsid w:val="00226668"/>
    <w:rsid w:val="00233809"/>
    <w:rsid w:val="00236073"/>
    <w:rsid w:val="0023675D"/>
    <w:rsid w:val="00240046"/>
    <w:rsid w:val="0024174D"/>
    <w:rsid w:val="00246234"/>
    <w:rsid w:val="0024684F"/>
    <w:rsid w:val="0024797F"/>
    <w:rsid w:val="0025119E"/>
    <w:rsid w:val="00251269"/>
    <w:rsid w:val="002535C0"/>
    <w:rsid w:val="00254623"/>
    <w:rsid w:val="00254B82"/>
    <w:rsid w:val="002579FE"/>
    <w:rsid w:val="00260C98"/>
    <w:rsid w:val="0026311C"/>
    <w:rsid w:val="00263438"/>
    <w:rsid w:val="00263D2E"/>
    <w:rsid w:val="00264EAB"/>
    <w:rsid w:val="00266149"/>
    <w:rsid w:val="002661CA"/>
    <w:rsid w:val="0026668C"/>
    <w:rsid w:val="00266AC1"/>
    <w:rsid w:val="00266D0B"/>
    <w:rsid w:val="00267C16"/>
    <w:rsid w:val="00270DC0"/>
    <w:rsid w:val="00270E60"/>
    <w:rsid w:val="0027178C"/>
    <w:rsid w:val="002719FA"/>
    <w:rsid w:val="00272668"/>
    <w:rsid w:val="0027330B"/>
    <w:rsid w:val="00274A3F"/>
    <w:rsid w:val="002803AD"/>
    <w:rsid w:val="00282052"/>
    <w:rsid w:val="002828F3"/>
    <w:rsid w:val="00282AEC"/>
    <w:rsid w:val="0028351C"/>
    <w:rsid w:val="002843F3"/>
    <w:rsid w:val="00284D9C"/>
    <w:rsid w:val="0028519E"/>
    <w:rsid w:val="002856A5"/>
    <w:rsid w:val="00286D3A"/>
    <w:rsid w:val="002872ED"/>
    <w:rsid w:val="002905C2"/>
    <w:rsid w:val="00290636"/>
    <w:rsid w:val="00290B84"/>
    <w:rsid w:val="002911A7"/>
    <w:rsid w:val="00291327"/>
    <w:rsid w:val="00295AF2"/>
    <w:rsid w:val="00295C91"/>
    <w:rsid w:val="00297118"/>
    <w:rsid w:val="00297151"/>
    <w:rsid w:val="002A00C1"/>
    <w:rsid w:val="002A0BBF"/>
    <w:rsid w:val="002A15F0"/>
    <w:rsid w:val="002A24FB"/>
    <w:rsid w:val="002A3702"/>
    <w:rsid w:val="002A3BE2"/>
    <w:rsid w:val="002A48A6"/>
    <w:rsid w:val="002B0F2A"/>
    <w:rsid w:val="002B20E6"/>
    <w:rsid w:val="002B3836"/>
    <w:rsid w:val="002B41A9"/>
    <w:rsid w:val="002B42A3"/>
    <w:rsid w:val="002C0CDD"/>
    <w:rsid w:val="002C1858"/>
    <w:rsid w:val="002C30EB"/>
    <w:rsid w:val="002C7537"/>
    <w:rsid w:val="002CE907"/>
    <w:rsid w:val="002D0AA5"/>
    <w:rsid w:val="002D1F01"/>
    <w:rsid w:val="002D38BA"/>
    <w:rsid w:val="002D4785"/>
    <w:rsid w:val="002E0E1B"/>
    <w:rsid w:val="002E1A1D"/>
    <w:rsid w:val="002E4081"/>
    <w:rsid w:val="002E4167"/>
    <w:rsid w:val="002E583C"/>
    <w:rsid w:val="002E5A7E"/>
    <w:rsid w:val="002E5B78"/>
    <w:rsid w:val="002E6716"/>
    <w:rsid w:val="002E67C7"/>
    <w:rsid w:val="002F03EB"/>
    <w:rsid w:val="002F056A"/>
    <w:rsid w:val="002F20DE"/>
    <w:rsid w:val="002F3AE3"/>
    <w:rsid w:val="002F5C26"/>
    <w:rsid w:val="002F6A18"/>
    <w:rsid w:val="00300943"/>
    <w:rsid w:val="0030195D"/>
    <w:rsid w:val="00304129"/>
    <w:rsid w:val="0030464B"/>
    <w:rsid w:val="0030591B"/>
    <w:rsid w:val="0030786C"/>
    <w:rsid w:val="00315471"/>
    <w:rsid w:val="00320F15"/>
    <w:rsid w:val="003233DE"/>
    <w:rsid w:val="003238DF"/>
    <w:rsid w:val="00323CE9"/>
    <w:rsid w:val="0032466B"/>
    <w:rsid w:val="00325A15"/>
    <w:rsid w:val="00325C76"/>
    <w:rsid w:val="00327B44"/>
    <w:rsid w:val="00330BB4"/>
    <w:rsid w:val="003330EB"/>
    <w:rsid w:val="00334F6E"/>
    <w:rsid w:val="00335441"/>
    <w:rsid w:val="00335896"/>
    <w:rsid w:val="00336261"/>
    <w:rsid w:val="00336605"/>
    <w:rsid w:val="00336E88"/>
    <w:rsid w:val="0034060D"/>
    <w:rsid w:val="003412FC"/>
    <w:rsid w:val="003415FD"/>
    <w:rsid w:val="00341E48"/>
    <w:rsid w:val="003429F0"/>
    <w:rsid w:val="0035097A"/>
    <w:rsid w:val="003540A4"/>
    <w:rsid w:val="00354A13"/>
    <w:rsid w:val="00356D70"/>
    <w:rsid w:val="00357D72"/>
    <w:rsid w:val="00360184"/>
    <w:rsid w:val="00360E4E"/>
    <w:rsid w:val="00363D86"/>
    <w:rsid w:val="00370AAA"/>
    <w:rsid w:val="0037130E"/>
    <w:rsid w:val="00373936"/>
    <w:rsid w:val="00374062"/>
    <w:rsid w:val="00375F77"/>
    <w:rsid w:val="00376A62"/>
    <w:rsid w:val="003771B5"/>
    <w:rsid w:val="003772A0"/>
    <w:rsid w:val="00377458"/>
    <w:rsid w:val="00377A78"/>
    <w:rsid w:val="00377E76"/>
    <w:rsid w:val="00380AF8"/>
    <w:rsid w:val="003817F3"/>
    <w:rsid w:val="00381BBE"/>
    <w:rsid w:val="003822B8"/>
    <w:rsid w:val="00382394"/>
    <w:rsid w:val="00382903"/>
    <w:rsid w:val="003846FF"/>
    <w:rsid w:val="00385AD4"/>
    <w:rsid w:val="00385D7B"/>
    <w:rsid w:val="00387924"/>
    <w:rsid w:val="00387994"/>
    <w:rsid w:val="00387B0C"/>
    <w:rsid w:val="00390070"/>
    <w:rsid w:val="0039126B"/>
    <w:rsid w:val="003925BF"/>
    <w:rsid w:val="0039384D"/>
    <w:rsid w:val="00395712"/>
    <w:rsid w:val="00395C23"/>
    <w:rsid w:val="003A2E4F"/>
    <w:rsid w:val="003A3096"/>
    <w:rsid w:val="003A4438"/>
    <w:rsid w:val="003A4EFF"/>
    <w:rsid w:val="003A5013"/>
    <w:rsid w:val="003A5078"/>
    <w:rsid w:val="003A537C"/>
    <w:rsid w:val="003A62DD"/>
    <w:rsid w:val="003A775A"/>
    <w:rsid w:val="003B0DAB"/>
    <w:rsid w:val="003B129A"/>
    <w:rsid w:val="003B213A"/>
    <w:rsid w:val="003B41C2"/>
    <w:rsid w:val="003B43AD"/>
    <w:rsid w:val="003B4A54"/>
    <w:rsid w:val="003C058F"/>
    <w:rsid w:val="003C0AE1"/>
    <w:rsid w:val="003C0FEC"/>
    <w:rsid w:val="003C15B8"/>
    <w:rsid w:val="003C18A1"/>
    <w:rsid w:val="003C27A6"/>
    <w:rsid w:val="003C2A29"/>
    <w:rsid w:val="003C2AC8"/>
    <w:rsid w:val="003C319D"/>
    <w:rsid w:val="003D0654"/>
    <w:rsid w:val="003D0EC9"/>
    <w:rsid w:val="003D17F9"/>
    <w:rsid w:val="003D1CE4"/>
    <w:rsid w:val="003D2D88"/>
    <w:rsid w:val="003D39DC"/>
    <w:rsid w:val="003D41EA"/>
    <w:rsid w:val="003D4850"/>
    <w:rsid w:val="003D535A"/>
    <w:rsid w:val="003E10B8"/>
    <w:rsid w:val="003E3A14"/>
    <w:rsid w:val="003E5265"/>
    <w:rsid w:val="003F0955"/>
    <w:rsid w:val="003F0F29"/>
    <w:rsid w:val="003F36A2"/>
    <w:rsid w:val="003F4530"/>
    <w:rsid w:val="003F6FE1"/>
    <w:rsid w:val="00400749"/>
    <w:rsid w:val="00400F00"/>
    <w:rsid w:val="00404F8B"/>
    <w:rsid w:val="00405256"/>
    <w:rsid w:val="0040574E"/>
    <w:rsid w:val="0040657B"/>
    <w:rsid w:val="00410031"/>
    <w:rsid w:val="00410615"/>
    <w:rsid w:val="00411066"/>
    <w:rsid w:val="004115A2"/>
    <w:rsid w:val="00412D5C"/>
    <w:rsid w:val="00412EE9"/>
    <w:rsid w:val="00415C81"/>
    <w:rsid w:val="00416731"/>
    <w:rsid w:val="00423388"/>
    <w:rsid w:val="004245E3"/>
    <w:rsid w:val="00424AD6"/>
    <w:rsid w:val="004300F5"/>
    <w:rsid w:val="00432378"/>
    <w:rsid w:val="004332CD"/>
    <w:rsid w:val="00437442"/>
    <w:rsid w:val="0044005A"/>
    <w:rsid w:val="00440D65"/>
    <w:rsid w:val="00441679"/>
    <w:rsid w:val="00441AB0"/>
    <w:rsid w:val="00442AA5"/>
    <w:rsid w:val="004435E6"/>
    <w:rsid w:val="00447A71"/>
    <w:rsid w:val="00447E31"/>
    <w:rsid w:val="004535E3"/>
    <w:rsid w:val="00453923"/>
    <w:rsid w:val="00453D8E"/>
    <w:rsid w:val="00453E25"/>
    <w:rsid w:val="00454B9B"/>
    <w:rsid w:val="004570AD"/>
    <w:rsid w:val="00457858"/>
    <w:rsid w:val="00460B0B"/>
    <w:rsid w:val="00461023"/>
    <w:rsid w:val="00461235"/>
    <w:rsid w:val="00461AF1"/>
    <w:rsid w:val="00462FAC"/>
    <w:rsid w:val="00464631"/>
    <w:rsid w:val="00464B79"/>
    <w:rsid w:val="00467BBF"/>
    <w:rsid w:val="004714A0"/>
    <w:rsid w:val="004730DF"/>
    <w:rsid w:val="0047605A"/>
    <w:rsid w:val="004826C3"/>
    <w:rsid w:val="004867E2"/>
    <w:rsid w:val="0049162B"/>
    <w:rsid w:val="0049165D"/>
    <w:rsid w:val="004929A9"/>
    <w:rsid w:val="00492AD1"/>
    <w:rsid w:val="00494DB6"/>
    <w:rsid w:val="00495AB3"/>
    <w:rsid w:val="004961B2"/>
    <w:rsid w:val="00496653"/>
    <w:rsid w:val="00496697"/>
    <w:rsid w:val="00496F66"/>
    <w:rsid w:val="004A04C3"/>
    <w:rsid w:val="004A1386"/>
    <w:rsid w:val="004A1E8C"/>
    <w:rsid w:val="004A23C3"/>
    <w:rsid w:val="004A3833"/>
    <w:rsid w:val="004A6D12"/>
    <w:rsid w:val="004B6713"/>
    <w:rsid w:val="004C002F"/>
    <w:rsid w:val="004C1ED2"/>
    <w:rsid w:val="004C2D6B"/>
    <w:rsid w:val="004C2FEC"/>
    <w:rsid w:val="004C3924"/>
    <w:rsid w:val="004C3AA5"/>
    <w:rsid w:val="004C44F6"/>
    <w:rsid w:val="004C6BCF"/>
    <w:rsid w:val="004C7F6A"/>
    <w:rsid w:val="004D2B93"/>
    <w:rsid w:val="004D2FEE"/>
    <w:rsid w:val="004D58BF"/>
    <w:rsid w:val="004D66CC"/>
    <w:rsid w:val="004D6F18"/>
    <w:rsid w:val="004E1B23"/>
    <w:rsid w:val="004E1EA9"/>
    <w:rsid w:val="004E37CE"/>
    <w:rsid w:val="004E4335"/>
    <w:rsid w:val="004E469B"/>
    <w:rsid w:val="004E5ACF"/>
    <w:rsid w:val="004E62AA"/>
    <w:rsid w:val="004E6785"/>
    <w:rsid w:val="004F0D07"/>
    <w:rsid w:val="004F11C3"/>
    <w:rsid w:val="004F13EE"/>
    <w:rsid w:val="004F2022"/>
    <w:rsid w:val="004F3347"/>
    <w:rsid w:val="004F4FC4"/>
    <w:rsid w:val="004F54DE"/>
    <w:rsid w:val="004F56F0"/>
    <w:rsid w:val="004F7C05"/>
    <w:rsid w:val="00500611"/>
    <w:rsid w:val="00501C94"/>
    <w:rsid w:val="0050298F"/>
    <w:rsid w:val="00502CC8"/>
    <w:rsid w:val="00504C27"/>
    <w:rsid w:val="00506432"/>
    <w:rsid w:val="005077C6"/>
    <w:rsid w:val="00511207"/>
    <w:rsid w:val="0051242B"/>
    <w:rsid w:val="0051442E"/>
    <w:rsid w:val="0051535F"/>
    <w:rsid w:val="00515735"/>
    <w:rsid w:val="00516626"/>
    <w:rsid w:val="00516E80"/>
    <w:rsid w:val="0052051D"/>
    <w:rsid w:val="005208C3"/>
    <w:rsid w:val="0052399B"/>
    <w:rsid w:val="00524E7A"/>
    <w:rsid w:val="0052797D"/>
    <w:rsid w:val="00527D33"/>
    <w:rsid w:val="00533EA3"/>
    <w:rsid w:val="005351DE"/>
    <w:rsid w:val="00535483"/>
    <w:rsid w:val="005358AA"/>
    <w:rsid w:val="00537799"/>
    <w:rsid w:val="00540E32"/>
    <w:rsid w:val="005418C8"/>
    <w:rsid w:val="00543962"/>
    <w:rsid w:val="00543B38"/>
    <w:rsid w:val="00544596"/>
    <w:rsid w:val="00545EE6"/>
    <w:rsid w:val="00546C1B"/>
    <w:rsid w:val="005473A9"/>
    <w:rsid w:val="005501FA"/>
    <w:rsid w:val="00551563"/>
    <w:rsid w:val="005528C6"/>
    <w:rsid w:val="00553F43"/>
    <w:rsid w:val="00554407"/>
    <w:rsid w:val="00554CDB"/>
    <w:rsid w:val="005550E7"/>
    <w:rsid w:val="00555C90"/>
    <w:rsid w:val="005564FB"/>
    <w:rsid w:val="005572C7"/>
    <w:rsid w:val="00557D5A"/>
    <w:rsid w:val="0056436D"/>
    <w:rsid w:val="0056486D"/>
    <w:rsid w:val="005650ED"/>
    <w:rsid w:val="00572348"/>
    <w:rsid w:val="00573E38"/>
    <w:rsid w:val="0057481E"/>
    <w:rsid w:val="00575754"/>
    <w:rsid w:val="00577B21"/>
    <w:rsid w:val="005836E5"/>
    <w:rsid w:val="00583E65"/>
    <w:rsid w:val="00584DB8"/>
    <w:rsid w:val="00585CA3"/>
    <w:rsid w:val="0059101E"/>
    <w:rsid w:val="00591E20"/>
    <w:rsid w:val="00592085"/>
    <w:rsid w:val="00595408"/>
    <w:rsid w:val="00595E84"/>
    <w:rsid w:val="00595F08"/>
    <w:rsid w:val="005A0C59"/>
    <w:rsid w:val="005A10F7"/>
    <w:rsid w:val="005A14DE"/>
    <w:rsid w:val="005A48EB"/>
    <w:rsid w:val="005A606A"/>
    <w:rsid w:val="005A6CFB"/>
    <w:rsid w:val="005A744E"/>
    <w:rsid w:val="005A7D38"/>
    <w:rsid w:val="005B1E92"/>
    <w:rsid w:val="005B54EA"/>
    <w:rsid w:val="005B60BD"/>
    <w:rsid w:val="005C1D2E"/>
    <w:rsid w:val="005C247D"/>
    <w:rsid w:val="005C5AEB"/>
    <w:rsid w:val="005C6940"/>
    <w:rsid w:val="005C78DF"/>
    <w:rsid w:val="005C79B2"/>
    <w:rsid w:val="005C7A84"/>
    <w:rsid w:val="005D293A"/>
    <w:rsid w:val="005D2E0B"/>
    <w:rsid w:val="005D326A"/>
    <w:rsid w:val="005D3816"/>
    <w:rsid w:val="005D4C66"/>
    <w:rsid w:val="005E0A3F"/>
    <w:rsid w:val="005E10D3"/>
    <w:rsid w:val="005E2DC6"/>
    <w:rsid w:val="005E2F6D"/>
    <w:rsid w:val="005E3BE8"/>
    <w:rsid w:val="005E3D80"/>
    <w:rsid w:val="005E6883"/>
    <w:rsid w:val="005E772F"/>
    <w:rsid w:val="005F2054"/>
    <w:rsid w:val="005F4858"/>
    <w:rsid w:val="005F4ECA"/>
    <w:rsid w:val="005F7DFF"/>
    <w:rsid w:val="00601B05"/>
    <w:rsid w:val="006028BE"/>
    <w:rsid w:val="006038F3"/>
    <w:rsid w:val="006041BE"/>
    <w:rsid w:val="006043C7"/>
    <w:rsid w:val="006148F3"/>
    <w:rsid w:val="00617E43"/>
    <w:rsid w:val="00617FA9"/>
    <w:rsid w:val="00620B02"/>
    <w:rsid w:val="00622512"/>
    <w:rsid w:val="00622C0E"/>
    <w:rsid w:val="00622FC9"/>
    <w:rsid w:val="006230D0"/>
    <w:rsid w:val="006235DE"/>
    <w:rsid w:val="0062418F"/>
    <w:rsid w:val="00624B52"/>
    <w:rsid w:val="00625DB6"/>
    <w:rsid w:val="00630343"/>
    <w:rsid w:val="00631DF4"/>
    <w:rsid w:val="006338C1"/>
    <w:rsid w:val="00634175"/>
    <w:rsid w:val="006379FE"/>
    <w:rsid w:val="006408AC"/>
    <w:rsid w:val="00640D8F"/>
    <w:rsid w:val="00641394"/>
    <w:rsid w:val="0064635F"/>
    <w:rsid w:val="006511B6"/>
    <w:rsid w:val="00652742"/>
    <w:rsid w:val="0065352A"/>
    <w:rsid w:val="006554F2"/>
    <w:rsid w:val="00656CCB"/>
    <w:rsid w:val="00657B5E"/>
    <w:rsid w:val="00657FF8"/>
    <w:rsid w:val="00660953"/>
    <w:rsid w:val="0066290E"/>
    <w:rsid w:val="00662ABD"/>
    <w:rsid w:val="006635D4"/>
    <w:rsid w:val="00666422"/>
    <w:rsid w:val="00667884"/>
    <w:rsid w:val="00670D99"/>
    <w:rsid w:val="00670DAA"/>
    <w:rsid w:val="00670E2B"/>
    <w:rsid w:val="006734BB"/>
    <w:rsid w:val="00675FF8"/>
    <w:rsid w:val="006764C4"/>
    <w:rsid w:val="0067704F"/>
    <w:rsid w:val="006813E2"/>
    <w:rsid w:val="00681A34"/>
    <w:rsid w:val="006821EB"/>
    <w:rsid w:val="0068534B"/>
    <w:rsid w:val="00691560"/>
    <w:rsid w:val="0069185F"/>
    <w:rsid w:val="00693CA2"/>
    <w:rsid w:val="00695498"/>
    <w:rsid w:val="00696775"/>
    <w:rsid w:val="00696AD7"/>
    <w:rsid w:val="006A4F75"/>
    <w:rsid w:val="006A516F"/>
    <w:rsid w:val="006A6B60"/>
    <w:rsid w:val="006B036A"/>
    <w:rsid w:val="006B2286"/>
    <w:rsid w:val="006B2687"/>
    <w:rsid w:val="006B28C4"/>
    <w:rsid w:val="006B4603"/>
    <w:rsid w:val="006B4929"/>
    <w:rsid w:val="006B56BB"/>
    <w:rsid w:val="006B6F09"/>
    <w:rsid w:val="006B7B15"/>
    <w:rsid w:val="006C0E76"/>
    <w:rsid w:val="006C6631"/>
    <w:rsid w:val="006C77A8"/>
    <w:rsid w:val="006C7B8D"/>
    <w:rsid w:val="006D10A3"/>
    <w:rsid w:val="006D2159"/>
    <w:rsid w:val="006D2687"/>
    <w:rsid w:val="006D34FC"/>
    <w:rsid w:val="006D4098"/>
    <w:rsid w:val="006D4E1A"/>
    <w:rsid w:val="006D5067"/>
    <w:rsid w:val="006D7681"/>
    <w:rsid w:val="006D7B2E"/>
    <w:rsid w:val="006D7C4F"/>
    <w:rsid w:val="006E02EA"/>
    <w:rsid w:val="006E0968"/>
    <w:rsid w:val="006E1F48"/>
    <w:rsid w:val="006E2AF6"/>
    <w:rsid w:val="006E38C2"/>
    <w:rsid w:val="006E694A"/>
    <w:rsid w:val="006F25CF"/>
    <w:rsid w:val="006F3763"/>
    <w:rsid w:val="006F44D2"/>
    <w:rsid w:val="006F4FB8"/>
    <w:rsid w:val="00701275"/>
    <w:rsid w:val="007038F3"/>
    <w:rsid w:val="00704144"/>
    <w:rsid w:val="0070446A"/>
    <w:rsid w:val="00704D62"/>
    <w:rsid w:val="00705847"/>
    <w:rsid w:val="00707BDD"/>
    <w:rsid w:val="00707F56"/>
    <w:rsid w:val="007133B8"/>
    <w:rsid w:val="00713558"/>
    <w:rsid w:val="00715CAB"/>
    <w:rsid w:val="00717C2B"/>
    <w:rsid w:val="0072091A"/>
    <w:rsid w:val="00720D08"/>
    <w:rsid w:val="00720D09"/>
    <w:rsid w:val="00721A70"/>
    <w:rsid w:val="00721C7F"/>
    <w:rsid w:val="007263B9"/>
    <w:rsid w:val="00726BB9"/>
    <w:rsid w:val="00726D9F"/>
    <w:rsid w:val="0072739A"/>
    <w:rsid w:val="007334F8"/>
    <w:rsid w:val="007339CD"/>
    <w:rsid w:val="00734F4B"/>
    <w:rsid w:val="007359D8"/>
    <w:rsid w:val="007362D4"/>
    <w:rsid w:val="007418A7"/>
    <w:rsid w:val="0074464C"/>
    <w:rsid w:val="0074732D"/>
    <w:rsid w:val="00751A23"/>
    <w:rsid w:val="0075686A"/>
    <w:rsid w:val="00761570"/>
    <w:rsid w:val="0076398A"/>
    <w:rsid w:val="0076672A"/>
    <w:rsid w:val="0076786D"/>
    <w:rsid w:val="0077127B"/>
    <w:rsid w:val="00772107"/>
    <w:rsid w:val="007741E5"/>
    <w:rsid w:val="00775E45"/>
    <w:rsid w:val="00776E74"/>
    <w:rsid w:val="00784C12"/>
    <w:rsid w:val="00784D69"/>
    <w:rsid w:val="00785169"/>
    <w:rsid w:val="007924CC"/>
    <w:rsid w:val="0079339E"/>
    <w:rsid w:val="007954AB"/>
    <w:rsid w:val="00796539"/>
    <w:rsid w:val="00797062"/>
    <w:rsid w:val="0079767A"/>
    <w:rsid w:val="007A00CD"/>
    <w:rsid w:val="007A14C5"/>
    <w:rsid w:val="007A236F"/>
    <w:rsid w:val="007A2DAA"/>
    <w:rsid w:val="007A3A9C"/>
    <w:rsid w:val="007A3E38"/>
    <w:rsid w:val="007A47F4"/>
    <w:rsid w:val="007A4A10"/>
    <w:rsid w:val="007A4E72"/>
    <w:rsid w:val="007B1760"/>
    <w:rsid w:val="007B28BC"/>
    <w:rsid w:val="007C07BB"/>
    <w:rsid w:val="007C21BA"/>
    <w:rsid w:val="007C248C"/>
    <w:rsid w:val="007C269E"/>
    <w:rsid w:val="007C39F1"/>
    <w:rsid w:val="007C3BA1"/>
    <w:rsid w:val="007C6D9C"/>
    <w:rsid w:val="007C7B48"/>
    <w:rsid w:val="007C7DDB"/>
    <w:rsid w:val="007C7ED7"/>
    <w:rsid w:val="007D1C92"/>
    <w:rsid w:val="007D2CC7"/>
    <w:rsid w:val="007D4F57"/>
    <w:rsid w:val="007D673D"/>
    <w:rsid w:val="007E0260"/>
    <w:rsid w:val="007E07F4"/>
    <w:rsid w:val="007E2BB1"/>
    <w:rsid w:val="007E4DB1"/>
    <w:rsid w:val="007F03FA"/>
    <w:rsid w:val="007F2220"/>
    <w:rsid w:val="007F396A"/>
    <w:rsid w:val="007F410D"/>
    <w:rsid w:val="007F4578"/>
    <w:rsid w:val="007F4B3E"/>
    <w:rsid w:val="007F51FF"/>
    <w:rsid w:val="007F588A"/>
    <w:rsid w:val="007F6D29"/>
    <w:rsid w:val="00800C75"/>
    <w:rsid w:val="008017BF"/>
    <w:rsid w:val="00802C3A"/>
    <w:rsid w:val="0080452E"/>
    <w:rsid w:val="0080699D"/>
    <w:rsid w:val="008127AF"/>
    <w:rsid w:val="00812B46"/>
    <w:rsid w:val="0081498E"/>
    <w:rsid w:val="00815700"/>
    <w:rsid w:val="00817B70"/>
    <w:rsid w:val="00821898"/>
    <w:rsid w:val="00824EB3"/>
    <w:rsid w:val="00826241"/>
    <w:rsid w:val="008264EB"/>
    <w:rsid w:val="00826B8F"/>
    <w:rsid w:val="00831E8A"/>
    <w:rsid w:val="008333CA"/>
    <w:rsid w:val="0083558C"/>
    <w:rsid w:val="00835C76"/>
    <w:rsid w:val="00841111"/>
    <w:rsid w:val="00842022"/>
    <w:rsid w:val="00843049"/>
    <w:rsid w:val="00845F61"/>
    <w:rsid w:val="008463FA"/>
    <w:rsid w:val="00850AFB"/>
    <w:rsid w:val="00851FD4"/>
    <w:rsid w:val="0085209B"/>
    <w:rsid w:val="00853FB3"/>
    <w:rsid w:val="00855942"/>
    <w:rsid w:val="00856B66"/>
    <w:rsid w:val="008614D0"/>
    <w:rsid w:val="00861628"/>
    <w:rsid w:val="00861A5F"/>
    <w:rsid w:val="008644AD"/>
    <w:rsid w:val="00865735"/>
    <w:rsid w:val="00865DDB"/>
    <w:rsid w:val="00866E8E"/>
    <w:rsid w:val="008674F7"/>
    <w:rsid w:val="00867538"/>
    <w:rsid w:val="008678CB"/>
    <w:rsid w:val="00870322"/>
    <w:rsid w:val="0087050B"/>
    <w:rsid w:val="0087098B"/>
    <w:rsid w:val="00873D90"/>
    <w:rsid w:val="00873FC8"/>
    <w:rsid w:val="00874B8F"/>
    <w:rsid w:val="00874C13"/>
    <w:rsid w:val="00876E46"/>
    <w:rsid w:val="00877EA5"/>
    <w:rsid w:val="00880024"/>
    <w:rsid w:val="00881796"/>
    <w:rsid w:val="0088272F"/>
    <w:rsid w:val="00884B55"/>
    <w:rsid w:val="00884C63"/>
    <w:rsid w:val="00885908"/>
    <w:rsid w:val="008864B7"/>
    <w:rsid w:val="00886AFC"/>
    <w:rsid w:val="008926BD"/>
    <w:rsid w:val="00893147"/>
    <w:rsid w:val="008932FE"/>
    <w:rsid w:val="00895BD9"/>
    <w:rsid w:val="0089677E"/>
    <w:rsid w:val="00896E8C"/>
    <w:rsid w:val="00897528"/>
    <w:rsid w:val="008A09F1"/>
    <w:rsid w:val="008A15B0"/>
    <w:rsid w:val="008A3BE3"/>
    <w:rsid w:val="008A4497"/>
    <w:rsid w:val="008A67A8"/>
    <w:rsid w:val="008A6950"/>
    <w:rsid w:val="008A70FC"/>
    <w:rsid w:val="008A73F1"/>
    <w:rsid w:val="008A7438"/>
    <w:rsid w:val="008B1334"/>
    <w:rsid w:val="008B1A5D"/>
    <w:rsid w:val="008B406D"/>
    <w:rsid w:val="008B4607"/>
    <w:rsid w:val="008B70EC"/>
    <w:rsid w:val="008C0278"/>
    <w:rsid w:val="008C24E9"/>
    <w:rsid w:val="008C4554"/>
    <w:rsid w:val="008C459F"/>
    <w:rsid w:val="008C49F3"/>
    <w:rsid w:val="008C4EFF"/>
    <w:rsid w:val="008C6F61"/>
    <w:rsid w:val="008C7464"/>
    <w:rsid w:val="008D0533"/>
    <w:rsid w:val="008D4289"/>
    <w:rsid w:val="008D42CB"/>
    <w:rsid w:val="008D48C9"/>
    <w:rsid w:val="008D490D"/>
    <w:rsid w:val="008D5B79"/>
    <w:rsid w:val="008D6381"/>
    <w:rsid w:val="008D714A"/>
    <w:rsid w:val="008E0C77"/>
    <w:rsid w:val="008E22BD"/>
    <w:rsid w:val="008E3DB3"/>
    <w:rsid w:val="008E4AF0"/>
    <w:rsid w:val="008E5956"/>
    <w:rsid w:val="008E625F"/>
    <w:rsid w:val="008F1F0E"/>
    <w:rsid w:val="008F264D"/>
    <w:rsid w:val="008F3E90"/>
    <w:rsid w:val="008F5C8E"/>
    <w:rsid w:val="008F6C7C"/>
    <w:rsid w:val="008F7896"/>
    <w:rsid w:val="008F7A55"/>
    <w:rsid w:val="00900436"/>
    <w:rsid w:val="0090119F"/>
    <w:rsid w:val="00904D98"/>
    <w:rsid w:val="00905C33"/>
    <w:rsid w:val="009060B9"/>
    <w:rsid w:val="009074E1"/>
    <w:rsid w:val="009112F7"/>
    <w:rsid w:val="00911C82"/>
    <w:rsid w:val="009122AF"/>
    <w:rsid w:val="009127BC"/>
    <w:rsid w:val="00912D54"/>
    <w:rsid w:val="0091389F"/>
    <w:rsid w:val="009208F7"/>
    <w:rsid w:val="00922517"/>
    <w:rsid w:val="00922722"/>
    <w:rsid w:val="009249CB"/>
    <w:rsid w:val="00924DCF"/>
    <w:rsid w:val="009261E6"/>
    <w:rsid w:val="009268E1"/>
    <w:rsid w:val="00931690"/>
    <w:rsid w:val="009329B1"/>
    <w:rsid w:val="009333AF"/>
    <w:rsid w:val="00933B2C"/>
    <w:rsid w:val="00934844"/>
    <w:rsid w:val="00942B3C"/>
    <w:rsid w:val="00945E7F"/>
    <w:rsid w:val="00946713"/>
    <w:rsid w:val="00946F96"/>
    <w:rsid w:val="00951350"/>
    <w:rsid w:val="009557C1"/>
    <w:rsid w:val="00960CD1"/>
    <w:rsid w:val="00960D6E"/>
    <w:rsid w:val="00960E7E"/>
    <w:rsid w:val="00963F61"/>
    <w:rsid w:val="00966E31"/>
    <w:rsid w:val="009700CD"/>
    <w:rsid w:val="00972BC1"/>
    <w:rsid w:val="00974B59"/>
    <w:rsid w:val="009823C9"/>
    <w:rsid w:val="0098340B"/>
    <w:rsid w:val="00985D0B"/>
    <w:rsid w:val="00986830"/>
    <w:rsid w:val="00990520"/>
    <w:rsid w:val="009924C3"/>
    <w:rsid w:val="00993102"/>
    <w:rsid w:val="00993181"/>
    <w:rsid w:val="009937F3"/>
    <w:rsid w:val="00996D1F"/>
    <w:rsid w:val="00997508"/>
    <w:rsid w:val="009A2063"/>
    <w:rsid w:val="009A249C"/>
    <w:rsid w:val="009A2858"/>
    <w:rsid w:val="009A3336"/>
    <w:rsid w:val="009A4412"/>
    <w:rsid w:val="009A7BC0"/>
    <w:rsid w:val="009B19E6"/>
    <w:rsid w:val="009B31D7"/>
    <w:rsid w:val="009B3DF6"/>
    <w:rsid w:val="009B7F4A"/>
    <w:rsid w:val="009C045F"/>
    <w:rsid w:val="009C3C84"/>
    <w:rsid w:val="009C4A39"/>
    <w:rsid w:val="009C6F10"/>
    <w:rsid w:val="009D07B7"/>
    <w:rsid w:val="009D148F"/>
    <w:rsid w:val="009D3D70"/>
    <w:rsid w:val="009D4C30"/>
    <w:rsid w:val="009E2300"/>
    <w:rsid w:val="009E2791"/>
    <w:rsid w:val="009E28A3"/>
    <w:rsid w:val="009E6F7E"/>
    <w:rsid w:val="009E7A57"/>
    <w:rsid w:val="009F0FCD"/>
    <w:rsid w:val="009F4F6A"/>
    <w:rsid w:val="009F5A16"/>
    <w:rsid w:val="009F6CBA"/>
    <w:rsid w:val="009F6EA9"/>
    <w:rsid w:val="00A04084"/>
    <w:rsid w:val="00A05525"/>
    <w:rsid w:val="00A07134"/>
    <w:rsid w:val="00A10C94"/>
    <w:rsid w:val="00A12C7F"/>
    <w:rsid w:val="00A1343F"/>
    <w:rsid w:val="00A136CA"/>
    <w:rsid w:val="00A14670"/>
    <w:rsid w:val="00A16E36"/>
    <w:rsid w:val="00A241A3"/>
    <w:rsid w:val="00A24961"/>
    <w:rsid w:val="00A24B10"/>
    <w:rsid w:val="00A2561E"/>
    <w:rsid w:val="00A25B25"/>
    <w:rsid w:val="00A2653C"/>
    <w:rsid w:val="00A30E9B"/>
    <w:rsid w:val="00A31048"/>
    <w:rsid w:val="00A31DBB"/>
    <w:rsid w:val="00A37057"/>
    <w:rsid w:val="00A4512D"/>
    <w:rsid w:val="00A47DFA"/>
    <w:rsid w:val="00A50244"/>
    <w:rsid w:val="00A54DF3"/>
    <w:rsid w:val="00A56491"/>
    <w:rsid w:val="00A56F17"/>
    <w:rsid w:val="00A57426"/>
    <w:rsid w:val="00A61701"/>
    <w:rsid w:val="00A61EE9"/>
    <w:rsid w:val="00A627D7"/>
    <w:rsid w:val="00A6309F"/>
    <w:rsid w:val="00A635B6"/>
    <w:rsid w:val="00A64CE5"/>
    <w:rsid w:val="00A656C7"/>
    <w:rsid w:val="00A65BD1"/>
    <w:rsid w:val="00A66A36"/>
    <w:rsid w:val="00A6732D"/>
    <w:rsid w:val="00A705AF"/>
    <w:rsid w:val="00A72454"/>
    <w:rsid w:val="00A7362A"/>
    <w:rsid w:val="00A77696"/>
    <w:rsid w:val="00A803F7"/>
    <w:rsid w:val="00A80557"/>
    <w:rsid w:val="00A81D33"/>
    <w:rsid w:val="00A82261"/>
    <w:rsid w:val="00A8529D"/>
    <w:rsid w:val="00A930AE"/>
    <w:rsid w:val="00A9616E"/>
    <w:rsid w:val="00A9743E"/>
    <w:rsid w:val="00AA0345"/>
    <w:rsid w:val="00AA1A95"/>
    <w:rsid w:val="00AA260F"/>
    <w:rsid w:val="00AA763F"/>
    <w:rsid w:val="00AB1EE7"/>
    <w:rsid w:val="00AB4B37"/>
    <w:rsid w:val="00AB5762"/>
    <w:rsid w:val="00AC0C70"/>
    <w:rsid w:val="00AC13DC"/>
    <w:rsid w:val="00AC2679"/>
    <w:rsid w:val="00AC289E"/>
    <w:rsid w:val="00AC3DF4"/>
    <w:rsid w:val="00AC4B93"/>
    <w:rsid w:val="00AC4BE4"/>
    <w:rsid w:val="00AC6BF9"/>
    <w:rsid w:val="00AD05E6"/>
    <w:rsid w:val="00AD0CC9"/>
    <w:rsid w:val="00AD0D3F"/>
    <w:rsid w:val="00AD1C6B"/>
    <w:rsid w:val="00AD29D4"/>
    <w:rsid w:val="00AD779A"/>
    <w:rsid w:val="00AE0ABC"/>
    <w:rsid w:val="00AE1D7D"/>
    <w:rsid w:val="00AE235B"/>
    <w:rsid w:val="00AE2909"/>
    <w:rsid w:val="00AE2A8B"/>
    <w:rsid w:val="00AE2C33"/>
    <w:rsid w:val="00AE3F64"/>
    <w:rsid w:val="00AE6DB4"/>
    <w:rsid w:val="00AE7C77"/>
    <w:rsid w:val="00AF0E49"/>
    <w:rsid w:val="00AF288B"/>
    <w:rsid w:val="00AF33CB"/>
    <w:rsid w:val="00AF7386"/>
    <w:rsid w:val="00AF7934"/>
    <w:rsid w:val="00B00B81"/>
    <w:rsid w:val="00B025D4"/>
    <w:rsid w:val="00B0302D"/>
    <w:rsid w:val="00B04580"/>
    <w:rsid w:val="00B04B09"/>
    <w:rsid w:val="00B12547"/>
    <w:rsid w:val="00B15872"/>
    <w:rsid w:val="00B16A51"/>
    <w:rsid w:val="00B20383"/>
    <w:rsid w:val="00B21401"/>
    <w:rsid w:val="00B21A79"/>
    <w:rsid w:val="00B21EAE"/>
    <w:rsid w:val="00B2301B"/>
    <w:rsid w:val="00B246F9"/>
    <w:rsid w:val="00B24C4B"/>
    <w:rsid w:val="00B25440"/>
    <w:rsid w:val="00B25A27"/>
    <w:rsid w:val="00B263E5"/>
    <w:rsid w:val="00B27D6E"/>
    <w:rsid w:val="00B31239"/>
    <w:rsid w:val="00B316EA"/>
    <w:rsid w:val="00B32222"/>
    <w:rsid w:val="00B33426"/>
    <w:rsid w:val="00B34424"/>
    <w:rsid w:val="00B3618D"/>
    <w:rsid w:val="00B36233"/>
    <w:rsid w:val="00B3635F"/>
    <w:rsid w:val="00B37B52"/>
    <w:rsid w:val="00B411EC"/>
    <w:rsid w:val="00B42851"/>
    <w:rsid w:val="00B455CB"/>
    <w:rsid w:val="00B45AC7"/>
    <w:rsid w:val="00B46E9E"/>
    <w:rsid w:val="00B47F78"/>
    <w:rsid w:val="00B52812"/>
    <w:rsid w:val="00B5372F"/>
    <w:rsid w:val="00B61129"/>
    <w:rsid w:val="00B615CE"/>
    <w:rsid w:val="00B621A6"/>
    <w:rsid w:val="00B627AF"/>
    <w:rsid w:val="00B62B46"/>
    <w:rsid w:val="00B667C9"/>
    <w:rsid w:val="00B67E7F"/>
    <w:rsid w:val="00B7062B"/>
    <w:rsid w:val="00B717D8"/>
    <w:rsid w:val="00B72D5C"/>
    <w:rsid w:val="00B74AF1"/>
    <w:rsid w:val="00B75A04"/>
    <w:rsid w:val="00B774FC"/>
    <w:rsid w:val="00B83895"/>
    <w:rsid w:val="00B839B2"/>
    <w:rsid w:val="00B8566B"/>
    <w:rsid w:val="00B90F34"/>
    <w:rsid w:val="00B922B0"/>
    <w:rsid w:val="00B94252"/>
    <w:rsid w:val="00B943E3"/>
    <w:rsid w:val="00B94828"/>
    <w:rsid w:val="00B96515"/>
    <w:rsid w:val="00B96A30"/>
    <w:rsid w:val="00B970F0"/>
    <w:rsid w:val="00B9715A"/>
    <w:rsid w:val="00BA14BE"/>
    <w:rsid w:val="00BA2732"/>
    <w:rsid w:val="00BA293D"/>
    <w:rsid w:val="00BA2E30"/>
    <w:rsid w:val="00BA49BC"/>
    <w:rsid w:val="00BA56B7"/>
    <w:rsid w:val="00BA7A1E"/>
    <w:rsid w:val="00BA7CA9"/>
    <w:rsid w:val="00BB1D49"/>
    <w:rsid w:val="00BB2F6C"/>
    <w:rsid w:val="00BB3875"/>
    <w:rsid w:val="00BB3C54"/>
    <w:rsid w:val="00BB4453"/>
    <w:rsid w:val="00BB5173"/>
    <w:rsid w:val="00BB5860"/>
    <w:rsid w:val="00BB6AAD"/>
    <w:rsid w:val="00BB6F31"/>
    <w:rsid w:val="00BC17D7"/>
    <w:rsid w:val="00BC4731"/>
    <w:rsid w:val="00BC4A19"/>
    <w:rsid w:val="00BC4D4F"/>
    <w:rsid w:val="00BC4E6D"/>
    <w:rsid w:val="00BD0617"/>
    <w:rsid w:val="00BD2E9B"/>
    <w:rsid w:val="00BD75D9"/>
    <w:rsid w:val="00BE1959"/>
    <w:rsid w:val="00BE286D"/>
    <w:rsid w:val="00BE6250"/>
    <w:rsid w:val="00BE6963"/>
    <w:rsid w:val="00BF145A"/>
    <w:rsid w:val="00BF2684"/>
    <w:rsid w:val="00BF512F"/>
    <w:rsid w:val="00BF5B81"/>
    <w:rsid w:val="00BF775C"/>
    <w:rsid w:val="00C00930"/>
    <w:rsid w:val="00C02E87"/>
    <w:rsid w:val="00C03EBF"/>
    <w:rsid w:val="00C05FF4"/>
    <w:rsid w:val="00C060AD"/>
    <w:rsid w:val="00C0670D"/>
    <w:rsid w:val="00C06B9C"/>
    <w:rsid w:val="00C07673"/>
    <w:rsid w:val="00C113BF"/>
    <w:rsid w:val="00C1423C"/>
    <w:rsid w:val="00C1503D"/>
    <w:rsid w:val="00C15339"/>
    <w:rsid w:val="00C17A55"/>
    <w:rsid w:val="00C20209"/>
    <w:rsid w:val="00C2176E"/>
    <w:rsid w:val="00C23430"/>
    <w:rsid w:val="00C27D67"/>
    <w:rsid w:val="00C42D8A"/>
    <w:rsid w:val="00C436BE"/>
    <w:rsid w:val="00C43FDC"/>
    <w:rsid w:val="00C4555B"/>
    <w:rsid w:val="00C4631F"/>
    <w:rsid w:val="00C4653D"/>
    <w:rsid w:val="00C5074F"/>
    <w:rsid w:val="00C50E16"/>
    <w:rsid w:val="00C51F31"/>
    <w:rsid w:val="00C55258"/>
    <w:rsid w:val="00C55BB8"/>
    <w:rsid w:val="00C56DF3"/>
    <w:rsid w:val="00C5704B"/>
    <w:rsid w:val="00C601AA"/>
    <w:rsid w:val="00C608FF"/>
    <w:rsid w:val="00C6217A"/>
    <w:rsid w:val="00C6230D"/>
    <w:rsid w:val="00C63995"/>
    <w:rsid w:val="00C650C4"/>
    <w:rsid w:val="00C67100"/>
    <w:rsid w:val="00C67AC0"/>
    <w:rsid w:val="00C7102F"/>
    <w:rsid w:val="00C71AFF"/>
    <w:rsid w:val="00C74E01"/>
    <w:rsid w:val="00C75CF7"/>
    <w:rsid w:val="00C81741"/>
    <w:rsid w:val="00C82472"/>
    <w:rsid w:val="00C82EEB"/>
    <w:rsid w:val="00C84BE0"/>
    <w:rsid w:val="00C8752B"/>
    <w:rsid w:val="00C91C24"/>
    <w:rsid w:val="00C932D6"/>
    <w:rsid w:val="00C971DC"/>
    <w:rsid w:val="00C97899"/>
    <w:rsid w:val="00CA16B7"/>
    <w:rsid w:val="00CA4BE3"/>
    <w:rsid w:val="00CA5E79"/>
    <w:rsid w:val="00CA62AE"/>
    <w:rsid w:val="00CA79CF"/>
    <w:rsid w:val="00CA7BAC"/>
    <w:rsid w:val="00CB5859"/>
    <w:rsid w:val="00CB5B1A"/>
    <w:rsid w:val="00CB7342"/>
    <w:rsid w:val="00CB7CDE"/>
    <w:rsid w:val="00CC0F7C"/>
    <w:rsid w:val="00CC220B"/>
    <w:rsid w:val="00CC373F"/>
    <w:rsid w:val="00CC44EA"/>
    <w:rsid w:val="00CC5C43"/>
    <w:rsid w:val="00CC6584"/>
    <w:rsid w:val="00CC69F3"/>
    <w:rsid w:val="00CD02AE"/>
    <w:rsid w:val="00CD26FE"/>
    <w:rsid w:val="00CD2A4F"/>
    <w:rsid w:val="00CD3958"/>
    <w:rsid w:val="00CD63A3"/>
    <w:rsid w:val="00CD7434"/>
    <w:rsid w:val="00CD78D0"/>
    <w:rsid w:val="00CE03CA"/>
    <w:rsid w:val="00CE22F1"/>
    <w:rsid w:val="00CE25E5"/>
    <w:rsid w:val="00CE2CFC"/>
    <w:rsid w:val="00CE383C"/>
    <w:rsid w:val="00CE41DA"/>
    <w:rsid w:val="00CE50F2"/>
    <w:rsid w:val="00CE5B85"/>
    <w:rsid w:val="00CE6502"/>
    <w:rsid w:val="00CF0298"/>
    <w:rsid w:val="00CF12BD"/>
    <w:rsid w:val="00CF14A6"/>
    <w:rsid w:val="00CF189C"/>
    <w:rsid w:val="00CF19B5"/>
    <w:rsid w:val="00CF240A"/>
    <w:rsid w:val="00CF361C"/>
    <w:rsid w:val="00CF42A1"/>
    <w:rsid w:val="00CF42CF"/>
    <w:rsid w:val="00CF7D3C"/>
    <w:rsid w:val="00D0243A"/>
    <w:rsid w:val="00D06969"/>
    <w:rsid w:val="00D11378"/>
    <w:rsid w:val="00D147EB"/>
    <w:rsid w:val="00D217EE"/>
    <w:rsid w:val="00D21992"/>
    <w:rsid w:val="00D23364"/>
    <w:rsid w:val="00D23E49"/>
    <w:rsid w:val="00D25105"/>
    <w:rsid w:val="00D25215"/>
    <w:rsid w:val="00D25741"/>
    <w:rsid w:val="00D25745"/>
    <w:rsid w:val="00D32EDB"/>
    <w:rsid w:val="00D339CA"/>
    <w:rsid w:val="00D33FDA"/>
    <w:rsid w:val="00D34587"/>
    <w:rsid w:val="00D34667"/>
    <w:rsid w:val="00D352C4"/>
    <w:rsid w:val="00D3670A"/>
    <w:rsid w:val="00D37523"/>
    <w:rsid w:val="00D37F2E"/>
    <w:rsid w:val="00D401BD"/>
    <w:rsid w:val="00D401E1"/>
    <w:rsid w:val="00D408B4"/>
    <w:rsid w:val="00D40C67"/>
    <w:rsid w:val="00D4471C"/>
    <w:rsid w:val="00D45D94"/>
    <w:rsid w:val="00D507BC"/>
    <w:rsid w:val="00D521C7"/>
    <w:rsid w:val="00D524C8"/>
    <w:rsid w:val="00D5262D"/>
    <w:rsid w:val="00D53030"/>
    <w:rsid w:val="00D53E81"/>
    <w:rsid w:val="00D60E25"/>
    <w:rsid w:val="00D61397"/>
    <w:rsid w:val="00D61998"/>
    <w:rsid w:val="00D62C82"/>
    <w:rsid w:val="00D65437"/>
    <w:rsid w:val="00D70E24"/>
    <w:rsid w:val="00D716B3"/>
    <w:rsid w:val="00D71A32"/>
    <w:rsid w:val="00D72B61"/>
    <w:rsid w:val="00D72C64"/>
    <w:rsid w:val="00D737EC"/>
    <w:rsid w:val="00D8168A"/>
    <w:rsid w:val="00D83CF8"/>
    <w:rsid w:val="00D84109"/>
    <w:rsid w:val="00D872F1"/>
    <w:rsid w:val="00D875E4"/>
    <w:rsid w:val="00D87D22"/>
    <w:rsid w:val="00D92F5F"/>
    <w:rsid w:val="00D93142"/>
    <w:rsid w:val="00D93A1F"/>
    <w:rsid w:val="00D93F16"/>
    <w:rsid w:val="00D97523"/>
    <w:rsid w:val="00DA3D1D"/>
    <w:rsid w:val="00DA6BA4"/>
    <w:rsid w:val="00DA6DF2"/>
    <w:rsid w:val="00DB0138"/>
    <w:rsid w:val="00DB1C3E"/>
    <w:rsid w:val="00DB2B60"/>
    <w:rsid w:val="00DB6286"/>
    <w:rsid w:val="00DB645F"/>
    <w:rsid w:val="00DB6E92"/>
    <w:rsid w:val="00DB76E9"/>
    <w:rsid w:val="00DB78B1"/>
    <w:rsid w:val="00DC0A67"/>
    <w:rsid w:val="00DC1082"/>
    <w:rsid w:val="00DC19EE"/>
    <w:rsid w:val="00DC1D5E"/>
    <w:rsid w:val="00DC2313"/>
    <w:rsid w:val="00DC5220"/>
    <w:rsid w:val="00DC739B"/>
    <w:rsid w:val="00DC7910"/>
    <w:rsid w:val="00DD2061"/>
    <w:rsid w:val="00DD4A7C"/>
    <w:rsid w:val="00DD541D"/>
    <w:rsid w:val="00DD5938"/>
    <w:rsid w:val="00DD7DAB"/>
    <w:rsid w:val="00DE3355"/>
    <w:rsid w:val="00DE3E66"/>
    <w:rsid w:val="00DE69F1"/>
    <w:rsid w:val="00DF0CBA"/>
    <w:rsid w:val="00DF40B9"/>
    <w:rsid w:val="00DF486F"/>
    <w:rsid w:val="00DF5B5B"/>
    <w:rsid w:val="00DF7619"/>
    <w:rsid w:val="00E01287"/>
    <w:rsid w:val="00E03682"/>
    <w:rsid w:val="00E042D8"/>
    <w:rsid w:val="00E065C5"/>
    <w:rsid w:val="00E074FE"/>
    <w:rsid w:val="00E07EE7"/>
    <w:rsid w:val="00E105E2"/>
    <w:rsid w:val="00E1103B"/>
    <w:rsid w:val="00E11BD5"/>
    <w:rsid w:val="00E1271C"/>
    <w:rsid w:val="00E130C3"/>
    <w:rsid w:val="00E143C9"/>
    <w:rsid w:val="00E156D4"/>
    <w:rsid w:val="00E167FD"/>
    <w:rsid w:val="00E17249"/>
    <w:rsid w:val="00E17B44"/>
    <w:rsid w:val="00E226A5"/>
    <w:rsid w:val="00E23F1F"/>
    <w:rsid w:val="00E24E71"/>
    <w:rsid w:val="00E27FEA"/>
    <w:rsid w:val="00E308DB"/>
    <w:rsid w:val="00E31D13"/>
    <w:rsid w:val="00E32AF4"/>
    <w:rsid w:val="00E33A4E"/>
    <w:rsid w:val="00E36B5A"/>
    <w:rsid w:val="00E37C92"/>
    <w:rsid w:val="00E37DB3"/>
    <w:rsid w:val="00E4010E"/>
    <w:rsid w:val="00E4086F"/>
    <w:rsid w:val="00E43B3C"/>
    <w:rsid w:val="00E50188"/>
    <w:rsid w:val="00E515CB"/>
    <w:rsid w:val="00E51901"/>
    <w:rsid w:val="00E52260"/>
    <w:rsid w:val="00E56653"/>
    <w:rsid w:val="00E62F2A"/>
    <w:rsid w:val="00E639B6"/>
    <w:rsid w:val="00E63A96"/>
    <w:rsid w:val="00E6434B"/>
    <w:rsid w:val="00E6463D"/>
    <w:rsid w:val="00E6464F"/>
    <w:rsid w:val="00E71B61"/>
    <w:rsid w:val="00E71D78"/>
    <w:rsid w:val="00E72D97"/>
    <w:rsid w:val="00E72E9B"/>
    <w:rsid w:val="00E73C76"/>
    <w:rsid w:val="00E75724"/>
    <w:rsid w:val="00E75D66"/>
    <w:rsid w:val="00E7637D"/>
    <w:rsid w:val="00E77E69"/>
    <w:rsid w:val="00E8279C"/>
    <w:rsid w:val="00E82AAE"/>
    <w:rsid w:val="00E83C1F"/>
    <w:rsid w:val="00E849DA"/>
    <w:rsid w:val="00E8572C"/>
    <w:rsid w:val="00E911F2"/>
    <w:rsid w:val="00E92AF3"/>
    <w:rsid w:val="00E9462E"/>
    <w:rsid w:val="00E95F3B"/>
    <w:rsid w:val="00EA470E"/>
    <w:rsid w:val="00EA47A7"/>
    <w:rsid w:val="00EA5785"/>
    <w:rsid w:val="00EA57EB"/>
    <w:rsid w:val="00EB17D5"/>
    <w:rsid w:val="00EB2B74"/>
    <w:rsid w:val="00EB3226"/>
    <w:rsid w:val="00EB39E4"/>
    <w:rsid w:val="00EB560E"/>
    <w:rsid w:val="00EB5DBB"/>
    <w:rsid w:val="00EC213A"/>
    <w:rsid w:val="00EC6603"/>
    <w:rsid w:val="00EC739A"/>
    <w:rsid w:val="00EC7744"/>
    <w:rsid w:val="00ED0DAD"/>
    <w:rsid w:val="00ED0F46"/>
    <w:rsid w:val="00ED2373"/>
    <w:rsid w:val="00ED44C7"/>
    <w:rsid w:val="00ED522E"/>
    <w:rsid w:val="00ED789E"/>
    <w:rsid w:val="00EE26DD"/>
    <w:rsid w:val="00EE3085"/>
    <w:rsid w:val="00EE3BF4"/>
    <w:rsid w:val="00EE3E8A"/>
    <w:rsid w:val="00EE4492"/>
    <w:rsid w:val="00EE462F"/>
    <w:rsid w:val="00EE7A10"/>
    <w:rsid w:val="00EF1917"/>
    <w:rsid w:val="00EF293D"/>
    <w:rsid w:val="00EF4D4D"/>
    <w:rsid w:val="00EF4ED6"/>
    <w:rsid w:val="00EF6ECA"/>
    <w:rsid w:val="00F0095D"/>
    <w:rsid w:val="00F00C62"/>
    <w:rsid w:val="00F01B62"/>
    <w:rsid w:val="00F024E1"/>
    <w:rsid w:val="00F03B1E"/>
    <w:rsid w:val="00F06055"/>
    <w:rsid w:val="00F06C10"/>
    <w:rsid w:val="00F1096F"/>
    <w:rsid w:val="00F12589"/>
    <w:rsid w:val="00F12595"/>
    <w:rsid w:val="00F12EC4"/>
    <w:rsid w:val="00F134D9"/>
    <w:rsid w:val="00F13C37"/>
    <w:rsid w:val="00F1403D"/>
    <w:rsid w:val="00F1463F"/>
    <w:rsid w:val="00F14CFA"/>
    <w:rsid w:val="00F1615C"/>
    <w:rsid w:val="00F16B70"/>
    <w:rsid w:val="00F1704F"/>
    <w:rsid w:val="00F21302"/>
    <w:rsid w:val="00F219D3"/>
    <w:rsid w:val="00F27668"/>
    <w:rsid w:val="00F3038E"/>
    <w:rsid w:val="00F31642"/>
    <w:rsid w:val="00F31F33"/>
    <w:rsid w:val="00F321DE"/>
    <w:rsid w:val="00F322CA"/>
    <w:rsid w:val="00F33206"/>
    <w:rsid w:val="00F33777"/>
    <w:rsid w:val="00F36B95"/>
    <w:rsid w:val="00F40648"/>
    <w:rsid w:val="00F41FBB"/>
    <w:rsid w:val="00F451BA"/>
    <w:rsid w:val="00F46C11"/>
    <w:rsid w:val="00F47DA2"/>
    <w:rsid w:val="00F504C7"/>
    <w:rsid w:val="00F504D8"/>
    <w:rsid w:val="00F50A6D"/>
    <w:rsid w:val="00F519FC"/>
    <w:rsid w:val="00F51D3F"/>
    <w:rsid w:val="00F5418F"/>
    <w:rsid w:val="00F54FE4"/>
    <w:rsid w:val="00F56221"/>
    <w:rsid w:val="00F571D2"/>
    <w:rsid w:val="00F57285"/>
    <w:rsid w:val="00F6239D"/>
    <w:rsid w:val="00F65D1A"/>
    <w:rsid w:val="00F66FA3"/>
    <w:rsid w:val="00F715D2"/>
    <w:rsid w:val="00F7274F"/>
    <w:rsid w:val="00F740FB"/>
    <w:rsid w:val="00F745B3"/>
    <w:rsid w:val="00F7558B"/>
    <w:rsid w:val="00F764CA"/>
    <w:rsid w:val="00F76FA8"/>
    <w:rsid w:val="00F80FF6"/>
    <w:rsid w:val="00F81281"/>
    <w:rsid w:val="00F83E6C"/>
    <w:rsid w:val="00F86029"/>
    <w:rsid w:val="00F87C64"/>
    <w:rsid w:val="00F93F08"/>
    <w:rsid w:val="00F94CED"/>
    <w:rsid w:val="00F97308"/>
    <w:rsid w:val="00F9777C"/>
    <w:rsid w:val="00FA0F8C"/>
    <w:rsid w:val="00FA262A"/>
    <w:rsid w:val="00FA2CEE"/>
    <w:rsid w:val="00FA318C"/>
    <w:rsid w:val="00FA684B"/>
    <w:rsid w:val="00FA736D"/>
    <w:rsid w:val="00FA761D"/>
    <w:rsid w:val="00FB16E4"/>
    <w:rsid w:val="00FB19BC"/>
    <w:rsid w:val="00FB2B5E"/>
    <w:rsid w:val="00FB6F92"/>
    <w:rsid w:val="00FC026E"/>
    <w:rsid w:val="00FC128B"/>
    <w:rsid w:val="00FC2ED7"/>
    <w:rsid w:val="00FC42B3"/>
    <w:rsid w:val="00FC5124"/>
    <w:rsid w:val="00FD0C5D"/>
    <w:rsid w:val="00FD4731"/>
    <w:rsid w:val="00FD7AC7"/>
    <w:rsid w:val="00FE23B1"/>
    <w:rsid w:val="00FE396B"/>
    <w:rsid w:val="00FE4D37"/>
    <w:rsid w:val="00FE6EF9"/>
    <w:rsid w:val="00FE70ED"/>
    <w:rsid w:val="00FF0AB0"/>
    <w:rsid w:val="00FF161A"/>
    <w:rsid w:val="00FF28AC"/>
    <w:rsid w:val="00FF5017"/>
    <w:rsid w:val="00FF5A67"/>
    <w:rsid w:val="00FF6848"/>
    <w:rsid w:val="00FF6C5A"/>
    <w:rsid w:val="00FF6F24"/>
    <w:rsid w:val="00FF7F62"/>
    <w:rsid w:val="017A0FA1"/>
    <w:rsid w:val="01CC3C68"/>
    <w:rsid w:val="01DAFD6E"/>
    <w:rsid w:val="021CC0C5"/>
    <w:rsid w:val="023AEDC1"/>
    <w:rsid w:val="02C8C0B4"/>
    <w:rsid w:val="0422E2BA"/>
    <w:rsid w:val="04F81DDD"/>
    <w:rsid w:val="052BFE64"/>
    <w:rsid w:val="070A1D26"/>
    <w:rsid w:val="073EA1F3"/>
    <w:rsid w:val="07D6BA55"/>
    <w:rsid w:val="07DEDD01"/>
    <w:rsid w:val="0803DC59"/>
    <w:rsid w:val="085C23CF"/>
    <w:rsid w:val="089A3C18"/>
    <w:rsid w:val="08E3F41D"/>
    <w:rsid w:val="08EDB350"/>
    <w:rsid w:val="092012E6"/>
    <w:rsid w:val="0AE0BDEE"/>
    <w:rsid w:val="0CDE91AD"/>
    <w:rsid w:val="0D1B1285"/>
    <w:rsid w:val="0E28F7CA"/>
    <w:rsid w:val="0EA2A708"/>
    <w:rsid w:val="0F4F7025"/>
    <w:rsid w:val="0FF1CA38"/>
    <w:rsid w:val="10F267EE"/>
    <w:rsid w:val="11BE9505"/>
    <w:rsid w:val="11EFEDA3"/>
    <w:rsid w:val="13844557"/>
    <w:rsid w:val="144F0506"/>
    <w:rsid w:val="151ADCD7"/>
    <w:rsid w:val="15898888"/>
    <w:rsid w:val="17304B0C"/>
    <w:rsid w:val="178264E3"/>
    <w:rsid w:val="17B5869A"/>
    <w:rsid w:val="17C4B361"/>
    <w:rsid w:val="1818348E"/>
    <w:rsid w:val="1A7A7EE1"/>
    <w:rsid w:val="1C131CBA"/>
    <w:rsid w:val="1C88B919"/>
    <w:rsid w:val="1D503E58"/>
    <w:rsid w:val="1DD65CD7"/>
    <w:rsid w:val="1E4EF2C5"/>
    <w:rsid w:val="1F63812D"/>
    <w:rsid w:val="1F6E1B53"/>
    <w:rsid w:val="1F802AC8"/>
    <w:rsid w:val="200FB376"/>
    <w:rsid w:val="2157AF1E"/>
    <w:rsid w:val="216FE060"/>
    <w:rsid w:val="2181DA5F"/>
    <w:rsid w:val="22693218"/>
    <w:rsid w:val="22D35D20"/>
    <w:rsid w:val="2424863F"/>
    <w:rsid w:val="245B5007"/>
    <w:rsid w:val="24AB6B9B"/>
    <w:rsid w:val="251E951D"/>
    <w:rsid w:val="26C4352A"/>
    <w:rsid w:val="27DFF016"/>
    <w:rsid w:val="28021533"/>
    <w:rsid w:val="29296E72"/>
    <w:rsid w:val="29F9D072"/>
    <w:rsid w:val="2AA273A4"/>
    <w:rsid w:val="2B29DCCB"/>
    <w:rsid w:val="2BD20C64"/>
    <w:rsid w:val="2C442C96"/>
    <w:rsid w:val="2D6AF127"/>
    <w:rsid w:val="2DA31579"/>
    <w:rsid w:val="2F45ECAE"/>
    <w:rsid w:val="3149A03F"/>
    <w:rsid w:val="31D94D52"/>
    <w:rsid w:val="3365F0E7"/>
    <w:rsid w:val="34F57C28"/>
    <w:rsid w:val="35C7FA20"/>
    <w:rsid w:val="35F856F9"/>
    <w:rsid w:val="37C5A62C"/>
    <w:rsid w:val="38F44066"/>
    <w:rsid w:val="38FEE598"/>
    <w:rsid w:val="39683046"/>
    <w:rsid w:val="3A56385F"/>
    <w:rsid w:val="3A69581D"/>
    <w:rsid w:val="3D44EECE"/>
    <w:rsid w:val="3DCE2A9A"/>
    <w:rsid w:val="3E7F5408"/>
    <w:rsid w:val="40C8FF09"/>
    <w:rsid w:val="419BDFB7"/>
    <w:rsid w:val="4226A4F1"/>
    <w:rsid w:val="4394B5AB"/>
    <w:rsid w:val="43F63902"/>
    <w:rsid w:val="450C5AA9"/>
    <w:rsid w:val="453BDB36"/>
    <w:rsid w:val="45476C8B"/>
    <w:rsid w:val="4779CF09"/>
    <w:rsid w:val="47C8AE33"/>
    <w:rsid w:val="480FFC11"/>
    <w:rsid w:val="4948F2D9"/>
    <w:rsid w:val="49C5D02B"/>
    <w:rsid w:val="4A894220"/>
    <w:rsid w:val="4AC0292E"/>
    <w:rsid w:val="4B23A8C5"/>
    <w:rsid w:val="4DB37A52"/>
    <w:rsid w:val="4E1081A0"/>
    <w:rsid w:val="4E882265"/>
    <w:rsid w:val="4ECD3255"/>
    <w:rsid w:val="4F4C2F43"/>
    <w:rsid w:val="4FE4265D"/>
    <w:rsid w:val="501B58E9"/>
    <w:rsid w:val="5181A5C7"/>
    <w:rsid w:val="534F327E"/>
    <w:rsid w:val="53C290AC"/>
    <w:rsid w:val="53CD3448"/>
    <w:rsid w:val="53DA4A29"/>
    <w:rsid w:val="545A1F10"/>
    <w:rsid w:val="54C778DB"/>
    <w:rsid w:val="54DF615B"/>
    <w:rsid w:val="54FE88CC"/>
    <w:rsid w:val="551FA926"/>
    <w:rsid w:val="553E6902"/>
    <w:rsid w:val="556C0F2D"/>
    <w:rsid w:val="5AD50F2C"/>
    <w:rsid w:val="5B0CDDB7"/>
    <w:rsid w:val="5B3F38B0"/>
    <w:rsid w:val="5B64B70A"/>
    <w:rsid w:val="5B68382A"/>
    <w:rsid w:val="5B78AED5"/>
    <w:rsid w:val="5C5A1ECE"/>
    <w:rsid w:val="5D2F80EB"/>
    <w:rsid w:val="5DDD821B"/>
    <w:rsid w:val="5DE516D7"/>
    <w:rsid w:val="5E90B2BF"/>
    <w:rsid w:val="5EE48595"/>
    <w:rsid w:val="5F1CF005"/>
    <w:rsid w:val="6051C504"/>
    <w:rsid w:val="607B4361"/>
    <w:rsid w:val="61908C2A"/>
    <w:rsid w:val="6204FAB9"/>
    <w:rsid w:val="62EB5B82"/>
    <w:rsid w:val="643B1E19"/>
    <w:rsid w:val="65F3C959"/>
    <w:rsid w:val="67D43287"/>
    <w:rsid w:val="684537DB"/>
    <w:rsid w:val="68FC0535"/>
    <w:rsid w:val="69157F4B"/>
    <w:rsid w:val="6B053996"/>
    <w:rsid w:val="6B48EB4D"/>
    <w:rsid w:val="6C3DA2A2"/>
    <w:rsid w:val="6C6C1A49"/>
    <w:rsid w:val="6C89E5F5"/>
    <w:rsid w:val="6E605606"/>
    <w:rsid w:val="6EBD7A29"/>
    <w:rsid w:val="71776E2B"/>
    <w:rsid w:val="7428DB0F"/>
    <w:rsid w:val="743C936B"/>
    <w:rsid w:val="7482E618"/>
    <w:rsid w:val="749F6166"/>
    <w:rsid w:val="74D4E094"/>
    <w:rsid w:val="75C0341C"/>
    <w:rsid w:val="75E4FEF8"/>
    <w:rsid w:val="7784DAE1"/>
    <w:rsid w:val="77B2ABF4"/>
    <w:rsid w:val="780FD263"/>
    <w:rsid w:val="789D1D30"/>
    <w:rsid w:val="7A28760E"/>
    <w:rsid w:val="7BA817B8"/>
    <w:rsid w:val="7C9E9824"/>
    <w:rsid w:val="7CD87B30"/>
    <w:rsid w:val="7D525AD7"/>
    <w:rsid w:val="7E8F8194"/>
    <w:rsid w:val="7F469B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6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828F3"/>
    <w:pPr>
      <w:spacing w:before="120" w:after="120"/>
    </w:pPr>
    <w:rPr>
      <w:rFonts w:ascii="Calibri" w:hAnsi="Calibri"/>
      <w:sz w:val="24"/>
      <w:szCs w:val="24"/>
      <w:lang w:eastAsia="en-US"/>
    </w:rPr>
  </w:style>
  <w:style w:type="paragraph" w:styleId="Heading1">
    <w:name w:val="heading 1"/>
    <w:basedOn w:val="Normal"/>
    <w:next w:val="Paragraphtext"/>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2828F3"/>
    <w:pPr>
      <w:keepNext/>
      <w:spacing w:before="240" w:after="60"/>
      <w:outlineLvl w:val="1"/>
    </w:pPr>
    <w:rPr>
      <w:rFonts w:ascii="Arial" w:hAnsi="Arial" w:cs="Arial"/>
      <w:b/>
      <w:bCs/>
      <w:iCs/>
      <w:color w:val="358189"/>
      <w:sz w:val="28"/>
      <w:szCs w:val="24"/>
      <w:lang w:eastAsia="en-US"/>
    </w:rPr>
  </w:style>
  <w:style w:type="paragraph" w:styleId="Heading3">
    <w:name w:val="heading 3"/>
    <w:next w:val="Normal"/>
    <w:qFormat/>
    <w:rsid w:val="002828F3"/>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027071"/>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2828F3"/>
    <w:pPr>
      <w:spacing w:after="60"/>
      <w:jc w:val="center"/>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828F3"/>
    <w:pPr>
      <w:numPr>
        <w:ilvl w:val="1"/>
      </w:numPr>
      <w:spacing w:before="120" w:after="60"/>
    </w:pPr>
    <w:rPr>
      <w:rFonts w:ascii="Arial" w:eastAsiaTheme="majorEastAsia" w:hAnsi="Arial" w:cstheme="majorBidi"/>
      <w:iCs/>
      <w:color w:val="3F4A75"/>
      <w:spacing w:val="15"/>
      <w:sz w:val="32"/>
      <w:szCs w:val="24"/>
      <w:lang w:eastAsia="en-US"/>
    </w:rPr>
  </w:style>
  <w:style w:type="character" w:customStyle="1" w:styleId="SubtitleChar">
    <w:name w:val="Subtitle Char"/>
    <w:basedOn w:val="DefaultParagraphFont"/>
    <w:link w:val="Subtitle"/>
    <w:rsid w:val="002828F3"/>
    <w:rPr>
      <w:rFonts w:ascii="Arial" w:eastAsiaTheme="majorEastAsia" w:hAnsi="Arial" w:cstheme="majorBidi"/>
      <w:iCs/>
      <w:color w:val="3F4A75"/>
      <w:spacing w:val="15"/>
      <w:sz w:val="32"/>
      <w:szCs w:val="24"/>
      <w:lang w:eastAsia="en-US"/>
    </w:rPr>
  </w:style>
  <w:style w:type="paragraph" w:styleId="Title">
    <w:name w:val="Title"/>
    <w:basedOn w:val="Normal"/>
    <w:next w:val="Paragraphtext"/>
    <w:link w:val="TitleChar"/>
    <w:qFormat/>
    <w:rsid w:val="00FF6848"/>
    <w:pPr>
      <w:spacing w:before="180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FF6848"/>
    <w:rPr>
      <w:rFonts w:ascii="Calibri" w:eastAsiaTheme="majorEastAsia" w:hAnsi="Calibri"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2828F3"/>
    <w:pPr>
      <w:numPr>
        <w:numId w:val="17"/>
      </w:numPr>
      <w:spacing w:before="60" w:after="60"/>
    </w:pPr>
    <w:rPr>
      <w:color w:val="000000" w:themeColor="text1"/>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2828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3998B5" w:themeFill="accent5"/>
      </w:tcPr>
    </w:tblStylePr>
    <w:tblStylePr w:type="firstCol">
      <w:rPr>
        <w:rFonts w:ascii="Calibri" w:hAnsi="Calibri"/>
        <w:color w:val="FFFFFF" w:themeColor="background1"/>
        <w:sz w:val="22"/>
      </w:rPr>
      <w:tblPr/>
      <w:tcPr>
        <w:shd w:val="clear" w:color="auto" w:fill="3998B5" w:themeFill="accent5"/>
      </w:tc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otnoteReference">
    <w:name w:val="footnote reference"/>
    <w:basedOn w:val="DefaultParagraphFont"/>
    <w:uiPriority w:val="99"/>
    <w:unhideWhenUsed/>
    <w:rsid w:val="00B96A30"/>
    <w:rPr>
      <w:vertAlign w:val="superscript"/>
    </w:rPr>
  </w:style>
  <w:style w:type="character" w:styleId="CommentReference">
    <w:name w:val="annotation reference"/>
    <w:basedOn w:val="DefaultParagraphFont"/>
    <w:uiPriority w:val="99"/>
    <w:semiHidden/>
    <w:unhideWhenUsed/>
    <w:rsid w:val="00B96A30"/>
    <w:rPr>
      <w:sz w:val="16"/>
      <w:szCs w:val="16"/>
    </w:rPr>
  </w:style>
  <w:style w:type="paragraph" w:styleId="CommentText">
    <w:name w:val="annotation text"/>
    <w:basedOn w:val="Normal"/>
    <w:link w:val="CommentTextChar"/>
    <w:uiPriority w:val="99"/>
    <w:unhideWhenUsed/>
    <w:rsid w:val="00B96A30"/>
    <w:rPr>
      <w:rFonts w:eastAsia="Calibri" w:cs="Arial"/>
      <w:sz w:val="20"/>
      <w:szCs w:val="20"/>
      <w:lang w:eastAsia="en-AU"/>
    </w:rPr>
  </w:style>
  <w:style w:type="character" w:customStyle="1" w:styleId="CommentTextChar">
    <w:name w:val="Comment Text Char"/>
    <w:basedOn w:val="DefaultParagraphFont"/>
    <w:link w:val="CommentText"/>
    <w:uiPriority w:val="99"/>
    <w:rsid w:val="00B96A30"/>
    <w:rPr>
      <w:rFonts w:ascii="Calibri" w:eastAsia="Calibri" w:hAnsi="Calibri" w:cs="Arial"/>
    </w:rPr>
  </w:style>
  <w:style w:type="paragraph" w:styleId="TOCHeading">
    <w:name w:val="TOC Heading"/>
    <w:basedOn w:val="Heading1"/>
    <w:next w:val="Normal"/>
    <w:uiPriority w:val="39"/>
    <w:unhideWhenUsed/>
    <w:qFormat/>
    <w:rsid w:val="002828F3"/>
    <w:pPr>
      <w:keepNext w:val="0"/>
      <w:spacing w:before="0" w:after="0" w:line="259" w:lineRule="auto"/>
      <w:outlineLvl w:val="9"/>
    </w:pPr>
    <w:rPr>
      <w:rFonts w:eastAsia="Calibri"/>
      <w:b/>
      <w:bCs w:val="0"/>
      <w:color w:val="3F4A75" w:themeColor="text2"/>
      <w:kern w:val="0"/>
      <w:sz w:val="32"/>
      <w:szCs w:val="20"/>
      <w:lang w:val="en-US"/>
    </w:rPr>
  </w:style>
  <w:style w:type="paragraph" w:styleId="TOC1">
    <w:name w:val="toc 1"/>
    <w:basedOn w:val="Normal"/>
    <w:next w:val="Normal"/>
    <w:autoRedefine/>
    <w:uiPriority w:val="39"/>
    <w:unhideWhenUsed/>
    <w:rsid w:val="008678CB"/>
    <w:pPr>
      <w:tabs>
        <w:tab w:val="right" w:leader="dot" w:pos="9016"/>
      </w:tabs>
      <w:spacing w:after="100"/>
    </w:pPr>
    <w:rPr>
      <w:rFonts w:eastAsia="Calibri" w:cs="Arial"/>
      <w:noProof/>
      <w:lang w:eastAsia="en-AU"/>
    </w:rPr>
  </w:style>
  <w:style w:type="paragraph" w:customStyle="1" w:styleId="Default">
    <w:name w:val="Default"/>
    <w:rsid w:val="00B96A30"/>
    <w:pPr>
      <w:autoSpaceDE w:val="0"/>
      <w:autoSpaceDN w:val="0"/>
      <w:adjustRightInd w:val="0"/>
    </w:pPr>
    <w:rPr>
      <w:rFonts w:ascii="Calibri" w:eastAsiaTheme="minorHAnsi" w:hAnsi="Calibri" w:cs="Calibri"/>
      <w:color w:val="000000"/>
      <w:sz w:val="24"/>
      <w:szCs w:val="24"/>
      <w:lang w:eastAsia="en-US"/>
    </w:rPr>
  </w:style>
  <w:style w:type="table" w:styleId="GridTable5Dark-Accent5">
    <w:name w:val="Grid Table 5 Dark Accent 5"/>
    <w:basedOn w:val="TableNormal"/>
    <w:uiPriority w:val="50"/>
    <w:rsid w:val="00B96A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B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98B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98B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98B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98B5" w:themeFill="accent5"/>
      </w:tcPr>
    </w:tblStylePr>
    <w:tblStylePr w:type="band1Vert">
      <w:tblPr/>
      <w:tcPr>
        <w:shd w:val="clear" w:color="auto" w:fill="ACD7E5" w:themeFill="accent5" w:themeFillTint="66"/>
      </w:tcPr>
    </w:tblStylePr>
    <w:tblStylePr w:type="band1Horz">
      <w:tblPr/>
      <w:tcPr>
        <w:shd w:val="clear" w:color="auto" w:fill="ACD7E5" w:themeFill="accent5" w:themeFillTint="66"/>
      </w:tcPr>
    </w:tblStylePr>
  </w:style>
  <w:style w:type="paragraph" w:styleId="CommentSubject">
    <w:name w:val="annotation subject"/>
    <w:basedOn w:val="CommentText"/>
    <w:next w:val="CommentText"/>
    <w:link w:val="CommentSubjectChar"/>
    <w:semiHidden/>
    <w:unhideWhenUsed/>
    <w:rsid w:val="00320F15"/>
    <w:rPr>
      <w:rFonts w:ascii="Arial" w:eastAsia="Times New Roman" w:hAnsi="Arial" w:cs="Times New Roman"/>
      <w:b/>
      <w:bCs/>
      <w:lang w:eastAsia="en-US"/>
    </w:rPr>
  </w:style>
  <w:style w:type="character" w:customStyle="1" w:styleId="CommentSubjectChar">
    <w:name w:val="Comment Subject Char"/>
    <w:basedOn w:val="CommentTextChar"/>
    <w:link w:val="CommentSubject"/>
    <w:semiHidden/>
    <w:rsid w:val="00320F15"/>
    <w:rPr>
      <w:rFonts w:ascii="Arial" w:eastAsia="Calibri" w:hAnsi="Arial" w:cs="Arial"/>
      <w:b/>
      <w:bCs/>
      <w:lang w:eastAsia="en-US"/>
    </w:rPr>
  </w:style>
  <w:style w:type="paragraph" w:styleId="Revision">
    <w:name w:val="Revision"/>
    <w:hidden/>
    <w:uiPriority w:val="99"/>
    <w:semiHidden/>
    <w:rsid w:val="00320F15"/>
    <w:rPr>
      <w:rFonts w:ascii="Arial" w:hAnsi="Arial"/>
      <w:sz w:val="22"/>
      <w:szCs w:val="24"/>
      <w:lang w:eastAsia="en-US"/>
    </w:rPr>
  </w:style>
  <w:style w:type="paragraph" w:styleId="TOC2">
    <w:name w:val="toc 2"/>
    <w:basedOn w:val="Normal"/>
    <w:next w:val="Normal"/>
    <w:autoRedefine/>
    <w:uiPriority w:val="39"/>
    <w:unhideWhenUsed/>
    <w:rsid w:val="001F05E3"/>
    <w:pPr>
      <w:tabs>
        <w:tab w:val="right" w:leader="dot" w:pos="9060"/>
      </w:tabs>
      <w:spacing w:after="100"/>
      <w:ind w:left="220"/>
    </w:pPr>
    <w:rPr>
      <w:rFonts w:cs="Arial"/>
      <w:noProof/>
      <w:szCs w:val="22"/>
    </w:rPr>
  </w:style>
  <w:style w:type="character" w:customStyle="1" w:styleId="Heading1Char">
    <w:name w:val="Heading 1 Char"/>
    <w:basedOn w:val="DefaultParagraphFont"/>
    <w:link w:val="Heading1"/>
    <w:rsid w:val="001D6009"/>
    <w:rPr>
      <w:rFonts w:ascii="Arial" w:hAnsi="Arial" w:cs="Arial"/>
      <w:bCs/>
      <w:color w:val="3F4A75"/>
      <w:kern w:val="28"/>
      <w:sz w:val="36"/>
      <w:szCs w:val="36"/>
      <w:lang w:eastAsia="en-US"/>
    </w:rPr>
  </w:style>
  <w:style w:type="paragraph" w:styleId="TOC3">
    <w:name w:val="toc 3"/>
    <w:basedOn w:val="Normal"/>
    <w:next w:val="Normal"/>
    <w:autoRedefine/>
    <w:uiPriority w:val="39"/>
    <w:unhideWhenUsed/>
    <w:rsid w:val="00533E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1363892">
      <w:bodyDiv w:val="1"/>
      <w:marLeft w:val="0"/>
      <w:marRight w:val="0"/>
      <w:marTop w:val="0"/>
      <w:marBottom w:val="0"/>
      <w:divBdr>
        <w:top w:val="none" w:sz="0" w:space="0" w:color="auto"/>
        <w:left w:val="none" w:sz="0" w:space="0" w:color="auto"/>
        <w:bottom w:val="none" w:sz="0" w:space="0" w:color="auto"/>
        <w:right w:val="none" w:sz="0" w:space="0" w:color="auto"/>
      </w:divBdr>
    </w:div>
    <w:div w:id="5568915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0662373">
      <w:bodyDiv w:val="1"/>
      <w:marLeft w:val="0"/>
      <w:marRight w:val="0"/>
      <w:marTop w:val="0"/>
      <w:marBottom w:val="0"/>
      <w:divBdr>
        <w:top w:val="none" w:sz="0" w:space="0" w:color="auto"/>
        <w:left w:val="none" w:sz="0" w:space="0" w:color="auto"/>
        <w:bottom w:val="none" w:sz="0" w:space="0" w:color="auto"/>
        <w:right w:val="none" w:sz="0" w:space="0" w:color="auto"/>
      </w:divBdr>
    </w:div>
    <w:div w:id="10645701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269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8e2ea37e0ad9799d418ec99cb1872b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a31e2f21d7a4be56da5d135d5a022ea5"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A0571-C237-4D5F-BC8B-1AE06A85D129}">
  <ds:schemaRefs>
    <ds:schemaRef ds:uri="http://schemas.microsoft.com/office/2006/metadata/properties"/>
    <ds:schemaRef ds:uri="http://schemas.microsoft.com/office/infopath/2007/PartnerControls"/>
    <ds:schemaRef ds:uri="ac66711c-8613-4dde-a928-6bd510ab7da4"/>
  </ds:schemaRefs>
</ds:datastoreItem>
</file>

<file path=customXml/itemProps2.xml><?xml version="1.0" encoding="utf-8"?>
<ds:datastoreItem xmlns:ds="http://schemas.openxmlformats.org/officeDocument/2006/customXml" ds:itemID="{DE2D61D3-503D-4979-9343-6558BF5BB5DF}">
  <ds:schemaRefs>
    <ds:schemaRef ds:uri="http://schemas.openxmlformats.org/officeDocument/2006/bibliography"/>
  </ds:schemaRefs>
</ds:datastoreItem>
</file>

<file path=customXml/itemProps3.xml><?xml version="1.0" encoding="utf-8"?>
<ds:datastoreItem xmlns:ds="http://schemas.openxmlformats.org/officeDocument/2006/customXml" ds:itemID="{18B15260-9796-42D5-8362-8BB1E481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0A002-02B2-4F4F-889E-1F68B3E09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5517</Words>
  <Characters>32993</Characters>
  <Application>Microsoft Office Word</Application>
  <DocSecurity>0</DocSecurity>
  <Lines>659</Lines>
  <Paragraphs>315</Paragraphs>
  <ScaleCrop>false</ScaleCrop>
  <HeadingPairs>
    <vt:vector size="2" baseType="variant">
      <vt:variant>
        <vt:lpstr>Title</vt:lpstr>
      </vt:variant>
      <vt:variant>
        <vt:i4>1</vt:i4>
      </vt:variant>
    </vt:vector>
  </HeadingPairs>
  <TitlesOfParts>
    <vt:vector size="1" baseType="lpstr">
      <vt:lpstr>Commonwealth Psychosocial Support: Program Guidance</vt:lpstr>
    </vt:vector>
  </TitlesOfParts>
  <Company/>
  <LinksUpToDate>false</LinksUpToDate>
  <CharactersWithSpaces>38195</CharactersWithSpaces>
  <SharedDoc>false</SharedDoc>
  <HLinks>
    <vt:vector size="102" baseType="variant">
      <vt:variant>
        <vt:i4>1835057</vt:i4>
      </vt:variant>
      <vt:variant>
        <vt:i4>98</vt:i4>
      </vt:variant>
      <vt:variant>
        <vt:i4>0</vt:i4>
      </vt:variant>
      <vt:variant>
        <vt:i4>5</vt:i4>
      </vt:variant>
      <vt:variant>
        <vt:lpwstr/>
      </vt:variant>
      <vt:variant>
        <vt:lpwstr>_Toc78547443</vt:lpwstr>
      </vt:variant>
      <vt:variant>
        <vt:i4>1900593</vt:i4>
      </vt:variant>
      <vt:variant>
        <vt:i4>92</vt:i4>
      </vt:variant>
      <vt:variant>
        <vt:i4>0</vt:i4>
      </vt:variant>
      <vt:variant>
        <vt:i4>5</vt:i4>
      </vt:variant>
      <vt:variant>
        <vt:lpwstr/>
      </vt:variant>
      <vt:variant>
        <vt:lpwstr>_Toc78547442</vt:lpwstr>
      </vt:variant>
      <vt:variant>
        <vt:i4>1966129</vt:i4>
      </vt:variant>
      <vt:variant>
        <vt:i4>86</vt:i4>
      </vt:variant>
      <vt:variant>
        <vt:i4>0</vt:i4>
      </vt:variant>
      <vt:variant>
        <vt:i4>5</vt:i4>
      </vt:variant>
      <vt:variant>
        <vt:lpwstr/>
      </vt:variant>
      <vt:variant>
        <vt:lpwstr>_Toc78547441</vt:lpwstr>
      </vt:variant>
      <vt:variant>
        <vt:i4>2031665</vt:i4>
      </vt:variant>
      <vt:variant>
        <vt:i4>80</vt:i4>
      </vt:variant>
      <vt:variant>
        <vt:i4>0</vt:i4>
      </vt:variant>
      <vt:variant>
        <vt:i4>5</vt:i4>
      </vt:variant>
      <vt:variant>
        <vt:lpwstr/>
      </vt:variant>
      <vt:variant>
        <vt:lpwstr>_Toc78547440</vt:lpwstr>
      </vt:variant>
      <vt:variant>
        <vt:i4>1441846</vt:i4>
      </vt:variant>
      <vt:variant>
        <vt:i4>74</vt:i4>
      </vt:variant>
      <vt:variant>
        <vt:i4>0</vt:i4>
      </vt:variant>
      <vt:variant>
        <vt:i4>5</vt:i4>
      </vt:variant>
      <vt:variant>
        <vt:lpwstr/>
      </vt:variant>
      <vt:variant>
        <vt:lpwstr>_Toc78547439</vt:lpwstr>
      </vt:variant>
      <vt:variant>
        <vt:i4>1507382</vt:i4>
      </vt:variant>
      <vt:variant>
        <vt:i4>68</vt:i4>
      </vt:variant>
      <vt:variant>
        <vt:i4>0</vt:i4>
      </vt:variant>
      <vt:variant>
        <vt:i4>5</vt:i4>
      </vt:variant>
      <vt:variant>
        <vt:lpwstr/>
      </vt:variant>
      <vt:variant>
        <vt:lpwstr>_Toc78547438</vt:lpwstr>
      </vt:variant>
      <vt:variant>
        <vt:i4>1572918</vt:i4>
      </vt:variant>
      <vt:variant>
        <vt:i4>62</vt:i4>
      </vt:variant>
      <vt:variant>
        <vt:i4>0</vt:i4>
      </vt:variant>
      <vt:variant>
        <vt:i4>5</vt:i4>
      </vt:variant>
      <vt:variant>
        <vt:lpwstr/>
      </vt:variant>
      <vt:variant>
        <vt:lpwstr>_Toc78547437</vt:lpwstr>
      </vt:variant>
      <vt:variant>
        <vt:i4>1638454</vt:i4>
      </vt:variant>
      <vt:variant>
        <vt:i4>56</vt:i4>
      </vt:variant>
      <vt:variant>
        <vt:i4>0</vt:i4>
      </vt:variant>
      <vt:variant>
        <vt:i4>5</vt:i4>
      </vt:variant>
      <vt:variant>
        <vt:lpwstr/>
      </vt:variant>
      <vt:variant>
        <vt:lpwstr>_Toc78547436</vt:lpwstr>
      </vt:variant>
      <vt:variant>
        <vt:i4>1703990</vt:i4>
      </vt:variant>
      <vt:variant>
        <vt:i4>50</vt:i4>
      </vt:variant>
      <vt:variant>
        <vt:i4>0</vt:i4>
      </vt:variant>
      <vt:variant>
        <vt:i4>5</vt:i4>
      </vt:variant>
      <vt:variant>
        <vt:lpwstr/>
      </vt:variant>
      <vt:variant>
        <vt:lpwstr>_Toc78547435</vt:lpwstr>
      </vt:variant>
      <vt:variant>
        <vt:i4>1769526</vt:i4>
      </vt:variant>
      <vt:variant>
        <vt:i4>44</vt:i4>
      </vt:variant>
      <vt:variant>
        <vt:i4>0</vt:i4>
      </vt:variant>
      <vt:variant>
        <vt:i4>5</vt:i4>
      </vt:variant>
      <vt:variant>
        <vt:lpwstr/>
      </vt:variant>
      <vt:variant>
        <vt:lpwstr>_Toc78547434</vt:lpwstr>
      </vt:variant>
      <vt:variant>
        <vt:i4>1835062</vt:i4>
      </vt:variant>
      <vt:variant>
        <vt:i4>38</vt:i4>
      </vt:variant>
      <vt:variant>
        <vt:i4>0</vt:i4>
      </vt:variant>
      <vt:variant>
        <vt:i4>5</vt:i4>
      </vt:variant>
      <vt:variant>
        <vt:lpwstr/>
      </vt:variant>
      <vt:variant>
        <vt:lpwstr>_Toc78547433</vt:lpwstr>
      </vt:variant>
      <vt:variant>
        <vt:i4>1900598</vt:i4>
      </vt:variant>
      <vt:variant>
        <vt:i4>32</vt:i4>
      </vt:variant>
      <vt:variant>
        <vt:i4>0</vt:i4>
      </vt:variant>
      <vt:variant>
        <vt:i4>5</vt:i4>
      </vt:variant>
      <vt:variant>
        <vt:lpwstr/>
      </vt:variant>
      <vt:variant>
        <vt:lpwstr>_Toc78547432</vt:lpwstr>
      </vt:variant>
      <vt:variant>
        <vt:i4>1966134</vt:i4>
      </vt:variant>
      <vt:variant>
        <vt:i4>26</vt:i4>
      </vt:variant>
      <vt:variant>
        <vt:i4>0</vt:i4>
      </vt:variant>
      <vt:variant>
        <vt:i4>5</vt:i4>
      </vt:variant>
      <vt:variant>
        <vt:lpwstr/>
      </vt:variant>
      <vt:variant>
        <vt:lpwstr>_Toc78547431</vt:lpwstr>
      </vt:variant>
      <vt:variant>
        <vt:i4>2031670</vt:i4>
      </vt:variant>
      <vt:variant>
        <vt:i4>20</vt:i4>
      </vt:variant>
      <vt:variant>
        <vt:i4>0</vt:i4>
      </vt:variant>
      <vt:variant>
        <vt:i4>5</vt:i4>
      </vt:variant>
      <vt:variant>
        <vt:lpwstr/>
      </vt:variant>
      <vt:variant>
        <vt:lpwstr>_Toc78547430</vt:lpwstr>
      </vt:variant>
      <vt:variant>
        <vt:i4>1441847</vt:i4>
      </vt:variant>
      <vt:variant>
        <vt:i4>14</vt:i4>
      </vt:variant>
      <vt:variant>
        <vt:i4>0</vt:i4>
      </vt:variant>
      <vt:variant>
        <vt:i4>5</vt:i4>
      </vt:variant>
      <vt:variant>
        <vt:lpwstr/>
      </vt:variant>
      <vt:variant>
        <vt:lpwstr>_Toc78547429</vt:lpwstr>
      </vt:variant>
      <vt:variant>
        <vt:i4>1507383</vt:i4>
      </vt:variant>
      <vt:variant>
        <vt:i4>8</vt:i4>
      </vt:variant>
      <vt:variant>
        <vt:i4>0</vt:i4>
      </vt:variant>
      <vt:variant>
        <vt:i4>5</vt:i4>
      </vt:variant>
      <vt:variant>
        <vt:lpwstr/>
      </vt:variant>
      <vt:variant>
        <vt:lpwstr>_Toc78547428</vt:lpwstr>
      </vt:variant>
      <vt:variant>
        <vt:i4>1572919</vt:i4>
      </vt:variant>
      <vt:variant>
        <vt:i4>2</vt:i4>
      </vt:variant>
      <vt:variant>
        <vt:i4>0</vt:i4>
      </vt:variant>
      <vt:variant>
        <vt:i4>5</vt:i4>
      </vt:variant>
      <vt:variant>
        <vt:lpwstr/>
      </vt:variant>
      <vt:variant>
        <vt:lpwstr>_Toc78547427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Psychosocial Support: Program Guidance</dc:title>
  <dc:subject>Mental Health</dc:subject>
  <dc:creator/>
  <cp:keywords/>
  <dc:description>_x000d_
</dc:description>
  <cp:lastModifiedBy/>
  <cp:revision>1</cp:revision>
  <dcterms:created xsi:type="dcterms:W3CDTF">2024-09-05T22:29:00Z</dcterms:created>
  <dcterms:modified xsi:type="dcterms:W3CDTF">2024-09-05T22:33:00Z</dcterms:modified>
</cp:coreProperties>
</file>