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D077" w14:textId="6BA4AB4E" w:rsidR="00D9279D" w:rsidRPr="00446450" w:rsidRDefault="00D9279D" w:rsidP="00446450">
      <w:pPr>
        <w:pStyle w:val="Title"/>
      </w:pPr>
      <w:r w:rsidRPr="00446450">
        <w:t>Innovative Models of Care (IMOC)</w:t>
      </w:r>
    </w:p>
    <w:p w14:paraId="3DFE17BA" w14:textId="77777777" w:rsidR="00446450" w:rsidRPr="00446450" w:rsidRDefault="00C3673F" w:rsidP="00446450">
      <w:pPr>
        <w:pStyle w:val="Subtitle"/>
      </w:pPr>
      <w:r w:rsidRPr="00446450">
        <w:t xml:space="preserve">Shared </w:t>
      </w:r>
      <w:r w:rsidR="00B2662E" w:rsidRPr="00446450">
        <w:t>medical appointment</w:t>
      </w:r>
      <w:r w:rsidR="00D344CA" w:rsidRPr="00446450">
        <w:t xml:space="preserve"> (SMA)</w:t>
      </w:r>
      <w:r w:rsidR="00B2662E" w:rsidRPr="00446450">
        <w:t xml:space="preserve"> </w:t>
      </w:r>
      <w:proofErr w:type="gramStart"/>
      <w:r w:rsidR="00B2662E" w:rsidRPr="00446450">
        <w:t>model</w:t>
      </w:r>
      <w:proofErr w:type="gramEnd"/>
    </w:p>
    <w:p w14:paraId="75FE7FC7" w14:textId="7A20237B" w:rsidR="004E204A" w:rsidRDefault="008A630C" w:rsidP="00446450">
      <w:pPr>
        <w:pStyle w:val="Heading1"/>
      </w:pPr>
      <w:r w:rsidRPr="00446450">
        <w:t>Innovative models of care case study</w:t>
      </w:r>
    </w:p>
    <w:p w14:paraId="4A0BDA64" w14:textId="4A0A23B6" w:rsidR="007B109B" w:rsidRPr="002B3293" w:rsidRDefault="00E673E0" w:rsidP="007B109B">
      <w:pPr>
        <w:rPr>
          <w:b/>
          <w:bCs/>
        </w:rPr>
      </w:pPr>
      <w:bookmarkStart w:id="0" w:name="_Hlk172043725"/>
      <w:r>
        <w:t xml:space="preserve">The IMOC </w:t>
      </w:r>
      <w:r w:rsidR="00F94A45">
        <w:t>P</w:t>
      </w:r>
      <w:r>
        <w:t xml:space="preserve">rogram </w:t>
      </w:r>
      <w:r w:rsidRPr="00E673E0">
        <w:t>helps organisations trial new ways of providing primary care in rural and remote communities.</w:t>
      </w:r>
      <w:r w:rsidR="007B109B">
        <w:t xml:space="preserve"> </w:t>
      </w:r>
      <w:r>
        <w:t>Funding is for</w:t>
      </w:r>
      <w:r w:rsidR="007B109B">
        <w:t xml:space="preserve"> governance, community engagement and program management activities to support innovative health services delivery.</w:t>
      </w:r>
    </w:p>
    <w:p w14:paraId="531F293F" w14:textId="43C60F36" w:rsidR="007B109B" w:rsidRDefault="007B109B" w:rsidP="007B109B">
      <w:r>
        <w:t>The desired outcomes of the Program are to:</w:t>
      </w:r>
    </w:p>
    <w:p w14:paraId="6D7E4514" w14:textId="4DED9847" w:rsidR="007B109B" w:rsidRDefault="007B109B" w:rsidP="00E912F5">
      <w:pPr>
        <w:pStyle w:val="ListBullet"/>
      </w:pPr>
      <w:r>
        <w:t xml:space="preserve">learn from funded trials and share learnings that will allow other communities to apply place based innovative models; and </w:t>
      </w:r>
    </w:p>
    <w:p w14:paraId="202CFF63" w14:textId="3D1BA8BB" w:rsidR="007B109B" w:rsidRDefault="007B109B" w:rsidP="00E912F5">
      <w:pPr>
        <w:pStyle w:val="ListBullet"/>
      </w:pPr>
      <w:r>
        <w:t>evaluate whether they improve rural practice and lead to better health outcomes.</w:t>
      </w:r>
    </w:p>
    <w:bookmarkEnd w:id="0"/>
    <w:p w14:paraId="2FFA2ECC" w14:textId="40F517F4" w:rsidR="00332BF8" w:rsidRPr="00446450" w:rsidRDefault="000B5E0C" w:rsidP="00446450">
      <w:pPr>
        <w:pStyle w:val="Heading2"/>
      </w:pPr>
      <w:r w:rsidRPr="00446450">
        <w:t>Summary</w:t>
      </w:r>
      <w:r w:rsidR="00E673E0" w:rsidRPr="00446450">
        <w:t xml:space="preserve"> of SMA model</w:t>
      </w:r>
    </w:p>
    <w:tbl>
      <w:tblPr>
        <w:tblStyle w:val="TableGrid"/>
        <w:tblW w:w="9185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1418"/>
        <w:gridCol w:w="7087"/>
      </w:tblGrid>
      <w:tr w:rsidR="00420B70" w:rsidRPr="00C64CE2" w14:paraId="01AF195E" w14:textId="77777777" w:rsidTr="0051465B">
        <w:trPr>
          <w:trHeight w:val="381"/>
        </w:trPr>
        <w:tc>
          <w:tcPr>
            <w:tcW w:w="680" w:type="dxa"/>
            <w:tcBorders>
              <w:bottom w:val="single" w:sz="36" w:space="0" w:color="3F4A75"/>
            </w:tcBorders>
            <w:shd w:val="clear" w:color="auto" w:fill="3F4A75"/>
            <w:vAlign w:val="center"/>
          </w:tcPr>
          <w:p w14:paraId="1F5F2DB5" w14:textId="75A72F81" w:rsidR="00420B70" w:rsidRPr="00446450" w:rsidRDefault="00420B70" w:rsidP="00446450">
            <w:r w:rsidRPr="00446450">
              <w:drawing>
                <wp:inline distT="0" distB="0" distL="0" distR="0" wp14:anchorId="29D653FD" wp14:editId="6CF8E88F">
                  <wp:extent cx="324000" cy="324000"/>
                  <wp:effectExtent l="0" t="0" r="0" b="0"/>
                  <wp:docPr id="1" name="Graphic 1" descr="Map with pi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p with pin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bottom w:val="single" w:sz="36" w:space="0" w:color="3F4A75"/>
            </w:tcBorders>
            <w:shd w:val="clear" w:color="auto" w:fill="3F4A75"/>
            <w:vAlign w:val="center"/>
          </w:tcPr>
          <w:p w14:paraId="21694CFA" w14:textId="605C7642" w:rsidR="00420B70" w:rsidRPr="00446450" w:rsidRDefault="00420B70" w:rsidP="00446450">
            <w:pPr>
              <w:pStyle w:val="TableHeaderWhite"/>
            </w:pPr>
            <w:r w:rsidRPr="00446450">
              <w:t>Location</w:t>
            </w:r>
            <w:r w:rsidR="007F7209" w:rsidRPr="00446450">
              <w:t>:</w:t>
            </w:r>
          </w:p>
        </w:tc>
        <w:tc>
          <w:tcPr>
            <w:tcW w:w="7087" w:type="dxa"/>
            <w:tcBorders>
              <w:bottom w:val="single" w:sz="36" w:space="0" w:color="3F4A75"/>
            </w:tcBorders>
            <w:shd w:val="clear" w:color="auto" w:fill="auto"/>
            <w:vAlign w:val="center"/>
          </w:tcPr>
          <w:p w14:paraId="5FBACC97" w14:textId="3A2CA9DA" w:rsidR="00420B70" w:rsidRPr="00446450" w:rsidRDefault="0094464B" w:rsidP="00446450">
            <w:pPr>
              <w:pStyle w:val="TableText"/>
            </w:pPr>
            <w:r w:rsidRPr="00446450">
              <w:t>Tumut, Tumbarumba, Batlow,</w:t>
            </w:r>
            <w:r w:rsidR="0070609C" w:rsidRPr="00446450">
              <w:t xml:space="preserve"> Gundagai, Finley</w:t>
            </w:r>
            <w:r w:rsidRPr="00446450">
              <w:t xml:space="preserve"> and Adelong</w:t>
            </w:r>
            <w:r w:rsidR="0001648A" w:rsidRPr="00446450">
              <w:t>, New South Wales</w:t>
            </w:r>
          </w:p>
        </w:tc>
      </w:tr>
      <w:tr w:rsidR="00420B70" w:rsidRPr="00C64CE2" w14:paraId="0F79C903" w14:textId="77777777" w:rsidTr="0051465B">
        <w:trPr>
          <w:trHeight w:val="80"/>
        </w:trPr>
        <w:tc>
          <w:tcPr>
            <w:tcW w:w="680" w:type="dxa"/>
            <w:tcBorders>
              <w:bottom w:val="single" w:sz="36" w:space="0" w:color="008A96"/>
            </w:tcBorders>
            <w:shd w:val="clear" w:color="auto" w:fill="008A96"/>
            <w:vAlign w:val="center"/>
          </w:tcPr>
          <w:p w14:paraId="78BED410" w14:textId="681E5C07" w:rsidR="00420B70" w:rsidRPr="00446450" w:rsidRDefault="00420B70" w:rsidP="00446450">
            <w:r w:rsidRPr="00446450">
              <w:drawing>
                <wp:inline distT="0" distB="0" distL="0" distR="0" wp14:anchorId="6FBD72D3" wp14:editId="23FEA00D">
                  <wp:extent cx="324000" cy="324000"/>
                  <wp:effectExtent l="0" t="0" r="0" b="0"/>
                  <wp:docPr id="8" name="Graphic 8" descr="Question 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Question Mark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bottom w:val="single" w:sz="36" w:space="0" w:color="008A96"/>
            </w:tcBorders>
            <w:shd w:val="clear" w:color="auto" w:fill="008A96"/>
            <w:vAlign w:val="center"/>
          </w:tcPr>
          <w:p w14:paraId="4BDA7075" w14:textId="5631B2D1" w:rsidR="00420B70" w:rsidRPr="00446450" w:rsidRDefault="00420B70" w:rsidP="00446450">
            <w:pPr>
              <w:pStyle w:val="TableHeaderWhite"/>
            </w:pPr>
            <w:r w:rsidRPr="00446450">
              <w:t>Problem</w:t>
            </w:r>
            <w:r w:rsidR="007F7209" w:rsidRPr="00446450">
              <w:t>:</w:t>
            </w:r>
          </w:p>
        </w:tc>
        <w:tc>
          <w:tcPr>
            <w:tcW w:w="7087" w:type="dxa"/>
            <w:tcBorders>
              <w:bottom w:val="single" w:sz="36" w:space="0" w:color="008A96"/>
            </w:tcBorders>
            <w:shd w:val="clear" w:color="auto" w:fill="auto"/>
            <w:vAlign w:val="center"/>
          </w:tcPr>
          <w:p w14:paraId="16192215" w14:textId="31CE7F2E" w:rsidR="00420B70" w:rsidRPr="00446450" w:rsidRDefault="00E41DF6" w:rsidP="00446450">
            <w:pPr>
              <w:pStyle w:val="TableText"/>
            </w:pPr>
            <w:r w:rsidRPr="00446450">
              <w:t>Chronic disease health issues in the community including respiratory illness and diabetes</w:t>
            </w:r>
          </w:p>
        </w:tc>
      </w:tr>
      <w:tr w:rsidR="00420B70" w:rsidRPr="00C64CE2" w14:paraId="54C6EB79" w14:textId="77777777" w:rsidTr="0051465B">
        <w:trPr>
          <w:trHeight w:val="80"/>
        </w:trPr>
        <w:tc>
          <w:tcPr>
            <w:tcW w:w="680" w:type="dxa"/>
            <w:tcBorders>
              <w:bottom w:val="single" w:sz="36" w:space="0" w:color="1390CF"/>
            </w:tcBorders>
            <w:shd w:val="clear" w:color="auto" w:fill="1390CF"/>
            <w:vAlign w:val="center"/>
          </w:tcPr>
          <w:p w14:paraId="36575CE5" w14:textId="62CA6A1F" w:rsidR="00420B70" w:rsidRPr="00446450" w:rsidRDefault="00420B70" w:rsidP="00446450">
            <w:r w:rsidRPr="00446450">
              <w:drawing>
                <wp:inline distT="0" distB="0" distL="0" distR="0" wp14:anchorId="0A561077" wp14:editId="7A4ECDFD">
                  <wp:extent cx="324000" cy="324000"/>
                  <wp:effectExtent l="0" t="0" r="0" b="0"/>
                  <wp:docPr id="5" name="Graphic 5" descr="Lights 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Lights On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bottom w:val="single" w:sz="36" w:space="0" w:color="1390CF"/>
            </w:tcBorders>
            <w:shd w:val="clear" w:color="auto" w:fill="1390CF"/>
            <w:vAlign w:val="center"/>
          </w:tcPr>
          <w:p w14:paraId="509389FE" w14:textId="4BA5EAE5" w:rsidR="00420B70" w:rsidRPr="00446450" w:rsidRDefault="00B676CA" w:rsidP="00446450">
            <w:pPr>
              <w:pStyle w:val="TableHeaderWhite"/>
            </w:pPr>
            <w:r w:rsidRPr="00446450">
              <w:t>Solution</w:t>
            </w:r>
            <w:r w:rsidR="007F7209" w:rsidRPr="00446450">
              <w:t>:</w:t>
            </w:r>
          </w:p>
        </w:tc>
        <w:tc>
          <w:tcPr>
            <w:tcW w:w="7087" w:type="dxa"/>
            <w:tcBorders>
              <w:bottom w:val="single" w:sz="36" w:space="0" w:color="1390CF"/>
            </w:tcBorders>
            <w:shd w:val="clear" w:color="auto" w:fill="auto"/>
            <w:vAlign w:val="center"/>
          </w:tcPr>
          <w:p w14:paraId="4721B615" w14:textId="364848C3" w:rsidR="00420B70" w:rsidRPr="00446450" w:rsidRDefault="003C056A" w:rsidP="00446450">
            <w:pPr>
              <w:pStyle w:val="TableText"/>
            </w:pPr>
            <w:r w:rsidRPr="00446450">
              <w:t>A team of health professionals consult a g</w:t>
            </w:r>
            <w:r w:rsidR="00BC2551" w:rsidRPr="00446450">
              <w:t>roup of patients with a common health conditio</w:t>
            </w:r>
            <w:r w:rsidRPr="00446450">
              <w:t>n</w:t>
            </w:r>
            <w:r w:rsidR="00BC2551" w:rsidRPr="00446450">
              <w:t>, involving peer-to-peer sharing</w:t>
            </w:r>
          </w:p>
        </w:tc>
      </w:tr>
      <w:tr w:rsidR="00420B70" w:rsidRPr="00C64CE2" w14:paraId="09099F9E" w14:textId="77777777" w:rsidTr="0051465B">
        <w:trPr>
          <w:trHeight w:val="80"/>
        </w:trPr>
        <w:tc>
          <w:tcPr>
            <w:tcW w:w="680" w:type="dxa"/>
            <w:tcBorders>
              <w:bottom w:val="single" w:sz="36" w:space="0" w:color="00727D"/>
            </w:tcBorders>
            <w:shd w:val="clear" w:color="auto" w:fill="00727D"/>
            <w:vAlign w:val="center"/>
          </w:tcPr>
          <w:p w14:paraId="356CCC1E" w14:textId="1A8FB73A" w:rsidR="00420B70" w:rsidRPr="00446450" w:rsidRDefault="00420B70" w:rsidP="00446450">
            <w:r w:rsidRPr="00446450">
              <w:drawing>
                <wp:inline distT="0" distB="0" distL="0" distR="0" wp14:anchorId="1674F9D9" wp14:editId="3C4156C0">
                  <wp:extent cx="324000" cy="324000"/>
                  <wp:effectExtent l="0" t="0" r="0" b="0"/>
                  <wp:docPr id="4" name="Graphic 4" descr="Fenc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Fence with solid fill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bottom w:val="single" w:sz="36" w:space="0" w:color="00727D"/>
            </w:tcBorders>
            <w:shd w:val="clear" w:color="auto" w:fill="00727D"/>
            <w:vAlign w:val="center"/>
          </w:tcPr>
          <w:p w14:paraId="29DF71BF" w14:textId="37312D68" w:rsidR="00420B70" w:rsidRPr="00446450" w:rsidRDefault="00420B70" w:rsidP="00446450">
            <w:pPr>
              <w:pStyle w:val="TableHeaderWhite"/>
            </w:pPr>
            <w:r w:rsidRPr="00446450">
              <w:t>Barriers</w:t>
            </w:r>
            <w:r w:rsidR="007F7209" w:rsidRPr="00446450">
              <w:t>:</w:t>
            </w:r>
          </w:p>
        </w:tc>
        <w:tc>
          <w:tcPr>
            <w:tcW w:w="7087" w:type="dxa"/>
            <w:tcBorders>
              <w:bottom w:val="single" w:sz="36" w:space="0" w:color="00727D"/>
            </w:tcBorders>
            <w:shd w:val="clear" w:color="auto" w:fill="auto"/>
            <w:vAlign w:val="center"/>
          </w:tcPr>
          <w:p w14:paraId="3C951D56" w14:textId="0DD637A7" w:rsidR="003E5EE1" w:rsidRPr="003E5EE1" w:rsidRDefault="00EF6DDE" w:rsidP="00446450">
            <w:pPr>
              <w:pStyle w:val="Tablelistbullet"/>
            </w:pPr>
            <w:bookmarkStart w:id="1" w:name="_Hlk171946389"/>
            <w:r>
              <w:t xml:space="preserve">To be financially viable appointments require </w:t>
            </w:r>
            <w:r w:rsidR="003E5EE1" w:rsidRPr="003E5EE1">
              <w:t xml:space="preserve">8+ </w:t>
            </w:r>
            <w:proofErr w:type="gramStart"/>
            <w:r w:rsidR="003E5EE1" w:rsidRPr="003E5EE1">
              <w:t>participants</w:t>
            </w:r>
            <w:bookmarkEnd w:id="1"/>
            <w:proofErr w:type="gramEnd"/>
          </w:p>
          <w:p w14:paraId="2296DD4E" w14:textId="77777777" w:rsidR="00420B70" w:rsidRDefault="003E5EE1" w:rsidP="00446450">
            <w:pPr>
              <w:pStyle w:val="Tablelistbullet"/>
            </w:pPr>
            <w:r w:rsidRPr="003E5EE1">
              <w:t xml:space="preserve">Group appointment may not appeal to some </w:t>
            </w:r>
            <w:proofErr w:type="gramStart"/>
            <w:r w:rsidRPr="003E5EE1">
              <w:t>people</w:t>
            </w:r>
            <w:proofErr w:type="gramEnd"/>
          </w:p>
          <w:p w14:paraId="7C1B6481" w14:textId="566BEE4A" w:rsidR="00467224" w:rsidRPr="00C64CE2" w:rsidRDefault="00467224" w:rsidP="00446450">
            <w:pPr>
              <w:pStyle w:val="Tablelistbullet"/>
            </w:pPr>
            <w:r>
              <w:t xml:space="preserve">GP’s providing care to non-regular patients </w:t>
            </w:r>
          </w:p>
        </w:tc>
      </w:tr>
      <w:tr w:rsidR="00420B70" w:rsidRPr="00C64CE2" w14:paraId="7C101EC4" w14:textId="77777777" w:rsidTr="0051465B">
        <w:trPr>
          <w:trHeight w:val="80"/>
        </w:trPr>
        <w:tc>
          <w:tcPr>
            <w:tcW w:w="680" w:type="dxa"/>
            <w:tcBorders>
              <w:bottom w:val="single" w:sz="36" w:space="0" w:color="3F4A75"/>
            </w:tcBorders>
            <w:shd w:val="clear" w:color="auto" w:fill="3F4A75"/>
            <w:vAlign w:val="center"/>
          </w:tcPr>
          <w:p w14:paraId="513D2F7D" w14:textId="5540F700" w:rsidR="00420B70" w:rsidRPr="00446450" w:rsidRDefault="00420B70" w:rsidP="00446450">
            <w:r w:rsidRPr="00446450">
              <w:drawing>
                <wp:inline distT="0" distB="0" distL="0" distR="0" wp14:anchorId="579386B1" wp14:editId="31A9D6B2">
                  <wp:extent cx="324000" cy="324000"/>
                  <wp:effectExtent l="0" t="0" r="0" b="0"/>
                  <wp:docPr id="3" name="Graphic 3" descr="Meet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Meeting with solid fill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bottom w:val="single" w:sz="36" w:space="0" w:color="3F4A75"/>
            </w:tcBorders>
            <w:shd w:val="clear" w:color="auto" w:fill="3F4A75"/>
            <w:vAlign w:val="center"/>
          </w:tcPr>
          <w:p w14:paraId="3353A601" w14:textId="74A7BCEE" w:rsidR="00420B70" w:rsidRPr="00446450" w:rsidRDefault="00420B70" w:rsidP="00446450">
            <w:pPr>
              <w:pStyle w:val="TableHeaderWhite"/>
            </w:pPr>
            <w:r w:rsidRPr="00446450">
              <w:t>Enablers</w:t>
            </w:r>
            <w:r w:rsidR="007F7209" w:rsidRPr="00446450">
              <w:t>:</w:t>
            </w:r>
          </w:p>
        </w:tc>
        <w:tc>
          <w:tcPr>
            <w:tcW w:w="7087" w:type="dxa"/>
            <w:tcBorders>
              <w:bottom w:val="single" w:sz="36" w:space="0" w:color="3F4A75"/>
            </w:tcBorders>
            <w:shd w:val="clear" w:color="auto" w:fill="auto"/>
            <w:vAlign w:val="center"/>
          </w:tcPr>
          <w:p w14:paraId="188527D7" w14:textId="6E21BFA2" w:rsidR="00467224" w:rsidRPr="00915BCF" w:rsidRDefault="00467224" w:rsidP="00446450">
            <w:pPr>
              <w:pStyle w:val="Tablelistbullet"/>
            </w:pPr>
            <w:r>
              <w:t>Supportive practice</w:t>
            </w:r>
            <w:r w:rsidR="001106DE">
              <w:t xml:space="preserve"> and project management</w:t>
            </w:r>
          </w:p>
          <w:p w14:paraId="7116DD31" w14:textId="77777777" w:rsidR="00467224" w:rsidRDefault="00467224" w:rsidP="00446450">
            <w:pPr>
              <w:pStyle w:val="Tablelistbullet"/>
            </w:pPr>
            <w:r w:rsidRPr="00915BCF">
              <w:t>Collaboration between health practitioners</w:t>
            </w:r>
          </w:p>
          <w:p w14:paraId="2B1434CE" w14:textId="46D37F62" w:rsidR="00420B70" w:rsidRPr="00904682" w:rsidRDefault="00915BCF" w:rsidP="00446450">
            <w:pPr>
              <w:pStyle w:val="Tablelistbullet"/>
            </w:pPr>
            <w:r w:rsidRPr="00915BCF">
              <w:t>Community engagement and health system education</w:t>
            </w:r>
          </w:p>
        </w:tc>
      </w:tr>
      <w:tr w:rsidR="00420B70" w:rsidRPr="00C64CE2" w14:paraId="3246F6F1" w14:textId="77777777" w:rsidTr="0051465B">
        <w:trPr>
          <w:trHeight w:val="80"/>
        </w:trPr>
        <w:tc>
          <w:tcPr>
            <w:tcW w:w="680" w:type="dxa"/>
            <w:tcBorders>
              <w:bottom w:val="single" w:sz="36" w:space="0" w:color="008A96"/>
            </w:tcBorders>
            <w:shd w:val="clear" w:color="auto" w:fill="008A96"/>
            <w:vAlign w:val="center"/>
          </w:tcPr>
          <w:p w14:paraId="11792DE2" w14:textId="5FD19010" w:rsidR="00420B70" w:rsidRPr="00446450" w:rsidRDefault="00420B70" w:rsidP="00446450">
            <w:r w:rsidRPr="00446450">
              <w:drawing>
                <wp:inline distT="0" distB="0" distL="0" distR="0" wp14:anchorId="17728597" wp14:editId="5B9E476D">
                  <wp:extent cx="324000" cy="324000"/>
                  <wp:effectExtent l="0" t="0" r="0" b="0"/>
                  <wp:docPr id="7" name="Graphic 7" descr="Doll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Dollar with solid fill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bottom w:val="single" w:sz="36" w:space="0" w:color="008A96"/>
            </w:tcBorders>
            <w:shd w:val="clear" w:color="auto" w:fill="008A96"/>
            <w:vAlign w:val="center"/>
          </w:tcPr>
          <w:p w14:paraId="70E1E122" w14:textId="5F59FD27" w:rsidR="00420B70" w:rsidRPr="00446450" w:rsidRDefault="00420B70" w:rsidP="00446450">
            <w:pPr>
              <w:pStyle w:val="TableHeaderWhite"/>
            </w:pPr>
            <w:r w:rsidRPr="00446450">
              <w:t>Funding and resources</w:t>
            </w:r>
            <w:r w:rsidR="007F7209" w:rsidRPr="00446450">
              <w:t>:</w:t>
            </w:r>
          </w:p>
        </w:tc>
        <w:tc>
          <w:tcPr>
            <w:tcW w:w="7087" w:type="dxa"/>
            <w:tcBorders>
              <w:bottom w:val="single" w:sz="36" w:space="0" w:color="008A96"/>
            </w:tcBorders>
            <w:shd w:val="clear" w:color="auto" w:fill="auto"/>
            <w:vAlign w:val="center"/>
          </w:tcPr>
          <w:p w14:paraId="2486D1BC" w14:textId="1BB3FB47" w:rsidR="00420B70" w:rsidRPr="00446450" w:rsidRDefault="00441B62" w:rsidP="00446450">
            <w:pPr>
              <w:pStyle w:val="TableText"/>
            </w:pPr>
            <w:r w:rsidRPr="00446450">
              <w:t>Medicare Benefits Schedule group billing</w:t>
            </w:r>
          </w:p>
        </w:tc>
      </w:tr>
    </w:tbl>
    <w:p w14:paraId="60EDC4C9" w14:textId="3C0D9066" w:rsidR="00A27DB9" w:rsidRPr="00446450" w:rsidRDefault="00AA2932" w:rsidP="00446450">
      <w:pPr>
        <w:pStyle w:val="Heading2"/>
      </w:pPr>
      <w:r w:rsidRPr="00446450">
        <w:t>About the model</w:t>
      </w:r>
    </w:p>
    <w:p w14:paraId="3CCE933A" w14:textId="5E7CDC35" w:rsidR="00F444B0" w:rsidRDefault="00F444B0" w:rsidP="00261388">
      <w:pPr>
        <w:rPr>
          <w:b/>
          <w:bCs/>
        </w:rPr>
      </w:pPr>
      <w:r w:rsidRPr="00F444B0">
        <w:t>The Snowy Valleys project brought clinicians and community members together to discuss local health needs and trial</w:t>
      </w:r>
      <w:r w:rsidR="00A65E43">
        <w:t xml:space="preserve"> options</w:t>
      </w:r>
      <w:r w:rsidRPr="00F444B0">
        <w:t xml:space="preserve">. </w:t>
      </w:r>
      <w:r w:rsidR="00177D2C">
        <w:t>T</w:t>
      </w:r>
      <w:r w:rsidRPr="00F444B0">
        <w:t xml:space="preserve">he </w:t>
      </w:r>
      <w:r w:rsidR="0045608B">
        <w:t>group ch</w:t>
      </w:r>
      <w:r w:rsidR="0083144D">
        <w:t>o</w:t>
      </w:r>
      <w:r w:rsidR="0045608B">
        <w:t>se the</w:t>
      </w:r>
      <w:r w:rsidR="001B7A2B">
        <w:t xml:space="preserve"> </w:t>
      </w:r>
      <w:r w:rsidR="00C3673F">
        <w:t>shared</w:t>
      </w:r>
      <w:r w:rsidRPr="00F444B0">
        <w:t xml:space="preserve"> medical appointment </w:t>
      </w:r>
      <w:r w:rsidR="00C3673F">
        <w:t xml:space="preserve">(SMA) </w:t>
      </w:r>
      <w:r w:rsidRPr="00F444B0">
        <w:t>model</w:t>
      </w:r>
      <w:r w:rsidR="00DF4123">
        <w:t xml:space="preserve">. The </w:t>
      </w:r>
      <w:r w:rsidR="0084533A">
        <w:t xml:space="preserve">innovate solution </w:t>
      </w:r>
      <w:r w:rsidR="00AB36D3">
        <w:t xml:space="preserve">aims to </w:t>
      </w:r>
      <w:r w:rsidR="00D80B99">
        <w:t>manage</w:t>
      </w:r>
      <w:r w:rsidRPr="00F444B0">
        <w:t xml:space="preserve"> chronic disease in the Snowy Valleys </w:t>
      </w:r>
      <w:r w:rsidR="00D80B99">
        <w:t xml:space="preserve">local government area and in the </w:t>
      </w:r>
      <w:r w:rsidRPr="00F444B0">
        <w:t>neighbouring towns (MM4 and above</w:t>
      </w:r>
      <w:r w:rsidRPr="00D80B99">
        <w:t>)</w:t>
      </w:r>
      <w:r w:rsidR="00261388">
        <w:rPr>
          <w:b/>
          <w:bCs/>
        </w:rPr>
        <w:t>.</w:t>
      </w:r>
    </w:p>
    <w:p w14:paraId="0EAA120D" w14:textId="2110D898" w:rsidR="0001648A" w:rsidRPr="00446450" w:rsidRDefault="00467224" w:rsidP="00E912F5">
      <w:r w:rsidRPr="003B629B">
        <w:t xml:space="preserve">In this model, </w:t>
      </w:r>
      <w:bookmarkStart w:id="2" w:name="_Hlk171947172"/>
      <w:r w:rsidRPr="003B629B">
        <w:t xml:space="preserve">patient consultations are held in a group setting for patients with the same chronic health condition. A group facilitator supports the GP and there is a group education component. </w:t>
      </w:r>
      <w:bookmarkEnd w:id="2"/>
      <w:r w:rsidRPr="003B629B">
        <w:t>Allied health professionals may also be involved in a multidisciplinary approach.</w:t>
      </w:r>
      <w:r w:rsidR="0001648A" w:rsidRPr="00446450">
        <w:br w:type="page"/>
      </w:r>
    </w:p>
    <w:p w14:paraId="3684EDEA" w14:textId="7718D4D6" w:rsidR="00C3673F" w:rsidRPr="003B629B" w:rsidRDefault="00FA6BA1" w:rsidP="00261388">
      <w:r>
        <w:lastRenderedPageBreak/>
        <w:t>The SMA model</w:t>
      </w:r>
      <w:r w:rsidR="00C3673F" w:rsidRPr="003B629B">
        <w:t xml:space="preserve"> allows health teams to coordinate effectively and deliver holistic care to patients in a group setting. </w:t>
      </w:r>
      <w:r w:rsidRPr="00FA6BA1">
        <w:t>P</w:t>
      </w:r>
      <w:r w:rsidR="0045608B">
        <w:t>articipants attend group sessions to</w:t>
      </w:r>
      <w:r w:rsidRPr="00FA6BA1">
        <w:t xml:space="preserve"> share questions, </w:t>
      </w:r>
      <w:proofErr w:type="gramStart"/>
      <w:r w:rsidRPr="00FA6BA1">
        <w:t>ideas</w:t>
      </w:r>
      <w:proofErr w:type="gramEnd"/>
      <w:r w:rsidRPr="00FA6BA1">
        <w:t xml:space="preserve"> and strategies in a peer-to-peer environment</w:t>
      </w:r>
      <w:r>
        <w:t>. This</w:t>
      </w:r>
      <w:r w:rsidRPr="00FA6BA1">
        <w:t xml:space="preserve"> provid</w:t>
      </w:r>
      <w:r>
        <w:t>es</w:t>
      </w:r>
      <w:r w:rsidRPr="00FA6BA1">
        <w:t xml:space="preserve"> </w:t>
      </w:r>
      <w:r>
        <w:t xml:space="preserve">motivation and </w:t>
      </w:r>
      <w:r w:rsidRPr="00FA6BA1">
        <w:t>emotional support to each other and reduce feelings of isolation.</w:t>
      </w:r>
      <w:r w:rsidR="0045608B">
        <w:t xml:space="preserve"> </w:t>
      </w:r>
    </w:p>
    <w:p w14:paraId="7BB4257A" w14:textId="714A7E4E" w:rsidR="00C3673F" w:rsidRPr="003B629B" w:rsidRDefault="00C3673F" w:rsidP="00261388">
      <w:r w:rsidRPr="003B629B">
        <w:t>Th</w:t>
      </w:r>
      <w:r w:rsidR="00467224">
        <w:t>is</w:t>
      </w:r>
      <w:r w:rsidRPr="003B629B">
        <w:t xml:space="preserve"> </w:t>
      </w:r>
      <w:r>
        <w:t>model</w:t>
      </w:r>
      <w:r w:rsidR="0070609C">
        <w:t xml:space="preserve"> investigated possible SMA sites and </w:t>
      </w:r>
      <w:r w:rsidR="00165DC1">
        <w:t>included</w:t>
      </w:r>
      <w:r w:rsidRPr="003B629B">
        <w:t xml:space="preserve"> 3 separate trial</w:t>
      </w:r>
      <w:r w:rsidR="0062581E">
        <w:t>s:</w:t>
      </w:r>
    </w:p>
    <w:p w14:paraId="3C5C598B" w14:textId="1B6E1F61" w:rsidR="00C3673F" w:rsidRPr="00446450" w:rsidRDefault="00557B0B" w:rsidP="00446450">
      <w:pPr>
        <w:pStyle w:val="ListNumber"/>
      </w:pPr>
      <w:r w:rsidRPr="00446450">
        <w:t>P</w:t>
      </w:r>
      <w:r w:rsidR="00C3673F" w:rsidRPr="00446450">
        <w:t xml:space="preserve">atients who identified as </w:t>
      </w:r>
      <w:r w:rsidRPr="00446450">
        <w:t>First Nations</w:t>
      </w:r>
      <w:r w:rsidR="00C3673F" w:rsidRPr="00446450">
        <w:t xml:space="preserve"> and focused on type 2 diabetes. Attendance averaged four people per session</w:t>
      </w:r>
      <w:r w:rsidR="0045608B" w:rsidRPr="00446450">
        <w:t>.</w:t>
      </w:r>
    </w:p>
    <w:p w14:paraId="3DE3F2C7" w14:textId="603AC4DE" w:rsidR="00C3673F" w:rsidRPr="00446450" w:rsidRDefault="00557B0B" w:rsidP="00446450">
      <w:pPr>
        <w:pStyle w:val="ListNumber"/>
      </w:pPr>
      <w:r w:rsidRPr="00446450">
        <w:t>P</w:t>
      </w:r>
      <w:r w:rsidR="00C3673F" w:rsidRPr="00446450">
        <w:t xml:space="preserve">atients with Chronic Obstructive Pulmonary Disease (COPD). The trial averaged eight participants per session and was financially viable. </w:t>
      </w:r>
    </w:p>
    <w:p w14:paraId="5F5245A4" w14:textId="6027DF29" w:rsidR="00C3673F" w:rsidRPr="00446450" w:rsidRDefault="00557B0B" w:rsidP="00446450">
      <w:pPr>
        <w:pStyle w:val="ListNumber"/>
      </w:pPr>
      <w:r w:rsidRPr="00446450">
        <w:t>Patients were</w:t>
      </w:r>
      <w:r w:rsidR="00C3673F" w:rsidRPr="00446450">
        <w:t xml:space="preserve"> women over 65 years with osteoporosis</w:t>
      </w:r>
      <w:r w:rsidRPr="00446450">
        <w:t>. The trial</w:t>
      </w:r>
      <w:r w:rsidR="00C3673F" w:rsidRPr="00446450">
        <w:t xml:space="preserve"> coincided with a bone density scan service in the town. This trial was supported by an exercise program from a physiotherapist and by visiting allied health workers. </w:t>
      </w:r>
      <w:r w:rsidR="0045608B" w:rsidRPr="00446450">
        <w:t>The average attendance was ten people per session and was financially viable.</w:t>
      </w:r>
    </w:p>
    <w:p w14:paraId="4FAE21EC" w14:textId="0C51E518" w:rsidR="00A27DB9" w:rsidRPr="00446450" w:rsidRDefault="00A27DB9" w:rsidP="00446450">
      <w:pPr>
        <w:pStyle w:val="Heading2"/>
      </w:pPr>
      <w:r w:rsidRPr="00446450">
        <w:t>Findings</w:t>
      </w:r>
    </w:p>
    <w:p w14:paraId="7746DD97" w14:textId="4523E376" w:rsidR="0045608B" w:rsidRPr="00446450" w:rsidRDefault="0045608B" w:rsidP="00446450">
      <w:r w:rsidRPr="00446450">
        <w:t>Feedback from participants was very positive, particularly about the peer-to-peer sharing component.</w:t>
      </w:r>
    </w:p>
    <w:p w14:paraId="7E2AA9AB" w14:textId="4E2AD27E" w:rsidR="0045608B" w:rsidRDefault="0045608B" w:rsidP="00CF14B0">
      <w:bookmarkStart w:id="3" w:name="_Hlk171946368"/>
      <w:r>
        <w:t xml:space="preserve">Group numbers are the key to financial viability. An average of 6 to 8 attendees per session is needed for the model to break even. Higher attendance provides a greater return than traditional GP consults. </w:t>
      </w:r>
      <w:r w:rsidRPr="003A74D6">
        <w:t>A good participation rate is 8 to 12 patients, but it can take time to achieve these numbers.</w:t>
      </w:r>
      <w:r>
        <w:t xml:space="preserve"> Two of the three trials produced sufficient billings through Medicare to satisfy the participating GPs.</w:t>
      </w:r>
      <w:bookmarkEnd w:id="3"/>
      <w:r>
        <w:t xml:space="preserve"> </w:t>
      </w:r>
    </w:p>
    <w:p w14:paraId="0D99E40E" w14:textId="739A116B" w:rsidR="0045608B" w:rsidRDefault="0045608B" w:rsidP="003B629B">
      <w:r>
        <w:t>B</w:t>
      </w:r>
      <w:r w:rsidRPr="003A74D6">
        <w:t>enefits for patients</w:t>
      </w:r>
      <w:r>
        <w:t xml:space="preserve"> included:</w:t>
      </w:r>
      <w:r w:rsidRPr="003A74D6">
        <w:t xml:space="preserve"> </w:t>
      </w:r>
    </w:p>
    <w:p w14:paraId="5F161299" w14:textId="7B2118B5" w:rsidR="00220E7A" w:rsidRDefault="00220E7A" w:rsidP="00446450">
      <w:pPr>
        <w:pStyle w:val="ListBullet"/>
      </w:pPr>
      <w:r w:rsidRPr="003A74D6">
        <w:t>more time with the GP and health team</w:t>
      </w:r>
      <w:r w:rsidRPr="00E33E21">
        <w:t xml:space="preserve"> </w:t>
      </w:r>
      <w:r w:rsidRPr="003A74D6">
        <w:t>as a group</w:t>
      </w:r>
    </w:p>
    <w:p w14:paraId="6CD45B76" w14:textId="77777777" w:rsidR="00220E7A" w:rsidRDefault="00220E7A" w:rsidP="00446450">
      <w:pPr>
        <w:pStyle w:val="ListBullet"/>
      </w:pPr>
      <w:r>
        <w:t>increased health literacy and retention of knowledge</w:t>
      </w:r>
    </w:p>
    <w:p w14:paraId="26B53886" w14:textId="77777777" w:rsidR="00220E7A" w:rsidRDefault="00220E7A" w:rsidP="00446450">
      <w:pPr>
        <w:pStyle w:val="ListBullet"/>
      </w:pPr>
      <w:r>
        <w:t>open sharing in a safe environment</w:t>
      </w:r>
    </w:p>
    <w:p w14:paraId="4CE2275B" w14:textId="711D1467" w:rsidR="00557B0B" w:rsidRDefault="00557B0B" w:rsidP="00446450">
      <w:pPr>
        <w:pStyle w:val="ListBullet"/>
      </w:pPr>
      <w:bookmarkStart w:id="4" w:name="_Hlk171945752"/>
      <w:r>
        <w:t>more control over their own health</w:t>
      </w:r>
    </w:p>
    <w:bookmarkEnd w:id="4"/>
    <w:p w14:paraId="49F641D6" w14:textId="77777777" w:rsidR="00220E7A" w:rsidRDefault="00220E7A" w:rsidP="00446450">
      <w:pPr>
        <w:pStyle w:val="ListBullet"/>
      </w:pPr>
      <w:r>
        <w:t>holistic multidisciplinary care</w:t>
      </w:r>
    </w:p>
    <w:p w14:paraId="724813C5" w14:textId="569CBD2B" w:rsidR="00CF14B0" w:rsidRDefault="00CF14B0" w:rsidP="003B629B">
      <w:bookmarkStart w:id="5" w:name="_Hlk171945848"/>
      <w:r w:rsidRPr="00220E7A">
        <w:t>The open sharing time was a highlight for the group</w:t>
      </w:r>
      <w:r>
        <w:t>s. It reduced the feeling of isolation and was</w:t>
      </w:r>
      <w:r w:rsidRPr="00220E7A">
        <w:t xml:space="preserve"> a powerful motivator to change behaviours </w:t>
      </w:r>
      <w:r>
        <w:t>and</w:t>
      </w:r>
      <w:r w:rsidRPr="00220E7A">
        <w:t xml:space="preserve"> </w:t>
      </w:r>
      <w:r>
        <w:t xml:space="preserve">proactively </w:t>
      </w:r>
      <w:r w:rsidRPr="00220E7A">
        <w:t>manage condition</w:t>
      </w:r>
      <w:r>
        <w:t>s</w:t>
      </w:r>
      <w:r w:rsidRPr="00220E7A">
        <w:t xml:space="preserve">. </w:t>
      </w:r>
    </w:p>
    <w:bookmarkEnd w:id="5"/>
    <w:p w14:paraId="3A54CEE8" w14:textId="77777777" w:rsidR="00FA6BA1" w:rsidRDefault="00FA6BA1" w:rsidP="003B629B">
      <w:r>
        <w:t xml:space="preserve">Benefits to the health team include: </w:t>
      </w:r>
    </w:p>
    <w:p w14:paraId="62925B18" w14:textId="23FF8C61" w:rsidR="00FA6BA1" w:rsidRDefault="00FA6BA1" w:rsidP="00446450">
      <w:pPr>
        <w:pStyle w:val="ListBullet"/>
      </w:pPr>
      <w:r>
        <w:t>proactive care for patients with chronic illnesses</w:t>
      </w:r>
    </w:p>
    <w:p w14:paraId="23BD8621" w14:textId="5A8E7BD4" w:rsidR="00FA6BA1" w:rsidRDefault="00FA6BA1" w:rsidP="00446450">
      <w:pPr>
        <w:pStyle w:val="ListBullet"/>
      </w:pPr>
      <w:r>
        <w:t>refreshing change to the typical consult</w:t>
      </w:r>
    </w:p>
    <w:p w14:paraId="38CF74BC" w14:textId="041435D8" w:rsidR="00FA6BA1" w:rsidRDefault="00FA6BA1" w:rsidP="00446450">
      <w:pPr>
        <w:pStyle w:val="ListBullet"/>
      </w:pPr>
      <w:r>
        <w:t>increased professional knowledge</w:t>
      </w:r>
      <w:r w:rsidR="00776FAB">
        <w:t xml:space="preserve"> and </w:t>
      </w:r>
      <w:proofErr w:type="gramStart"/>
      <w:r w:rsidR="00776FAB">
        <w:t>satisfaction</w:t>
      </w:r>
      <w:proofErr w:type="gramEnd"/>
    </w:p>
    <w:p w14:paraId="03C20F68" w14:textId="2411D911" w:rsidR="00FA6BA1" w:rsidRDefault="00FA6BA1" w:rsidP="00446450">
      <w:pPr>
        <w:pStyle w:val="ListBullet"/>
      </w:pPr>
      <w:r>
        <w:t>networking with other health professionals</w:t>
      </w:r>
    </w:p>
    <w:p w14:paraId="0A3F185F" w14:textId="69C33F5C" w:rsidR="00CF14B0" w:rsidRDefault="00467224" w:rsidP="00CF14B0">
      <w:r>
        <w:t>Some health workers</w:t>
      </w:r>
      <w:r w:rsidR="00CF14B0">
        <w:t xml:space="preserve"> </w:t>
      </w:r>
      <w:bookmarkStart w:id="6" w:name="_Hlk171945925"/>
      <w:r w:rsidR="00CF14B0">
        <w:t xml:space="preserve">thought </w:t>
      </w:r>
      <w:r>
        <w:t xml:space="preserve">the </w:t>
      </w:r>
      <w:r w:rsidR="00CF14B0">
        <w:t>SMA would work best continuing with the same cohort every three to six months.</w:t>
      </w:r>
      <w:r>
        <w:t xml:space="preserve"> </w:t>
      </w:r>
      <w:bookmarkEnd w:id="6"/>
      <w:r>
        <w:t>This would allow a measure of progress over time and keep participants on track.</w:t>
      </w:r>
      <w:r w:rsidR="0045608B">
        <w:t xml:space="preserve"> </w:t>
      </w:r>
      <w:bookmarkStart w:id="7" w:name="_Hlk171945945"/>
      <w:r w:rsidR="0045608B">
        <w:t>Further, p</w:t>
      </w:r>
      <w:r w:rsidR="00CF14B0">
        <w:t>rogressively introducing other health team members into the model provides new benefits to patients and the health team.</w:t>
      </w:r>
      <w:bookmarkEnd w:id="7"/>
    </w:p>
    <w:p w14:paraId="3196A6F1" w14:textId="4D2A0A98" w:rsidR="00CF14B0" w:rsidRDefault="00CF14B0" w:rsidP="00CF14B0">
      <w:r>
        <w:t xml:space="preserve">To be sustainable the trial must have value beyond its timeframe. The health team must use it as a learning opportunity. Having the time to delve into research on a particular topic allowed them to provide a better service to patients. </w:t>
      </w:r>
    </w:p>
    <w:p w14:paraId="2E3726A5" w14:textId="474279A4" w:rsidR="00220E7A" w:rsidRDefault="00220E7A" w:rsidP="003B629B">
      <w:r>
        <w:t>Benefits to the health system include:</w:t>
      </w:r>
    </w:p>
    <w:p w14:paraId="52123E8D" w14:textId="2234673F" w:rsidR="00776FAB" w:rsidRPr="00446450" w:rsidRDefault="00776FAB" w:rsidP="00446450">
      <w:pPr>
        <w:pStyle w:val="ListBullet"/>
      </w:pPr>
      <w:bookmarkStart w:id="8" w:name="_Hlk171945982"/>
      <w:r w:rsidRPr="00446450">
        <w:lastRenderedPageBreak/>
        <w:t xml:space="preserve">reduced GP wait times by servicing more patients at </w:t>
      </w:r>
      <w:proofErr w:type="gramStart"/>
      <w:r w:rsidRPr="00446450">
        <w:t>once</w:t>
      </w:r>
      <w:proofErr w:type="gramEnd"/>
    </w:p>
    <w:p w14:paraId="14D24935" w14:textId="65FA11B9" w:rsidR="00220E7A" w:rsidRPr="00446450" w:rsidRDefault="00220E7A" w:rsidP="00446450">
      <w:pPr>
        <w:pStyle w:val="ListBullet"/>
      </w:pPr>
      <w:r w:rsidRPr="00446450">
        <w:t>addressing chronic disease in a primary care setting before conditions escalate</w:t>
      </w:r>
    </w:p>
    <w:p w14:paraId="624F31BF" w14:textId="61908E46" w:rsidR="00220E7A" w:rsidRPr="00446450" w:rsidRDefault="00220E7A" w:rsidP="00446450">
      <w:pPr>
        <w:pStyle w:val="ListBullet"/>
      </w:pPr>
      <w:r w:rsidRPr="00446450">
        <w:t>facilitating multidisciplinary care in rural settings</w:t>
      </w:r>
    </w:p>
    <w:p w14:paraId="45EE7D24" w14:textId="018A33FA" w:rsidR="00776FAB" w:rsidRPr="00446450" w:rsidRDefault="00220E7A" w:rsidP="00446450">
      <w:pPr>
        <w:pStyle w:val="ListBullet"/>
      </w:pPr>
      <w:r w:rsidRPr="00446450">
        <w:t>reduced pressure on emergency departments and hospitals over time.</w:t>
      </w:r>
    </w:p>
    <w:bookmarkEnd w:id="8"/>
    <w:p w14:paraId="6E2F2D2A" w14:textId="6CE7C05E" w:rsidR="00C3673F" w:rsidRPr="00446450" w:rsidRDefault="00C3673F" w:rsidP="00446450">
      <w:pPr>
        <w:pStyle w:val="Heading2"/>
      </w:pPr>
      <w:r w:rsidRPr="00446450">
        <w:t>Key enablers</w:t>
      </w:r>
    </w:p>
    <w:p w14:paraId="46ACA9D0" w14:textId="77777777" w:rsidR="000B5EBF" w:rsidRPr="00446450" w:rsidRDefault="00C3673F" w:rsidP="00446450">
      <w:r w:rsidRPr="00446450">
        <w:t>SMA should be considered in the management of patients with chronic health conditions when</w:t>
      </w:r>
      <w:r w:rsidR="000B5EBF" w:rsidRPr="00446450">
        <w:t xml:space="preserve">: </w:t>
      </w:r>
    </w:p>
    <w:p w14:paraId="6E31C38B" w14:textId="77777777" w:rsidR="000B5EBF" w:rsidRPr="00446450" w:rsidRDefault="000B5EBF" w:rsidP="00446450">
      <w:pPr>
        <w:pStyle w:val="ListBullet"/>
      </w:pPr>
      <w:r w:rsidRPr="00446450">
        <w:t>t</w:t>
      </w:r>
      <w:r w:rsidR="00C3673F" w:rsidRPr="00446450">
        <w:t>he whole practice is supportive of the trial</w:t>
      </w:r>
      <w:r w:rsidRPr="00446450">
        <w:t xml:space="preserve"> and </w:t>
      </w:r>
    </w:p>
    <w:p w14:paraId="4F100EE0" w14:textId="6E652A8B" w:rsidR="00CF14B0" w:rsidRPr="00446450" w:rsidRDefault="000B5EBF" w:rsidP="00446450">
      <w:pPr>
        <w:pStyle w:val="ListBullet"/>
      </w:pPr>
      <w:r w:rsidRPr="00446450">
        <w:t>t</w:t>
      </w:r>
      <w:r w:rsidR="00C3673F" w:rsidRPr="00446450">
        <w:t xml:space="preserve">here is </w:t>
      </w:r>
      <w:r w:rsidRPr="00446450">
        <w:t xml:space="preserve">adequate </w:t>
      </w:r>
      <w:r w:rsidR="00C3673F" w:rsidRPr="00446450">
        <w:t xml:space="preserve">project management </w:t>
      </w:r>
      <w:proofErr w:type="gramStart"/>
      <w:r w:rsidR="00C3673F" w:rsidRPr="00446450">
        <w:t>support</w:t>
      </w:r>
      <w:proofErr w:type="gramEnd"/>
    </w:p>
    <w:p w14:paraId="45EDD08E" w14:textId="4754388F" w:rsidR="000B5EBF" w:rsidRPr="00446450" w:rsidRDefault="000B5EBF" w:rsidP="00446450">
      <w:r w:rsidRPr="00446450">
        <w:t>SMA is not a model that can be facilitated solely by a GP without support from the wider team. Access to experienced group facilitators was critical to this model. To ensure a fully effective model, the group facilitator should:</w:t>
      </w:r>
    </w:p>
    <w:p w14:paraId="4F66B41F" w14:textId="77777777" w:rsidR="000B5EBF" w:rsidRPr="00446450" w:rsidRDefault="000B5EBF" w:rsidP="00446450">
      <w:pPr>
        <w:pStyle w:val="ListBullet"/>
      </w:pPr>
      <w:r w:rsidRPr="00446450">
        <w:t xml:space="preserve">ideally have a health background and experience in facilitating groups. </w:t>
      </w:r>
    </w:p>
    <w:p w14:paraId="3218EF9D" w14:textId="77777777" w:rsidR="000B5EBF" w:rsidRPr="00446450" w:rsidRDefault="000B5EBF" w:rsidP="00446450">
      <w:pPr>
        <w:pStyle w:val="ListBullet"/>
      </w:pPr>
      <w:r w:rsidRPr="00446450">
        <w:t>revise the information that participants had learned and collate topics of interest from the group to discuss.</w:t>
      </w:r>
    </w:p>
    <w:p w14:paraId="3E2CDAD5" w14:textId="73ECEFB1" w:rsidR="000B5EBF" w:rsidRPr="00446450" w:rsidRDefault="00D138EC" w:rsidP="00446450">
      <w:pPr>
        <w:pStyle w:val="Heading2"/>
      </w:pPr>
      <w:proofErr w:type="gramStart"/>
      <w:r w:rsidRPr="00446450">
        <w:t>Current status</w:t>
      </w:r>
      <w:proofErr w:type="gramEnd"/>
    </w:p>
    <w:p w14:paraId="317ACF7C" w14:textId="452B1C43" w:rsidR="0083144D" w:rsidRPr="00446450" w:rsidRDefault="00D138EC" w:rsidP="00446450">
      <w:r w:rsidRPr="00446450">
        <w:t xml:space="preserve">All participants saw benefits in the model and expressed interest in it continuing. The model is financially viable if there are enough </w:t>
      </w:r>
      <w:r w:rsidR="0083144D" w:rsidRPr="00446450">
        <w:t xml:space="preserve">patients in the </w:t>
      </w:r>
      <w:r w:rsidRPr="00446450">
        <w:t xml:space="preserve">groups. </w:t>
      </w:r>
    </w:p>
    <w:p w14:paraId="5D192E68" w14:textId="1EDE4644" w:rsidR="00B61129" w:rsidRPr="00446450" w:rsidRDefault="00A27DB9" w:rsidP="00446450">
      <w:pPr>
        <w:pStyle w:val="Boxheading"/>
      </w:pPr>
      <w:r w:rsidRPr="00446450">
        <w:t>More INFORMATION</w:t>
      </w:r>
    </w:p>
    <w:p w14:paraId="2A1635F5" w14:textId="03C88A3D" w:rsidR="00B61129" w:rsidRDefault="00A27DB9" w:rsidP="00B61129">
      <w:pPr>
        <w:pStyle w:val="Boxtype"/>
      </w:pPr>
      <w:r>
        <w:t xml:space="preserve">For more information about the Innovative Models of Care Program visit </w:t>
      </w:r>
      <w:hyperlink r:id="rId23" w:history="1">
        <w:r w:rsidR="00B2662E" w:rsidRPr="009608F2">
          <w:rPr>
            <w:rStyle w:val="Hyperlink"/>
          </w:rPr>
          <w:t>https://www.health.gov.au/our-work/imoc-program</w:t>
        </w:r>
      </w:hyperlink>
      <w:r w:rsidR="00B2662E">
        <w:t xml:space="preserve"> </w:t>
      </w:r>
      <w:r>
        <w:t>.</w:t>
      </w:r>
      <w:r w:rsidRPr="00A27DB9">
        <w:t xml:space="preserve"> </w:t>
      </w:r>
      <w:r>
        <w:t xml:space="preserve"> </w:t>
      </w:r>
    </w:p>
    <w:sectPr w:rsidR="00B61129" w:rsidSect="00955389">
      <w:headerReference w:type="default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B670A" w14:textId="77777777" w:rsidR="00D069A1" w:rsidRDefault="00D069A1" w:rsidP="006B56BB">
      <w:r>
        <w:separator/>
      </w:r>
    </w:p>
    <w:p w14:paraId="7C7C98B6" w14:textId="77777777" w:rsidR="00D069A1" w:rsidRDefault="00D069A1"/>
  </w:endnote>
  <w:endnote w:type="continuationSeparator" w:id="0">
    <w:p w14:paraId="137D94E2" w14:textId="77777777" w:rsidR="00D069A1" w:rsidRDefault="00D069A1" w:rsidP="006B56BB">
      <w:r>
        <w:continuationSeparator/>
      </w:r>
    </w:p>
    <w:p w14:paraId="53C5634A" w14:textId="77777777" w:rsidR="00D069A1" w:rsidRDefault="00D069A1"/>
  </w:endnote>
  <w:endnote w:type="continuationNotice" w:id="1">
    <w:p w14:paraId="5DB4B411" w14:textId="77777777" w:rsidR="00D069A1" w:rsidRDefault="00D069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C824F" w14:textId="48EF82F2" w:rsidR="00B53987" w:rsidRDefault="00AA262B" w:rsidP="00A27DB9">
    <w:pPr>
      <w:pStyle w:val="Footer"/>
      <w:jc w:val="left"/>
    </w:pPr>
    <w:r>
      <w:t xml:space="preserve">Department of Health and Aged Care </w:t>
    </w:r>
    <w:r w:rsidR="00A27DB9">
      <w:t>–</w:t>
    </w:r>
    <w:r w:rsidR="00A27DB9">
      <w:br/>
    </w:r>
    <w:r w:rsidR="00441B62">
      <w:t>Snowy Valleys i</w:t>
    </w:r>
    <w:r w:rsidR="008A630C" w:rsidRPr="00FE32D0">
      <w:t>nnovative models of care case study</w:t>
    </w:r>
    <w:sdt>
      <w:sdtPr>
        <w:id w:val="438490080"/>
        <w:docPartObj>
          <w:docPartGallery w:val="Page Numbers (Bottom of Page)"/>
          <w:docPartUnique/>
        </w:docPartObj>
      </w:sdtPr>
      <w:sdtContent>
        <w:r w:rsidR="008A630C">
          <w:tab/>
        </w:r>
        <w:r w:rsidR="008A630C" w:rsidRPr="003D033A">
          <w:fldChar w:fldCharType="begin"/>
        </w:r>
        <w:r w:rsidR="008A630C" w:rsidRPr="003D033A">
          <w:instrText xml:space="preserve"> PAGE   \* MERGEFORMAT </w:instrText>
        </w:r>
        <w:r w:rsidR="008A630C" w:rsidRPr="003D033A">
          <w:fldChar w:fldCharType="separate"/>
        </w:r>
        <w:r w:rsidR="008A630C">
          <w:t>1</w:t>
        </w:r>
        <w:r w:rsidR="008A630C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C665" w14:textId="70C5714A" w:rsidR="00B53987" w:rsidRDefault="00AA262B" w:rsidP="00A27DB9">
    <w:pPr>
      <w:pStyle w:val="Footer"/>
      <w:jc w:val="left"/>
    </w:pPr>
    <w:r>
      <w:t xml:space="preserve">Department of Health and Aged Care </w:t>
    </w:r>
    <w:r w:rsidR="00B53987">
      <w:t>–</w:t>
    </w:r>
    <w:r w:rsidR="00A27DB9">
      <w:br/>
    </w:r>
    <w:r w:rsidR="00441B62">
      <w:t>Snowy Valleys i</w:t>
    </w:r>
    <w:r w:rsidR="00FE32D0" w:rsidRPr="00FE32D0">
      <w:t>nnovative models of care case study</w:t>
    </w:r>
    <w:sdt>
      <w:sdtPr>
        <w:id w:val="-178737789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C669A" w14:textId="77777777" w:rsidR="00D069A1" w:rsidRDefault="00D069A1" w:rsidP="006B56BB">
      <w:r>
        <w:separator/>
      </w:r>
    </w:p>
    <w:p w14:paraId="3088DB91" w14:textId="77777777" w:rsidR="00D069A1" w:rsidRDefault="00D069A1"/>
  </w:footnote>
  <w:footnote w:type="continuationSeparator" w:id="0">
    <w:p w14:paraId="20F6C5B5" w14:textId="77777777" w:rsidR="00D069A1" w:rsidRDefault="00D069A1" w:rsidP="006B56BB">
      <w:r>
        <w:continuationSeparator/>
      </w:r>
    </w:p>
    <w:p w14:paraId="360B7756" w14:textId="77777777" w:rsidR="00D069A1" w:rsidRDefault="00D069A1"/>
  </w:footnote>
  <w:footnote w:type="continuationNotice" w:id="1">
    <w:p w14:paraId="74EE4850" w14:textId="77777777" w:rsidR="00D069A1" w:rsidRDefault="00D069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3766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2436" w14:textId="02D10D41" w:rsidR="003B629B" w:rsidRDefault="003B629B">
    <w:pPr>
      <w:pStyle w:val="Header"/>
    </w:pPr>
    <w:r>
      <w:rPr>
        <w:noProof/>
        <w:lang w:eastAsia="en-AU"/>
      </w:rPr>
      <w:drawing>
        <wp:inline distT="0" distB="0" distL="0" distR="0" wp14:anchorId="28F61DBA" wp14:editId="5E77AD28">
          <wp:extent cx="5759450" cy="941705"/>
          <wp:effectExtent l="0" t="0" r="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2716D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DB7048"/>
    <w:multiLevelType w:val="hybridMultilevel"/>
    <w:tmpl w:val="C598EB06"/>
    <w:lvl w:ilvl="0" w:tplc="01465BF8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76355E"/>
    <w:multiLevelType w:val="hybridMultilevel"/>
    <w:tmpl w:val="0F023DF0"/>
    <w:lvl w:ilvl="0" w:tplc="A5DA4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4E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7CF9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3AB1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619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585E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90D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AD9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F289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08456223"/>
    <w:multiLevelType w:val="hybridMultilevel"/>
    <w:tmpl w:val="423C5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992466"/>
    <w:multiLevelType w:val="hybridMultilevel"/>
    <w:tmpl w:val="4FEC7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43364"/>
    <w:multiLevelType w:val="hybridMultilevel"/>
    <w:tmpl w:val="373C6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07D3A"/>
    <w:multiLevelType w:val="hybridMultilevel"/>
    <w:tmpl w:val="D6284F5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A5D0A"/>
    <w:multiLevelType w:val="hybridMultilevel"/>
    <w:tmpl w:val="2388A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195D30"/>
    <w:multiLevelType w:val="hybridMultilevel"/>
    <w:tmpl w:val="64126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FAC5D4D"/>
    <w:multiLevelType w:val="hybridMultilevel"/>
    <w:tmpl w:val="159C6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46463F95"/>
    <w:multiLevelType w:val="hybridMultilevel"/>
    <w:tmpl w:val="59E87F2C"/>
    <w:lvl w:ilvl="0" w:tplc="4E267F92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86434B"/>
    <w:multiLevelType w:val="hybridMultilevel"/>
    <w:tmpl w:val="C7048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639B5"/>
    <w:multiLevelType w:val="hybridMultilevel"/>
    <w:tmpl w:val="30C66F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D051D0"/>
    <w:multiLevelType w:val="hybridMultilevel"/>
    <w:tmpl w:val="CB4A4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C7300"/>
    <w:multiLevelType w:val="hybridMultilevel"/>
    <w:tmpl w:val="156C35E2"/>
    <w:lvl w:ilvl="0" w:tplc="0C0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2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35103499">
    <w:abstractNumId w:val="7"/>
  </w:num>
  <w:num w:numId="2" w16cid:durableId="1694376784">
    <w:abstractNumId w:val="25"/>
  </w:num>
  <w:num w:numId="3" w16cid:durableId="99111382">
    <w:abstractNumId w:val="28"/>
  </w:num>
  <w:num w:numId="4" w16cid:durableId="1851481786">
    <w:abstractNumId w:val="9"/>
  </w:num>
  <w:num w:numId="5" w16cid:durableId="210196529">
    <w:abstractNumId w:val="9"/>
    <w:lvlOverride w:ilvl="0">
      <w:startOverride w:val="1"/>
    </w:lvlOverride>
  </w:num>
  <w:num w:numId="6" w16cid:durableId="1810857969">
    <w:abstractNumId w:val="12"/>
  </w:num>
  <w:num w:numId="7" w16cid:durableId="1996758693">
    <w:abstractNumId w:val="22"/>
  </w:num>
  <w:num w:numId="8" w16cid:durableId="1674914654">
    <w:abstractNumId w:val="27"/>
  </w:num>
  <w:num w:numId="9" w16cid:durableId="474026350">
    <w:abstractNumId w:val="5"/>
  </w:num>
  <w:num w:numId="10" w16cid:durableId="219294836">
    <w:abstractNumId w:val="4"/>
  </w:num>
  <w:num w:numId="11" w16cid:durableId="1057047598">
    <w:abstractNumId w:val="3"/>
  </w:num>
  <w:num w:numId="12" w16cid:durableId="1872105819">
    <w:abstractNumId w:val="2"/>
  </w:num>
  <w:num w:numId="13" w16cid:durableId="1149253252">
    <w:abstractNumId w:val="6"/>
  </w:num>
  <w:num w:numId="14" w16cid:durableId="1025398335">
    <w:abstractNumId w:val="1"/>
  </w:num>
  <w:num w:numId="15" w16cid:durableId="1180704368">
    <w:abstractNumId w:val="0"/>
  </w:num>
  <w:num w:numId="16" w16cid:durableId="1236473037">
    <w:abstractNumId w:val="32"/>
  </w:num>
  <w:num w:numId="17" w16cid:durableId="1161384352">
    <w:abstractNumId w:val="14"/>
  </w:num>
  <w:num w:numId="18" w16cid:durableId="1115442587">
    <w:abstractNumId w:val="17"/>
  </w:num>
  <w:num w:numId="19" w16cid:durableId="913049504">
    <w:abstractNumId w:val="20"/>
  </w:num>
  <w:num w:numId="20" w16cid:durableId="1185171215">
    <w:abstractNumId w:val="14"/>
  </w:num>
  <w:num w:numId="21" w16cid:durableId="1306743019">
    <w:abstractNumId w:val="20"/>
  </w:num>
  <w:num w:numId="22" w16cid:durableId="1809544992">
    <w:abstractNumId w:val="32"/>
  </w:num>
  <w:num w:numId="23" w16cid:durableId="638191149">
    <w:abstractNumId w:val="25"/>
  </w:num>
  <w:num w:numId="24" w16cid:durableId="503975017">
    <w:abstractNumId w:val="28"/>
  </w:num>
  <w:num w:numId="25" w16cid:durableId="215359669">
    <w:abstractNumId w:val="9"/>
  </w:num>
  <w:num w:numId="26" w16cid:durableId="352608886">
    <w:abstractNumId w:val="24"/>
  </w:num>
  <w:num w:numId="27" w16cid:durableId="1992444313">
    <w:abstractNumId w:val="10"/>
  </w:num>
  <w:num w:numId="28" w16cid:durableId="1031733674">
    <w:abstractNumId w:val="18"/>
  </w:num>
  <w:num w:numId="29" w16cid:durableId="1964848717">
    <w:abstractNumId w:val="21"/>
  </w:num>
  <w:num w:numId="30" w16cid:durableId="732236570">
    <w:abstractNumId w:val="13"/>
  </w:num>
  <w:num w:numId="31" w16cid:durableId="1884512921">
    <w:abstractNumId w:val="15"/>
  </w:num>
  <w:num w:numId="32" w16cid:durableId="5445989">
    <w:abstractNumId w:val="31"/>
  </w:num>
  <w:num w:numId="33" w16cid:durableId="277444802">
    <w:abstractNumId w:val="29"/>
  </w:num>
  <w:num w:numId="34" w16cid:durableId="72514230">
    <w:abstractNumId w:val="19"/>
  </w:num>
  <w:num w:numId="35" w16cid:durableId="1084649329">
    <w:abstractNumId w:val="11"/>
  </w:num>
  <w:num w:numId="36" w16cid:durableId="92480472">
    <w:abstractNumId w:val="23"/>
  </w:num>
  <w:num w:numId="37" w16cid:durableId="1076516466">
    <w:abstractNumId w:val="16"/>
  </w:num>
  <w:num w:numId="38" w16cid:durableId="932670756">
    <w:abstractNumId w:val="26"/>
  </w:num>
  <w:num w:numId="39" w16cid:durableId="786579065">
    <w:abstractNumId w:val="30"/>
  </w:num>
  <w:num w:numId="40" w16cid:durableId="79758459">
    <w:abstractNumId w:val="8"/>
  </w:num>
  <w:num w:numId="41" w16cid:durableId="15906526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9E"/>
    <w:rsid w:val="00003743"/>
    <w:rsid w:val="000047B4"/>
    <w:rsid w:val="00005712"/>
    <w:rsid w:val="00007FD8"/>
    <w:rsid w:val="000117F8"/>
    <w:rsid w:val="0001460F"/>
    <w:rsid w:val="0001648A"/>
    <w:rsid w:val="00016C47"/>
    <w:rsid w:val="00017C29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55E02"/>
    <w:rsid w:val="00065841"/>
    <w:rsid w:val="00067456"/>
    <w:rsid w:val="00071506"/>
    <w:rsid w:val="0007154F"/>
    <w:rsid w:val="00081AB1"/>
    <w:rsid w:val="00083A45"/>
    <w:rsid w:val="00087EA1"/>
    <w:rsid w:val="00090316"/>
    <w:rsid w:val="00093981"/>
    <w:rsid w:val="000B067A"/>
    <w:rsid w:val="000B1540"/>
    <w:rsid w:val="000B1E53"/>
    <w:rsid w:val="000B33FD"/>
    <w:rsid w:val="000B4ABA"/>
    <w:rsid w:val="000B52B5"/>
    <w:rsid w:val="000B52EB"/>
    <w:rsid w:val="000B5E0C"/>
    <w:rsid w:val="000B5EBF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0F50B0"/>
    <w:rsid w:val="0010452B"/>
    <w:rsid w:val="0010616D"/>
    <w:rsid w:val="00110478"/>
    <w:rsid w:val="001106DE"/>
    <w:rsid w:val="0011711B"/>
    <w:rsid w:val="00117F8A"/>
    <w:rsid w:val="00121B9B"/>
    <w:rsid w:val="00122ADC"/>
    <w:rsid w:val="00130F59"/>
    <w:rsid w:val="00133EC0"/>
    <w:rsid w:val="00137B09"/>
    <w:rsid w:val="00137FF8"/>
    <w:rsid w:val="00141CE5"/>
    <w:rsid w:val="00144908"/>
    <w:rsid w:val="00156D96"/>
    <w:rsid w:val="001571C7"/>
    <w:rsid w:val="00161094"/>
    <w:rsid w:val="001629BC"/>
    <w:rsid w:val="00165DC1"/>
    <w:rsid w:val="0017123B"/>
    <w:rsid w:val="0017665C"/>
    <w:rsid w:val="00177AD2"/>
    <w:rsid w:val="00177D2C"/>
    <w:rsid w:val="001815A8"/>
    <w:rsid w:val="001840FA"/>
    <w:rsid w:val="00190079"/>
    <w:rsid w:val="00194760"/>
    <w:rsid w:val="0019622E"/>
    <w:rsid w:val="001966A7"/>
    <w:rsid w:val="001A4627"/>
    <w:rsid w:val="001A4979"/>
    <w:rsid w:val="001A68D7"/>
    <w:rsid w:val="001A7CD8"/>
    <w:rsid w:val="001B15D3"/>
    <w:rsid w:val="001B3443"/>
    <w:rsid w:val="001B7192"/>
    <w:rsid w:val="001B7A2B"/>
    <w:rsid w:val="001C0326"/>
    <w:rsid w:val="001C192F"/>
    <w:rsid w:val="001C3C42"/>
    <w:rsid w:val="001C74D9"/>
    <w:rsid w:val="001D685A"/>
    <w:rsid w:val="001D7869"/>
    <w:rsid w:val="0020078F"/>
    <w:rsid w:val="002026CD"/>
    <w:rsid w:val="002033FC"/>
    <w:rsid w:val="002044BB"/>
    <w:rsid w:val="002045C6"/>
    <w:rsid w:val="00210B09"/>
    <w:rsid w:val="00210C9E"/>
    <w:rsid w:val="00211840"/>
    <w:rsid w:val="00217B4C"/>
    <w:rsid w:val="00220E5F"/>
    <w:rsid w:val="00220E7A"/>
    <w:rsid w:val="002212B5"/>
    <w:rsid w:val="00222D84"/>
    <w:rsid w:val="002232A8"/>
    <w:rsid w:val="00226668"/>
    <w:rsid w:val="00230EBF"/>
    <w:rsid w:val="00233809"/>
    <w:rsid w:val="00240046"/>
    <w:rsid w:val="00244296"/>
    <w:rsid w:val="00245B72"/>
    <w:rsid w:val="0024797F"/>
    <w:rsid w:val="00247DFD"/>
    <w:rsid w:val="0025119E"/>
    <w:rsid w:val="00251269"/>
    <w:rsid w:val="002535C0"/>
    <w:rsid w:val="00256BDB"/>
    <w:rsid w:val="002579FE"/>
    <w:rsid w:val="00261388"/>
    <w:rsid w:val="0026311C"/>
    <w:rsid w:val="0026314B"/>
    <w:rsid w:val="0026668C"/>
    <w:rsid w:val="00266AA8"/>
    <w:rsid w:val="00266AC1"/>
    <w:rsid w:val="00267590"/>
    <w:rsid w:val="00267ECA"/>
    <w:rsid w:val="0027178C"/>
    <w:rsid w:val="002719FA"/>
    <w:rsid w:val="00272668"/>
    <w:rsid w:val="0027330B"/>
    <w:rsid w:val="002803AD"/>
    <w:rsid w:val="002815B7"/>
    <w:rsid w:val="00282052"/>
    <w:rsid w:val="002831A3"/>
    <w:rsid w:val="0028519E"/>
    <w:rsid w:val="002856A5"/>
    <w:rsid w:val="002872ED"/>
    <w:rsid w:val="002905C2"/>
    <w:rsid w:val="00294F68"/>
    <w:rsid w:val="00295AF2"/>
    <w:rsid w:val="00295C91"/>
    <w:rsid w:val="00297151"/>
    <w:rsid w:val="002A1AE2"/>
    <w:rsid w:val="002A714B"/>
    <w:rsid w:val="002B1059"/>
    <w:rsid w:val="002B20E6"/>
    <w:rsid w:val="002B42A3"/>
    <w:rsid w:val="002C0CDD"/>
    <w:rsid w:val="002C38C4"/>
    <w:rsid w:val="002D03A9"/>
    <w:rsid w:val="002E1A1D"/>
    <w:rsid w:val="002E4081"/>
    <w:rsid w:val="002E5B78"/>
    <w:rsid w:val="002F3AE3"/>
    <w:rsid w:val="00300D9E"/>
    <w:rsid w:val="0030464B"/>
    <w:rsid w:val="0030786C"/>
    <w:rsid w:val="00320E25"/>
    <w:rsid w:val="003233DE"/>
    <w:rsid w:val="0032466B"/>
    <w:rsid w:val="00332BF8"/>
    <w:rsid w:val="003330EB"/>
    <w:rsid w:val="00333A97"/>
    <w:rsid w:val="0033519C"/>
    <w:rsid w:val="003415FD"/>
    <w:rsid w:val="003429F0"/>
    <w:rsid w:val="00345A82"/>
    <w:rsid w:val="0035097A"/>
    <w:rsid w:val="003540A4"/>
    <w:rsid w:val="00357BCC"/>
    <w:rsid w:val="00360E4E"/>
    <w:rsid w:val="0036534D"/>
    <w:rsid w:val="00370AAA"/>
    <w:rsid w:val="00375F77"/>
    <w:rsid w:val="003809A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4D6"/>
    <w:rsid w:val="003A775A"/>
    <w:rsid w:val="003B213A"/>
    <w:rsid w:val="003B43AD"/>
    <w:rsid w:val="003B4CB3"/>
    <w:rsid w:val="003B629B"/>
    <w:rsid w:val="003C056A"/>
    <w:rsid w:val="003C0FEC"/>
    <w:rsid w:val="003C2AC8"/>
    <w:rsid w:val="003D033A"/>
    <w:rsid w:val="003D11D7"/>
    <w:rsid w:val="003D17F9"/>
    <w:rsid w:val="003D2CB8"/>
    <w:rsid w:val="003D2D88"/>
    <w:rsid w:val="003D41EA"/>
    <w:rsid w:val="003D4850"/>
    <w:rsid w:val="003D535A"/>
    <w:rsid w:val="003E02CD"/>
    <w:rsid w:val="003E5265"/>
    <w:rsid w:val="003E5EE1"/>
    <w:rsid w:val="003E6A9D"/>
    <w:rsid w:val="003F0955"/>
    <w:rsid w:val="003F5F4D"/>
    <w:rsid w:val="003F646F"/>
    <w:rsid w:val="00400F00"/>
    <w:rsid w:val="00404F8B"/>
    <w:rsid w:val="00405256"/>
    <w:rsid w:val="004077DF"/>
    <w:rsid w:val="00410031"/>
    <w:rsid w:val="00414328"/>
    <w:rsid w:val="00415C81"/>
    <w:rsid w:val="00416422"/>
    <w:rsid w:val="00420B70"/>
    <w:rsid w:val="00432378"/>
    <w:rsid w:val="00434382"/>
    <w:rsid w:val="00440D65"/>
    <w:rsid w:val="00441B62"/>
    <w:rsid w:val="004435E6"/>
    <w:rsid w:val="00446450"/>
    <w:rsid w:val="00447E31"/>
    <w:rsid w:val="004502D6"/>
    <w:rsid w:val="00453923"/>
    <w:rsid w:val="00454B9B"/>
    <w:rsid w:val="0045608B"/>
    <w:rsid w:val="00456935"/>
    <w:rsid w:val="00457858"/>
    <w:rsid w:val="00460B0B"/>
    <w:rsid w:val="00461023"/>
    <w:rsid w:val="00462FAC"/>
    <w:rsid w:val="004633EC"/>
    <w:rsid w:val="00464631"/>
    <w:rsid w:val="00464B79"/>
    <w:rsid w:val="00467224"/>
    <w:rsid w:val="00467BBF"/>
    <w:rsid w:val="004747FA"/>
    <w:rsid w:val="0048593C"/>
    <w:rsid w:val="004867E2"/>
    <w:rsid w:val="004929A9"/>
    <w:rsid w:val="004A78D9"/>
    <w:rsid w:val="004B2A24"/>
    <w:rsid w:val="004B6917"/>
    <w:rsid w:val="004C6BCF"/>
    <w:rsid w:val="004C79D6"/>
    <w:rsid w:val="004D58BF"/>
    <w:rsid w:val="004E0CDC"/>
    <w:rsid w:val="004E197D"/>
    <w:rsid w:val="004E204A"/>
    <w:rsid w:val="004E4335"/>
    <w:rsid w:val="004F13EE"/>
    <w:rsid w:val="004F2022"/>
    <w:rsid w:val="004F7C05"/>
    <w:rsid w:val="00500A3E"/>
    <w:rsid w:val="00501C94"/>
    <w:rsid w:val="00506432"/>
    <w:rsid w:val="00506E82"/>
    <w:rsid w:val="0051465B"/>
    <w:rsid w:val="0052051D"/>
    <w:rsid w:val="0052403F"/>
    <w:rsid w:val="00541441"/>
    <w:rsid w:val="00545EE6"/>
    <w:rsid w:val="005550E7"/>
    <w:rsid w:val="005564FB"/>
    <w:rsid w:val="005568D3"/>
    <w:rsid w:val="005572C7"/>
    <w:rsid w:val="00557B0B"/>
    <w:rsid w:val="005650ED"/>
    <w:rsid w:val="00565759"/>
    <w:rsid w:val="00570D37"/>
    <w:rsid w:val="00575754"/>
    <w:rsid w:val="00576B6A"/>
    <w:rsid w:val="00581FBA"/>
    <w:rsid w:val="00582D62"/>
    <w:rsid w:val="00591E20"/>
    <w:rsid w:val="00595408"/>
    <w:rsid w:val="00595E84"/>
    <w:rsid w:val="005A0C59"/>
    <w:rsid w:val="005A308D"/>
    <w:rsid w:val="005A48EB"/>
    <w:rsid w:val="005A6CFB"/>
    <w:rsid w:val="005C5AEB"/>
    <w:rsid w:val="005D247E"/>
    <w:rsid w:val="005E0A3F"/>
    <w:rsid w:val="005E6883"/>
    <w:rsid w:val="005E7550"/>
    <w:rsid w:val="005E772F"/>
    <w:rsid w:val="005F4ECA"/>
    <w:rsid w:val="005F63E4"/>
    <w:rsid w:val="006009BC"/>
    <w:rsid w:val="006041BE"/>
    <w:rsid w:val="0060437F"/>
    <w:rsid w:val="006043C7"/>
    <w:rsid w:val="006074CB"/>
    <w:rsid w:val="006176D5"/>
    <w:rsid w:val="0062192A"/>
    <w:rsid w:val="00624B52"/>
    <w:rsid w:val="0062581E"/>
    <w:rsid w:val="00630794"/>
    <w:rsid w:val="00631DF4"/>
    <w:rsid w:val="006321E7"/>
    <w:rsid w:val="00634175"/>
    <w:rsid w:val="006408AC"/>
    <w:rsid w:val="006511B6"/>
    <w:rsid w:val="00657FF8"/>
    <w:rsid w:val="00660440"/>
    <w:rsid w:val="00663824"/>
    <w:rsid w:val="00670D99"/>
    <w:rsid w:val="00670E2B"/>
    <w:rsid w:val="006734BB"/>
    <w:rsid w:val="0067578D"/>
    <w:rsid w:val="0067697A"/>
    <w:rsid w:val="00677D1D"/>
    <w:rsid w:val="00680E60"/>
    <w:rsid w:val="006821EB"/>
    <w:rsid w:val="00685C4E"/>
    <w:rsid w:val="00696721"/>
    <w:rsid w:val="006B2286"/>
    <w:rsid w:val="006B56BB"/>
    <w:rsid w:val="006C77A8"/>
    <w:rsid w:val="006D1864"/>
    <w:rsid w:val="006D4098"/>
    <w:rsid w:val="006D7681"/>
    <w:rsid w:val="006D7B2E"/>
    <w:rsid w:val="006E02EA"/>
    <w:rsid w:val="006E04B0"/>
    <w:rsid w:val="006E0968"/>
    <w:rsid w:val="006E2AF6"/>
    <w:rsid w:val="006F3BB0"/>
    <w:rsid w:val="00701275"/>
    <w:rsid w:val="0070609C"/>
    <w:rsid w:val="00707F56"/>
    <w:rsid w:val="00713558"/>
    <w:rsid w:val="00720D08"/>
    <w:rsid w:val="00721C55"/>
    <w:rsid w:val="007263B9"/>
    <w:rsid w:val="007334F8"/>
    <w:rsid w:val="007339CD"/>
    <w:rsid w:val="007359D8"/>
    <w:rsid w:val="007362D4"/>
    <w:rsid w:val="00755BAC"/>
    <w:rsid w:val="007638DC"/>
    <w:rsid w:val="0076672A"/>
    <w:rsid w:val="00767F5B"/>
    <w:rsid w:val="0077354D"/>
    <w:rsid w:val="00775E45"/>
    <w:rsid w:val="00776767"/>
    <w:rsid w:val="00776E74"/>
    <w:rsid w:val="00776FAB"/>
    <w:rsid w:val="00785169"/>
    <w:rsid w:val="007954AB"/>
    <w:rsid w:val="00797352"/>
    <w:rsid w:val="007A14C5"/>
    <w:rsid w:val="007A4A10"/>
    <w:rsid w:val="007A7A90"/>
    <w:rsid w:val="007B109B"/>
    <w:rsid w:val="007B1760"/>
    <w:rsid w:val="007C1FDC"/>
    <w:rsid w:val="007C4A11"/>
    <w:rsid w:val="007C5B40"/>
    <w:rsid w:val="007C6D9C"/>
    <w:rsid w:val="007C7DDB"/>
    <w:rsid w:val="007D17B3"/>
    <w:rsid w:val="007D2CC7"/>
    <w:rsid w:val="007D5CA9"/>
    <w:rsid w:val="007D673D"/>
    <w:rsid w:val="007E0FB8"/>
    <w:rsid w:val="007E4D09"/>
    <w:rsid w:val="007F2220"/>
    <w:rsid w:val="007F4B3E"/>
    <w:rsid w:val="007F7209"/>
    <w:rsid w:val="0080080C"/>
    <w:rsid w:val="008127AF"/>
    <w:rsid w:val="00812B46"/>
    <w:rsid w:val="00815700"/>
    <w:rsid w:val="008222F8"/>
    <w:rsid w:val="00825AF4"/>
    <w:rsid w:val="008264EB"/>
    <w:rsid w:val="00826B8F"/>
    <w:rsid w:val="0083144D"/>
    <w:rsid w:val="00831E8A"/>
    <w:rsid w:val="00835C76"/>
    <w:rsid w:val="008376E2"/>
    <w:rsid w:val="0084012A"/>
    <w:rsid w:val="00843049"/>
    <w:rsid w:val="0084533A"/>
    <w:rsid w:val="0085209B"/>
    <w:rsid w:val="0085496D"/>
    <w:rsid w:val="0085698B"/>
    <w:rsid w:val="00856B66"/>
    <w:rsid w:val="008601AC"/>
    <w:rsid w:val="00861A5F"/>
    <w:rsid w:val="008644AD"/>
    <w:rsid w:val="00865735"/>
    <w:rsid w:val="00865DDB"/>
    <w:rsid w:val="00867538"/>
    <w:rsid w:val="00871F39"/>
    <w:rsid w:val="00873D69"/>
    <w:rsid w:val="00873D90"/>
    <w:rsid w:val="00873FC8"/>
    <w:rsid w:val="00884C63"/>
    <w:rsid w:val="00885908"/>
    <w:rsid w:val="00886377"/>
    <w:rsid w:val="008864B7"/>
    <w:rsid w:val="0089677E"/>
    <w:rsid w:val="008A630C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7226"/>
    <w:rsid w:val="008E0C77"/>
    <w:rsid w:val="008E625F"/>
    <w:rsid w:val="008F264D"/>
    <w:rsid w:val="008F5674"/>
    <w:rsid w:val="008F628E"/>
    <w:rsid w:val="00902AF8"/>
    <w:rsid w:val="009040E9"/>
    <w:rsid w:val="00904682"/>
    <w:rsid w:val="009066BD"/>
    <w:rsid w:val="009074E1"/>
    <w:rsid w:val="009112F7"/>
    <w:rsid w:val="0091174A"/>
    <w:rsid w:val="00911821"/>
    <w:rsid w:val="009122AF"/>
    <w:rsid w:val="00912D54"/>
    <w:rsid w:val="0091389F"/>
    <w:rsid w:val="00915BC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464B"/>
    <w:rsid w:val="00945E7F"/>
    <w:rsid w:val="00955389"/>
    <w:rsid w:val="009557C1"/>
    <w:rsid w:val="00957B7B"/>
    <w:rsid w:val="00960D46"/>
    <w:rsid w:val="00960D6E"/>
    <w:rsid w:val="00971BB9"/>
    <w:rsid w:val="00974B59"/>
    <w:rsid w:val="0098340B"/>
    <w:rsid w:val="00986830"/>
    <w:rsid w:val="009924C3"/>
    <w:rsid w:val="00993102"/>
    <w:rsid w:val="009B1570"/>
    <w:rsid w:val="009B197D"/>
    <w:rsid w:val="009B4FF2"/>
    <w:rsid w:val="009C6F10"/>
    <w:rsid w:val="009D148F"/>
    <w:rsid w:val="009D3D70"/>
    <w:rsid w:val="009D6E31"/>
    <w:rsid w:val="009E19A1"/>
    <w:rsid w:val="009E5D87"/>
    <w:rsid w:val="009E6F7E"/>
    <w:rsid w:val="009E7A57"/>
    <w:rsid w:val="009F3428"/>
    <w:rsid w:val="009F4803"/>
    <w:rsid w:val="009F4F6A"/>
    <w:rsid w:val="00A101C5"/>
    <w:rsid w:val="00A13EB5"/>
    <w:rsid w:val="00A16C0C"/>
    <w:rsid w:val="00A16E36"/>
    <w:rsid w:val="00A24961"/>
    <w:rsid w:val="00A24B10"/>
    <w:rsid w:val="00A277EF"/>
    <w:rsid w:val="00A27DB9"/>
    <w:rsid w:val="00A30E9B"/>
    <w:rsid w:val="00A4512D"/>
    <w:rsid w:val="00A4667E"/>
    <w:rsid w:val="00A50244"/>
    <w:rsid w:val="00A627D7"/>
    <w:rsid w:val="00A656C7"/>
    <w:rsid w:val="00A65E43"/>
    <w:rsid w:val="00A705AF"/>
    <w:rsid w:val="00A719F6"/>
    <w:rsid w:val="00A72454"/>
    <w:rsid w:val="00A77696"/>
    <w:rsid w:val="00A77EE9"/>
    <w:rsid w:val="00A80557"/>
    <w:rsid w:val="00A81D33"/>
    <w:rsid w:val="00A8341C"/>
    <w:rsid w:val="00A930AE"/>
    <w:rsid w:val="00AA1A95"/>
    <w:rsid w:val="00AA260F"/>
    <w:rsid w:val="00AA262B"/>
    <w:rsid w:val="00AA2932"/>
    <w:rsid w:val="00AA43BD"/>
    <w:rsid w:val="00AA77EB"/>
    <w:rsid w:val="00AB1EE7"/>
    <w:rsid w:val="00AB2F2C"/>
    <w:rsid w:val="00AB36D3"/>
    <w:rsid w:val="00AB4B37"/>
    <w:rsid w:val="00AB5762"/>
    <w:rsid w:val="00AC1930"/>
    <w:rsid w:val="00AC2679"/>
    <w:rsid w:val="00AC2E00"/>
    <w:rsid w:val="00AC4BE4"/>
    <w:rsid w:val="00AD02A0"/>
    <w:rsid w:val="00AD05E6"/>
    <w:rsid w:val="00AD0D3F"/>
    <w:rsid w:val="00AD4136"/>
    <w:rsid w:val="00AE1D7D"/>
    <w:rsid w:val="00AE2A8B"/>
    <w:rsid w:val="00AE3F64"/>
    <w:rsid w:val="00AE6B6A"/>
    <w:rsid w:val="00AF06A4"/>
    <w:rsid w:val="00AF3555"/>
    <w:rsid w:val="00AF7386"/>
    <w:rsid w:val="00AF7934"/>
    <w:rsid w:val="00B00B81"/>
    <w:rsid w:val="00B04580"/>
    <w:rsid w:val="00B04B09"/>
    <w:rsid w:val="00B136D1"/>
    <w:rsid w:val="00B14BC0"/>
    <w:rsid w:val="00B15ED8"/>
    <w:rsid w:val="00B16A51"/>
    <w:rsid w:val="00B2662E"/>
    <w:rsid w:val="00B32222"/>
    <w:rsid w:val="00B3618D"/>
    <w:rsid w:val="00B36233"/>
    <w:rsid w:val="00B42851"/>
    <w:rsid w:val="00B45AC7"/>
    <w:rsid w:val="00B5372F"/>
    <w:rsid w:val="00B53987"/>
    <w:rsid w:val="00B61129"/>
    <w:rsid w:val="00B64572"/>
    <w:rsid w:val="00B661E5"/>
    <w:rsid w:val="00B676CA"/>
    <w:rsid w:val="00B67E7F"/>
    <w:rsid w:val="00B73824"/>
    <w:rsid w:val="00B839B2"/>
    <w:rsid w:val="00B93335"/>
    <w:rsid w:val="00B93CA4"/>
    <w:rsid w:val="00B94252"/>
    <w:rsid w:val="00B96548"/>
    <w:rsid w:val="00B9715A"/>
    <w:rsid w:val="00BA050C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2551"/>
    <w:rsid w:val="00BC4A19"/>
    <w:rsid w:val="00BC4E6D"/>
    <w:rsid w:val="00BD0617"/>
    <w:rsid w:val="00BD2E9B"/>
    <w:rsid w:val="00BD7FB2"/>
    <w:rsid w:val="00BE0D1A"/>
    <w:rsid w:val="00C00930"/>
    <w:rsid w:val="00C060AD"/>
    <w:rsid w:val="00C113BF"/>
    <w:rsid w:val="00C2176E"/>
    <w:rsid w:val="00C23430"/>
    <w:rsid w:val="00C24D99"/>
    <w:rsid w:val="00C27D67"/>
    <w:rsid w:val="00C3673F"/>
    <w:rsid w:val="00C4631F"/>
    <w:rsid w:val="00C47CDE"/>
    <w:rsid w:val="00C50E16"/>
    <w:rsid w:val="00C529F4"/>
    <w:rsid w:val="00C55258"/>
    <w:rsid w:val="00C578EC"/>
    <w:rsid w:val="00C64CE2"/>
    <w:rsid w:val="00C82EEB"/>
    <w:rsid w:val="00C864D1"/>
    <w:rsid w:val="00C971DC"/>
    <w:rsid w:val="00CA16B7"/>
    <w:rsid w:val="00CA5C98"/>
    <w:rsid w:val="00CA62AE"/>
    <w:rsid w:val="00CB2DF4"/>
    <w:rsid w:val="00CB3890"/>
    <w:rsid w:val="00CB5B1A"/>
    <w:rsid w:val="00CC0985"/>
    <w:rsid w:val="00CC220B"/>
    <w:rsid w:val="00CC37B3"/>
    <w:rsid w:val="00CC5C43"/>
    <w:rsid w:val="00CD02AE"/>
    <w:rsid w:val="00CD2A4F"/>
    <w:rsid w:val="00CD6B05"/>
    <w:rsid w:val="00CE03CA"/>
    <w:rsid w:val="00CE12CB"/>
    <w:rsid w:val="00CE22F1"/>
    <w:rsid w:val="00CE3F92"/>
    <w:rsid w:val="00CE50F2"/>
    <w:rsid w:val="00CE6502"/>
    <w:rsid w:val="00CF14B0"/>
    <w:rsid w:val="00CF7D3C"/>
    <w:rsid w:val="00D01F09"/>
    <w:rsid w:val="00D03E66"/>
    <w:rsid w:val="00D048B1"/>
    <w:rsid w:val="00D069A1"/>
    <w:rsid w:val="00D11E33"/>
    <w:rsid w:val="00D138EC"/>
    <w:rsid w:val="00D147EB"/>
    <w:rsid w:val="00D21369"/>
    <w:rsid w:val="00D26A8F"/>
    <w:rsid w:val="00D344CA"/>
    <w:rsid w:val="00D34667"/>
    <w:rsid w:val="00D367E5"/>
    <w:rsid w:val="00D3716D"/>
    <w:rsid w:val="00D401E1"/>
    <w:rsid w:val="00D408B4"/>
    <w:rsid w:val="00D524C8"/>
    <w:rsid w:val="00D65099"/>
    <w:rsid w:val="00D70E24"/>
    <w:rsid w:val="00D72061"/>
    <w:rsid w:val="00D72B61"/>
    <w:rsid w:val="00D75AAA"/>
    <w:rsid w:val="00D77FF3"/>
    <w:rsid w:val="00D80B99"/>
    <w:rsid w:val="00D8421D"/>
    <w:rsid w:val="00D86304"/>
    <w:rsid w:val="00D9279D"/>
    <w:rsid w:val="00DA3D1D"/>
    <w:rsid w:val="00DA468D"/>
    <w:rsid w:val="00DB6286"/>
    <w:rsid w:val="00DB645F"/>
    <w:rsid w:val="00DB76E9"/>
    <w:rsid w:val="00DC0A67"/>
    <w:rsid w:val="00DC1D5E"/>
    <w:rsid w:val="00DC5220"/>
    <w:rsid w:val="00DD15A8"/>
    <w:rsid w:val="00DD2061"/>
    <w:rsid w:val="00DD7DAB"/>
    <w:rsid w:val="00DE3355"/>
    <w:rsid w:val="00DF0C60"/>
    <w:rsid w:val="00DF3052"/>
    <w:rsid w:val="00DF4123"/>
    <w:rsid w:val="00DF486F"/>
    <w:rsid w:val="00DF5B5B"/>
    <w:rsid w:val="00DF7619"/>
    <w:rsid w:val="00E042D8"/>
    <w:rsid w:val="00E07EE7"/>
    <w:rsid w:val="00E1103B"/>
    <w:rsid w:val="00E17B44"/>
    <w:rsid w:val="00E20F27"/>
    <w:rsid w:val="00E222EA"/>
    <w:rsid w:val="00E22443"/>
    <w:rsid w:val="00E229C5"/>
    <w:rsid w:val="00E25B1F"/>
    <w:rsid w:val="00E265DF"/>
    <w:rsid w:val="00E27FEA"/>
    <w:rsid w:val="00E31458"/>
    <w:rsid w:val="00E33E21"/>
    <w:rsid w:val="00E35E96"/>
    <w:rsid w:val="00E37AC7"/>
    <w:rsid w:val="00E37E70"/>
    <w:rsid w:val="00E4086F"/>
    <w:rsid w:val="00E41DF6"/>
    <w:rsid w:val="00E42BCE"/>
    <w:rsid w:val="00E434C6"/>
    <w:rsid w:val="00E43B3C"/>
    <w:rsid w:val="00E50188"/>
    <w:rsid w:val="00E501A3"/>
    <w:rsid w:val="00E50BB3"/>
    <w:rsid w:val="00E515CB"/>
    <w:rsid w:val="00E52260"/>
    <w:rsid w:val="00E639B6"/>
    <w:rsid w:val="00E6434B"/>
    <w:rsid w:val="00E6463D"/>
    <w:rsid w:val="00E673E0"/>
    <w:rsid w:val="00E72E9B"/>
    <w:rsid w:val="00E81B9E"/>
    <w:rsid w:val="00E850C3"/>
    <w:rsid w:val="00E87DF2"/>
    <w:rsid w:val="00E912F5"/>
    <w:rsid w:val="00E91806"/>
    <w:rsid w:val="00E9462E"/>
    <w:rsid w:val="00EA470E"/>
    <w:rsid w:val="00EA47A7"/>
    <w:rsid w:val="00EA57EB"/>
    <w:rsid w:val="00EB3226"/>
    <w:rsid w:val="00EB52C6"/>
    <w:rsid w:val="00EC213A"/>
    <w:rsid w:val="00EC7744"/>
    <w:rsid w:val="00ED0DAD"/>
    <w:rsid w:val="00ED0F46"/>
    <w:rsid w:val="00ED126A"/>
    <w:rsid w:val="00ED2373"/>
    <w:rsid w:val="00EE0E91"/>
    <w:rsid w:val="00EE3E8A"/>
    <w:rsid w:val="00EF372C"/>
    <w:rsid w:val="00EF5807"/>
    <w:rsid w:val="00EF58B8"/>
    <w:rsid w:val="00EF6DDE"/>
    <w:rsid w:val="00EF6ECA"/>
    <w:rsid w:val="00F024E1"/>
    <w:rsid w:val="00F0581A"/>
    <w:rsid w:val="00F06C10"/>
    <w:rsid w:val="00F1096F"/>
    <w:rsid w:val="00F12589"/>
    <w:rsid w:val="00F12595"/>
    <w:rsid w:val="00F134D9"/>
    <w:rsid w:val="00F134EE"/>
    <w:rsid w:val="00F1403D"/>
    <w:rsid w:val="00F1463F"/>
    <w:rsid w:val="00F21302"/>
    <w:rsid w:val="00F2430D"/>
    <w:rsid w:val="00F321DE"/>
    <w:rsid w:val="00F33777"/>
    <w:rsid w:val="00F40648"/>
    <w:rsid w:val="00F444B0"/>
    <w:rsid w:val="00F46790"/>
    <w:rsid w:val="00F47DA2"/>
    <w:rsid w:val="00F519FC"/>
    <w:rsid w:val="00F61FAE"/>
    <w:rsid w:val="00F6239D"/>
    <w:rsid w:val="00F64487"/>
    <w:rsid w:val="00F666CB"/>
    <w:rsid w:val="00F715D2"/>
    <w:rsid w:val="00F7274F"/>
    <w:rsid w:val="00F74E84"/>
    <w:rsid w:val="00F76FA8"/>
    <w:rsid w:val="00F919E4"/>
    <w:rsid w:val="00F93F08"/>
    <w:rsid w:val="00F94A45"/>
    <w:rsid w:val="00F94CED"/>
    <w:rsid w:val="00FA02BB"/>
    <w:rsid w:val="00FA2CEE"/>
    <w:rsid w:val="00FA318C"/>
    <w:rsid w:val="00FA6BA1"/>
    <w:rsid w:val="00FB6F92"/>
    <w:rsid w:val="00FC026E"/>
    <w:rsid w:val="00FC216D"/>
    <w:rsid w:val="00FC5124"/>
    <w:rsid w:val="00FD0DC4"/>
    <w:rsid w:val="00FD4731"/>
    <w:rsid w:val="00FD576C"/>
    <w:rsid w:val="00FD5909"/>
    <w:rsid w:val="00FD6768"/>
    <w:rsid w:val="00FE038E"/>
    <w:rsid w:val="00FE32D0"/>
    <w:rsid w:val="00FF0AB0"/>
    <w:rsid w:val="00FF119F"/>
    <w:rsid w:val="00FF1A0D"/>
    <w:rsid w:val="00FF28AC"/>
    <w:rsid w:val="00FF671B"/>
    <w:rsid w:val="00FF7394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29D9E2"/>
  <w15:docId w15:val="{07A3529C-4242-42F8-BEB5-A3C92A67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56935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446450"/>
    <w:pPr>
      <w:spacing w:line="240" w:lineRule="auto"/>
      <w:outlineLvl w:val="0"/>
    </w:pPr>
    <w:rPr>
      <w:rFonts w:eastAsiaTheme="majorEastAsia" w:cstheme="majorBidi"/>
      <w:bCs/>
      <w:color w:val="3F4A75"/>
      <w:kern w:val="28"/>
      <w:sz w:val="44"/>
      <w:szCs w:val="48"/>
    </w:rPr>
  </w:style>
  <w:style w:type="paragraph" w:styleId="Heading2">
    <w:name w:val="heading 2"/>
    <w:next w:val="Normal"/>
    <w:qFormat/>
    <w:rsid w:val="00446450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basedOn w:val="Heading1"/>
    <w:next w:val="Normal"/>
    <w:link w:val="SubtitleChar"/>
    <w:qFormat/>
    <w:rsid w:val="00446450"/>
    <w:rPr>
      <w:b/>
    </w:rPr>
  </w:style>
  <w:style w:type="character" w:customStyle="1" w:styleId="SubtitleChar">
    <w:name w:val="Subtitle Char"/>
    <w:basedOn w:val="DefaultParagraphFont"/>
    <w:link w:val="Subtitle"/>
    <w:rsid w:val="00446450"/>
    <w:rPr>
      <w:rFonts w:ascii="Arial" w:eastAsiaTheme="majorEastAsia" w:hAnsi="Arial" w:cstheme="majorBidi"/>
      <w:b/>
      <w:bCs/>
      <w:color w:val="3F4A75"/>
      <w:kern w:val="28"/>
      <w:sz w:val="44"/>
      <w:szCs w:val="48"/>
      <w:lang w:eastAsia="en-US"/>
    </w:rPr>
  </w:style>
  <w:style w:type="paragraph" w:styleId="Title">
    <w:name w:val="Title"/>
    <w:basedOn w:val="Normal"/>
    <w:next w:val="Normal"/>
    <w:link w:val="TitleChar"/>
    <w:qFormat/>
    <w:rsid w:val="00446450"/>
    <w:rPr>
      <w:rFonts w:cs="Arial"/>
      <w:b/>
      <w:bCs/>
      <w:color w:val="358189"/>
      <w:sz w:val="32"/>
      <w:szCs w:val="26"/>
    </w:rPr>
  </w:style>
  <w:style w:type="character" w:customStyle="1" w:styleId="TitleChar">
    <w:name w:val="Title Char"/>
    <w:basedOn w:val="DefaultParagraphFont"/>
    <w:link w:val="Title"/>
    <w:rsid w:val="00446450"/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E912F5"/>
    <w:pPr>
      <w:numPr>
        <w:numId w:val="20"/>
      </w:numPr>
      <w:tabs>
        <w:tab w:val="left" w:pos="340"/>
        <w:tab w:val="left" w:pos="680"/>
      </w:tabs>
      <w:spacing w:before="60" w:after="60" w:line="240" w:lineRule="auto"/>
      <w:ind w:left="697" w:hanging="357"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3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446450"/>
    <w:pPr>
      <w:contextualSpacing/>
    </w:pPr>
    <w:rPr>
      <w:rFonts w:ascii="Arial" w:hAnsi="Arial"/>
      <w:color w:val="000000" w:themeColor="text1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446450"/>
    <w:pPr>
      <w:spacing w:before="0" w:after="0"/>
      <w:contextualSpacing/>
    </w:pPr>
    <w:rPr>
      <w:rFonts w:eastAsia="Cambria"/>
      <w:b/>
      <w:color w:val="FFFFFF" w:themeColor="background1"/>
      <w:sz w:val="20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446450"/>
    <w:pPr>
      <w:numPr>
        <w:numId w:val="24"/>
      </w:numPr>
      <w:spacing w:before="0" w:after="0"/>
      <w:ind w:left="357" w:hanging="357"/>
      <w:contextualSpacing/>
    </w:pPr>
    <w:rPr>
      <w:sz w:val="20"/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27D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7B4C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26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26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65DF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6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65DF"/>
    <w:rPr>
      <w:rFonts w:ascii="Arial" w:hAnsi="Arial"/>
      <w:b/>
      <w:bCs/>
      <w:color w:val="000000" w:themeColor="text1"/>
      <w:lang w:eastAsia="en-US"/>
    </w:rPr>
  </w:style>
  <w:style w:type="paragraph" w:styleId="ListNumber">
    <w:name w:val="List Number"/>
    <w:basedOn w:val="Normal"/>
    <w:rsid w:val="00E912F5"/>
    <w:pPr>
      <w:numPr>
        <w:numId w:val="36"/>
      </w:numPr>
      <w:spacing w:before="0" w:after="160"/>
      <w:contextualSpacing/>
    </w:pPr>
    <w:rPr>
      <w:rFonts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sv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s://www.health.gov.au/our-work/imoc-program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image" Target="media/image12.svg"/><Relationship Id="rId27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744FD6D-E51B-4CB4-BACA-02445149650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B348CD5327D214F8E60E8D7EB332B4E" ma:contentTypeVersion="" ma:contentTypeDescription="PDMS Document Site Content Type" ma:contentTypeScope="" ma:versionID="3309918b537c39fc645b505de7c92d22">
  <xsd:schema xmlns:xsd="http://www.w3.org/2001/XMLSchema" xmlns:xs="http://www.w3.org/2001/XMLSchema" xmlns:p="http://schemas.microsoft.com/office/2006/metadata/properties" xmlns:ns2="E744FD6D-E51B-4CB4-BACA-02445149650B" targetNamespace="http://schemas.microsoft.com/office/2006/metadata/properties" ma:root="true" ma:fieldsID="1e56c2e5172aa3067013b8eb5857c405" ns2:_="">
    <xsd:import namespace="E744FD6D-E51B-4CB4-BACA-02445149650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4FD6D-E51B-4CB4-BACA-02445149650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E744FD6D-E51B-4CB4-BACA-02445149650B"/>
  </ds:schemaRefs>
</ds:datastoreItem>
</file>

<file path=customXml/itemProps2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7D3EB5-E4E1-4A9C-A880-5E4874F2F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4FD6D-E51B-4CB4-BACA-024451496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874</Words>
  <Characters>4974</Characters>
  <Application>Microsoft Office Word</Application>
  <DocSecurity>0</DocSecurity>
  <Lines>108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Shared medical appointment (SMA) model</vt:lpstr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Shared medical appointment (SMA) model</dc:title>
  <dc:subject>Health workforce</dc:subject>
  <dc:creator>Australian Government Department of Health and Aged Care</dc:creator>
  <cp:lastModifiedBy>MASCHKE, Elvia</cp:lastModifiedBy>
  <cp:revision>3</cp:revision>
  <dcterms:created xsi:type="dcterms:W3CDTF">2024-09-13T02:18:00Z</dcterms:created>
  <dcterms:modified xsi:type="dcterms:W3CDTF">2024-09-13T02:26:00Z</dcterms:modified>
</cp:coreProperties>
</file>