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F186" w14:textId="2CB2BB7F" w:rsidR="008B4C7F" w:rsidRPr="00897624" w:rsidRDefault="008B4C7F" w:rsidP="00897624">
      <w:pPr>
        <w:pStyle w:val="Title"/>
        <w:rPr>
          <w:rFonts w:eastAsiaTheme="majorEastAsia"/>
        </w:rPr>
      </w:pPr>
      <w:r w:rsidRPr="00897624">
        <w:t>Innovative Models of Care (IMOC)</w:t>
      </w:r>
    </w:p>
    <w:p w14:paraId="56902C40" w14:textId="77777777" w:rsidR="00897624" w:rsidRPr="00897624" w:rsidRDefault="001729AE" w:rsidP="00897624">
      <w:pPr>
        <w:pStyle w:val="Subtitle"/>
      </w:pPr>
      <w:r w:rsidRPr="00897624">
        <w:t>Networked s</w:t>
      </w:r>
      <w:r w:rsidR="00DC3366" w:rsidRPr="00897624">
        <w:t xml:space="preserve">ingle employer </w:t>
      </w:r>
      <w:r w:rsidR="00576060" w:rsidRPr="00897624">
        <w:t xml:space="preserve">model for </w:t>
      </w:r>
      <w:r w:rsidRPr="00897624">
        <w:t xml:space="preserve">health </w:t>
      </w:r>
      <w:proofErr w:type="gramStart"/>
      <w:r w:rsidRPr="00897624">
        <w:t>staff</w:t>
      </w:r>
      <w:proofErr w:type="gramEnd"/>
    </w:p>
    <w:p w14:paraId="75FE7FC7" w14:textId="2E2EDAE4" w:rsidR="004E204A" w:rsidRPr="00897624" w:rsidRDefault="008A630C" w:rsidP="00897624">
      <w:pPr>
        <w:pStyle w:val="Heading1"/>
        <w:rPr>
          <w:rFonts w:eastAsiaTheme="majorEastAsia"/>
        </w:rPr>
      </w:pPr>
      <w:r w:rsidRPr="00897624">
        <w:rPr>
          <w:rFonts w:eastAsiaTheme="majorEastAsia"/>
        </w:rPr>
        <w:t>Innovative models of care case study</w:t>
      </w:r>
    </w:p>
    <w:p w14:paraId="48B3D043" w14:textId="6B153E0D" w:rsidR="008B4C7F" w:rsidRPr="00897624" w:rsidRDefault="008B4C7F" w:rsidP="008B4C7F">
      <w:r>
        <w:t xml:space="preserve">The IMOC </w:t>
      </w:r>
      <w:r w:rsidR="008C6246">
        <w:t>P</w:t>
      </w:r>
      <w:r>
        <w:t xml:space="preserve">rogram </w:t>
      </w:r>
      <w:r w:rsidRPr="00E673E0">
        <w:t>helps organisations trial new ways of providing primary care in rural and remote communities.</w:t>
      </w:r>
      <w:r>
        <w:t xml:space="preserve"> Funding is for governance, community engagement and program management activities to support innovative health services delivery.</w:t>
      </w:r>
    </w:p>
    <w:p w14:paraId="3549692A" w14:textId="2C70E8AC" w:rsidR="008B4C7F" w:rsidRDefault="008B4C7F" w:rsidP="008B4C7F">
      <w:r>
        <w:t xml:space="preserve">The desired outcomes of the </w:t>
      </w:r>
      <w:r w:rsidR="008C6246">
        <w:t>P</w:t>
      </w:r>
      <w:r>
        <w:t>rogram are to:</w:t>
      </w:r>
    </w:p>
    <w:p w14:paraId="5C544D64" w14:textId="77777777" w:rsidR="008B4C7F" w:rsidRDefault="008B4C7F" w:rsidP="00897624">
      <w:pPr>
        <w:pStyle w:val="ListBullet2"/>
      </w:pPr>
      <w:r>
        <w:t xml:space="preserve">learn from funded trials and share learnings that will allow other communities to apply place based innovative models; and </w:t>
      </w:r>
    </w:p>
    <w:p w14:paraId="753A68F2" w14:textId="085F7CC1" w:rsidR="008B4C7F" w:rsidRPr="004825DA" w:rsidRDefault="008B4C7F" w:rsidP="00897624">
      <w:pPr>
        <w:pStyle w:val="ListBullet2"/>
      </w:pPr>
      <w:r>
        <w:t>evaluate whether they improve rural practice and lead to better health outcomes.</w:t>
      </w:r>
    </w:p>
    <w:p w14:paraId="2FFA2ECC" w14:textId="2BFA62F9" w:rsidR="00332BF8" w:rsidRPr="00897624" w:rsidRDefault="000B5E0C" w:rsidP="00897624">
      <w:pPr>
        <w:pStyle w:val="Heading3"/>
      </w:pPr>
      <w:r w:rsidRPr="00897624">
        <w:t>Summary</w:t>
      </w:r>
      <w:r w:rsidR="00840017" w:rsidRPr="00897624">
        <w:t xml:space="preserve"> of the networked single employer model for health staff</w:t>
      </w:r>
    </w:p>
    <w:tbl>
      <w:tblPr>
        <w:tblStyle w:val="TableGrid"/>
        <w:tblW w:w="9185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1418"/>
        <w:gridCol w:w="7087"/>
      </w:tblGrid>
      <w:tr w:rsidR="00420B70" w:rsidRPr="00C64CE2" w14:paraId="01AF195E" w14:textId="77777777" w:rsidTr="0051465B">
        <w:trPr>
          <w:trHeight w:val="381"/>
        </w:trPr>
        <w:tc>
          <w:tcPr>
            <w:tcW w:w="680" w:type="dxa"/>
            <w:tcBorders>
              <w:bottom w:val="single" w:sz="36" w:space="0" w:color="3F4A75"/>
            </w:tcBorders>
            <w:shd w:val="clear" w:color="auto" w:fill="3F4A75"/>
            <w:vAlign w:val="center"/>
          </w:tcPr>
          <w:p w14:paraId="1F5F2DB5" w14:textId="75A72F81" w:rsidR="00420B70" w:rsidRPr="009B1010" w:rsidRDefault="00420B70" w:rsidP="009B1010">
            <w:r w:rsidRPr="009B1010">
              <w:drawing>
                <wp:inline distT="0" distB="0" distL="0" distR="0" wp14:anchorId="29D653FD" wp14:editId="6CF8E88F">
                  <wp:extent cx="324000" cy="324000"/>
                  <wp:effectExtent l="0" t="0" r="0" b="0"/>
                  <wp:docPr id="1" name="Graphic 1" descr="Map with pi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p with pin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3F4A75"/>
            </w:tcBorders>
            <w:shd w:val="clear" w:color="auto" w:fill="3F4A75"/>
            <w:vAlign w:val="center"/>
          </w:tcPr>
          <w:p w14:paraId="21694CFA" w14:textId="20E3F56F" w:rsidR="00420B70" w:rsidRPr="009B1010" w:rsidRDefault="00420B70" w:rsidP="009B1010">
            <w:pPr>
              <w:pStyle w:val="TableHeaderWhite"/>
            </w:pPr>
            <w:r w:rsidRPr="009B1010">
              <w:t>Location</w:t>
            </w:r>
            <w:r w:rsidR="00A207A3" w:rsidRPr="009B1010">
              <w:t>:</w:t>
            </w:r>
          </w:p>
        </w:tc>
        <w:tc>
          <w:tcPr>
            <w:tcW w:w="7087" w:type="dxa"/>
            <w:tcBorders>
              <w:bottom w:val="single" w:sz="36" w:space="0" w:color="3F4A75"/>
            </w:tcBorders>
            <w:shd w:val="clear" w:color="auto" w:fill="auto"/>
            <w:vAlign w:val="center"/>
          </w:tcPr>
          <w:p w14:paraId="5FBACC97" w14:textId="597234C0" w:rsidR="00420B70" w:rsidRPr="009B1010" w:rsidRDefault="0096063B" w:rsidP="009B1010">
            <w:pPr>
              <w:pStyle w:val="TableText"/>
            </w:pPr>
            <w:r w:rsidRPr="009B1010">
              <w:t>Tottenham, Tullamore, Trangie and Trundle</w:t>
            </w:r>
            <w:r w:rsidR="0076655C" w:rsidRPr="009B1010">
              <w:t>, New South Wales</w:t>
            </w:r>
          </w:p>
        </w:tc>
      </w:tr>
      <w:tr w:rsidR="00420B70" w:rsidRPr="00C64CE2" w14:paraId="0F79C903" w14:textId="77777777" w:rsidTr="0051465B">
        <w:trPr>
          <w:trHeight w:val="80"/>
        </w:trPr>
        <w:tc>
          <w:tcPr>
            <w:tcW w:w="680" w:type="dxa"/>
            <w:tcBorders>
              <w:bottom w:val="single" w:sz="36" w:space="0" w:color="008A96"/>
            </w:tcBorders>
            <w:shd w:val="clear" w:color="auto" w:fill="008A96"/>
            <w:vAlign w:val="center"/>
          </w:tcPr>
          <w:p w14:paraId="78BED410" w14:textId="681E5C07" w:rsidR="00420B70" w:rsidRPr="009B1010" w:rsidRDefault="00420B70" w:rsidP="009B1010">
            <w:r w:rsidRPr="009B1010">
              <w:drawing>
                <wp:inline distT="0" distB="0" distL="0" distR="0" wp14:anchorId="6FBD72D3" wp14:editId="23FEA00D">
                  <wp:extent cx="324000" cy="324000"/>
                  <wp:effectExtent l="0" t="0" r="0" b="0"/>
                  <wp:docPr id="8" name="Graphic 8" descr="Ques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Question Mark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008A96"/>
            </w:tcBorders>
            <w:shd w:val="clear" w:color="auto" w:fill="008A96"/>
            <w:vAlign w:val="center"/>
          </w:tcPr>
          <w:p w14:paraId="4BDA7075" w14:textId="644B54B3" w:rsidR="00420B70" w:rsidRPr="009B1010" w:rsidRDefault="00420B70" w:rsidP="009B1010">
            <w:pPr>
              <w:pStyle w:val="TableHeaderWhite"/>
            </w:pPr>
            <w:r w:rsidRPr="009B1010">
              <w:t>Problem</w:t>
            </w:r>
            <w:r w:rsidR="00A207A3" w:rsidRPr="009B1010">
              <w:t>:</w:t>
            </w:r>
          </w:p>
        </w:tc>
        <w:tc>
          <w:tcPr>
            <w:tcW w:w="7087" w:type="dxa"/>
            <w:tcBorders>
              <w:bottom w:val="single" w:sz="36" w:space="0" w:color="008A96"/>
            </w:tcBorders>
            <w:shd w:val="clear" w:color="auto" w:fill="auto"/>
            <w:vAlign w:val="center"/>
          </w:tcPr>
          <w:p w14:paraId="16192215" w14:textId="5B2A1FCF" w:rsidR="00420B70" w:rsidRPr="009B1010" w:rsidRDefault="003B0314" w:rsidP="009B1010">
            <w:pPr>
              <w:pStyle w:val="TableText"/>
            </w:pPr>
            <w:r w:rsidRPr="009B1010">
              <w:t>Four</w:t>
            </w:r>
            <w:r w:rsidR="001729AE" w:rsidRPr="009B1010">
              <w:t xml:space="preserve"> small</w:t>
            </w:r>
            <w:r w:rsidR="006F020B" w:rsidRPr="009B1010">
              <w:t>,</w:t>
            </w:r>
            <w:r w:rsidR="001729AE" w:rsidRPr="009B1010">
              <w:t xml:space="preserve"> neighbouring</w:t>
            </w:r>
            <w:r w:rsidR="00C1052C" w:rsidRPr="009B1010">
              <w:t xml:space="preserve"> towns with no </w:t>
            </w:r>
            <w:r w:rsidR="001729AE" w:rsidRPr="009B1010">
              <w:t>GPs</w:t>
            </w:r>
            <w:r w:rsidR="00C1052C" w:rsidRPr="009B1010">
              <w:t xml:space="preserve">, leaving a gap in healthcare for all </w:t>
            </w:r>
            <w:r w:rsidR="007F3908" w:rsidRPr="009B1010">
              <w:t>4</w:t>
            </w:r>
            <w:r w:rsidR="00C1052C" w:rsidRPr="009B1010">
              <w:t xml:space="preserve"> communities</w:t>
            </w:r>
          </w:p>
        </w:tc>
      </w:tr>
      <w:tr w:rsidR="00420B70" w:rsidRPr="00C64CE2" w14:paraId="54C6EB79" w14:textId="77777777" w:rsidTr="0051465B">
        <w:trPr>
          <w:trHeight w:val="80"/>
        </w:trPr>
        <w:tc>
          <w:tcPr>
            <w:tcW w:w="680" w:type="dxa"/>
            <w:tcBorders>
              <w:bottom w:val="single" w:sz="36" w:space="0" w:color="1390CF"/>
            </w:tcBorders>
            <w:shd w:val="clear" w:color="auto" w:fill="1390CF"/>
            <w:vAlign w:val="center"/>
          </w:tcPr>
          <w:p w14:paraId="36575CE5" w14:textId="62CA6A1F" w:rsidR="00420B70" w:rsidRPr="009B1010" w:rsidRDefault="00420B70" w:rsidP="009B1010">
            <w:r w:rsidRPr="009B1010">
              <w:drawing>
                <wp:inline distT="0" distB="0" distL="0" distR="0" wp14:anchorId="0A561077" wp14:editId="7A4ECDFD">
                  <wp:extent cx="324000" cy="324000"/>
                  <wp:effectExtent l="0" t="0" r="0" b="0"/>
                  <wp:docPr id="5" name="Graphic 5" descr="Lights 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Lights On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1390CF"/>
            </w:tcBorders>
            <w:shd w:val="clear" w:color="auto" w:fill="1390CF"/>
            <w:vAlign w:val="center"/>
          </w:tcPr>
          <w:p w14:paraId="509389FE" w14:textId="38FD4BC4" w:rsidR="00420B70" w:rsidRPr="009B1010" w:rsidRDefault="00B676CA" w:rsidP="009B1010">
            <w:pPr>
              <w:pStyle w:val="TableHeaderWhite"/>
            </w:pPr>
            <w:r w:rsidRPr="009B1010">
              <w:t>Solution</w:t>
            </w:r>
            <w:r w:rsidR="00A207A3" w:rsidRPr="009B1010">
              <w:t>:</w:t>
            </w:r>
          </w:p>
        </w:tc>
        <w:tc>
          <w:tcPr>
            <w:tcW w:w="7087" w:type="dxa"/>
            <w:tcBorders>
              <w:bottom w:val="single" w:sz="36" w:space="0" w:color="1390CF"/>
            </w:tcBorders>
            <w:shd w:val="clear" w:color="auto" w:fill="auto"/>
            <w:vAlign w:val="center"/>
          </w:tcPr>
          <w:p w14:paraId="22759EF7" w14:textId="538B53F0" w:rsidR="001729AE" w:rsidRPr="009B1010" w:rsidRDefault="001729AE" w:rsidP="009B1010">
            <w:pPr>
              <w:pStyle w:val="Tablelistbullet"/>
            </w:pPr>
            <w:r w:rsidRPr="009B1010">
              <w:t>A part-time primary care clinic in the Multi-Purpose Service hospital</w:t>
            </w:r>
          </w:p>
          <w:p w14:paraId="160F718E" w14:textId="1585599D" w:rsidR="001729AE" w:rsidRPr="009B1010" w:rsidRDefault="001729AE" w:rsidP="009B1010">
            <w:pPr>
              <w:pStyle w:val="Tablelistbullet"/>
            </w:pPr>
            <w:r w:rsidRPr="009B1010">
              <w:t>Single employer model for all health staff</w:t>
            </w:r>
          </w:p>
          <w:p w14:paraId="4721B615" w14:textId="0C0477D3" w:rsidR="00420B70" w:rsidRPr="009B1010" w:rsidRDefault="003B0314" w:rsidP="009B1010">
            <w:pPr>
              <w:pStyle w:val="Tablelistbullet"/>
            </w:pPr>
            <w:r w:rsidRPr="009B1010">
              <w:t>Sharing doctors between the towns.</w:t>
            </w:r>
          </w:p>
        </w:tc>
      </w:tr>
      <w:tr w:rsidR="00420B70" w:rsidRPr="00C64CE2" w14:paraId="09099F9E" w14:textId="77777777" w:rsidTr="0051465B">
        <w:trPr>
          <w:trHeight w:val="80"/>
        </w:trPr>
        <w:tc>
          <w:tcPr>
            <w:tcW w:w="680" w:type="dxa"/>
            <w:tcBorders>
              <w:bottom w:val="single" w:sz="36" w:space="0" w:color="00727D"/>
            </w:tcBorders>
            <w:shd w:val="clear" w:color="auto" w:fill="00727D"/>
            <w:vAlign w:val="center"/>
          </w:tcPr>
          <w:p w14:paraId="356CCC1E" w14:textId="1A8FB73A" w:rsidR="00420B70" w:rsidRPr="009B1010" w:rsidRDefault="00420B70" w:rsidP="009B1010">
            <w:r w:rsidRPr="009B1010">
              <w:drawing>
                <wp:inline distT="0" distB="0" distL="0" distR="0" wp14:anchorId="1674F9D9" wp14:editId="3C4156C0">
                  <wp:extent cx="324000" cy="324000"/>
                  <wp:effectExtent l="0" t="0" r="0" b="0"/>
                  <wp:docPr id="4" name="Graphic 4" descr="Fenc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Fence with solid fil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00727D"/>
            </w:tcBorders>
            <w:shd w:val="clear" w:color="auto" w:fill="00727D"/>
            <w:vAlign w:val="center"/>
          </w:tcPr>
          <w:p w14:paraId="29DF71BF" w14:textId="685077E4" w:rsidR="00420B70" w:rsidRPr="009B1010" w:rsidRDefault="00420B70" w:rsidP="009B1010">
            <w:pPr>
              <w:pStyle w:val="TableHeaderWhite"/>
            </w:pPr>
            <w:r w:rsidRPr="009B1010">
              <w:t>Barriers</w:t>
            </w:r>
            <w:r w:rsidR="00A207A3" w:rsidRPr="009B1010">
              <w:t>:</w:t>
            </w:r>
          </w:p>
        </w:tc>
        <w:tc>
          <w:tcPr>
            <w:tcW w:w="7087" w:type="dxa"/>
            <w:tcBorders>
              <w:bottom w:val="single" w:sz="36" w:space="0" w:color="00727D"/>
            </w:tcBorders>
            <w:shd w:val="clear" w:color="auto" w:fill="auto"/>
            <w:vAlign w:val="center"/>
          </w:tcPr>
          <w:p w14:paraId="620E5D05" w14:textId="5BF58B39" w:rsidR="006401D3" w:rsidRPr="009B1010" w:rsidRDefault="006401D3" w:rsidP="009B1010">
            <w:pPr>
              <w:pStyle w:val="Tablelistbullet"/>
            </w:pPr>
            <w:r w:rsidRPr="009B1010">
              <w:t xml:space="preserve">Difficult to find enough </w:t>
            </w:r>
            <w:proofErr w:type="gramStart"/>
            <w:r w:rsidRPr="009B1010">
              <w:t>doctors</w:t>
            </w:r>
            <w:proofErr w:type="gramEnd"/>
          </w:p>
          <w:p w14:paraId="7C1B6481" w14:textId="4A9D9059" w:rsidR="00420B70" w:rsidRPr="009B1010" w:rsidRDefault="001729AE" w:rsidP="009B1010">
            <w:pPr>
              <w:pStyle w:val="Tablelistbullet"/>
            </w:pPr>
            <w:r w:rsidRPr="009B1010">
              <w:t xml:space="preserve">Requires funding contributions additional to Medicare benefits, </w:t>
            </w:r>
            <w:proofErr w:type="gramStart"/>
            <w:r w:rsidRPr="009B1010">
              <w:t>in order to</w:t>
            </w:r>
            <w:proofErr w:type="gramEnd"/>
            <w:r w:rsidRPr="009B1010">
              <w:t xml:space="preserve"> fill market gaps </w:t>
            </w:r>
          </w:p>
        </w:tc>
      </w:tr>
      <w:tr w:rsidR="00420B70" w:rsidRPr="00C64CE2" w14:paraId="7C101EC4" w14:textId="77777777" w:rsidTr="0051465B">
        <w:trPr>
          <w:trHeight w:val="80"/>
        </w:trPr>
        <w:tc>
          <w:tcPr>
            <w:tcW w:w="680" w:type="dxa"/>
            <w:tcBorders>
              <w:bottom w:val="single" w:sz="36" w:space="0" w:color="3F4A75"/>
            </w:tcBorders>
            <w:shd w:val="clear" w:color="auto" w:fill="3F4A75"/>
            <w:vAlign w:val="center"/>
          </w:tcPr>
          <w:p w14:paraId="513D2F7D" w14:textId="5540F700" w:rsidR="00420B70" w:rsidRPr="009B1010" w:rsidRDefault="00420B70" w:rsidP="009B1010">
            <w:r w:rsidRPr="009B1010">
              <w:drawing>
                <wp:inline distT="0" distB="0" distL="0" distR="0" wp14:anchorId="579386B1" wp14:editId="31A9D6B2">
                  <wp:extent cx="324000" cy="324000"/>
                  <wp:effectExtent l="0" t="0" r="0" b="0"/>
                  <wp:docPr id="3" name="Graphic 3" descr="Mee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Meeting with solid fil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3F4A75"/>
            </w:tcBorders>
            <w:shd w:val="clear" w:color="auto" w:fill="3F4A75"/>
            <w:vAlign w:val="center"/>
          </w:tcPr>
          <w:p w14:paraId="3353A601" w14:textId="72144FED" w:rsidR="00420B70" w:rsidRPr="009B1010" w:rsidRDefault="00420B70" w:rsidP="009B1010">
            <w:pPr>
              <w:pStyle w:val="TableHeaderWhite"/>
            </w:pPr>
            <w:r w:rsidRPr="009B1010">
              <w:t>Enablers</w:t>
            </w:r>
            <w:r w:rsidR="00A207A3" w:rsidRPr="009B1010">
              <w:t>:</w:t>
            </w:r>
          </w:p>
        </w:tc>
        <w:tc>
          <w:tcPr>
            <w:tcW w:w="7087" w:type="dxa"/>
            <w:tcBorders>
              <w:bottom w:val="single" w:sz="36" w:space="0" w:color="3F4A75"/>
            </w:tcBorders>
            <w:shd w:val="clear" w:color="auto" w:fill="auto"/>
            <w:vAlign w:val="center"/>
          </w:tcPr>
          <w:p w14:paraId="39643B79" w14:textId="5D567BB1" w:rsidR="001729AE" w:rsidRPr="009B1010" w:rsidRDefault="001729AE" w:rsidP="009B1010">
            <w:pPr>
              <w:pStyle w:val="Tablelistbullet"/>
            </w:pPr>
            <w:r w:rsidRPr="009B1010">
              <w:t xml:space="preserve">Locations are close </w:t>
            </w:r>
            <w:proofErr w:type="gramStart"/>
            <w:r w:rsidRPr="009B1010">
              <w:t>together</w:t>
            </w:r>
            <w:proofErr w:type="gramEnd"/>
          </w:p>
          <w:p w14:paraId="5AC422A7" w14:textId="2E2962F0" w:rsidR="001729AE" w:rsidRPr="009B1010" w:rsidRDefault="001729AE" w:rsidP="009B1010">
            <w:pPr>
              <w:pStyle w:val="Tablelistbullet"/>
            </w:pPr>
            <w:r w:rsidRPr="009B1010">
              <w:t xml:space="preserve">Telehealth services when local doctors are not </w:t>
            </w:r>
            <w:proofErr w:type="gramStart"/>
            <w:r w:rsidRPr="009B1010">
              <w:t>available</w:t>
            </w:r>
            <w:proofErr w:type="gramEnd"/>
          </w:p>
          <w:p w14:paraId="1D7F4E42" w14:textId="582C38CE" w:rsidR="008729A6" w:rsidRPr="009B1010" w:rsidRDefault="008729A6" w:rsidP="009B1010">
            <w:pPr>
              <w:pStyle w:val="Tablelistbullet"/>
            </w:pPr>
            <w:r w:rsidRPr="009B1010">
              <w:t>Integrated office functions across locations</w:t>
            </w:r>
          </w:p>
          <w:p w14:paraId="71919B47" w14:textId="6912496D" w:rsidR="00E67C2B" w:rsidRPr="009B1010" w:rsidRDefault="00E67C2B" w:rsidP="009B1010">
            <w:pPr>
              <w:pStyle w:val="Tablelistbullet"/>
            </w:pPr>
            <w:r w:rsidRPr="009B1010">
              <w:t xml:space="preserve">Community groups that help make healthcare </w:t>
            </w:r>
            <w:proofErr w:type="gramStart"/>
            <w:r w:rsidRPr="009B1010">
              <w:t>decisions</w:t>
            </w:r>
            <w:proofErr w:type="gramEnd"/>
            <w:r w:rsidRPr="009B1010">
              <w:t xml:space="preserve"> </w:t>
            </w:r>
          </w:p>
          <w:p w14:paraId="2B1434CE" w14:textId="0131C36C" w:rsidR="001729AE" w:rsidRPr="009B1010" w:rsidRDefault="00E67C2B" w:rsidP="009B1010">
            <w:pPr>
              <w:pStyle w:val="Tablelistbullet"/>
            </w:pPr>
            <w:r w:rsidRPr="009B1010">
              <w:t>Education to help explain how healthcare works</w:t>
            </w:r>
          </w:p>
        </w:tc>
      </w:tr>
      <w:tr w:rsidR="00420B70" w:rsidRPr="00C64CE2" w14:paraId="3246F6F1" w14:textId="77777777" w:rsidTr="0051465B">
        <w:trPr>
          <w:trHeight w:val="80"/>
        </w:trPr>
        <w:tc>
          <w:tcPr>
            <w:tcW w:w="680" w:type="dxa"/>
            <w:tcBorders>
              <w:bottom w:val="single" w:sz="36" w:space="0" w:color="008A96"/>
            </w:tcBorders>
            <w:shd w:val="clear" w:color="auto" w:fill="008A96"/>
            <w:vAlign w:val="center"/>
          </w:tcPr>
          <w:p w14:paraId="11792DE2" w14:textId="5FD19010" w:rsidR="00420B70" w:rsidRPr="009B1010" w:rsidRDefault="00420B70" w:rsidP="009B1010">
            <w:r w:rsidRPr="009B1010">
              <w:drawing>
                <wp:inline distT="0" distB="0" distL="0" distR="0" wp14:anchorId="17728597" wp14:editId="5B9E476D">
                  <wp:extent cx="324000" cy="324000"/>
                  <wp:effectExtent l="0" t="0" r="0" b="0"/>
                  <wp:docPr id="7" name="Graphic 7" descr="Doll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Dollar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008A96"/>
            </w:tcBorders>
            <w:shd w:val="clear" w:color="auto" w:fill="008A96"/>
            <w:vAlign w:val="center"/>
          </w:tcPr>
          <w:p w14:paraId="70E1E122" w14:textId="2D2C2529" w:rsidR="00420B70" w:rsidRPr="009B1010" w:rsidRDefault="00420B70" w:rsidP="009B1010">
            <w:pPr>
              <w:pStyle w:val="TableHeaderWhite"/>
            </w:pPr>
            <w:r w:rsidRPr="009B1010">
              <w:t>Funding and resources</w:t>
            </w:r>
            <w:r w:rsidR="00A207A3" w:rsidRPr="009B1010">
              <w:t>:</w:t>
            </w:r>
          </w:p>
        </w:tc>
        <w:tc>
          <w:tcPr>
            <w:tcW w:w="7087" w:type="dxa"/>
            <w:tcBorders>
              <w:bottom w:val="single" w:sz="36" w:space="0" w:color="008A96"/>
            </w:tcBorders>
            <w:shd w:val="clear" w:color="auto" w:fill="auto"/>
            <w:vAlign w:val="center"/>
          </w:tcPr>
          <w:p w14:paraId="69A6B1C0" w14:textId="67EBDC18" w:rsidR="007F37B9" w:rsidRPr="009B1010" w:rsidRDefault="007F37B9" w:rsidP="009B1010">
            <w:pPr>
              <w:pStyle w:val="Tablelistbullet"/>
            </w:pPr>
            <w:r w:rsidRPr="009B1010">
              <w:t xml:space="preserve">Council of Australian Governments (COAG) Section 19(2) Exemptions Initiative – bulk billing the Medicare Benefits Schedule for eligible services </w:t>
            </w:r>
          </w:p>
          <w:p w14:paraId="4C7FB753" w14:textId="0B056956" w:rsidR="00420B70" w:rsidRPr="009B1010" w:rsidRDefault="0037655D" w:rsidP="009B1010">
            <w:pPr>
              <w:pStyle w:val="Tablelistbullet"/>
            </w:pPr>
            <w:r w:rsidRPr="009B1010">
              <w:t>Existing multi-purpose services infrastructure and resources</w:t>
            </w:r>
          </w:p>
          <w:p w14:paraId="2486D1BC" w14:textId="787680BA" w:rsidR="001729AE" w:rsidRPr="009B1010" w:rsidRDefault="001729AE" w:rsidP="009B1010">
            <w:pPr>
              <w:pStyle w:val="Tablelistbullet"/>
            </w:pPr>
            <w:r w:rsidRPr="009B1010">
              <w:t>In-kind resources from community groups and project partners</w:t>
            </w:r>
          </w:p>
        </w:tc>
      </w:tr>
    </w:tbl>
    <w:p w14:paraId="60EDC4C9" w14:textId="3C0D9066" w:rsidR="00A27DB9" w:rsidRDefault="00AA2932" w:rsidP="00897624">
      <w:pPr>
        <w:pStyle w:val="Heading3"/>
      </w:pPr>
      <w:r>
        <w:t>About the model</w:t>
      </w:r>
    </w:p>
    <w:p w14:paraId="1896B8E1" w14:textId="3D05F922" w:rsidR="001729AE" w:rsidRPr="00897624" w:rsidRDefault="001729AE" w:rsidP="00897624">
      <w:r w:rsidRPr="00897624">
        <w:t xml:space="preserve">The 4Ts model includes 4 part-time primary care clinics, located in each towns’ Multi-Purpose Service (MPS) hospital.  </w:t>
      </w:r>
    </w:p>
    <w:p w14:paraId="3BAFC326" w14:textId="3C249D73" w:rsidR="003C15EB" w:rsidRPr="00897624" w:rsidRDefault="002A7CAB" w:rsidP="00897624">
      <w:r w:rsidRPr="00897624">
        <w:lastRenderedPageBreak/>
        <w:t>It</w:t>
      </w:r>
      <w:r w:rsidR="00905298" w:rsidRPr="00897624">
        <w:t xml:space="preserve"> use</w:t>
      </w:r>
      <w:r w:rsidR="00267AB3" w:rsidRPr="00897624">
        <w:t>s</w:t>
      </w:r>
      <w:r w:rsidR="00905298" w:rsidRPr="00897624">
        <w:t xml:space="preserve"> a single employer model delivered in a networked arrangement. The</w:t>
      </w:r>
      <w:r w:rsidR="00AE6722" w:rsidRPr="00897624">
        <w:t xml:space="preserve"> clinics</w:t>
      </w:r>
      <w:r w:rsidR="00905298" w:rsidRPr="00897624">
        <w:t xml:space="preserve"> </w:t>
      </w:r>
      <w:r w:rsidR="00AE6722" w:rsidRPr="00897624">
        <w:t xml:space="preserve">are </w:t>
      </w:r>
      <w:r w:rsidR="0057257A" w:rsidRPr="00897624">
        <w:t xml:space="preserve">in </w:t>
      </w:r>
      <w:r w:rsidR="00C45750" w:rsidRPr="00897624">
        <w:t xml:space="preserve">4 </w:t>
      </w:r>
      <w:r w:rsidR="00905298" w:rsidRPr="00897624">
        <w:t>towns</w:t>
      </w:r>
      <w:r w:rsidR="0057257A" w:rsidRPr="00897624">
        <w:t xml:space="preserve"> in Central Western NSW—</w:t>
      </w:r>
      <w:r w:rsidR="00905298" w:rsidRPr="00897624">
        <w:t xml:space="preserve">Trangie, Tottenham, Tullamore, and Trundle. </w:t>
      </w:r>
    </w:p>
    <w:p w14:paraId="79D0B083" w14:textId="63B916E6" w:rsidR="0057257A" w:rsidRPr="00897624" w:rsidRDefault="00905298" w:rsidP="00897624">
      <w:r w:rsidRPr="00897624">
        <w:t>Western NSW Local Health District (WNSWLHD) was granted a 19(2) exemption under the Health Insurance Act</w:t>
      </w:r>
      <w:r w:rsidR="00D50EF3" w:rsidRPr="00897624">
        <w:t>, after all private general practices in the region closed</w:t>
      </w:r>
      <w:r w:rsidR="003C15EB" w:rsidRPr="00897624">
        <w:t>.</w:t>
      </w:r>
      <w:r w:rsidR="00421117" w:rsidRPr="00897624">
        <w:t xml:space="preserve"> </w:t>
      </w:r>
      <w:r w:rsidR="00FD66EE" w:rsidRPr="00897624">
        <w:t xml:space="preserve">WNSWLHD </w:t>
      </w:r>
      <w:r w:rsidR="00AE3DCB" w:rsidRPr="00897624">
        <w:t>is</w:t>
      </w:r>
      <w:r w:rsidR="00FD66EE" w:rsidRPr="00897624">
        <w:t xml:space="preserve"> the single-employer for whole-of-healthcare services in these towns.</w:t>
      </w:r>
    </w:p>
    <w:p w14:paraId="1468B001" w14:textId="77777777" w:rsidR="0057257A" w:rsidRPr="00897624" w:rsidRDefault="00905298" w:rsidP="00897624">
      <w:r w:rsidRPr="00897624">
        <w:t xml:space="preserve">The service delivers acute, emergency, and primary care </w:t>
      </w:r>
      <w:r w:rsidR="001653FA" w:rsidRPr="00897624">
        <w:t>services, including</w:t>
      </w:r>
      <w:r w:rsidRPr="00897624">
        <w:t xml:space="preserve"> GP services. </w:t>
      </w:r>
      <w:r w:rsidR="003E65E9" w:rsidRPr="00897624">
        <w:t>T</w:t>
      </w:r>
      <w:r w:rsidRPr="00897624">
        <w:t xml:space="preserve">elehealth </w:t>
      </w:r>
      <w:r w:rsidR="003E65E9" w:rsidRPr="00897624">
        <w:t xml:space="preserve">supports these services </w:t>
      </w:r>
      <w:r w:rsidRPr="00897624">
        <w:t xml:space="preserve">through the Virtual Rural Generalist Service (VRGS). </w:t>
      </w:r>
    </w:p>
    <w:p w14:paraId="680C18CF" w14:textId="7D589056" w:rsidR="00E27EBE" w:rsidRPr="00897624" w:rsidRDefault="00905298" w:rsidP="00897624">
      <w:r w:rsidRPr="00897624">
        <w:t>The model receives revenue through MBS billings utilising a COAG 19(2) exemption that allows Medicare</w:t>
      </w:r>
      <w:r w:rsidR="000C4F2C" w:rsidRPr="00897624">
        <w:t xml:space="preserve"> to be billed</w:t>
      </w:r>
      <w:r w:rsidRPr="00897624">
        <w:t xml:space="preserve">. </w:t>
      </w:r>
      <w:r w:rsidR="00FD66EE" w:rsidRPr="00897624">
        <w:t>The model also receives financial co-contributions from the WNSWLHD.</w:t>
      </w:r>
    </w:p>
    <w:p w14:paraId="56DE9102" w14:textId="1DD7485E" w:rsidR="007163B6" w:rsidRPr="00897624" w:rsidRDefault="00905298" w:rsidP="00897624">
      <w:r w:rsidRPr="00897624">
        <w:t>It is a single-employer model that employs</w:t>
      </w:r>
      <w:r w:rsidR="00AB3886" w:rsidRPr="00897624">
        <w:t>:</w:t>
      </w:r>
    </w:p>
    <w:p w14:paraId="209CA352" w14:textId="16B91EC8" w:rsidR="00AA6C7C" w:rsidRPr="00897624" w:rsidRDefault="00905298" w:rsidP="00897624">
      <w:pPr>
        <w:pStyle w:val="ListBullet2"/>
      </w:pPr>
      <w:r w:rsidRPr="00897624">
        <w:t>rural generalist medical officers (GPs)</w:t>
      </w:r>
    </w:p>
    <w:p w14:paraId="25478C17" w14:textId="0555483F" w:rsidR="00AA6C7C" w:rsidRPr="00897624" w:rsidRDefault="00905298" w:rsidP="00897624">
      <w:pPr>
        <w:pStyle w:val="ListBullet2"/>
      </w:pPr>
      <w:r w:rsidRPr="00897624">
        <w:t>rural generalist primary care nurses</w:t>
      </w:r>
    </w:p>
    <w:p w14:paraId="4886C71B" w14:textId="3C0782A9" w:rsidR="00AA6C7C" w:rsidRPr="00897624" w:rsidRDefault="00905298" w:rsidP="00897624">
      <w:pPr>
        <w:pStyle w:val="ListBullet2"/>
      </w:pPr>
      <w:r w:rsidRPr="00897624">
        <w:t>administrat</w:t>
      </w:r>
      <w:r w:rsidR="000C4F2C" w:rsidRPr="00897624">
        <w:t>ion</w:t>
      </w:r>
      <w:r w:rsidRPr="00897624">
        <w:t xml:space="preserve"> staff</w:t>
      </w:r>
    </w:p>
    <w:p w14:paraId="0261CD4D" w14:textId="37F3A02C" w:rsidR="00995E2C" w:rsidRPr="00897624" w:rsidRDefault="00905298" w:rsidP="00897624">
      <w:pPr>
        <w:pStyle w:val="ListBullet2"/>
      </w:pPr>
      <w:r w:rsidRPr="00897624">
        <w:t>medical centre manager</w:t>
      </w:r>
      <w:r w:rsidR="00886D7D" w:rsidRPr="00897624">
        <w:t>.</w:t>
      </w:r>
      <w:r w:rsidRPr="00897624">
        <w:t xml:space="preserve"> </w:t>
      </w:r>
    </w:p>
    <w:p w14:paraId="3857275B" w14:textId="425566EF" w:rsidR="0057257A" w:rsidRPr="00897624" w:rsidRDefault="00905298" w:rsidP="00897624">
      <w:r w:rsidRPr="00897624">
        <w:t>When attend</w:t>
      </w:r>
      <w:r w:rsidR="001653FA" w:rsidRPr="00897624">
        <w:t xml:space="preserve">ing the </w:t>
      </w:r>
      <w:r w:rsidR="00FD66EE" w:rsidRPr="00897624">
        <w:t>primary care clinics</w:t>
      </w:r>
      <w:r w:rsidRPr="00897624">
        <w:t xml:space="preserve">, the GP is on call for the emergency and acute inpatient unit </w:t>
      </w:r>
      <w:r w:rsidR="00CF2970" w:rsidRPr="00897624">
        <w:t>co-</w:t>
      </w:r>
      <w:r w:rsidRPr="00897624">
        <w:t xml:space="preserve">located in the MPS. </w:t>
      </w:r>
    </w:p>
    <w:p w14:paraId="025CC4B5" w14:textId="111C6A8C" w:rsidR="00905298" w:rsidRPr="00897624" w:rsidRDefault="00905298" w:rsidP="00897624">
      <w:r w:rsidRPr="00897624">
        <w:t xml:space="preserve">A Virtual Rural Generalist Service (VRGS) also supports doctor or nurse-led emergency services </w:t>
      </w:r>
      <w:r w:rsidR="00D6159F" w:rsidRPr="00897624">
        <w:t xml:space="preserve">through </w:t>
      </w:r>
      <w:r w:rsidRPr="00897624">
        <w:t>telehealth when the GP is not in attendance.</w:t>
      </w:r>
    </w:p>
    <w:p w14:paraId="4FAE21EC" w14:textId="39C980BE" w:rsidR="00A27DB9" w:rsidRPr="00A27DB9" w:rsidRDefault="00A27DB9" w:rsidP="00897624">
      <w:pPr>
        <w:pStyle w:val="Heading3"/>
      </w:pPr>
      <w:r w:rsidRPr="00A27DB9">
        <w:t>Findings</w:t>
      </w:r>
    </w:p>
    <w:p w14:paraId="02FFC362" w14:textId="6F2931E9" w:rsidR="009A4A1F" w:rsidRPr="00897624" w:rsidRDefault="00AC297C" w:rsidP="00897624">
      <w:r w:rsidRPr="00897624">
        <w:t xml:space="preserve">The innovative model of care </w:t>
      </w:r>
      <w:r w:rsidR="00D30FB0" w:rsidRPr="00897624">
        <w:t>has i</w:t>
      </w:r>
      <w:r w:rsidR="009A4A1F" w:rsidRPr="00897624">
        <w:t xml:space="preserve">ncreased community access to GP services in </w:t>
      </w:r>
      <w:r w:rsidR="00D30FB0" w:rsidRPr="00897624">
        <w:t xml:space="preserve">all 4 </w:t>
      </w:r>
      <w:r w:rsidR="009A4A1F" w:rsidRPr="00897624">
        <w:t xml:space="preserve">towns. Patient-reported experiences of care </w:t>
      </w:r>
      <w:r w:rsidR="00D87AE1" w:rsidRPr="00897624">
        <w:t>achieved a</w:t>
      </w:r>
      <w:r w:rsidR="009A4A1F" w:rsidRPr="00897624">
        <w:t xml:space="preserve"> higher </w:t>
      </w:r>
      <w:r w:rsidR="00D87AE1" w:rsidRPr="00897624">
        <w:t xml:space="preserve">rating </w:t>
      </w:r>
      <w:r w:rsidR="009A4A1F" w:rsidRPr="00897624">
        <w:t xml:space="preserve">than elsewhere in the </w:t>
      </w:r>
      <w:r w:rsidR="00DA24CE" w:rsidRPr="00897624">
        <w:t>Local Health District</w:t>
      </w:r>
      <w:r w:rsidR="00D30FB0" w:rsidRPr="00897624">
        <w:t>,</w:t>
      </w:r>
      <w:r w:rsidR="00356CA0" w:rsidRPr="00897624">
        <w:t xml:space="preserve"> </w:t>
      </w:r>
      <w:r w:rsidR="009A4A1F" w:rsidRPr="00897624">
        <w:t>and higher than the NSW average.</w:t>
      </w:r>
    </w:p>
    <w:p w14:paraId="0D884E58" w14:textId="07C3B1B2" w:rsidR="00546D70" w:rsidRPr="00B40A7E" w:rsidRDefault="00D30FB0" w:rsidP="007F3969">
      <w:r w:rsidRPr="00B40A7E">
        <w:t>The 4Ts model p</w:t>
      </w:r>
      <w:r w:rsidR="009A4A1F" w:rsidRPr="00B40A7E">
        <w:t>rovides</w:t>
      </w:r>
      <w:r w:rsidR="0081580F" w:rsidRPr="00B40A7E">
        <w:t>:</w:t>
      </w:r>
    </w:p>
    <w:p w14:paraId="5906B651" w14:textId="24DF6502" w:rsidR="00546D70" w:rsidRPr="00897624" w:rsidRDefault="0064183D" w:rsidP="00897624">
      <w:pPr>
        <w:pStyle w:val="ListBullet2"/>
      </w:pPr>
      <w:r w:rsidRPr="00897624">
        <w:t>s</w:t>
      </w:r>
      <w:r w:rsidR="00E35BD4" w:rsidRPr="00897624">
        <w:t>t</w:t>
      </w:r>
      <w:r w:rsidRPr="00897624">
        <w:t>able</w:t>
      </w:r>
      <w:r w:rsidR="009A4A1F" w:rsidRPr="00897624">
        <w:t xml:space="preserve"> employment</w:t>
      </w:r>
    </w:p>
    <w:p w14:paraId="48D08648" w14:textId="18D628CA" w:rsidR="00546D70" w:rsidRPr="00897624" w:rsidRDefault="009A4A1F" w:rsidP="00897624">
      <w:pPr>
        <w:pStyle w:val="ListBullet2"/>
      </w:pPr>
      <w:r w:rsidRPr="00897624">
        <w:t>professional development</w:t>
      </w:r>
    </w:p>
    <w:p w14:paraId="69F2E7CF" w14:textId="7047F283" w:rsidR="00546D70" w:rsidRPr="00897624" w:rsidRDefault="009A4A1F" w:rsidP="00897624">
      <w:pPr>
        <w:pStyle w:val="ListBullet2"/>
      </w:pPr>
      <w:r w:rsidRPr="00897624">
        <w:t xml:space="preserve">a supportive environment, </w:t>
      </w:r>
      <w:r w:rsidR="0068337B" w:rsidRPr="00897624">
        <w:t xml:space="preserve">including </w:t>
      </w:r>
      <w:r w:rsidR="000448C3" w:rsidRPr="00897624">
        <w:t>telehealth support.</w:t>
      </w:r>
    </w:p>
    <w:p w14:paraId="3EAFB76B" w14:textId="20CDEB2F" w:rsidR="00F47526" w:rsidRPr="00897624" w:rsidRDefault="000448C3" w:rsidP="00897624">
      <w:r w:rsidRPr="00897624">
        <w:t>Other</w:t>
      </w:r>
      <w:r w:rsidR="009A4A1F" w:rsidRPr="00897624">
        <w:t xml:space="preserve"> supportive factors </w:t>
      </w:r>
      <w:r w:rsidR="00007FD2" w:rsidRPr="00897624">
        <w:t>of workforce sustainability, includ</w:t>
      </w:r>
      <w:r w:rsidR="007868B7" w:rsidRPr="00897624">
        <w:t>e</w:t>
      </w:r>
      <w:r w:rsidR="00007FD2" w:rsidRPr="00897624">
        <w:t>:</w:t>
      </w:r>
    </w:p>
    <w:p w14:paraId="1A4DFBC1" w14:textId="16C4305C" w:rsidR="00007FD2" w:rsidRPr="00897624" w:rsidRDefault="009A4A1F" w:rsidP="00897624">
      <w:pPr>
        <w:pStyle w:val="ListBullet2"/>
      </w:pPr>
      <w:r w:rsidRPr="00897624">
        <w:t>accommodation</w:t>
      </w:r>
    </w:p>
    <w:p w14:paraId="17924839" w14:textId="77777777" w:rsidR="00007FD2" w:rsidRPr="00897624" w:rsidRDefault="009A4A1F" w:rsidP="00897624">
      <w:pPr>
        <w:pStyle w:val="ListBullet2"/>
      </w:pPr>
      <w:r w:rsidRPr="00897624">
        <w:t xml:space="preserve">a single employer </w:t>
      </w:r>
      <w:proofErr w:type="gramStart"/>
      <w:r w:rsidRPr="00897624">
        <w:t>model</w:t>
      </w:r>
      <w:proofErr w:type="gramEnd"/>
    </w:p>
    <w:p w14:paraId="28F7356F" w14:textId="32219A40" w:rsidR="009A4A1F" w:rsidRPr="00897624" w:rsidRDefault="00007FD2" w:rsidP="00897624">
      <w:pPr>
        <w:pStyle w:val="ListBullet2"/>
      </w:pPr>
      <w:r w:rsidRPr="00897624">
        <w:t>competitive</w:t>
      </w:r>
      <w:r w:rsidR="009A4A1F" w:rsidRPr="00897624">
        <w:t xml:space="preserve"> salaries</w:t>
      </w:r>
      <w:r w:rsidRPr="00897624">
        <w:t>.</w:t>
      </w:r>
    </w:p>
    <w:p w14:paraId="2EC9AAF6" w14:textId="1CC410F7" w:rsidR="009A4A1F" w:rsidRPr="00B40A7E" w:rsidRDefault="009A4A1F" w:rsidP="007F3969">
      <w:r w:rsidRPr="00B40A7E">
        <w:t xml:space="preserve">The </w:t>
      </w:r>
      <w:r w:rsidR="00007FD2" w:rsidRPr="00B40A7E">
        <w:t>4 Ts</w:t>
      </w:r>
      <w:r w:rsidRPr="00B40A7E">
        <w:t xml:space="preserve"> model provide</w:t>
      </w:r>
      <w:r w:rsidR="00512CD7" w:rsidRPr="00B40A7E">
        <w:t>s</w:t>
      </w:r>
      <w:r w:rsidRPr="00B40A7E">
        <w:t xml:space="preserve"> </w:t>
      </w:r>
      <w:r w:rsidR="000C0B7A" w:rsidRPr="00B40A7E">
        <w:t xml:space="preserve">quality </w:t>
      </w:r>
      <w:r w:rsidRPr="00B40A7E">
        <w:t xml:space="preserve">care </w:t>
      </w:r>
      <w:r w:rsidR="00EF7509" w:rsidRPr="00B40A7E">
        <w:t>that meets</w:t>
      </w:r>
      <w:r w:rsidRPr="00B40A7E">
        <w:t xml:space="preserve"> community needs</w:t>
      </w:r>
      <w:r w:rsidR="000C4F2C">
        <w:t xml:space="preserve"> and is available when it is needed</w:t>
      </w:r>
      <w:r w:rsidRPr="00B40A7E">
        <w:t xml:space="preserve">. </w:t>
      </w:r>
      <w:r w:rsidR="00DA24CE">
        <w:t>The</w:t>
      </w:r>
      <w:r w:rsidR="00DA24CE" w:rsidRPr="00B40A7E">
        <w:t xml:space="preserve"> model</w:t>
      </w:r>
      <w:r w:rsidR="00DA24CE">
        <w:t xml:space="preserve"> has decreased MPS emergency department presentation rates for non-urgent care. It has also decreased MPS hospital readmission rates, while keeping care close to home.</w:t>
      </w:r>
    </w:p>
    <w:p w14:paraId="09B05C5D" w14:textId="727C39CC" w:rsidR="009A4A1F" w:rsidRPr="00897624" w:rsidRDefault="009A4A1F" w:rsidP="007F3969">
      <w:r w:rsidRPr="00B40A7E">
        <w:t xml:space="preserve">The model </w:t>
      </w:r>
      <w:r w:rsidR="000C4F2C">
        <w:t>uses</w:t>
      </w:r>
      <w:r w:rsidR="00D66E62">
        <w:t xml:space="preserve"> some level of state funding</w:t>
      </w:r>
      <w:r w:rsidR="00064EC0">
        <w:t xml:space="preserve"> to cover </w:t>
      </w:r>
      <w:r w:rsidR="00576060">
        <w:t>delivery costs</w:t>
      </w:r>
      <w:r w:rsidR="00D66E62">
        <w:t xml:space="preserve">. </w:t>
      </w:r>
      <w:r w:rsidR="00507808">
        <w:t>O</w:t>
      </w:r>
      <w:r w:rsidR="000C4F2C">
        <w:t>ptimising MBS billing opportunities</w:t>
      </w:r>
      <w:r w:rsidR="00064EC0">
        <w:t xml:space="preserve"> could reduce</w:t>
      </w:r>
      <w:r w:rsidR="000C4F2C">
        <w:t xml:space="preserve"> the need for funding.</w:t>
      </w:r>
      <w:r w:rsidR="00507808">
        <w:t xml:space="preserve"> However, some ongoing state-level financial support </w:t>
      </w:r>
      <w:r w:rsidR="00AD265A">
        <w:t>may</w:t>
      </w:r>
      <w:r w:rsidR="00507808">
        <w:t xml:space="preserve"> still be required.</w:t>
      </w:r>
    </w:p>
    <w:p w14:paraId="4D7250BD" w14:textId="7ACDB84C" w:rsidR="00A27DB9" w:rsidRPr="00A27DB9" w:rsidRDefault="00DA468D" w:rsidP="00897624">
      <w:pPr>
        <w:pStyle w:val="Heading3"/>
      </w:pPr>
      <w:r>
        <w:lastRenderedPageBreak/>
        <w:t>E</w:t>
      </w:r>
      <w:r w:rsidR="00A27DB9" w:rsidRPr="00A27DB9">
        <w:t>nablers</w:t>
      </w:r>
    </w:p>
    <w:p w14:paraId="640607DD" w14:textId="3DFB89EC" w:rsidR="00507808" w:rsidRPr="00897624" w:rsidRDefault="00507808" w:rsidP="00897624">
      <w:r w:rsidRPr="00897624">
        <w:t>The close location of the general practices enables networking and a shared workforce across the communities. It also helps integration with the community and other local health district services (emergency care, inpatient, and aged care services).</w:t>
      </w:r>
      <w:r w:rsidR="002D31A5" w:rsidRPr="00897624">
        <w:t xml:space="preserve"> </w:t>
      </w:r>
    </w:p>
    <w:p w14:paraId="672F2269" w14:textId="75E6F471" w:rsidR="002D31A5" w:rsidRPr="00897624" w:rsidRDefault="00C258DC" w:rsidP="00897624">
      <w:r w:rsidRPr="00897624">
        <w:t>A single employer (WNSWLHD) recruits and retains medical staff, practice nurses, administrative staff, and a single practice manager. The practices operate under a single practice management and human resources system. This helps provide a coordinated, whole-of-healthcare model, across all 4 towns. Additionally, telehealth and virtual care services provides further support and reduces staff burn-out.</w:t>
      </w:r>
    </w:p>
    <w:p w14:paraId="26D0962F" w14:textId="383C8325" w:rsidR="002D31A5" w:rsidRPr="00897624" w:rsidRDefault="00C258DC" w:rsidP="00897624">
      <w:r w:rsidRPr="00897624">
        <w:t xml:space="preserve">Partnerships and collaborative regional governance are important to enable collaboration with community groups to help inform healthcare decisions. </w:t>
      </w:r>
    </w:p>
    <w:p w14:paraId="738057AB" w14:textId="000A92F9" w:rsidR="002A062E" w:rsidRPr="00897624" w:rsidRDefault="00E05427" w:rsidP="00897624">
      <w:r w:rsidRPr="00897624">
        <w:t>Investing time and consulting with community is important to improve their health service literacy. This helps people understand what can realistically be provided in a rural GP service.</w:t>
      </w:r>
    </w:p>
    <w:p w14:paraId="15B3BFB3" w14:textId="70866E69" w:rsidR="00CB0F46" w:rsidRPr="00A27DB9" w:rsidRDefault="00CB0F46" w:rsidP="00897624">
      <w:pPr>
        <w:pStyle w:val="Heading3"/>
      </w:pPr>
      <w:proofErr w:type="gramStart"/>
      <w:r>
        <w:t>Current status</w:t>
      </w:r>
      <w:proofErr w:type="gramEnd"/>
    </w:p>
    <w:p w14:paraId="64079CCC" w14:textId="77777777" w:rsidR="004825DA" w:rsidRPr="00897624" w:rsidRDefault="00CB0F46" w:rsidP="00897624">
      <w:r w:rsidRPr="00897624">
        <w:t xml:space="preserve">The 4Ts model has transitioned to business as usual in WNSW LHD. </w:t>
      </w:r>
    </w:p>
    <w:p w14:paraId="7B00F449" w14:textId="77777777" w:rsidR="004825DA" w:rsidRPr="00897624" w:rsidRDefault="00CB0F46" w:rsidP="00897624">
      <w:r w:rsidRPr="00897624">
        <w:t xml:space="preserve">The clinics have successfully maintained primary care services in four small rural communities with no private GP practices. </w:t>
      </w:r>
    </w:p>
    <w:p w14:paraId="22352D0E" w14:textId="047FF218" w:rsidR="006074CB" w:rsidRPr="00897624" w:rsidRDefault="00CB0F46" w:rsidP="00897624">
      <w:r w:rsidRPr="00897624">
        <w:t xml:space="preserve">These four part-time primary care clinics are operating at an acceptable loss as they try to optimise revenue. </w:t>
      </w:r>
    </w:p>
    <w:p w14:paraId="5D192E68" w14:textId="77777777" w:rsidR="00B61129" w:rsidRPr="00897624" w:rsidRDefault="00A27DB9" w:rsidP="00897624">
      <w:pPr>
        <w:pStyle w:val="Boxheading"/>
      </w:pPr>
      <w:r w:rsidRPr="00897624">
        <w:t xml:space="preserve">More INFORMATION </w:t>
      </w:r>
    </w:p>
    <w:p w14:paraId="2A1635F5" w14:textId="0B14B23C" w:rsidR="00B61129" w:rsidRDefault="00A27DB9" w:rsidP="00B61129">
      <w:pPr>
        <w:pStyle w:val="Boxtype"/>
      </w:pPr>
      <w:r>
        <w:t xml:space="preserve">For more information about the Innovative Models of Care </w:t>
      </w:r>
      <w:r w:rsidR="008C6246">
        <w:t>P</w:t>
      </w:r>
      <w:r>
        <w:t xml:space="preserve">rogram visit </w:t>
      </w:r>
      <w:hyperlink r:id="rId23" w:history="1">
        <w:r w:rsidR="00FA7F62" w:rsidRPr="009608F2">
          <w:rPr>
            <w:rStyle w:val="Hyperlink"/>
          </w:rPr>
          <w:t>health.gov.au/our-work/</w:t>
        </w:r>
        <w:proofErr w:type="spellStart"/>
        <w:r w:rsidR="00FA7F62" w:rsidRPr="009608F2">
          <w:rPr>
            <w:rStyle w:val="Hyperlink"/>
          </w:rPr>
          <w:t>imoc</w:t>
        </w:r>
        <w:proofErr w:type="spellEnd"/>
        <w:r w:rsidR="00FA7F62" w:rsidRPr="009608F2">
          <w:rPr>
            <w:rStyle w:val="Hyperlink"/>
          </w:rPr>
          <w:t>-program</w:t>
        </w:r>
      </w:hyperlink>
      <w:r>
        <w:t>.</w:t>
      </w:r>
      <w:r w:rsidRPr="00A27DB9">
        <w:t xml:space="preserve"> </w:t>
      </w:r>
      <w:r>
        <w:t xml:space="preserve"> </w:t>
      </w:r>
    </w:p>
    <w:sectPr w:rsidR="00B61129" w:rsidSect="00AE0DB9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2D38" w14:textId="77777777" w:rsidR="00D74C0D" w:rsidRDefault="00D74C0D" w:rsidP="006B56BB">
      <w:r>
        <w:separator/>
      </w:r>
    </w:p>
    <w:p w14:paraId="442263B5" w14:textId="77777777" w:rsidR="00D74C0D" w:rsidRDefault="00D74C0D"/>
  </w:endnote>
  <w:endnote w:type="continuationSeparator" w:id="0">
    <w:p w14:paraId="26B5C8E4" w14:textId="77777777" w:rsidR="00D74C0D" w:rsidRDefault="00D74C0D" w:rsidP="006B56BB">
      <w:r>
        <w:continuationSeparator/>
      </w:r>
    </w:p>
    <w:p w14:paraId="26E8AC5F" w14:textId="77777777" w:rsidR="00D74C0D" w:rsidRDefault="00D74C0D"/>
  </w:endnote>
  <w:endnote w:type="continuationNotice" w:id="1">
    <w:p w14:paraId="1B79B693" w14:textId="77777777" w:rsidR="00D74C0D" w:rsidRDefault="00D74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824F" w14:textId="7FACBB2B" w:rsidR="00B53987" w:rsidRPr="00AE0DB9" w:rsidRDefault="00AE0DB9" w:rsidP="00AE0DB9">
    <w:pPr>
      <w:pStyle w:val="Footer"/>
      <w:jc w:val="left"/>
    </w:pPr>
    <w:r>
      <w:t>Department of Health and Aged Care –</w:t>
    </w:r>
    <w:r>
      <w:br/>
      <w:t>4Ts i</w:t>
    </w:r>
    <w:r w:rsidRPr="00FE32D0">
      <w:t>nnovative model of care case study</w:t>
    </w:r>
    <w:sdt>
      <w:sdtPr>
        <w:id w:val="-1889951082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1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C665" w14:textId="11745DF5" w:rsidR="00B53987" w:rsidRDefault="00AA262B" w:rsidP="00A27DB9">
    <w:pPr>
      <w:pStyle w:val="Footer"/>
      <w:jc w:val="left"/>
    </w:pPr>
    <w:r>
      <w:t xml:space="preserve">Department of Health and Aged Care </w:t>
    </w:r>
    <w:r w:rsidR="00B53987">
      <w:t>–</w:t>
    </w:r>
    <w:r w:rsidR="00A27DB9">
      <w:br/>
    </w:r>
    <w:r w:rsidR="005B1313">
      <w:t>4</w:t>
    </w:r>
    <w:r w:rsidR="00185F27">
      <w:t>Ts</w:t>
    </w:r>
    <w:r w:rsidR="008A630C">
      <w:t xml:space="preserve"> </w:t>
    </w:r>
    <w:r w:rsidR="00185F27">
      <w:t>i</w:t>
    </w:r>
    <w:r w:rsidR="00FE32D0" w:rsidRPr="00FE32D0">
      <w:t>nnovative model of care case study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F17D" w14:textId="77777777" w:rsidR="00D74C0D" w:rsidRDefault="00D74C0D" w:rsidP="006B56BB">
      <w:r>
        <w:separator/>
      </w:r>
    </w:p>
    <w:p w14:paraId="468F18E2" w14:textId="77777777" w:rsidR="00D74C0D" w:rsidRDefault="00D74C0D"/>
  </w:footnote>
  <w:footnote w:type="continuationSeparator" w:id="0">
    <w:p w14:paraId="5DDDFCCA" w14:textId="77777777" w:rsidR="00D74C0D" w:rsidRDefault="00D74C0D" w:rsidP="006B56BB">
      <w:r>
        <w:continuationSeparator/>
      </w:r>
    </w:p>
    <w:p w14:paraId="2837BD82" w14:textId="77777777" w:rsidR="00D74C0D" w:rsidRDefault="00D74C0D"/>
  </w:footnote>
  <w:footnote w:type="continuationNotice" w:id="1">
    <w:p w14:paraId="7A96FEF2" w14:textId="77777777" w:rsidR="00D74C0D" w:rsidRDefault="00D74C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3766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D3B6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3778E08F" wp14:editId="69C71ED6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DB7048"/>
    <w:multiLevelType w:val="hybridMultilevel"/>
    <w:tmpl w:val="C598EB06"/>
    <w:lvl w:ilvl="0" w:tplc="01465BF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76355E"/>
    <w:multiLevelType w:val="hybridMultilevel"/>
    <w:tmpl w:val="0F023DF0"/>
    <w:lvl w:ilvl="0" w:tplc="A5DA4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4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CF9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3AB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61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85E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90D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AD9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F289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8AE1A2F"/>
    <w:multiLevelType w:val="hybridMultilevel"/>
    <w:tmpl w:val="76483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992466"/>
    <w:multiLevelType w:val="hybridMultilevel"/>
    <w:tmpl w:val="4FEC7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43364"/>
    <w:multiLevelType w:val="hybridMultilevel"/>
    <w:tmpl w:val="373C6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A5D0A"/>
    <w:multiLevelType w:val="hybridMultilevel"/>
    <w:tmpl w:val="2388A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BC823D3"/>
    <w:multiLevelType w:val="hybridMultilevel"/>
    <w:tmpl w:val="396EA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C5D4D"/>
    <w:multiLevelType w:val="hybridMultilevel"/>
    <w:tmpl w:val="159C6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43EC7F69"/>
    <w:multiLevelType w:val="hybridMultilevel"/>
    <w:tmpl w:val="79728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22F54"/>
    <w:multiLevelType w:val="hybridMultilevel"/>
    <w:tmpl w:val="F1641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D215B9"/>
    <w:multiLevelType w:val="hybridMultilevel"/>
    <w:tmpl w:val="41EA4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C46CE"/>
    <w:multiLevelType w:val="hybridMultilevel"/>
    <w:tmpl w:val="AE66F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66824"/>
    <w:multiLevelType w:val="hybridMultilevel"/>
    <w:tmpl w:val="DB922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C7300"/>
    <w:multiLevelType w:val="hybridMultilevel"/>
    <w:tmpl w:val="156C35E2"/>
    <w:lvl w:ilvl="0" w:tplc="0C0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32" w15:restartNumberingAfterBreak="0">
    <w:nsid w:val="7E391716"/>
    <w:multiLevelType w:val="hybridMultilevel"/>
    <w:tmpl w:val="C3FC5802"/>
    <w:lvl w:ilvl="0" w:tplc="69463320">
      <w:start w:val="1"/>
      <w:numFmt w:val="bullet"/>
      <w:pStyle w:val="ListBullet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7"/>
  </w:num>
  <w:num w:numId="2" w16cid:durableId="1694376784">
    <w:abstractNumId w:val="25"/>
  </w:num>
  <w:num w:numId="3" w16cid:durableId="99111382">
    <w:abstractNumId w:val="30"/>
  </w:num>
  <w:num w:numId="4" w16cid:durableId="1851481786">
    <w:abstractNumId w:val="9"/>
  </w:num>
  <w:num w:numId="5" w16cid:durableId="210196529">
    <w:abstractNumId w:val="9"/>
    <w:lvlOverride w:ilvl="0">
      <w:startOverride w:val="1"/>
    </w:lvlOverride>
  </w:num>
  <w:num w:numId="6" w16cid:durableId="1810857969">
    <w:abstractNumId w:val="12"/>
  </w:num>
  <w:num w:numId="7" w16cid:durableId="1996758693">
    <w:abstractNumId w:val="21"/>
  </w:num>
  <w:num w:numId="8" w16cid:durableId="1674914654">
    <w:abstractNumId w:val="29"/>
  </w:num>
  <w:num w:numId="9" w16cid:durableId="474026350">
    <w:abstractNumId w:val="5"/>
  </w:num>
  <w:num w:numId="10" w16cid:durableId="219294836">
    <w:abstractNumId w:val="4"/>
  </w:num>
  <w:num w:numId="11" w16cid:durableId="1057047598">
    <w:abstractNumId w:val="3"/>
  </w:num>
  <w:num w:numId="12" w16cid:durableId="1872105819">
    <w:abstractNumId w:val="2"/>
  </w:num>
  <w:num w:numId="13" w16cid:durableId="1149253252">
    <w:abstractNumId w:val="6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32"/>
  </w:num>
  <w:num w:numId="17" w16cid:durableId="1161384352">
    <w:abstractNumId w:val="14"/>
  </w:num>
  <w:num w:numId="18" w16cid:durableId="1115442587">
    <w:abstractNumId w:val="16"/>
  </w:num>
  <w:num w:numId="19" w16cid:durableId="913049504">
    <w:abstractNumId w:val="18"/>
  </w:num>
  <w:num w:numId="20" w16cid:durableId="1185171215">
    <w:abstractNumId w:val="14"/>
  </w:num>
  <w:num w:numId="21" w16cid:durableId="1306743019">
    <w:abstractNumId w:val="18"/>
  </w:num>
  <w:num w:numId="22" w16cid:durableId="1809544992">
    <w:abstractNumId w:val="32"/>
  </w:num>
  <w:num w:numId="23" w16cid:durableId="638191149">
    <w:abstractNumId w:val="25"/>
  </w:num>
  <w:num w:numId="24" w16cid:durableId="503975017">
    <w:abstractNumId w:val="30"/>
  </w:num>
  <w:num w:numId="25" w16cid:durableId="215359669">
    <w:abstractNumId w:val="9"/>
  </w:num>
  <w:num w:numId="26" w16cid:durableId="352608886">
    <w:abstractNumId w:val="24"/>
  </w:num>
  <w:num w:numId="27" w16cid:durableId="1992444313">
    <w:abstractNumId w:val="10"/>
  </w:num>
  <w:num w:numId="28" w16cid:durableId="1031733674">
    <w:abstractNumId w:val="17"/>
  </w:num>
  <w:num w:numId="29" w16cid:durableId="1964848717">
    <w:abstractNumId w:val="20"/>
  </w:num>
  <w:num w:numId="30" w16cid:durableId="732236570">
    <w:abstractNumId w:val="13"/>
  </w:num>
  <w:num w:numId="31" w16cid:durableId="1884512921">
    <w:abstractNumId w:val="15"/>
  </w:num>
  <w:num w:numId="32" w16cid:durableId="5445989">
    <w:abstractNumId w:val="31"/>
  </w:num>
  <w:num w:numId="33" w16cid:durableId="1370763806">
    <w:abstractNumId w:val="28"/>
  </w:num>
  <w:num w:numId="34" w16cid:durableId="1080912457">
    <w:abstractNumId w:val="23"/>
  </w:num>
  <w:num w:numId="35" w16cid:durableId="573198173">
    <w:abstractNumId w:val="27"/>
  </w:num>
  <w:num w:numId="36" w16cid:durableId="603197642">
    <w:abstractNumId w:val="26"/>
  </w:num>
  <w:num w:numId="37" w16cid:durableId="1500463256">
    <w:abstractNumId w:val="19"/>
  </w:num>
  <w:num w:numId="38" w16cid:durableId="2044675076">
    <w:abstractNumId w:val="11"/>
  </w:num>
  <w:num w:numId="39" w16cid:durableId="416365069">
    <w:abstractNumId w:val="22"/>
  </w:num>
  <w:num w:numId="40" w16cid:durableId="1862356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9E"/>
    <w:rsid w:val="00003743"/>
    <w:rsid w:val="000047B4"/>
    <w:rsid w:val="00005712"/>
    <w:rsid w:val="00007FD2"/>
    <w:rsid w:val="00007FD8"/>
    <w:rsid w:val="00011193"/>
    <w:rsid w:val="000117F8"/>
    <w:rsid w:val="0001460F"/>
    <w:rsid w:val="00016C47"/>
    <w:rsid w:val="00017C29"/>
    <w:rsid w:val="00022629"/>
    <w:rsid w:val="00026139"/>
    <w:rsid w:val="00027601"/>
    <w:rsid w:val="00033321"/>
    <w:rsid w:val="000338E5"/>
    <w:rsid w:val="00033ECC"/>
    <w:rsid w:val="0003422F"/>
    <w:rsid w:val="00035F32"/>
    <w:rsid w:val="00043DC0"/>
    <w:rsid w:val="000448C3"/>
    <w:rsid w:val="00046FF0"/>
    <w:rsid w:val="00050176"/>
    <w:rsid w:val="00050342"/>
    <w:rsid w:val="00052D33"/>
    <w:rsid w:val="00055E02"/>
    <w:rsid w:val="00064EC0"/>
    <w:rsid w:val="00065841"/>
    <w:rsid w:val="00067456"/>
    <w:rsid w:val="00071506"/>
    <w:rsid w:val="0007154F"/>
    <w:rsid w:val="00081AB1"/>
    <w:rsid w:val="00083A45"/>
    <w:rsid w:val="000873C1"/>
    <w:rsid w:val="00087EA1"/>
    <w:rsid w:val="00090316"/>
    <w:rsid w:val="00093981"/>
    <w:rsid w:val="00097259"/>
    <w:rsid w:val="000B067A"/>
    <w:rsid w:val="000B1540"/>
    <w:rsid w:val="000B1E53"/>
    <w:rsid w:val="000B33FD"/>
    <w:rsid w:val="000B3CAC"/>
    <w:rsid w:val="000B4ABA"/>
    <w:rsid w:val="000B52B5"/>
    <w:rsid w:val="000B52EB"/>
    <w:rsid w:val="000B5E0C"/>
    <w:rsid w:val="000C0B7A"/>
    <w:rsid w:val="000C4B16"/>
    <w:rsid w:val="000C4F2C"/>
    <w:rsid w:val="000C50C3"/>
    <w:rsid w:val="000C5E14"/>
    <w:rsid w:val="000D21F6"/>
    <w:rsid w:val="000D4500"/>
    <w:rsid w:val="000D7AEA"/>
    <w:rsid w:val="000E2C66"/>
    <w:rsid w:val="000F123C"/>
    <w:rsid w:val="000F2FED"/>
    <w:rsid w:val="000F50B0"/>
    <w:rsid w:val="0010452B"/>
    <w:rsid w:val="0010616D"/>
    <w:rsid w:val="00110478"/>
    <w:rsid w:val="00113C97"/>
    <w:rsid w:val="0011711B"/>
    <w:rsid w:val="00117F8A"/>
    <w:rsid w:val="00121B9B"/>
    <w:rsid w:val="00122ADC"/>
    <w:rsid w:val="00130F59"/>
    <w:rsid w:val="00133EC0"/>
    <w:rsid w:val="00137B09"/>
    <w:rsid w:val="00137FF8"/>
    <w:rsid w:val="00141CE5"/>
    <w:rsid w:val="00142733"/>
    <w:rsid w:val="00144908"/>
    <w:rsid w:val="00156D96"/>
    <w:rsid w:val="001571C7"/>
    <w:rsid w:val="00160D01"/>
    <w:rsid w:val="00161094"/>
    <w:rsid w:val="001629BC"/>
    <w:rsid w:val="001653FA"/>
    <w:rsid w:val="0017123B"/>
    <w:rsid w:val="001729AE"/>
    <w:rsid w:val="0017665C"/>
    <w:rsid w:val="00177AD2"/>
    <w:rsid w:val="001815A8"/>
    <w:rsid w:val="001828CF"/>
    <w:rsid w:val="001840FA"/>
    <w:rsid w:val="00185F27"/>
    <w:rsid w:val="00190079"/>
    <w:rsid w:val="00194042"/>
    <w:rsid w:val="0019622E"/>
    <w:rsid w:val="001966A7"/>
    <w:rsid w:val="001A4627"/>
    <w:rsid w:val="001A4979"/>
    <w:rsid w:val="001A4CB0"/>
    <w:rsid w:val="001A7CD8"/>
    <w:rsid w:val="001B15D3"/>
    <w:rsid w:val="001B33D0"/>
    <w:rsid w:val="001B3443"/>
    <w:rsid w:val="001B7192"/>
    <w:rsid w:val="001C0326"/>
    <w:rsid w:val="001C192F"/>
    <w:rsid w:val="001C3C42"/>
    <w:rsid w:val="001D3F78"/>
    <w:rsid w:val="001D685A"/>
    <w:rsid w:val="001D7869"/>
    <w:rsid w:val="0020078F"/>
    <w:rsid w:val="002026CD"/>
    <w:rsid w:val="002033FC"/>
    <w:rsid w:val="002044BB"/>
    <w:rsid w:val="002045C6"/>
    <w:rsid w:val="00210B09"/>
    <w:rsid w:val="00210C9E"/>
    <w:rsid w:val="00211840"/>
    <w:rsid w:val="00214FF2"/>
    <w:rsid w:val="002166B9"/>
    <w:rsid w:val="00217B4C"/>
    <w:rsid w:val="00220E5F"/>
    <w:rsid w:val="002212B5"/>
    <w:rsid w:val="00222D84"/>
    <w:rsid w:val="002232A8"/>
    <w:rsid w:val="00226668"/>
    <w:rsid w:val="0022744B"/>
    <w:rsid w:val="00230EBF"/>
    <w:rsid w:val="00233809"/>
    <w:rsid w:val="00240046"/>
    <w:rsid w:val="00244296"/>
    <w:rsid w:val="00245B72"/>
    <w:rsid w:val="0024797F"/>
    <w:rsid w:val="00247DFD"/>
    <w:rsid w:val="0025119E"/>
    <w:rsid w:val="00251269"/>
    <w:rsid w:val="002535C0"/>
    <w:rsid w:val="002579FE"/>
    <w:rsid w:val="0026311C"/>
    <w:rsid w:val="0026668C"/>
    <w:rsid w:val="00266AA8"/>
    <w:rsid w:val="00266AC1"/>
    <w:rsid w:val="00267590"/>
    <w:rsid w:val="00267AB3"/>
    <w:rsid w:val="0027178C"/>
    <w:rsid w:val="002719FA"/>
    <w:rsid w:val="00272668"/>
    <w:rsid w:val="0027330B"/>
    <w:rsid w:val="002803AD"/>
    <w:rsid w:val="002815B7"/>
    <w:rsid w:val="00282052"/>
    <w:rsid w:val="002831A3"/>
    <w:rsid w:val="0028519E"/>
    <w:rsid w:val="002856A5"/>
    <w:rsid w:val="002872ED"/>
    <w:rsid w:val="002905C2"/>
    <w:rsid w:val="00292C66"/>
    <w:rsid w:val="00294F68"/>
    <w:rsid w:val="00295AF2"/>
    <w:rsid w:val="00295C91"/>
    <w:rsid w:val="00297151"/>
    <w:rsid w:val="00297269"/>
    <w:rsid w:val="002A062E"/>
    <w:rsid w:val="002A1AE2"/>
    <w:rsid w:val="002A714B"/>
    <w:rsid w:val="002A7CAB"/>
    <w:rsid w:val="002B1059"/>
    <w:rsid w:val="002B20E6"/>
    <w:rsid w:val="002B42A3"/>
    <w:rsid w:val="002C0CDD"/>
    <w:rsid w:val="002C38C4"/>
    <w:rsid w:val="002D03A9"/>
    <w:rsid w:val="002D31A5"/>
    <w:rsid w:val="002E1A1D"/>
    <w:rsid w:val="002E4081"/>
    <w:rsid w:val="002E5B78"/>
    <w:rsid w:val="002F3AE3"/>
    <w:rsid w:val="00300D9E"/>
    <w:rsid w:val="0030464B"/>
    <w:rsid w:val="0030786C"/>
    <w:rsid w:val="00307904"/>
    <w:rsid w:val="00320E25"/>
    <w:rsid w:val="003233DE"/>
    <w:rsid w:val="0032466B"/>
    <w:rsid w:val="00332BF8"/>
    <w:rsid w:val="003330EB"/>
    <w:rsid w:val="00333A97"/>
    <w:rsid w:val="0033519C"/>
    <w:rsid w:val="0033633D"/>
    <w:rsid w:val="003415FD"/>
    <w:rsid w:val="003429F0"/>
    <w:rsid w:val="00345A82"/>
    <w:rsid w:val="0035097A"/>
    <w:rsid w:val="003523E9"/>
    <w:rsid w:val="003540A4"/>
    <w:rsid w:val="00356CA0"/>
    <w:rsid w:val="00357BCC"/>
    <w:rsid w:val="00360E4E"/>
    <w:rsid w:val="00370AAA"/>
    <w:rsid w:val="00375F77"/>
    <w:rsid w:val="0037655D"/>
    <w:rsid w:val="003809A7"/>
    <w:rsid w:val="00381BBE"/>
    <w:rsid w:val="00382903"/>
    <w:rsid w:val="003846FF"/>
    <w:rsid w:val="003857D4"/>
    <w:rsid w:val="00385AD4"/>
    <w:rsid w:val="003878F7"/>
    <w:rsid w:val="00387924"/>
    <w:rsid w:val="0039384D"/>
    <w:rsid w:val="00395C23"/>
    <w:rsid w:val="003A2E4F"/>
    <w:rsid w:val="003A2F5A"/>
    <w:rsid w:val="003A4438"/>
    <w:rsid w:val="003A5013"/>
    <w:rsid w:val="003A5078"/>
    <w:rsid w:val="003A62DD"/>
    <w:rsid w:val="003A775A"/>
    <w:rsid w:val="003B0314"/>
    <w:rsid w:val="003B213A"/>
    <w:rsid w:val="003B43AD"/>
    <w:rsid w:val="003B4CB3"/>
    <w:rsid w:val="003C0FEC"/>
    <w:rsid w:val="003C15EB"/>
    <w:rsid w:val="003C2AC8"/>
    <w:rsid w:val="003D033A"/>
    <w:rsid w:val="003D17F9"/>
    <w:rsid w:val="003D2CB8"/>
    <w:rsid w:val="003D2D88"/>
    <w:rsid w:val="003D41EA"/>
    <w:rsid w:val="003D4850"/>
    <w:rsid w:val="003D535A"/>
    <w:rsid w:val="003D62C7"/>
    <w:rsid w:val="003E5265"/>
    <w:rsid w:val="003E65E9"/>
    <w:rsid w:val="003E6A9D"/>
    <w:rsid w:val="003F0955"/>
    <w:rsid w:val="003F5F4D"/>
    <w:rsid w:val="003F646F"/>
    <w:rsid w:val="00400F00"/>
    <w:rsid w:val="00404F8B"/>
    <w:rsid w:val="00405256"/>
    <w:rsid w:val="004077DF"/>
    <w:rsid w:val="00410031"/>
    <w:rsid w:val="00414328"/>
    <w:rsid w:val="00415C81"/>
    <w:rsid w:val="00416422"/>
    <w:rsid w:val="00420B70"/>
    <w:rsid w:val="00421117"/>
    <w:rsid w:val="00432378"/>
    <w:rsid w:val="00434382"/>
    <w:rsid w:val="004406CF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47FA"/>
    <w:rsid w:val="004825DA"/>
    <w:rsid w:val="0048593C"/>
    <w:rsid w:val="004867E2"/>
    <w:rsid w:val="004929A9"/>
    <w:rsid w:val="004A5AF9"/>
    <w:rsid w:val="004A78D9"/>
    <w:rsid w:val="004B2A24"/>
    <w:rsid w:val="004B5B07"/>
    <w:rsid w:val="004B6917"/>
    <w:rsid w:val="004C6BCF"/>
    <w:rsid w:val="004C79D6"/>
    <w:rsid w:val="004D58BF"/>
    <w:rsid w:val="004E0CDC"/>
    <w:rsid w:val="004E204A"/>
    <w:rsid w:val="004E4335"/>
    <w:rsid w:val="004E70B9"/>
    <w:rsid w:val="004F13EE"/>
    <w:rsid w:val="004F2022"/>
    <w:rsid w:val="004F7C05"/>
    <w:rsid w:val="00500A3E"/>
    <w:rsid w:val="00501853"/>
    <w:rsid w:val="00501C94"/>
    <w:rsid w:val="00506432"/>
    <w:rsid w:val="00506E82"/>
    <w:rsid w:val="00507808"/>
    <w:rsid w:val="00512CD7"/>
    <w:rsid w:val="0051465B"/>
    <w:rsid w:val="0052051D"/>
    <w:rsid w:val="0052403F"/>
    <w:rsid w:val="00541441"/>
    <w:rsid w:val="00545EE6"/>
    <w:rsid w:val="00546D70"/>
    <w:rsid w:val="005550E7"/>
    <w:rsid w:val="005564FB"/>
    <w:rsid w:val="005568D3"/>
    <w:rsid w:val="005572C7"/>
    <w:rsid w:val="005650ED"/>
    <w:rsid w:val="00570D37"/>
    <w:rsid w:val="0057257A"/>
    <w:rsid w:val="00575754"/>
    <w:rsid w:val="00576060"/>
    <w:rsid w:val="00576B6A"/>
    <w:rsid w:val="00577A52"/>
    <w:rsid w:val="00581FBA"/>
    <w:rsid w:val="00582D62"/>
    <w:rsid w:val="00591E20"/>
    <w:rsid w:val="00595408"/>
    <w:rsid w:val="00595E84"/>
    <w:rsid w:val="005A0C59"/>
    <w:rsid w:val="005A308D"/>
    <w:rsid w:val="005A48EB"/>
    <w:rsid w:val="005A6CFB"/>
    <w:rsid w:val="005B1313"/>
    <w:rsid w:val="005C5AEB"/>
    <w:rsid w:val="005D247E"/>
    <w:rsid w:val="005E0A3F"/>
    <w:rsid w:val="005E3265"/>
    <w:rsid w:val="005E4450"/>
    <w:rsid w:val="005E6883"/>
    <w:rsid w:val="005E7550"/>
    <w:rsid w:val="005E772F"/>
    <w:rsid w:val="005E7855"/>
    <w:rsid w:val="005F4ECA"/>
    <w:rsid w:val="006009BC"/>
    <w:rsid w:val="006041BE"/>
    <w:rsid w:val="0060437F"/>
    <w:rsid w:val="006043C7"/>
    <w:rsid w:val="006074CB"/>
    <w:rsid w:val="006176D5"/>
    <w:rsid w:val="0062192A"/>
    <w:rsid w:val="00624B52"/>
    <w:rsid w:val="00630794"/>
    <w:rsid w:val="00631DF4"/>
    <w:rsid w:val="006321E7"/>
    <w:rsid w:val="00634175"/>
    <w:rsid w:val="006401D3"/>
    <w:rsid w:val="006408AC"/>
    <w:rsid w:val="0064183D"/>
    <w:rsid w:val="006511B6"/>
    <w:rsid w:val="00657FF8"/>
    <w:rsid w:val="00660440"/>
    <w:rsid w:val="00663824"/>
    <w:rsid w:val="00670D99"/>
    <w:rsid w:val="00670E2B"/>
    <w:rsid w:val="006734BB"/>
    <w:rsid w:val="0067697A"/>
    <w:rsid w:val="00680E60"/>
    <w:rsid w:val="006821EB"/>
    <w:rsid w:val="0068337B"/>
    <w:rsid w:val="00694B3C"/>
    <w:rsid w:val="00696721"/>
    <w:rsid w:val="006A080F"/>
    <w:rsid w:val="006B2286"/>
    <w:rsid w:val="006B56BB"/>
    <w:rsid w:val="006C77A8"/>
    <w:rsid w:val="006D4098"/>
    <w:rsid w:val="006D7681"/>
    <w:rsid w:val="006D7B2E"/>
    <w:rsid w:val="006E02EA"/>
    <w:rsid w:val="006E04B0"/>
    <w:rsid w:val="006E0968"/>
    <w:rsid w:val="006E2AF6"/>
    <w:rsid w:val="006E6BF1"/>
    <w:rsid w:val="006F020B"/>
    <w:rsid w:val="00701275"/>
    <w:rsid w:val="00707F56"/>
    <w:rsid w:val="00713558"/>
    <w:rsid w:val="007163B6"/>
    <w:rsid w:val="00720D08"/>
    <w:rsid w:val="00721C55"/>
    <w:rsid w:val="007263B9"/>
    <w:rsid w:val="007334F8"/>
    <w:rsid w:val="007339CD"/>
    <w:rsid w:val="007359D8"/>
    <w:rsid w:val="007362D4"/>
    <w:rsid w:val="00755BAC"/>
    <w:rsid w:val="0076655C"/>
    <w:rsid w:val="0076672A"/>
    <w:rsid w:val="00767F5B"/>
    <w:rsid w:val="00775E45"/>
    <w:rsid w:val="00776767"/>
    <w:rsid w:val="00776E74"/>
    <w:rsid w:val="00785169"/>
    <w:rsid w:val="007868B7"/>
    <w:rsid w:val="007936BC"/>
    <w:rsid w:val="007954AB"/>
    <w:rsid w:val="00797352"/>
    <w:rsid w:val="007A14C5"/>
    <w:rsid w:val="007A4A10"/>
    <w:rsid w:val="007A4A53"/>
    <w:rsid w:val="007B1760"/>
    <w:rsid w:val="007C1FDC"/>
    <w:rsid w:val="007C49DB"/>
    <w:rsid w:val="007C4A11"/>
    <w:rsid w:val="007C5B40"/>
    <w:rsid w:val="007C6D9C"/>
    <w:rsid w:val="007C7DDB"/>
    <w:rsid w:val="007D2CC7"/>
    <w:rsid w:val="007D511E"/>
    <w:rsid w:val="007D673D"/>
    <w:rsid w:val="007E0FB8"/>
    <w:rsid w:val="007E4D09"/>
    <w:rsid w:val="007E7627"/>
    <w:rsid w:val="007F2220"/>
    <w:rsid w:val="007F37B9"/>
    <w:rsid w:val="007F3908"/>
    <w:rsid w:val="007F3969"/>
    <w:rsid w:val="007F4B3E"/>
    <w:rsid w:val="0080080C"/>
    <w:rsid w:val="008127AF"/>
    <w:rsid w:val="00812B46"/>
    <w:rsid w:val="00815700"/>
    <w:rsid w:val="0081580F"/>
    <w:rsid w:val="00816575"/>
    <w:rsid w:val="008222F8"/>
    <w:rsid w:val="00825AF4"/>
    <w:rsid w:val="008264EB"/>
    <w:rsid w:val="00826B8F"/>
    <w:rsid w:val="00831E8A"/>
    <w:rsid w:val="00835C76"/>
    <w:rsid w:val="008376E2"/>
    <w:rsid w:val="00840017"/>
    <w:rsid w:val="0084012A"/>
    <w:rsid w:val="00843049"/>
    <w:rsid w:val="0085209B"/>
    <w:rsid w:val="0085496D"/>
    <w:rsid w:val="0085698B"/>
    <w:rsid w:val="00856B66"/>
    <w:rsid w:val="008601AC"/>
    <w:rsid w:val="00861A5F"/>
    <w:rsid w:val="008644AD"/>
    <w:rsid w:val="00865735"/>
    <w:rsid w:val="00865DDB"/>
    <w:rsid w:val="00867538"/>
    <w:rsid w:val="00871F39"/>
    <w:rsid w:val="008729A6"/>
    <w:rsid w:val="00873D90"/>
    <w:rsid w:val="00873FC8"/>
    <w:rsid w:val="00875F1A"/>
    <w:rsid w:val="00884C63"/>
    <w:rsid w:val="00885908"/>
    <w:rsid w:val="00886377"/>
    <w:rsid w:val="008864B7"/>
    <w:rsid w:val="00886D7D"/>
    <w:rsid w:val="0089677E"/>
    <w:rsid w:val="00897624"/>
    <w:rsid w:val="008A630C"/>
    <w:rsid w:val="008A7438"/>
    <w:rsid w:val="008B1334"/>
    <w:rsid w:val="008B25C7"/>
    <w:rsid w:val="008B4C7F"/>
    <w:rsid w:val="008C0278"/>
    <w:rsid w:val="008C24E9"/>
    <w:rsid w:val="008C6246"/>
    <w:rsid w:val="008D0533"/>
    <w:rsid w:val="008D2F50"/>
    <w:rsid w:val="008D42CB"/>
    <w:rsid w:val="008D48C9"/>
    <w:rsid w:val="008D6381"/>
    <w:rsid w:val="008E0C77"/>
    <w:rsid w:val="008E625F"/>
    <w:rsid w:val="008F264D"/>
    <w:rsid w:val="008F5674"/>
    <w:rsid w:val="00902AF8"/>
    <w:rsid w:val="009040E9"/>
    <w:rsid w:val="00904682"/>
    <w:rsid w:val="00905298"/>
    <w:rsid w:val="009066BD"/>
    <w:rsid w:val="009074E1"/>
    <w:rsid w:val="009112F7"/>
    <w:rsid w:val="00911821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190E"/>
    <w:rsid w:val="00945E7F"/>
    <w:rsid w:val="009557C1"/>
    <w:rsid w:val="00957B7B"/>
    <w:rsid w:val="0096063B"/>
    <w:rsid w:val="00960D6E"/>
    <w:rsid w:val="00971BB9"/>
    <w:rsid w:val="00974B59"/>
    <w:rsid w:val="0098340B"/>
    <w:rsid w:val="00986830"/>
    <w:rsid w:val="009924C3"/>
    <w:rsid w:val="00993102"/>
    <w:rsid w:val="00995E2C"/>
    <w:rsid w:val="009A4A1F"/>
    <w:rsid w:val="009B1010"/>
    <w:rsid w:val="009B1570"/>
    <w:rsid w:val="009C6F10"/>
    <w:rsid w:val="009D148F"/>
    <w:rsid w:val="009D3D70"/>
    <w:rsid w:val="009D6E31"/>
    <w:rsid w:val="009E19A1"/>
    <w:rsid w:val="009E5D87"/>
    <w:rsid w:val="009E6F7E"/>
    <w:rsid w:val="009E7A57"/>
    <w:rsid w:val="009F4803"/>
    <w:rsid w:val="009F4F6A"/>
    <w:rsid w:val="00A101C5"/>
    <w:rsid w:val="00A13EB5"/>
    <w:rsid w:val="00A16C0C"/>
    <w:rsid w:val="00A16E36"/>
    <w:rsid w:val="00A207A3"/>
    <w:rsid w:val="00A24961"/>
    <w:rsid w:val="00A24B10"/>
    <w:rsid w:val="00A277EF"/>
    <w:rsid w:val="00A27DB9"/>
    <w:rsid w:val="00A30E9B"/>
    <w:rsid w:val="00A322A4"/>
    <w:rsid w:val="00A41FC3"/>
    <w:rsid w:val="00A4512D"/>
    <w:rsid w:val="00A4667E"/>
    <w:rsid w:val="00A50244"/>
    <w:rsid w:val="00A627D7"/>
    <w:rsid w:val="00A656C7"/>
    <w:rsid w:val="00A705AF"/>
    <w:rsid w:val="00A719F6"/>
    <w:rsid w:val="00A72454"/>
    <w:rsid w:val="00A77696"/>
    <w:rsid w:val="00A80557"/>
    <w:rsid w:val="00A8158E"/>
    <w:rsid w:val="00A81D33"/>
    <w:rsid w:val="00A8341C"/>
    <w:rsid w:val="00A930AE"/>
    <w:rsid w:val="00AA05F5"/>
    <w:rsid w:val="00AA1A95"/>
    <w:rsid w:val="00AA260F"/>
    <w:rsid w:val="00AA262B"/>
    <w:rsid w:val="00AA2932"/>
    <w:rsid w:val="00AA43DE"/>
    <w:rsid w:val="00AA6C7C"/>
    <w:rsid w:val="00AA77EB"/>
    <w:rsid w:val="00AB1EE7"/>
    <w:rsid w:val="00AB2F2C"/>
    <w:rsid w:val="00AB3886"/>
    <w:rsid w:val="00AB4B37"/>
    <w:rsid w:val="00AB5762"/>
    <w:rsid w:val="00AB5A2E"/>
    <w:rsid w:val="00AC2679"/>
    <w:rsid w:val="00AC297C"/>
    <w:rsid w:val="00AC2E00"/>
    <w:rsid w:val="00AC4BE4"/>
    <w:rsid w:val="00AC4D0E"/>
    <w:rsid w:val="00AD02A0"/>
    <w:rsid w:val="00AD05E6"/>
    <w:rsid w:val="00AD0D3F"/>
    <w:rsid w:val="00AD265A"/>
    <w:rsid w:val="00AD4136"/>
    <w:rsid w:val="00AE0DB9"/>
    <w:rsid w:val="00AE1D7D"/>
    <w:rsid w:val="00AE2A8B"/>
    <w:rsid w:val="00AE3DCB"/>
    <w:rsid w:val="00AE3F64"/>
    <w:rsid w:val="00AE6722"/>
    <w:rsid w:val="00AE6B6A"/>
    <w:rsid w:val="00AF06A4"/>
    <w:rsid w:val="00AF3555"/>
    <w:rsid w:val="00AF7386"/>
    <w:rsid w:val="00AF7934"/>
    <w:rsid w:val="00B00B81"/>
    <w:rsid w:val="00B04580"/>
    <w:rsid w:val="00B04B09"/>
    <w:rsid w:val="00B136D1"/>
    <w:rsid w:val="00B14BC0"/>
    <w:rsid w:val="00B15ED8"/>
    <w:rsid w:val="00B16A51"/>
    <w:rsid w:val="00B31E52"/>
    <w:rsid w:val="00B32222"/>
    <w:rsid w:val="00B3618D"/>
    <w:rsid w:val="00B36233"/>
    <w:rsid w:val="00B40A7E"/>
    <w:rsid w:val="00B42851"/>
    <w:rsid w:val="00B4437D"/>
    <w:rsid w:val="00B45AC7"/>
    <w:rsid w:val="00B5372F"/>
    <w:rsid w:val="00B53987"/>
    <w:rsid w:val="00B61129"/>
    <w:rsid w:val="00B661E5"/>
    <w:rsid w:val="00B676CA"/>
    <w:rsid w:val="00B67E7F"/>
    <w:rsid w:val="00B839B2"/>
    <w:rsid w:val="00B94252"/>
    <w:rsid w:val="00B96381"/>
    <w:rsid w:val="00B9715A"/>
    <w:rsid w:val="00BA050C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00D4"/>
    <w:rsid w:val="00BC4A19"/>
    <w:rsid w:val="00BC4E6D"/>
    <w:rsid w:val="00BD0617"/>
    <w:rsid w:val="00BD2E9B"/>
    <w:rsid w:val="00BD7FB2"/>
    <w:rsid w:val="00BE0D1A"/>
    <w:rsid w:val="00C00930"/>
    <w:rsid w:val="00C060AD"/>
    <w:rsid w:val="00C1052C"/>
    <w:rsid w:val="00C113BF"/>
    <w:rsid w:val="00C20EE3"/>
    <w:rsid w:val="00C2176E"/>
    <w:rsid w:val="00C23430"/>
    <w:rsid w:val="00C24D99"/>
    <w:rsid w:val="00C258DC"/>
    <w:rsid w:val="00C27D67"/>
    <w:rsid w:val="00C44649"/>
    <w:rsid w:val="00C45750"/>
    <w:rsid w:val="00C4631F"/>
    <w:rsid w:val="00C47CDE"/>
    <w:rsid w:val="00C50E16"/>
    <w:rsid w:val="00C55258"/>
    <w:rsid w:val="00C578EC"/>
    <w:rsid w:val="00C64CE2"/>
    <w:rsid w:val="00C7518A"/>
    <w:rsid w:val="00C82EEB"/>
    <w:rsid w:val="00C971DC"/>
    <w:rsid w:val="00CA16B7"/>
    <w:rsid w:val="00CA62AE"/>
    <w:rsid w:val="00CB0F46"/>
    <w:rsid w:val="00CB5B1A"/>
    <w:rsid w:val="00CC220B"/>
    <w:rsid w:val="00CC37B3"/>
    <w:rsid w:val="00CC4AC0"/>
    <w:rsid w:val="00CC5C43"/>
    <w:rsid w:val="00CD02AE"/>
    <w:rsid w:val="00CD2A4F"/>
    <w:rsid w:val="00CD6B05"/>
    <w:rsid w:val="00CE03CA"/>
    <w:rsid w:val="00CE22F1"/>
    <w:rsid w:val="00CE50F2"/>
    <w:rsid w:val="00CE6502"/>
    <w:rsid w:val="00CF2970"/>
    <w:rsid w:val="00CF7D3C"/>
    <w:rsid w:val="00D01F09"/>
    <w:rsid w:val="00D048B1"/>
    <w:rsid w:val="00D147EB"/>
    <w:rsid w:val="00D21369"/>
    <w:rsid w:val="00D26A8F"/>
    <w:rsid w:val="00D30FB0"/>
    <w:rsid w:val="00D34667"/>
    <w:rsid w:val="00D3716D"/>
    <w:rsid w:val="00D401E1"/>
    <w:rsid w:val="00D408B4"/>
    <w:rsid w:val="00D43E41"/>
    <w:rsid w:val="00D50DE2"/>
    <w:rsid w:val="00D50EF3"/>
    <w:rsid w:val="00D524C8"/>
    <w:rsid w:val="00D52AED"/>
    <w:rsid w:val="00D6159F"/>
    <w:rsid w:val="00D65099"/>
    <w:rsid w:val="00D66E62"/>
    <w:rsid w:val="00D70E24"/>
    <w:rsid w:val="00D72061"/>
    <w:rsid w:val="00D72B61"/>
    <w:rsid w:val="00D74C0D"/>
    <w:rsid w:val="00D75AAA"/>
    <w:rsid w:val="00D8421D"/>
    <w:rsid w:val="00D87AE1"/>
    <w:rsid w:val="00DA24CE"/>
    <w:rsid w:val="00DA3D1D"/>
    <w:rsid w:val="00DA468D"/>
    <w:rsid w:val="00DB6286"/>
    <w:rsid w:val="00DB645F"/>
    <w:rsid w:val="00DB76E9"/>
    <w:rsid w:val="00DC0A67"/>
    <w:rsid w:val="00DC17C6"/>
    <w:rsid w:val="00DC1D5E"/>
    <w:rsid w:val="00DC3366"/>
    <w:rsid w:val="00DC5220"/>
    <w:rsid w:val="00DD2061"/>
    <w:rsid w:val="00DD7DAB"/>
    <w:rsid w:val="00DE3355"/>
    <w:rsid w:val="00DF0C60"/>
    <w:rsid w:val="00DF3052"/>
    <w:rsid w:val="00DF486F"/>
    <w:rsid w:val="00DF5B5B"/>
    <w:rsid w:val="00DF7619"/>
    <w:rsid w:val="00E042D8"/>
    <w:rsid w:val="00E05427"/>
    <w:rsid w:val="00E07EE7"/>
    <w:rsid w:val="00E1103B"/>
    <w:rsid w:val="00E17B44"/>
    <w:rsid w:val="00E20F27"/>
    <w:rsid w:val="00E222EA"/>
    <w:rsid w:val="00E22443"/>
    <w:rsid w:val="00E25B1F"/>
    <w:rsid w:val="00E265DF"/>
    <w:rsid w:val="00E27EBE"/>
    <w:rsid w:val="00E27FEA"/>
    <w:rsid w:val="00E31458"/>
    <w:rsid w:val="00E35BD4"/>
    <w:rsid w:val="00E37AC7"/>
    <w:rsid w:val="00E37E70"/>
    <w:rsid w:val="00E4086F"/>
    <w:rsid w:val="00E42BCE"/>
    <w:rsid w:val="00E430F0"/>
    <w:rsid w:val="00E434C6"/>
    <w:rsid w:val="00E43B3C"/>
    <w:rsid w:val="00E50188"/>
    <w:rsid w:val="00E501A3"/>
    <w:rsid w:val="00E50BB3"/>
    <w:rsid w:val="00E513FB"/>
    <w:rsid w:val="00E515CB"/>
    <w:rsid w:val="00E52260"/>
    <w:rsid w:val="00E639B6"/>
    <w:rsid w:val="00E6434B"/>
    <w:rsid w:val="00E6463D"/>
    <w:rsid w:val="00E67C2B"/>
    <w:rsid w:val="00E72E9B"/>
    <w:rsid w:val="00E80EAE"/>
    <w:rsid w:val="00E81B9E"/>
    <w:rsid w:val="00E850C3"/>
    <w:rsid w:val="00E87DF2"/>
    <w:rsid w:val="00E91806"/>
    <w:rsid w:val="00E9462E"/>
    <w:rsid w:val="00EA470E"/>
    <w:rsid w:val="00EA47A7"/>
    <w:rsid w:val="00EA57EB"/>
    <w:rsid w:val="00EB3226"/>
    <w:rsid w:val="00EB52C6"/>
    <w:rsid w:val="00EC213A"/>
    <w:rsid w:val="00EC7744"/>
    <w:rsid w:val="00ED0499"/>
    <w:rsid w:val="00ED0DAD"/>
    <w:rsid w:val="00ED0F46"/>
    <w:rsid w:val="00ED2373"/>
    <w:rsid w:val="00EE0E91"/>
    <w:rsid w:val="00EE3E8A"/>
    <w:rsid w:val="00EE58AA"/>
    <w:rsid w:val="00EF372C"/>
    <w:rsid w:val="00EF58B8"/>
    <w:rsid w:val="00EF6ECA"/>
    <w:rsid w:val="00EF7509"/>
    <w:rsid w:val="00F024E1"/>
    <w:rsid w:val="00F0581A"/>
    <w:rsid w:val="00F06C10"/>
    <w:rsid w:val="00F1096F"/>
    <w:rsid w:val="00F12589"/>
    <w:rsid w:val="00F12595"/>
    <w:rsid w:val="00F134D9"/>
    <w:rsid w:val="00F134EE"/>
    <w:rsid w:val="00F1403D"/>
    <w:rsid w:val="00F1463F"/>
    <w:rsid w:val="00F21302"/>
    <w:rsid w:val="00F2430D"/>
    <w:rsid w:val="00F321DE"/>
    <w:rsid w:val="00F33777"/>
    <w:rsid w:val="00F40648"/>
    <w:rsid w:val="00F47526"/>
    <w:rsid w:val="00F47DA2"/>
    <w:rsid w:val="00F519FC"/>
    <w:rsid w:val="00F61FAE"/>
    <w:rsid w:val="00F6239D"/>
    <w:rsid w:val="00F64487"/>
    <w:rsid w:val="00F666CB"/>
    <w:rsid w:val="00F71266"/>
    <w:rsid w:val="00F715D2"/>
    <w:rsid w:val="00F7274F"/>
    <w:rsid w:val="00F74E84"/>
    <w:rsid w:val="00F76FA8"/>
    <w:rsid w:val="00F919E4"/>
    <w:rsid w:val="00F93F08"/>
    <w:rsid w:val="00F94CED"/>
    <w:rsid w:val="00FA02BB"/>
    <w:rsid w:val="00FA2CEE"/>
    <w:rsid w:val="00FA318C"/>
    <w:rsid w:val="00FA547E"/>
    <w:rsid w:val="00FA7F62"/>
    <w:rsid w:val="00FB0E34"/>
    <w:rsid w:val="00FB6F92"/>
    <w:rsid w:val="00FC026E"/>
    <w:rsid w:val="00FC5124"/>
    <w:rsid w:val="00FD4731"/>
    <w:rsid w:val="00FD576C"/>
    <w:rsid w:val="00FD5909"/>
    <w:rsid w:val="00FD66EE"/>
    <w:rsid w:val="00FD6768"/>
    <w:rsid w:val="00FE32D0"/>
    <w:rsid w:val="00FF0AB0"/>
    <w:rsid w:val="00FF119F"/>
    <w:rsid w:val="00FF1A0D"/>
    <w:rsid w:val="00FF28AC"/>
    <w:rsid w:val="00FF7394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29D9E2"/>
  <w15:docId w15:val="{07A3529C-4242-42F8-BEB5-A3C92A67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1010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97624"/>
    <w:pPr>
      <w:spacing w:line="240" w:lineRule="auto"/>
      <w:outlineLvl w:val="0"/>
    </w:pPr>
    <w:rPr>
      <w:rFonts w:cs="Arial"/>
      <w:bCs/>
      <w:color w:val="3F4A75" w:themeColor="text2"/>
      <w:sz w:val="44"/>
      <w:szCs w:val="26"/>
    </w:rPr>
  </w:style>
  <w:style w:type="paragraph" w:styleId="Heading2">
    <w:name w:val="heading 2"/>
    <w:basedOn w:val="Normal"/>
    <w:next w:val="Normal"/>
    <w:qFormat/>
    <w:rsid w:val="00897624"/>
    <w:pPr>
      <w:spacing w:line="240" w:lineRule="auto"/>
      <w:outlineLvl w:val="1"/>
    </w:pPr>
    <w:rPr>
      <w:rFonts w:eastAsiaTheme="majorEastAsia" w:cstheme="majorBidi"/>
      <w:b/>
      <w:color w:val="3F4A75"/>
      <w:kern w:val="28"/>
      <w:sz w:val="44"/>
      <w:szCs w:val="48"/>
    </w:rPr>
  </w:style>
  <w:style w:type="paragraph" w:styleId="Heading3">
    <w:name w:val="heading 3"/>
    <w:next w:val="Normal"/>
    <w:qFormat/>
    <w:rsid w:val="00897624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basedOn w:val="Heading2"/>
    <w:next w:val="Normal"/>
    <w:link w:val="SubtitleChar"/>
    <w:qFormat/>
    <w:rsid w:val="00897624"/>
  </w:style>
  <w:style w:type="character" w:customStyle="1" w:styleId="SubtitleChar">
    <w:name w:val="Subtitle Char"/>
    <w:basedOn w:val="DefaultParagraphFont"/>
    <w:link w:val="Subtitle"/>
    <w:rsid w:val="00897624"/>
    <w:rPr>
      <w:rFonts w:ascii="Arial" w:eastAsiaTheme="majorEastAsia" w:hAnsi="Arial" w:cstheme="majorBidi"/>
      <w:b/>
      <w:color w:val="3F4A75"/>
      <w:kern w:val="28"/>
      <w:sz w:val="44"/>
      <w:szCs w:val="48"/>
      <w:lang w:eastAsia="en-US"/>
    </w:rPr>
  </w:style>
  <w:style w:type="paragraph" w:styleId="Title">
    <w:name w:val="Title"/>
    <w:next w:val="Normal"/>
    <w:link w:val="TitleChar"/>
    <w:qFormat/>
    <w:rsid w:val="00A322A4"/>
    <w:rPr>
      <w:rFonts w:ascii="Arial" w:hAnsi="Arial" w:cs="Arial"/>
      <w:b/>
      <w:bCs/>
      <w:color w:val="358189" w:themeColor="accent2"/>
      <w:sz w:val="32"/>
      <w:szCs w:val="26"/>
      <w:lang w:eastAsia="en-US"/>
    </w:rPr>
  </w:style>
  <w:style w:type="character" w:customStyle="1" w:styleId="TitleChar">
    <w:name w:val="Title Char"/>
    <w:basedOn w:val="DefaultParagraphFont"/>
    <w:link w:val="Title"/>
    <w:rsid w:val="00A322A4"/>
    <w:rPr>
      <w:rFonts w:ascii="Arial" w:hAnsi="Arial" w:cs="Arial"/>
      <w:b/>
      <w:bCs/>
      <w:color w:val="358189" w:themeColor="accent2"/>
      <w:sz w:val="32"/>
      <w:szCs w:val="26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897624"/>
    <w:pPr>
      <w:numPr>
        <w:numId w:val="22"/>
      </w:numPr>
      <w:ind w:left="641" w:hanging="357"/>
    </w:pPr>
    <w:rPr>
      <w:sz w:val="22"/>
    </w:r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897624"/>
    <w:pPr>
      <w:numPr>
        <w:numId w:val="20"/>
      </w:numPr>
      <w:tabs>
        <w:tab w:val="left" w:pos="340"/>
        <w:tab w:val="left" w:pos="680"/>
      </w:tabs>
      <w:spacing w:before="60" w:after="60"/>
    </w:pPr>
    <w:rPr>
      <w:sz w:val="20"/>
    </w:r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9B1010"/>
    <w:pPr>
      <w:spacing w:before="60" w:after="60"/>
    </w:pPr>
    <w:rPr>
      <w:rFonts w:ascii="Arial" w:hAnsi="Arial"/>
      <w:color w:val="000000" w:themeColor="text1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9B1010"/>
    <w:pPr>
      <w:spacing w:before="80" w:after="80"/>
    </w:pPr>
    <w:rPr>
      <w:rFonts w:eastAsia="Cambria"/>
      <w:b/>
      <w:color w:val="FFFFFF" w:themeColor="background1"/>
      <w:sz w:val="20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9B1010"/>
    <w:pPr>
      <w:numPr>
        <w:numId w:val="24"/>
      </w:numPr>
      <w:spacing w:before="0" w:after="0"/>
      <w:ind w:left="357" w:hanging="357"/>
      <w:contextualSpacing/>
    </w:pPr>
    <w:rPr>
      <w:sz w:val="20"/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27D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7B4C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26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6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65DF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5DF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ww.health.gov.au/our-work/imoc-program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2.svg"/><Relationship Id="rId27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B348CD5327D214F8E60E8D7EB332B4E" ma:contentTypeVersion="" ma:contentTypeDescription="PDMS Document Site Content Type" ma:contentTypeScope="" ma:versionID="3309918b537c39fc645b505de7c92d22">
  <xsd:schema xmlns:xsd="http://www.w3.org/2001/XMLSchema" xmlns:xs="http://www.w3.org/2001/XMLSchema" xmlns:p="http://schemas.microsoft.com/office/2006/metadata/properties" xmlns:ns2="E744FD6D-E51B-4CB4-BACA-02445149650B" targetNamespace="http://schemas.microsoft.com/office/2006/metadata/properties" ma:root="true" ma:fieldsID="1e56c2e5172aa3067013b8eb5857c405" ns2:_="">
    <xsd:import namespace="E744FD6D-E51B-4CB4-BACA-02445149650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4FD6D-E51B-4CB4-BACA-02445149650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744FD6D-E51B-4CB4-BACA-02445149650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6FDE44-F4D2-441B-9FEC-D9F4F0039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4FD6D-E51B-4CB4-BACA-024451496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E744FD6D-E51B-4CB4-BACA-02445149650B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828</Words>
  <Characters>4699</Characters>
  <Application>Microsoft Office Word</Application>
  <DocSecurity>0</DocSecurity>
  <Lines>104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Networked single employer model for health staff</dc:title>
  <dc:subject>Rural health</dc:subject>
  <dc:creator>Australian Government Department of Health and Aged Care</dc:creator>
  <cp:lastModifiedBy>MASCHKE, Elvia</cp:lastModifiedBy>
  <cp:revision>5</cp:revision>
  <dcterms:created xsi:type="dcterms:W3CDTF">2024-09-13T01:08:00Z</dcterms:created>
  <dcterms:modified xsi:type="dcterms:W3CDTF">2024-09-13T02:15:00Z</dcterms:modified>
</cp:coreProperties>
</file>